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BFA5" w14:textId="7AAC2D91" w:rsidR="005F0BD3" w:rsidRPr="009D72CB" w:rsidRDefault="005F0BD3" w:rsidP="005F0BD3">
      <w:pPr>
        <w:spacing w:line="480" w:lineRule="auto"/>
        <w:rPr>
          <w:b/>
        </w:rPr>
      </w:pPr>
      <w:r w:rsidRPr="009D72CB">
        <w:rPr>
          <w:b/>
        </w:rPr>
        <w:t xml:space="preserve">Original article </w:t>
      </w:r>
    </w:p>
    <w:p w14:paraId="44ED30C8" w14:textId="280EBE76" w:rsidR="0058106F" w:rsidRPr="0058106F" w:rsidRDefault="0058106F" w:rsidP="0058106F">
      <w:pPr>
        <w:spacing w:after="0" w:line="480" w:lineRule="auto"/>
        <w:rPr>
          <w:color w:val="000000" w:themeColor="text1"/>
          <w:lang w:eastAsia="en-GB"/>
        </w:rPr>
      </w:pPr>
      <w:bookmarkStart w:id="0" w:name="_Hlk30686268"/>
      <w:r w:rsidRPr="0058106F">
        <w:rPr>
          <w:color w:val="000000" w:themeColor="text1"/>
          <w:lang w:eastAsia="en-GB"/>
        </w:rPr>
        <w:t xml:space="preserve">High prevalence of co-infection of azithromycin-resistant </w:t>
      </w:r>
      <w:r w:rsidRPr="0058106F">
        <w:rPr>
          <w:i/>
          <w:iCs/>
          <w:color w:val="000000" w:themeColor="text1"/>
          <w:lang w:eastAsia="en-GB"/>
        </w:rPr>
        <w:t xml:space="preserve">Mycoplasma </w:t>
      </w:r>
      <w:proofErr w:type="spellStart"/>
      <w:r w:rsidRPr="0058106F">
        <w:rPr>
          <w:i/>
          <w:iCs/>
          <w:color w:val="000000" w:themeColor="text1"/>
          <w:lang w:eastAsia="en-GB"/>
        </w:rPr>
        <w:t>genitalium</w:t>
      </w:r>
      <w:proofErr w:type="spellEnd"/>
      <w:r w:rsidRPr="0058106F">
        <w:rPr>
          <w:color w:val="000000" w:themeColor="text1"/>
          <w:lang w:eastAsia="en-GB"/>
        </w:rPr>
        <w:t xml:space="preserve"> with other sexually transmitted infections: a prospective </w:t>
      </w:r>
      <w:r>
        <w:rPr>
          <w:color w:val="000000" w:themeColor="text1"/>
          <w:lang w:eastAsia="en-GB"/>
        </w:rPr>
        <w:t xml:space="preserve">observational </w:t>
      </w:r>
      <w:r w:rsidRPr="0058106F">
        <w:rPr>
          <w:color w:val="000000" w:themeColor="text1"/>
          <w:lang w:eastAsia="en-GB"/>
        </w:rPr>
        <w:t>study of London</w:t>
      </w:r>
      <w:r w:rsidR="00415014">
        <w:rPr>
          <w:color w:val="000000" w:themeColor="text1"/>
          <w:lang w:eastAsia="en-GB"/>
        </w:rPr>
        <w:t>-</w:t>
      </w:r>
      <w:r w:rsidRPr="0058106F">
        <w:rPr>
          <w:color w:val="000000" w:themeColor="text1"/>
          <w:lang w:eastAsia="en-GB"/>
        </w:rPr>
        <w:t xml:space="preserve">based </w:t>
      </w:r>
      <w:r w:rsidR="00415014">
        <w:rPr>
          <w:color w:val="000000" w:themeColor="text1"/>
          <w:lang w:eastAsia="en-GB"/>
        </w:rPr>
        <w:t xml:space="preserve">symptomatic and STI-contact </w:t>
      </w:r>
      <w:r w:rsidRPr="0058106F">
        <w:rPr>
          <w:color w:val="000000" w:themeColor="text1"/>
          <w:lang w:eastAsia="en-GB"/>
        </w:rPr>
        <w:t>clinic attendees</w:t>
      </w:r>
      <w:r w:rsidR="0018005F">
        <w:rPr>
          <w:color w:val="000000" w:themeColor="text1"/>
          <w:lang w:eastAsia="en-GB"/>
        </w:rPr>
        <w:t xml:space="preserve"> </w:t>
      </w:r>
    </w:p>
    <w:bookmarkEnd w:id="0"/>
    <w:p w14:paraId="641DA07C" w14:textId="77777777" w:rsidR="0058106F" w:rsidRPr="0058106F" w:rsidRDefault="0058106F" w:rsidP="0058106F">
      <w:pPr>
        <w:spacing w:after="0" w:line="240" w:lineRule="auto"/>
        <w:rPr>
          <w:lang w:eastAsia="en-GB"/>
        </w:rPr>
      </w:pPr>
    </w:p>
    <w:p w14:paraId="2350098A" w14:textId="1F5B9210" w:rsidR="009F54B1" w:rsidRDefault="00104AF8" w:rsidP="00B16B93">
      <w:pPr>
        <w:spacing w:line="480" w:lineRule="auto"/>
        <w:rPr>
          <w:vertAlign w:val="superscript"/>
        </w:rPr>
      </w:pPr>
      <w:r>
        <w:t>Broad CE</w:t>
      </w:r>
      <w:r w:rsidRPr="003964E4">
        <w:rPr>
          <w:vertAlign w:val="superscript"/>
        </w:rPr>
        <w:t>1</w:t>
      </w:r>
      <w:r>
        <w:t>, Furegato M</w:t>
      </w:r>
      <w:r w:rsidRPr="003964E4">
        <w:rPr>
          <w:vertAlign w:val="superscript"/>
        </w:rPr>
        <w:t>1</w:t>
      </w:r>
      <w:r w:rsidR="00F30188" w:rsidRPr="003964E4">
        <w:rPr>
          <w:vertAlign w:val="superscript"/>
        </w:rPr>
        <w:t>, 2</w:t>
      </w:r>
      <w:r>
        <w:t>, Harrison M</w:t>
      </w:r>
      <w:r w:rsidRPr="003964E4">
        <w:rPr>
          <w:vertAlign w:val="superscript"/>
        </w:rPr>
        <w:t>1</w:t>
      </w:r>
      <w:r>
        <w:t xml:space="preserve">, </w:t>
      </w:r>
      <w:r w:rsidR="00F30188">
        <w:t>Pond MJ</w:t>
      </w:r>
      <w:r w:rsidR="00F30188" w:rsidRPr="003964E4">
        <w:rPr>
          <w:vertAlign w:val="superscript"/>
        </w:rPr>
        <w:t>1</w:t>
      </w:r>
      <w:r w:rsidR="00F30188">
        <w:t xml:space="preserve">, </w:t>
      </w:r>
      <w:r>
        <w:t>Tan NK</w:t>
      </w:r>
      <w:r w:rsidR="00FF1472">
        <w:rPr>
          <w:vertAlign w:val="superscript"/>
        </w:rPr>
        <w:t>3</w:t>
      </w:r>
      <w:r>
        <w:t>,</w:t>
      </w:r>
      <w:r w:rsidR="00F30188">
        <w:t xml:space="preserve"> </w:t>
      </w:r>
      <w:proofErr w:type="spellStart"/>
      <w:r w:rsidR="00F30188">
        <w:t>Okala</w:t>
      </w:r>
      <w:proofErr w:type="spellEnd"/>
      <w:r w:rsidR="00F30188">
        <w:t xml:space="preserve"> S</w:t>
      </w:r>
      <w:r w:rsidR="00F30188" w:rsidRPr="003964E4">
        <w:rPr>
          <w:vertAlign w:val="superscript"/>
        </w:rPr>
        <w:t>2</w:t>
      </w:r>
      <w:r w:rsidR="00F30188">
        <w:t>,</w:t>
      </w:r>
      <w:r>
        <w:t xml:space="preserve"> </w:t>
      </w:r>
      <w:r w:rsidR="001571A3">
        <w:t>Fuller SS</w:t>
      </w:r>
      <w:r w:rsidR="001571A3" w:rsidRPr="00746128">
        <w:rPr>
          <w:vertAlign w:val="superscript"/>
          <w:lang w:val="en-US"/>
        </w:rPr>
        <w:t>1</w:t>
      </w:r>
      <w:r w:rsidR="001571A3">
        <w:t xml:space="preserve">, </w:t>
      </w:r>
      <w:r w:rsidR="00F30188">
        <w:t>Harding-Esch EM</w:t>
      </w:r>
      <w:r w:rsidR="006735EF">
        <w:t>*</w:t>
      </w:r>
      <w:r w:rsidR="00F30188" w:rsidRPr="003964E4">
        <w:rPr>
          <w:vertAlign w:val="superscript"/>
        </w:rPr>
        <w:t xml:space="preserve">1, 2 </w:t>
      </w:r>
    </w:p>
    <w:p w14:paraId="4BFF72E0" w14:textId="515A5395" w:rsidR="00104AF8" w:rsidRDefault="00104AF8" w:rsidP="00B16B93">
      <w:pPr>
        <w:spacing w:line="480" w:lineRule="auto"/>
      </w:pPr>
      <w:r>
        <w:t>Sadiq ST</w:t>
      </w:r>
      <w:r w:rsidR="006735EF">
        <w:t>*</w:t>
      </w:r>
      <w:r w:rsidRPr="003964E4">
        <w:rPr>
          <w:vertAlign w:val="superscript"/>
        </w:rPr>
        <w:t>1,</w:t>
      </w:r>
      <w:r w:rsidR="00FF1472" w:rsidRPr="003964E4" w:rsidDel="00FF1472">
        <w:rPr>
          <w:vertAlign w:val="superscript"/>
        </w:rPr>
        <w:t xml:space="preserve"> </w:t>
      </w:r>
      <w:r w:rsidR="00FF1472" w:rsidRPr="003964E4">
        <w:rPr>
          <w:vertAlign w:val="superscript"/>
        </w:rPr>
        <w:t>3</w:t>
      </w:r>
      <w:r w:rsidR="00FF1472">
        <w:rPr>
          <w:vertAlign w:val="superscript"/>
        </w:rPr>
        <w:t xml:space="preserve">, </w:t>
      </w:r>
      <w:r w:rsidRPr="003964E4">
        <w:rPr>
          <w:vertAlign w:val="superscript"/>
        </w:rPr>
        <w:t>2</w:t>
      </w:r>
    </w:p>
    <w:p w14:paraId="21E6CD0D" w14:textId="73B25FC1" w:rsidR="00104AF8" w:rsidRDefault="00104AF8" w:rsidP="00B16B93">
      <w:pPr>
        <w:spacing w:line="480" w:lineRule="auto"/>
        <w:rPr>
          <w:lang w:val="en-US"/>
        </w:rPr>
      </w:pPr>
      <w:r w:rsidRPr="00746128">
        <w:rPr>
          <w:vertAlign w:val="superscript"/>
          <w:lang w:val="en-US"/>
        </w:rPr>
        <w:t xml:space="preserve">1 </w:t>
      </w:r>
      <w:r w:rsidR="00307473">
        <w:rPr>
          <w:lang w:val="en-US"/>
        </w:rPr>
        <w:t>Applied Diagnostic Research and Evaluation Unit (ADREU), St</w:t>
      </w:r>
      <w:r w:rsidRPr="00746128">
        <w:rPr>
          <w:lang w:val="en-US"/>
        </w:rPr>
        <w:t xml:space="preserve"> George’s University of London, Institute for Infection and Immunity, UK </w:t>
      </w:r>
      <w:r w:rsidRPr="00746128">
        <w:rPr>
          <w:vertAlign w:val="superscript"/>
          <w:lang w:val="en-US"/>
        </w:rPr>
        <w:t>2</w:t>
      </w:r>
      <w:r w:rsidRPr="00746128">
        <w:rPr>
          <w:lang w:val="en-US"/>
        </w:rPr>
        <w:t xml:space="preserve"> </w:t>
      </w:r>
      <w:r w:rsidR="00FF14A4" w:rsidRPr="00FF14A4">
        <w:rPr>
          <w:lang w:val="en-US"/>
        </w:rPr>
        <w:t>Blood Safety, Hepatitis, Sexually Transmitted Infections (STI) and HIV Service, National Infection Service, Public Health England, UK</w:t>
      </w:r>
      <w:r w:rsidR="00FF14A4">
        <w:rPr>
          <w:lang w:val="en-US"/>
        </w:rPr>
        <w:t xml:space="preserve">, </w:t>
      </w:r>
      <w:r w:rsidR="00FF14A4" w:rsidRPr="00746128">
        <w:rPr>
          <w:vertAlign w:val="superscript"/>
          <w:lang w:val="en-US"/>
        </w:rPr>
        <w:t>3</w:t>
      </w:r>
      <w:r>
        <w:rPr>
          <w:lang w:val="en-US"/>
        </w:rPr>
        <w:t>St George’s University Hospitals NHS Foundation Trust</w:t>
      </w:r>
    </w:p>
    <w:p w14:paraId="16F42E98" w14:textId="4B3A81AF" w:rsidR="006735EF" w:rsidRDefault="006735EF" w:rsidP="006735EF">
      <w:pPr>
        <w:spacing w:line="480" w:lineRule="auto"/>
        <w:rPr>
          <w:lang w:val="en-US"/>
        </w:rPr>
      </w:pPr>
      <w:r>
        <w:rPr>
          <w:lang w:val="en-US"/>
        </w:rPr>
        <w:t>*</w:t>
      </w:r>
      <w:r w:rsidRPr="006735EF">
        <w:t xml:space="preserve"> </w:t>
      </w:r>
      <w:r>
        <w:rPr>
          <w:lang w:val="en-US"/>
        </w:rPr>
        <w:t>These authors share senior author</w:t>
      </w:r>
      <w:r w:rsidRPr="006735EF">
        <w:rPr>
          <w:lang w:val="en-US"/>
        </w:rPr>
        <w:t>ship</w:t>
      </w:r>
    </w:p>
    <w:p w14:paraId="0F7A6F6A" w14:textId="76914F3E" w:rsidR="00720644" w:rsidRDefault="006735EF" w:rsidP="006735EF">
      <w:pPr>
        <w:spacing w:line="480" w:lineRule="auto"/>
        <w:rPr>
          <w:rStyle w:val="Hyperlink"/>
        </w:rPr>
      </w:pPr>
      <w:r>
        <w:t xml:space="preserve">To whom correspondence should be addressed: Professor Tariq Sadiq, J1.235 Institute for Infection and Immunity, St George’s University </w:t>
      </w:r>
      <w:r w:rsidR="00EF14EF">
        <w:t xml:space="preserve">of London, Cranmer Terrace, London SW17 0RE, 0208 725 2886, </w:t>
      </w:r>
      <w:hyperlink r:id="rId8" w:history="1">
        <w:r w:rsidR="001E0DBD" w:rsidRPr="008A3131">
          <w:rPr>
            <w:rStyle w:val="Hyperlink"/>
          </w:rPr>
          <w:t>ssadiq@sgul.ac.uk</w:t>
        </w:r>
      </w:hyperlink>
    </w:p>
    <w:p w14:paraId="1213CA8E" w14:textId="77777777" w:rsidR="00B77879" w:rsidRPr="00B85BFB" w:rsidRDefault="00B77879" w:rsidP="00B77879">
      <w:pPr>
        <w:spacing w:line="480" w:lineRule="auto"/>
        <w:rPr>
          <w:b/>
        </w:rPr>
      </w:pPr>
      <w:r w:rsidRPr="00B85BFB">
        <w:rPr>
          <w:b/>
        </w:rPr>
        <w:t>Key words</w:t>
      </w:r>
    </w:p>
    <w:p w14:paraId="3F99F63C" w14:textId="14F25A30" w:rsidR="00B77879" w:rsidRPr="00B77879" w:rsidRDefault="00B77879" w:rsidP="006735EF">
      <w:pPr>
        <w:spacing w:line="480" w:lineRule="auto"/>
        <w:rPr>
          <w:rStyle w:val="Hyperlink"/>
          <w:color w:val="auto"/>
          <w:u w:val="none"/>
        </w:rPr>
      </w:pPr>
      <w:r w:rsidRPr="00746128">
        <w:rPr>
          <w:i/>
        </w:rPr>
        <w:t xml:space="preserve">Mycoplasma </w:t>
      </w:r>
      <w:proofErr w:type="spellStart"/>
      <w:r w:rsidRPr="00746128">
        <w:rPr>
          <w:i/>
        </w:rPr>
        <w:t>genitalium</w:t>
      </w:r>
      <w:proofErr w:type="spellEnd"/>
      <w:r>
        <w:t xml:space="preserve">, </w:t>
      </w:r>
      <w:r>
        <w:rPr>
          <w:i/>
        </w:rPr>
        <w:t>Chlamydia trachomatis,</w:t>
      </w:r>
      <w:r>
        <w:t xml:space="preserve"> </w:t>
      </w:r>
      <w:r w:rsidR="00440B4A">
        <w:rPr>
          <w:i/>
        </w:rPr>
        <w:t xml:space="preserve">Neisseria </w:t>
      </w:r>
      <w:r w:rsidR="00440B4A" w:rsidRPr="00A0602D">
        <w:rPr>
          <w:i/>
          <w:iCs/>
        </w:rPr>
        <w:t>gonorrhoeae</w:t>
      </w:r>
      <w:r w:rsidR="00440B4A">
        <w:t xml:space="preserve">, </w:t>
      </w:r>
      <w:r w:rsidRPr="00440B4A">
        <w:t>azithromycin</w:t>
      </w:r>
      <w:r>
        <w:t>, antimicrobial resistance, co-infection</w:t>
      </w:r>
    </w:p>
    <w:p w14:paraId="28D909E4" w14:textId="53586130" w:rsidR="003E0ED3" w:rsidRPr="0053178A" w:rsidRDefault="00B77879" w:rsidP="003E0ED3">
      <w:pPr>
        <w:spacing w:line="480" w:lineRule="auto"/>
        <w:rPr>
          <w:b/>
        </w:rPr>
      </w:pPr>
      <w:r>
        <w:rPr>
          <w:b/>
        </w:rPr>
        <w:t>Key messages</w:t>
      </w:r>
      <w:r w:rsidR="003E0ED3" w:rsidRPr="0053178A">
        <w:rPr>
          <w:b/>
        </w:rPr>
        <w:t xml:space="preserve">: </w:t>
      </w:r>
    </w:p>
    <w:p w14:paraId="074CE689" w14:textId="0FB9B3C8" w:rsidR="006462F4" w:rsidRDefault="009D72CB" w:rsidP="009D72CB">
      <w:r>
        <w:t xml:space="preserve">-  </w:t>
      </w:r>
      <w:r w:rsidR="006462F4">
        <w:t xml:space="preserve">Worldwide, there are high rates of macrolide resistance in </w:t>
      </w:r>
      <w:r w:rsidR="006462F4" w:rsidRPr="00080EF0">
        <w:rPr>
          <w:i/>
        </w:rPr>
        <w:t xml:space="preserve">Mycoplasma </w:t>
      </w:r>
      <w:proofErr w:type="spellStart"/>
      <w:r w:rsidR="006462F4" w:rsidRPr="00080EF0">
        <w:rPr>
          <w:i/>
        </w:rPr>
        <w:t>genitalium</w:t>
      </w:r>
      <w:proofErr w:type="spellEnd"/>
      <w:r w:rsidR="004A65C3">
        <w:rPr>
          <w:i/>
        </w:rPr>
        <w:t xml:space="preserve"> </w:t>
      </w:r>
      <w:r w:rsidR="004A65C3">
        <w:t>(MG)</w:t>
      </w:r>
      <w:r w:rsidR="006462F4">
        <w:t xml:space="preserve">, potentially undermining the suitability of azithromycin for empirical therapy. </w:t>
      </w:r>
    </w:p>
    <w:p w14:paraId="60F5C745" w14:textId="5D725795" w:rsidR="0081090E" w:rsidRDefault="006462F4" w:rsidP="009D72CB">
      <w:r>
        <w:t>-</w:t>
      </w:r>
      <w:r w:rsidR="004A65C3">
        <w:t xml:space="preserve"> </w:t>
      </w:r>
      <w:r w:rsidR="001A398F">
        <w:t xml:space="preserve"> </w:t>
      </w:r>
      <w:bookmarkStart w:id="1" w:name="_GoBack"/>
      <w:bookmarkEnd w:id="1"/>
      <w:r w:rsidR="004A65C3">
        <w:t>In a London sexual health clinic,</w:t>
      </w:r>
      <w:r>
        <w:t xml:space="preserve"> </w:t>
      </w:r>
      <w:r w:rsidR="004A65C3">
        <w:t xml:space="preserve">amongst </w:t>
      </w:r>
      <w:r w:rsidR="00DE2E24">
        <w:t>symptomatic</w:t>
      </w:r>
      <w:r w:rsidR="007B0FE4">
        <w:t xml:space="preserve"> patients</w:t>
      </w:r>
      <w:r w:rsidR="00DE2E24">
        <w:t xml:space="preserve"> </w:t>
      </w:r>
      <w:r w:rsidR="004A65C3">
        <w:t>or contacts of an STI, t</w:t>
      </w:r>
      <w:r w:rsidR="00430AA0">
        <w:t>here was h</w:t>
      </w:r>
      <w:r w:rsidR="0081090E">
        <w:t xml:space="preserve">igh </w:t>
      </w:r>
      <w:r w:rsidR="001F2813">
        <w:t xml:space="preserve">MG </w:t>
      </w:r>
      <w:r w:rsidR="00430AA0">
        <w:t xml:space="preserve">prevalence </w:t>
      </w:r>
      <w:r w:rsidR="00A0602D">
        <w:t xml:space="preserve">in those with </w:t>
      </w:r>
      <w:r w:rsidR="001F2813">
        <w:rPr>
          <w:i/>
        </w:rPr>
        <w:t>Chlamydia trachomatis</w:t>
      </w:r>
      <w:r w:rsidR="0081090E">
        <w:t xml:space="preserve"> </w:t>
      </w:r>
      <w:r w:rsidR="001F2813">
        <w:t>(CT)</w:t>
      </w:r>
      <w:r w:rsidR="004A65C3">
        <w:t>.</w:t>
      </w:r>
    </w:p>
    <w:p w14:paraId="578750FB" w14:textId="6B1D4B16" w:rsidR="0081090E" w:rsidRDefault="009D72CB" w:rsidP="009D72CB">
      <w:r>
        <w:t xml:space="preserve">-  </w:t>
      </w:r>
      <w:r w:rsidR="0081090E">
        <w:t xml:space="preserve">Over 30% </w:t>
      </w:r>
      <w:r w:rsidR="00430AA0">
        <w:t xml:space="preserve">of </w:t>
      </w:r>
      <w:r w:rsidR="002B5A68">
        <w:t>MG-positive</w:t>
      </w:r>
      <w:r w:rsidR="0081090E">
        <w:t xml:space="preserve"> samples</w:t>
      </w:r>
      <w:r w:rsidR="00430AA0">
        <w:t xml:space="preserve"> had MG macrolide resistance-associated mutations</w:t>
      </w:r>
      <w:r w:rsidR="00A0602D">
        <w:t>.</w:t>
      </w:r>
    </w:p>
    <w:p w14:paraId="03517163" w14:textId="4082356F" w:rsidR="00B77879" w:rsidRPr="005F0BD3" w:rsidRDefault="009D72CB" w:rsidP="00080EF0">
      <w:r>
        <w:t xml:space="preserve">-  </w:t>
      </w:r>
      <w:r w:rsidR="004A65C3">
        <w:t>Targeting</w:t>
      </w:r>
      <w:r w:rsidR="00A0602D">
        <w:t xml:space="preserve"> </w:t>
      </w:r>
      <w:r w:rsidR="0081090E">
        <w:t>MG testing for symptomatic</w:t>
      </w:r>
      <w:r w:rsidR="00430AA0">
        <w:t xml:space="preserve"> patients</w:t>
      </w:r>
      <w:r w:rsidR="00A0602D">
        <w:t xml:space="preserve">, </w:t>
      </w:r>
      <w:r w:rsidR="00415014">
        <w:t>STI-contact</w:t>
      </w:r>
      <w:r w:rsidR="00A0602D">
        <w:t xml:space="preserve">s </w:t>
      </w:r>
      <w:r w:rsidR="00415014">
        <w:t>and those with CT</w:t>
      </w:r>
      <w:r w:rsidR="00A0602D">
        <w:t xml:space="preserve"> infection</w:t>
      </w:r>
      <w:r w:rsidR="00430AA0">
        <w:t xml:space="preserve"> has potential to improve antibiotic choice</w:t>
      </w:r>
      <w:r w:rsidR="00A0602D">
        <w:t>.</w:t>
      </w:r>
    </w:p>
    <w:p w14:paraId="7FCC53B8" w14:textId="35E0039D" w:rsidR="001E0DBD" w:rsidRDefault="001E0DBD" w:rsidP="001E0DBD">
      <w:pPr>
        <w:spacing w:line="480" w:lineRule="auto"/>
        <w:rPr>
          <w:b/>
        </w:rPr>
      </w:pPr>
      <w:r w:rsidRPr="00B16B93">
        <w:rPr>
          <w:b/>
        </w:rPr>
        <w:lastRenderedPageBreak/>
        <w:t>Abstract</w:t>
      </w:r>
    </w:p>
    <w:p w14:paraId="247E6F13" w14:textId="4E08443D" w:rsidR="00FF07E1" w:rsidRPr="003967F1" w:rsidRDefault="00FF07E1" w:rsidP="001E0DBD">
      <w:pPr>
        <w:spacing w:line="480" w:lineRule="auto"/>
      </w:pPr>
      <w:r w:rsidRPr="003967F1">
        <w:t>Objectives</w:t>
      </w:r>
    </w:p>
    <w:p w14:paraId="068AF023" w14:textId="5B7CDC09" w:rsidR="00FF07E1" w:rsidRPr="003967F1" w:rsidRDefault="00FF07E1" w:rsidP="001E0DBD">
      <w:pPr>
        <w:spacing w:line="480" w:lineRule="auto"/>
      </w:pPr>
      <w:r w:rsidRPr="003967F1">
        <w:t xml:space="preserve">Azithromycin treatment of </w:t>
      </w:r>
      <w:r w:rsidRPr="003967F1">
        <w:rPr>
          <w:i/>
        </w:rPr>
        <w:t>Chlamydia trachomatis</w:t>
      </w:r>
      <w:r w:rsidRPr="003967F1">
        <w:t xml:space="preserve"> (CT) may not be adequate to treat concomitant </w:t>
      </w:r>
      <w:r w:rsidRPr="003967F1">
        <w:rPr>
          <w:i/>
        </w:rPr>
        <w:t xml:space="preserve">Mycoplasma </w:t>
      </w:r>
      <w:proofErr w:type="spellStart"/>
      <w:r w:rsidRPr="003967F1">
        <w:rPr>
          <w:i/>
        </w:rPr>
        <w:t>genitalium</w:t>
      </w:r>
      <w:proofErr w:type="spellEnd"/>
      <w:r w:rsidRPr="003967F1">
        <w:rPr>
          <w:i/>
        </w:rPr>
        <w:t xml:space="preserve"> </w:t>
      </w:r>
      <w:r w:rsidRPr="003967F1">
        <w:t xml:space="preserve">(MG) infection, and particularly if MG has macrolide resistance associated mutations (MG-MRAM). We estimated prevalence of co-infections of CT with MG carrying MRAM, and risk factors for </w:t>
      </w:r>
      <w:r w:rsidR="00340675" w:rsidRPr="003967F1">
        <w:t>MG-</w:t>
      </w:r>
      <w:r w:rsidRPr="003967F1">
        <w:t>MRAM amongst a sexual health clinic (SHC) population.</w:t>
      </w:r>
    </w:p>
    <w:p w14:paraId="00B1C5FD" w14:textId="3AF71FFB" w:rsidR="00FF07E1" w:rsidRPr="003967F1" w:rsidRDefault="00FF07E1" w:rsidP="001E0DBD">
      <w:pPr>
        <w:spacing w:line="480" w:lineRule="auto"/>
      </w:pPr>
      <w:r w:rsidRPr="003967F1">
        <w:t>Study Design and Setting</w:t>
      </w:r>
    </w:p>
    <w:p w14:paraId="0EDB387B" w14:textId="6904297B" w:rsidR="00FF07E1" w:rsidRPr="003967F1" w:rsidRDefault="00FF07E1" w:rsidP="001E0DBD">
      <w:pPr>
        <w:spacing w:line="480" w:lineRule="auto"/>
      </w:pPr>
      <w:r w:rsidRPr="003967F1">
        <w:t>Among symptomatic</w:t>
      </w:r>
      <w:r w:rsidR="00AF0AE5">
        <w:t xml:space="preserve"> and STI-contact</w:t>
      </w:r>
      <w:r w:rsidRPr="003967F1">
        <w:t xml:space="preserve"> clinic attendees in London, prevalence of CT-MG co-infection and MG-MRAM were estimated using nucleic acid amplification testing and Sanger sequencing respectively, and their associated risk factors analysed using logistic regression. </w:t>
      </w:r>
    </w:p>
    <w:p w14:paraId="3D5C4815" w14:textId="7FA964A5" w:rsidR="00FF07E1" w:rsidRPr="003967F1" w:rsidRDefault="00FF07E1" w:rsidP="001E0DBD">
      <w:pPr>
        <w:spacing w:line="480" w:lineRule="auto"/>
      </w:pPr>
      <w:r w:rsidRPr="003967F1">
        <w:t>Results</w:t>
      </w:r>
    </w:p>
    <w:p w14:paraId="73CB7033" w14:textId="08E63AFE" w:rsidR="00FF07E1" w:rsidRPr="003967F1" w:rsidRDefault="00FF07E1" w:rsidP="001E0DBD">
      <w:pPr>
        <w:spacing w:line="480" w:lineRule="auto"/>
      </w:pPr>
      <w:r w:rsidRPr="003967F1">
        <w:t>MG prevalence was 7.5% (23/307), 17.3% (30/173) and 11.4% (8/70) in females, men-who-have-sex-with-women (MSW) and men-who-have-sex-with-men (MSM)</w:t>
      </w:r>
      <w:r w:rsidR="001B1FEB">
        <w:t xml:space="preserve"> respectively</w:t>
      </w:r>
      <w:r w:rsidRPr="003967F1">
        <w:t xml:space="preserve">; MG co-infection </w:t>
      </w:r>
      <w:r w:rsidR="00DA5B8D">
        <w:t>in CT-infected</w:t>
      </w:r>
      <w:r w:rsidR="00DA5B8D" w:rsidRPr="003967F1">
        <w:t xml:space="preserve"> </w:t>
      </w:r>
      <w:r w:rsidR="00DA5B8D">
        <w:t xml:space="preserve">participants </w:t>
      </w:r>
      <w:r w:rsidRPr="003967F1">
        <w:t xml:space="preserve">represented 28.0% (7/25), 13.5% (5/37), 0.0% (0/0), respectively. Presence of MG-MRAM was 39.1% (9/23) </w:t>
      </w:r>
      <w:r w:rsidR="001B1FEB">
        <w:t xml:space="preserve">in </w:t>
      </w:r>
      <w:r w:rsidRPr="003967F1">
        <w:t>female swabs, 70.0% (21/30) MSW urine and 83.3% (5/6) MSM rectal swabs. In multivariate analyses, co-infection with another STI was strongly associated with MG-MRAM (OR: 7.19; 95%CI:2.4-21.</w:t>
      </w:r>
      <w:r w:rsidR="00902AB7">
        <w:t>5</w:t>
      </w:r>
      <w:r w:rsidRPr="003967F1">
        <w:t>).</w:t>
      </w:r>
    </w:p>
    <w:p w14:paraId="6DF76E5B" w14:textId="6FAE47A3" w:rsidR="00471999" w:rsidRPr="003967F1" w:rsidRDefault="00FF07E1" w:rsidP="001E0DBD">
      <w:pPr>
        <w:spacing w:line="480" w:lineRule="auto"/>
      </w:pPr>
      <w:r w:rsidRPr="003967F1">
        <w:t>Conclusion</w:t>
      </w:r>
    </w:p>
    <w:p w14:paraId="510E012D" w14:textId="714D6258" w:rsidR="009D72CB" w:rsidRDefault="00FF07E1" w:rsidP="00443802">
      <w:pPr>
        <w:spacing w:line="480" w:lineRule="auto"/>
        <w:rPr>
          <w:b/>
        </w:rPr>
      </w:pPr>
      <w:r w:rsidRPr="00080EF0">
        <w:rPr>
          <w:rFonts w:asciiTheme="minorHAnsi" w:hAnsiTheme="minorHAnsi" w:cstheme="minorHAnsi"/>
        </w:rPr>
        <w:t>A significant proportion o</w:t>
      </w:r>
      <w:r w:rsidR="00840882" w:rsidRPr="00080EF0">
        <w:rPr>
          <w:rFonts w:asciiTheme="minorHAnsi" w:hAnsiTheme="minorHAnsi" w:cstheme="minorHAnsi"/>
        </w:rPr>
        <w:t xml:space="preserve">f </w:t>
      </w:r>
      <w:r w:rsidR="00902AB7" w:rsidRPr="00080EF0">
        <w:rPr>
          <w:rFonts w:asciiTheme="minorHAnsi" w:hAnsiTheme="minorHAnsi" w:cstheme="minorHAnsi"/>
        </w:rPr>
        <w:t>participants</w:t>
      </w:r>
      <w:r w:rsidR="005A332B" w:rsidRPr="00080EF0">
        <w:rPr>
          <w:rFonts w:asciiTheme="minorHAnsi" w:hAnsiTheme="minorHAnsi" w:cstheme="minorHAnsi"/>
        </w:rPr>
        <w:t xml:space="preserve"> in</w:t>
      </w:r>
      <w:r w:rsidR="00840882" w:rsidRPr="00080EF0">
        <w:rPr>
          <w:rFonts w:asciiTheme="minorHAnsi" w:hAnsiTheme="minorHAnsi" w:cstheme="minorHAnsi"/>
        </w:rPr>
        <w:t xml:space="preserve"> our</w:t>
      </w:r>
      <w:r w:rsidR="005A332B" w:rsidRPr="00080EF0">
        <w:rPr>
          <w:rFonts w:asciiTheme="minorHAnsi" w:hAnsiTheme="minorHAnsi" w:cstheme="minorHAnsi"/>
        </w:rPr>
        <w:t xml:space="preserve"> study </w:t>
      </w:r>
      <w:r w:rsidR="001B1FEB" w:rsidRPr="00080EF0">
        <w:rPr>
          <w:rFonts w:asciiTheme="minorHAnsi" w:hAnsiTheme="minorHAnsi" w:cstheme="minorHAnsi"/>
        </w:rPr>
        <w:t xml:space="preserve">of symptomatic patients and STI contacts </w:t>
      </w:r>
      <w:r w:rsidRPr="00080EF0">
        <w:rPr>
          <w:rFonts w:asciiTheme="minorHAnsi" w:hAnsiTheme="minorHAnsi" w:cstheme="minorHAnsi"/>
        </w:rPr>
        <w:t xml:space="preserve">were </w:t>
      </w:r>
      <w:r w:rsidR="00840882" w:rsidRPr="00080EF0">
        <w:rPr>
          <w:rFonts w:asciiTheme="minorHAnsi" w:hAnsiTheme="minorHAnsi" w:cstheme="minorHAnsi"/>
        </w:rPr>
        <w:t xml:space="preserve">infected </w:t>
      </w:r>
      <w:r w:rsidRPr="00080EF0">
        <w:rPr>
          <w:rFonts w:asciiTheme="minorHAnsi" w:hAnsiTheme="minorHAnsi" w:cstheme="minorHAnsi"/>
        </w:rPr>
        <w:t xml:space="preserve">with </w:t>
      </w:r>
      <w:r w:rsidR="00840882" w:rsidRPr="00080EF0">
        <w:rPr>
          <w:rFonts w:asciiTheme="minorHAnsi" w:hAnsiTheme="minorHAnsi" w:cstheme="minorHAnsi"/>
        </w:rPr>
        <w:t xml:space="preserve">macrolide resistant </w:t>
      </w:r>
      <w:r w:rsidRPr="00080EF0">
        <w:rPr>
          <w:rFonts w:asciiTheme="minorHAnsi" w:hAnsiTheme="minorHAnsi" w:cstheme="minorHAnsi"/>
        </w:rPr>
        <w:t>MG,</w:t>
      </w:r>
      <w:r w:rsidR="00340675" w:rsidRPr="00080EF0">
        <w:rPr>
          <w:rFonts w:asciiTheme="minorHAnsi" w:hAnsiTheme="minorHAnsi" w:cstheme="minorHAnsi"/>
        </w:rPr>
        <w:t xml:space="preserve"> </w:t>
      </w:r>
      <w:r w:rsidR="00E647EE" w:rsidRPr="00080EF0">
        <w:rPr>
          <w:rFonts w:asciiTheme="minorHAnsi" w:hAnsiTheme="minorHAnsi" w:cstheme="minorHAnsi"/>
        </w:rPr>
        <w:t>suggest</w:t>
      </w:r>
      <w:r w:rsidR="00840882" w:rsidRPr="00080EF0">
        <w:rPr>
          <w:rFonts w:asciiTheme="minorHAnsi" w:hAnsiTheme="minorHAnsi" w:cstheme="minorHAnsi"/>
        </w:rPr>
        <w:t>ing</w:t>
      </w:r>
      <w:r w:rsidR="00340675" w:rsidRPr="00080EF0">
        <w:rPr>
          <w:rFonts w:asciiTheme="minorHAnsi" w:hAnsiTheme="minorHAnsi" w:cstheme="minorHAnsi"/>
        </w:rPr>
        <w:t xml:space="preserve"> </w:t>
      </w:r>
      <w:r w:rsidR="00840882" w:rsidRPr="00080EF0">
        <w:rPr>
          <w:rFonts w:asciiTheme="minorHAnsi" w:hAnsiTheme="minorHAnsi" w:cstheme="minorHAnsi"/>
        </w:rPr>
        <w:t xml:space="preserve">that testing for </w:t>
      </w:r>
      <w:r w:rsidRPr="00080EF0">
        <w:rPr>
          <w:rFonts w:asciiTheme="minorHAnsi" w:hAnsiTheme="minorHAnsi" w:cstheme="minorHAnsi"/>
        </w:rPr>
        <w:t>MG</w:t>
      </w:r>
      <w:r w:rsidR="00840882" w:rsidRPr="00080EF0">
        <w:rPr>
          <w:rFonts w:asciiTheme="minorHAnsi" w:hAnsiTheme="minorHAnsi" w:cstheme="minorHAnsi"/>
        </w:rPr>
        <w:t xml:space="preserve"> and </w:t>
      </w:r>
      <w:r w:rsidRPr="00080EF0">
        <w:rPr>
          <w:rFonts w:asciiTheme="minorHAnsi" w:hAnsiTheme="minorHAnsi" w:cstheme="minorHAnsi"/>
        </w:rPr>
        <w:t>MRAM</w:t>
      </w:r>
      <w:r w:rsidR="00840882" w:rsidRPr="00080EF0">
        <w:rPr>
          <w:rFonts w:asciiTheme="minorHAnsi" w:hAnsiTheme="minorHAnsi" w:cstheme="minorHAnsi"/>
        </w:rPr>
        <w:t>, for MG positives,</w:t>
      </w:r>
      <w:r w:rsidR="00A24440" w:rsidRPr="00080EF0">
        <w:rPr>
          <w:rFonts w:asciiTheme="minorHAnsi" w:hAnsiTheme="minorHAnsi" w:cstheme="minorHAnsi"/>
        </w:rPr>
        <w:t xml:space="preserve"> </w:t>
      </w:r>
      <w:r w:rsidR="00840882" w:rsidRPr="00080EF0">
        <w:rPr>
          <w:rFonts w:asciiTheme="minorHAnsi" w:hAnsiTheme="minorHAnsi" w:cstheme="minorHAnsi"/>
        </w:rPr>
        <w:t xml:space="preserve">might be clinically useful. The </w:t>
      </w:r>
      <w:r w:rsidR="00A24440" w:rsidRPr="00080EF0">
        <w:rPr>
          <w:rFonts w:asciiTheme="minorHAnsi" w:hAnsiTheme="minorHAnsi" w:cstheme="minorHAnsi"/>
        </w:rPr>
        <w:t xml:space="preserve">findings also suggest </w:t>
      </w:r>
      <w:r w:rsidR="0051121C" w:rsidRPr="00080EF0">
        <w:rPr>
          <w:rFonts w:asciiTheme="minorHAnsi" w:hAnsiTheme="minorHAnsi" w:cstheme="minorHAnsi"/>
        </w:rPr>
        <w:t xml:space="preserve">services explore </w:t>
      </w:r>
      <w:r w:rsidR="00840882" w:rsidRPr="00080EF0">
        <w:rPr>
          <w:rFonts w:asciiTheme="minorHAnsi" w:hAnsiTheme="minorHAnsi" w:cstheme="minorHAnsi"/>
        </w:rPr>
        <w:t>potential benefit</w:t>
      </w:r>
      <w:r w:rsidR="0051121C" w:rsidRPr="00080EF0">
        <w:rPr>
          <w:rFonts w:asciiTheme="minorHAnsi" w:hAnsiTheme="minorHAnsi" w:cstheme="minorHAnsi"/>
        </w:rPr>
        <w:t>s</w:t>
      </w:r>
      <w:r w:rsidR="00840882" w:rsidRPr="00080EF0">
        <w:rPr>
          <w:rFonts w:asciiTheme="minorHAnsi" w:hAnsiTheme="minorHAnsi" w:cstheme="minorHAnsi"/>
        </w:rPr>
        <w:t xml:space="preserve"> o</w:t>
      </w:r>
      <w:r w:rsidR="00BC1348" w:rsidRPr="00080EF0">
        <w:rPr>
          <w:rFonts w:asciiTheme="minorHAnsi" w:hAnsiTheme="minorHAnsi" w:cstheme="minorHAnsi"/>
        </w:rPr>
        <w:t>f</w:t>
      </w:r>
      <w:r w:rsidR="00840882" w:rsidRPr="00080EF0">
        <w:rPr>
          <w:rFonts w:asciiTheme="minorHAnsi" w:hAnsiTheme="minorHAnsi" w:cstheme="minorHAnsi"/>
        </w:rPr>
        <w:t xml:space="preserve"> testing CT </w:t>
      </w:r>
      <w:r w:rsidR="00A24440" w:rsidRPr="00080EF0">
        <w:rPr>
          <w:rFonts w:asciiTheme="minorHAnsi" w:hAnsiTheme="minorHAnsi" w:cstheme="minorHAnsi"/>
        </w:rPr>
        <w:t xml:space="preserve">positive samples for MG </w:t>
      </w:r>
      <w:r w:rsidR="00840882" w:rsidRPr="00080EF0">
        <w:rPr>
          <w:rFonts w:asciiTheme="minorHAnsi" w:hAnsiTheme="minorHAnsi" w:cstheme="minorHAnsi"/>
        </w:rPr>
        <w:t>in these patient groups. W</w:t>
      </w:r>
      <w:r w:rsidR="005117F6" w:rsidRPr="00080EF0">
        <w:rPr>
          <w:rFonts w:asciiTheme="minorHAnsi" w:hAnsiTheme="minorHAnsi" w:cstheme="minorHAnsi"/>
        </w:rPr>
        <w:t xml:space="preserve">here </w:t>
      </w:r>
      <w:r w:rsidR="00840882" w:rsidRPr="00080EF0">
        <w:rPr>
          <w:rFonts w:asciiTheme="minorHAnsi" w:hAnsiTheme="minorHAnsi" w:cstheme="minorHAnsi"/>
        </w:rPr>
        <w:t xml:space="preserve">MG </w:t>
      </w:r>
      <w:r w:rsidR="005117F6" w:rsidRPr="00080EF0">
        <w:rPr>
          <w:rFonts w:asciiTheme="minorHAnsi" w:hAnsiTheme="minorHAnsi" w:cstheme="minorHAnsi"/>
        </w:rPr>
        <w:t>test</w:t>
      </w:r>
      <w:r w:rsidR="00840882" w:rsidRPr="00080EF0">
        <w:rPr>
          <w:rFonts w:asciiTheme="minorHAnsi" w:hAnsiTheme="minorHAnsi" w:cstheme="minorHAnsi"/>
        </w:rPr>
        <w:t xml:space="preserve">ing is </w:t>
      </w:r>
      <w:r w:rsidR="005117F6" w:rsidRPr="00080EF0">
        <w:rPr>
          <w:rFonts w:asciiTheme="minorHAnsi" w:hAnsiTheme="minorHAnsi" w:cstheme="minorHAnsi"/>
        </w:rPr>
        <w:t xml:space="preserve">not available, </w:t>
      </w:r>
      <w:r w:rsidR="00A24440" w:rsidRPr="00080EF0">
        <w:rPr>
          <w:rFonts w:asciiTheme="minorHAnsi" w:hAnsiTheme="minorHAnsi" w:cstheme="minorHAnsi"/>
        </w:rPr>
        <w:t>potential high r</w:t>
      </w:r>
      <w:r w:rsidR="005117F6" w:rsidRPr="00080EF0">
        <w:rPr>
          <w:rFonts w:asciiTheme="minorHAnsi" w:hAnsiTheme="minorHAnsi" w:cstheme="minorHAnsi"/>
        </w:rPr>
        <w:t xml:space="preserve">ates of MG coinfection should be borne in mind when </w:t>
      </w:r>
      <w:r w:rsidR="00840882" w:rsidRPr="00080EF0">
        <w:rPr>
          <w:rFonts w:asciiTheme="minorHAnsi" w:hAnsiTheme="minorHAnsi" w:cstheme="minorHAnsi"/>
        </w:rPr>
        <w:t xml:space="preserve">considering </w:t>
      </w:r>
      <w:r w:rsidR="005117F6" w:rsidRPr="00080EF0">
        <w:rPr>
          <w:rFonts w:asciiTheme="minorHAnsi" w:hAnsiTheme="minorHAnsi" w:cstheme="minorHAnsi"/>
        </w:rPr>
        <w:t>a</w:t>
      </w:r>
      <w:r w:rsidRPr="00080EF0">
        <w:rPr>
          <w:rFonts w:asciiTheme="minorHAnsi" w:hAnsiTheme="minorHAnsi" w:cstheme="minorHAnsi"/>
        </w:rPr>
        <w:t xml:space="preserve">zithromycin </w:t>
      </w:r>
      <w:r w:rsidR="005117F6" w:rsidRPr="00080EF0">
        <w:rPr>
          <w:rFonts w:asciiTheme="minorHAnsi" w:hAnsiTheme="minorHAnsi" w:cstheme="minorHAnsi"/>
        </w:rPr>
        <w:t>in the treatment of CT</w:t>
      </w:r>
      <w:r w:rsidR="00A24440" w:rsidRPr="00080EF0">
        <w:rPr>
          <w:rFonts w:asciiTheme="minorHAnsi" w:hAnsiTheme="minorHAnsi" w:cstheme="minorHAnsi"/>
        </w:rPr>
        <w:t xml:space="preserve"> among STI contacts and symptomatic patients</w:t>
      </w:r>
      <w:r w:rsidRPr="00080EF0">
        <w:rPr>
          <w:rFonts w:asciiTheme="minorHAnsi" w:hAnsiTheme="minorHAnsi" w:cstheme="minorHAnsi"/>
        </w:rPr>
        <w:t>.</w:t>
      </w:r>
    </w:p>
    <w:p w14:paraId="07430C65" w14:textId="360476C1" w:rsidR="00ED14A5" w:rsidRDefault="00ED14A5" w:rsidP="00720644">
      <w:pPr>
        <w:suppressLineNumbers/>
        <w:spacing w:line="480" w:lineRule="auto"/>
        <w:rPr>
          <w:b/>
        </w:rPr>
      </w:pPr>
      <w:r w:rsidRPr="009C705E">
        <w:rPr>
          <w:b/>
        </w:rPr>
        <w:lastRenderedPageBreak/>
        <w:t>Introduction</w:t>
      </w:r>
      <w:r w:rsidRPr="009C705E">
        <w:rPr>
          <w:b/>
        </w:rPr>
        <w:tab/>
      </w:r>
    </w:p>
    <w:p w14:paraId="59AAB6D3" w14:textId="6DD028F0" w:rsidR="0005707E" w:rsidRDefault="0005707E" w:rsidP="00720644">
      <w:pPr>
        <w:spacing w:line="480" w:lineRule="auto"/>
        <w:jc w:val="both"/>
      </w:pPr>
      <w:r w:rsidRPr="00A3519E">
        <w:rPr>
          <w:i/>
        </w:rPr>
        <w:t xml:space="preserve">Mycoplasma </w:t>
      </w:r>
      <w:proofErr w:type="spellStart"/>
      <w:r w:rsidRPr="00A3519E">
        <w:rPr>
          <w:i/>
        </w:rPr>
        <w:t>genitalium</w:t>
      </w:r>
      <w:proofErr w:type="spellEnd"/>
      <w:r>
        <w:t xml:space="preserve"> (MG), </w:t>
      </w:r>
      <w:r w:rsidR="00EC5310">
        <w:t>increasingly recognised as an important sexuall</w:t>
      </w:r>
      <w:r w:rsidR="00974BAC">
        <w:t>y</w:t>
      </w:r>
      <w:r>
        <w:t xml:space="preserve"> transmitted infection (STI) and </w:t>
      </w:r>
      <w:r w:rsidR="00050CD9">
        <w:t>cause of</w:t>
      </w:r>
      <w:r>
        <w:t xml:space="preserve"> geni</w:t>
      </w:r>
      <w:r w:rsidR="009E221B">
        <w:t>tourinary discharge</w:t>
      </w:r>
      <w:r w:rsidR="00E01487">
        <w:fldChar w:fldCharType="begin" w:fldLock="1"/>
      </w:r>
      <w:r w:rsidR="00E01487">
        <w:instrText>ADDIN CSL_CITATION { "citationItems" : [ { "id" : "ITEM-1", "itemData" : { "DOI" : "10.1093/infdis/jix145", "ISSN" : "0022-1899", "PMID" : "28838074", "abstract" : "Mycoplasmagenitalium is one of the major causes of nongonococcal urethritis (NGU) worldwide but an uncommon sexually transmitted infection (STI) in the general population. The risk of sexual transmission is probably lower than for Chlamydia trachomatis. Infection in men is usually asymptomatic and it is likely that most men resolve infection without developing disease. The incubation period for NGU caused by Mycoplasma genitalium is probably longer than for NGU caused by C. trachomatis. The clinical characteristics of symptomatic NGU have not been shown to identify the pathogen specific etiology. Effective treatment of men and their sexual partner(s) is complicated as macrolide antimicrobial resistance is now common in many countries, conceivably due to the widespread use of azithromycin 1 g to treat STIs and the limited availability of diagnostic tests for M. genitalium. Improved outcomes in men with NGU and better antimicrobial stewardship are likely to arise from the introduction of diagnostic M. genitalium nucleic acid amplification testing including antimicrobial resistance testing in men with symptoms of NGU as well as in their current sexual partner(s). The cost effectiveness of these approaches needs further evaluation. The evidence that M. genitalium causes epididymo-orchitis, proctitis, and reactive arthritis and facilitates human immunodeficiency virus transmission in men is weak, although biologically plausible. In the absence of randomized controlled trials demonstrating cost effectiveness, screening of asymptomatic men cannot be recommended.", "author" : [ { "dropping-particle" : "", "family" : "Horner", "given" : "Patrick J", "non-dropping-particle" : "", "parse-names" : false, "suffix" : "" }, { "dropping-particle" : "", "family" : "Martin", "given" : "David H", "non-dropping-particle" : "", "parse-names" : false, "suffix" : "" } ], "container-title" : "The Journal of Infectious Diseases", "id" : "ITEM-1", "issue" : "suppl_2", "issued" : { "date-parts" : [ [ "2017", "7" ] ] }, "page" : "S396-S405", "title" : "Mycoplasma genitalium Infection in Men", "type" : "article-journal", "volume" : "216" }, "uris" : [ "http://www.mendeley.com/documents/?uuid=69badaf5-d466-472d-ad8f-e24b2f7aaab5" ] } ], "mendeley" : { "formattedCitation" : "(1)", "plainTextFormattedCitation" : "(1)", "previouslyFormattedCitation" : "(1)" }, "properties" : {  }, "schema" : "https://github.com/citation-style-language/schema/raw/master/csl-citation.json" }</w:instrText>
      </w:r>
      <w:r w:rsidR="00E01487">
        <w:fldChar w:fldCharType="separate"/>
      </w:r>
      <w:r w:rsidR="00E01487" w:rsidRPr="00E01487">
        <w:rPr>
          <w:noProof/>
        </w:rPr>
        <w:t>(1)</w:t>
      </w:r>
      <w:r w:rsidR="00E01487">
        <w:fldChar w:fldCharType="end"/>
      </w:r>
      <w:r w:rsidR="00EC5310">
        <w:t xml:space="preserve">, </w:t>
      </w:r>
      <w:r>
        <w:t xml:space="preserve">is estimated to be </w:t>
      </w:r>
      <w:r w:rsidR="00050CD9">
        <w:t>responsible for</w:t>
      </w:r>
      <w:r>
        <w:t xml:space="preserve"> 1</w:t>
      </w:r>
      <w:r w:rsidR="009E221B">
        <w:t>0</w:t>
      </w:r>
      <w:r>
        <w:t>-</w:t>
      </w:r>
      <w:r w:rsidR="009E221B">
        <w:t>30</w:t>
      </w:r>
      <w:r>
        <w:t>% of non-gono</w:t>
      </w:r>
      <w:r w:rsidR="009E221B">
        <w:t>coccal urethritis (NGU) case</w:t>
      </w:r>
      <w:r w:rsidR="00E01487">
        <w:t>s</w:t>
      </w:r>
      <w:r w:rsidR="00E01487">
        <w:fldChar w:fldCharType="begin" w:fldLock="1"/>
      </w:r>
      <w:r w:rsidR="00E01487">
        <w:instrText>ADDIN CSL_CITATION { "citationItems" : [ { "id" : "ITEM-1", "itemData" : { "DOI" : "10.1136/STI.77.4.229", "ISSN" : "1368-4973", "PMID" : "11463919", "abstract" : "Mycoplasmas are the smallest prokaryotes capable of self replication . Mycoplasma genitalium, one of 14 mycoplasmas of human origin known so far, was isolated originally from the urethra of two of 13 men with non-gonococcal urethritis (NGU) attending the genitourinary medicine (GUM) clinic at St Mary's Hospital, Paddington, London, in 1980.1, 2 By electron microscopy, it was found to be flask shaped, the narrow terminal portion being instrumental in its attachment to eukaryotic cell surfaces.1, 2 Later, the genome of M genitalium , the smallest known for a self replicating micro-organism, 580 kb, was the first of any micro-organism to be fully sequenced.3 The small genome size probably accounts, as least in part, for the fastidious growth requirements of M genitalium . Indeed, despite the original success of isolating this mycoplasma from the urogenital tract and the subsequent recovery of five strains from the respiratory tract,4 further attempts to isolate it from the urogenital tract failed and it was not until the application of a molecular approach that progress was made. It was the advent of polymerase chain reaction (PCR) technology in the late 1980s that saw the development of sensitive and specific PCR assays for M genitalium , initially by two groups of workers and later by others, each group amplifying different fragments of the attachment protein designated MgPa.5 This has enabled M genitalium to be detected reliably in urogenital specimens.\n\nIn the past 20 years there have been 19 studies,1, 6\u201323 undertaken largely in men attending GUM clinics, in 17 of which the relation of the mycoplasma \u2026", "author" : [ { "dropping-particle" : "", "family" : "Taylor-Robinson", "given" : "D", "non-dropping-particle" : "", "parse-names" : false, "suffix" : "" }, { "dropping-particle" : "", "family" : "Horner", "given" : "P J", "non-dropping-particle" : "", "parse-names" : false, "suffix" : "" } ], "container-title" : "Sexually transmitted infections", "id" : "ITEM-1", "issue" : "4", "issued" : { "date-parts" : [ [ "2001", "8" ] ] }, "page" : "229-31", "publisher" : "The Medical Society for the Study of Venereal Disease", "title" : "The role of Mycoplasma genitalium in non-gonococcal urethritis.", "type" : "article-journal", "volume" : "77" }, "uris" : [ "http://www.mendeley.com/documents/?uuid=531579aa-c244-4bb9-87e4-daf349f2ed2d" ] }, { "id" : "ITEM-2", "itemData" : { "DOI" : "10.1086/499434", "ISSN" : "0022-1899", "author" : [ { "dropping-particle" : "", "family" : "Bradshaw", "given" : "Catriona\u00a0S.", "non-dropping-particle" : "", "parse-names" : false, "suffix" : "" }, { "dropping-particle" : "", "family" : "Tabrizi", "given" : "Sepehr\u00a0N.", "non-dropping-particle" : "", "parse-names" : false, "suffix" : "" }, { "dropping-particle" : "", "family" : "Read", "given" : "Timothy\u00a0R.\u00a0H.", "non-dropping-particle" : "", "parse-names" : false, "suffix" : "" }, { "dropping-particle" : "", "family" : "Garland", "given" : "Suzanne\u00a0M.", "non-dropping-particle" : "", "parse-names" : false, "suffix" : "" }, { "dropping-particle" : "", "family" : "Hopkins", "given" : "Carol\u00a0A.", "non-dropping-particle" : "", "parse-names" : false, "suffix" : "" }, { "dropping-particle" : "", "family" : "Moss", "given" : "Lorna\u00a0M.", "non-dropping-particle" : "", "parse-names" : false, "suffix" : "" }, { "dropping-particle" : "", "family" : "Fairley", "given" : "Christopher\u00a0K.", "non-dropping-particle" : "", "parse-names" : false, "suffix" : "" } ], "container-title" : "The Journal of Infectious Diseases", "id" : "ITEM-2", "issue" : "3", "issued" : { "date-parts" : [ [ "2006", "2" ] ] }, "page" : "336-345", "publisher" : "Oxford University Press", "title" : "Etiologies of Nongonococcal Urethritis: Bacteria, Viruses, and the Association with Orogenital Exposure", "type" : "article-journal", "volume" : "193" }, "uris" : [ "http://www.mendeley.com/documents/?uuid=8aa9ecf4-0acc-48b4-8c2b-47af627c5689" ] } ], "mendeley" : { "formattedCitation" : "(2,3)", "plainTextFormattedCitation" : "(2,3)", "previouslyFormattedCitation" : "(2,3)" }, "properties" : {  }, "schema" : "https://github.com/citation-style-language/schema/raw/master/csl-citation.json" }</w:instrText>
      </w:r>
      <w:r w:rsidR="00E01487">
        <w:fldChar w:fldCharType="separate"/>
      </w:r>
      <w:r w:rsidR="00E01487" w:rsidRPr="00E01487">
        <w:rPr>
          <w:noProof/>
        </w:rPr>
        <w:t>(2,3)</w:t>
      </w:r>
      <w:r w:rsidR="00E01487">
        <w:fldChar w:fldCharType="end"/>
      </w:r>
      <w:r>
        <w:t xml:space="preserve"> and</w:t>
      </w:r>
      <w:r w:rsidR="00974BAC">
        <w:t xml:space="preserve"> is</w:t>
      </w:r>
      <w:r>
        <w:t xml:space="preserve"> </w:t>
      </w:r>
      <w:r w:rsidR="00050CD9">
        <w:t xml:space="preserve">also </w:t>
      </w:r>
      <w:r>
        <w:t>associated with cervicitis and pelvic</w:t>
      </w:r>
      <w:r w:rsidR="009E221B">
        <w:t xml:space="preserve"> inflammatory disease</w:t>
      </w:r>
      <w:r w:rsidR="00902AB7">
        <w:t xml:space="preserve"> in women</w:t>
      </w:r>
      <w:r w:rsidR="00E01487">
        <w:fldChar w:fldCharType="begin" w:fldLock="1"/>
      </w:r>
      <w:r w:rsidR="00E01487">
        <w:instrText>ADDIN CSL_CITATION { "citationItems" : [ { "id" : "ITEM-1", "itemData" : { "DOI" : "10.1093/infdis/jix198", "ISSN" : "0022-1899", "author" : [ { "dropping-particle" : "", "family" : "Wiesenfeld", "given" : "Harold C", "non-dropping-particle" : "", "parse-names" : false, "suffix" : "" }, { "dropping-particle" : "", "family" : "Manhart", "given" : "Lisa E", "non-dropping-particle" : "", "parse-names" : false, "suffix" : "" } ], "container-title" : "The Journal of Infectious Diseases", "id" : "ITEM-1", "issue" : "suppl_2", "issued" : { "date-parts" : [ [ "2017", "7" ] ] }, "page" : "S389-S395", "publisher" : "Oxford University Press", "title" : "Mycoplasma genitalium in Women: Current Knowledge and Research Priorities for This Recently Emerged Pathogen", "type" : "article-journal", "volume" : "216" }, "uris" : [ "http://www.mendeley.com/documents/?uuid=e8b3b336-281b-4140-a676-6aaf1f85b55e" ] } ], "mendeley" : { "formattedCitation" : "(4)", "plainTextFormattedCitation" : "(4)", "previouslyFormattedCitation" : "(4)" }, "properties" : {  }, "schema" : "https://github.com/citation-style-language/schema/raw/master/csl-citation.json" }</w:instrText>
      </w:r>
      <w:r w:rsidR="00E01487">
        <w:fldChar w:fldCharType="separate"/>
      </w:r>
      <w:r w:rsidR="00E01487" w:rsidRPr="00E01487">
        <w:rPr>
          <w:noProof/>
        </w:rPr>
        <w:t>(4)</w:t>
      </w:r>
      <w:r w:rsidR="00E01487">
        <w:fldChar w:fldCharType="end"/>
      </w:r>
      <w:r>
        <w:t xml:space="preserve">. </w:t>
      </w:r>
      <w:r w:rsidR="000D3F34">
        <w:t xml:space="preserve">It is unclear if MG causes symptomatic rectal infection, as few data are available, although </w:t>
      </w:r>
      <w:bookmarkStart w:id="2" w:name="_Hlk30573250"/>
      <w:r w:rsidR="000D3F34">
        <w:t>associations with proctitis have been reported</w:t>
      </w:r>
      <w:r w:rsidR="00902AB7">
        <w:t xml:space="preserve"> in MSM</w:t>
      </w:r>
      <w:r w:rsidR="00020FAE">
        <w:fldChar w:fldCharType="begin" w:fldLock="1"/>
      </w:r>
      <w:r w:rsidR="00E01487">
        <w:instrText>ADDIN CSL_CITATION { "citationItems" : [ { "id" : "ITEM-1", "itemData" : { "DOI" : "10.1258/ijsa.2009.009411", "abstract" : "We report two instances of urethral\u2013 to \u2013 rectal transmission of Mycoplasma genitalium (MG) in men who have sex with men (MSM) couples. Such clear epidemiological correlation has to our knowledge not been published before. The urethral infections led to clinical symptoms, but the rectal infections did not. The rectum might serve as a reservoir for MG in MSM, but there is also some evidence from the literature that MG can cause proctitis. Our finding raises important questions about the role of MG as a pathogen among MSM. Any correlation with HIV transmission risk is currently unknown and needs further research.", "author" : [ { "dropping-particle" : "", "family" : "Edlund", "given" : "M", "non-dropping-particle" : "", "parse-names" : false, "suffix" : "" }, { "dropping-particle" : "", "family" : "Blaxhult", "given" : "A", "non-dropping-particle" : "", "parse-names" : false, "suffix" : "" }, { "dropping-particle" : "", "family" : "Phd", "given" : "Md", "non-dropping-particle" : "", "parse-names" : false, "suffix" : "" }, { "dropping-particle" : "", "family" : "Bratt", "given" : "G", "non-dropping-particle" : "", "parse-names" : false, "suffix" : "" } ], "id" : "ITEM-1", "issued" : { "date-parts" : [ [ "0" ] ] }, "title" : "The spread of Mycoplasma genitalium among men who have sex with men", "type" : "article-journal" }, "uris" : [ "http://www.mendeley.com/documents/?uuid=d9d81a76-830a-411a-a7e5-54bd861d7816" ] } ], "mendeley" : { "formattedCitation" : "(5)", "plainTextFormattedCitation" : "(5)", "previouslyFormattedCitation" : "(5)" }, "properties" : {  }, "schema" : "https://github.com/citation-style-language/schema/raw/master/csl-citation.json" }</w:instrText>
      </w:r>
      <w:r w:rsidR="00020FAE">
        <w:fldChar w:fldCharType="separate"/>
      </w:r>
      <w:r w:rsidR="00E01487" w:rsidRPr="00E01487">
        <w:rPr>
          <w:noProof/>
        </w:rPr>
        <w:t>(5)</w:t>
      </w:r>
      <w:r w:rsidR="00020FAE">
        <w:fldChar w:fldCharType="end"/>
      </w:r>
      <w:r w:rsidR="000D3F34">
        <w:t xml:space="preserve">. </w:t>
      </w:r>
      <w:bookmarkEnd w:id="2"/>
      <w:r>
        <w:t xml:space="preserve">Despite </w:t>
      </w:r>
      <w:r w:rsidR="00EC5310">
        <w:t xml:space="preserve">this, </w:t>
      </w:r>
      <w:r w:rsidR="002D4AF7">
        <w:t xml:space="preserve">targeted </w:t>
      </w:r>
      <w:r>
        <w:t xml:space="preserve">testing </w:t>
      </w:r>
      <w:r w:rsidR="00EC5310">
        <w:t xml:space="preserve">for MG </w:t>
      </w:r>
      <w:r>
        <w:t>in United Kingdom (UK</w:t>
      </w:r>
      <w:r w:rsidR="00A951FE">
        <w:t>)</w:t>
      </w:r>
      <w:r>
        <w:t xml:space="preserve"> sexual health clinics (SHCs) is </w:t>
      </w:r>
      <w:r w:rsidR="00EC5310">
        <w:t xml:space="preserve">not </w:t>
      </w:r>
      <w:r>
        <w:t xml:space="preserve">widely </w:t>
      </w:r>
      <w:r w:rsidR="00EC5310">
        <w:t>implemented</w:t>
      </w:r>
      <w:r w:rsidR="001F2B41">
        <w:t>,</w:t>
      </w:r>
      <w:r w:rsidR="00EC5310">
        <w:t xml:space="preserve"> </w:t>
      </w:r>
      <w:r w:rsidR="00A65D7D">
        <w:t xml:space="preserve">perhaps due to </w:t>
      </w:r>
      <w:r w:rsidR="00C27DBF">
        <w:t>slow uptake of</w:t>
      </w:r>
      <w:r w:rsidR="002148FF">
        <w:t xml:space="preserve"> new</w:t>
      </w:r>
      <w:r w:rsidR="00C27DBF">
        <w:t xml:space="preserve"> </w:t>
      </w:r>
      <w:r>
        <w:t>commercially available CE</w:t>
      </w:r>
      <w:r w:rsidR="001F2B41">
        <w:t>-</w:t>
      </w:r>
      <w:r>
        <w:t>marked</w:t>
      </w:r>
      <w:r w:rsidR="0005315D">
        <w:t xml:space="preserve"> diagnostic</w:t>
      </w:r>
      <w:r>
        <w:t xml:space="preserve"> tests. </w:t>
      </w:r>
    </w:p>
    <w:p w14:paraId="6867033D" w14:textId="19D802C9" w:rsidR="00170192" w:rsidRDefault="001F2B41" w:rsidP="00720644">
      <w:pPr>
        <w:spacing w:line="480" w:lineRule="auto"/>
      </w:pPr>
      <w:r>
        <w:t>U</w:t>
      </w:r>
      <w:r w:rsidR="00346E42">
        <w:t>n</w:t>
      </w:r>
      <w:r w:rsidR="00F54E20">
        <w:t>til recently,</w:t>
      </w:r>
      <w:r w:rsidR="00E9490D">
        <w:t xml:space="preserve"> guidelines recommended</w:t>
      </w:r>
      <w:r w:rsidR="002A0351">
        <w:t xml:space="preserve"> single dose therapy azithromycin 1g for treatment of NGU </w:t>
      </w:r>
      <w:r w:rsidR="00493E82">
        <w:fldChar w:fldCharType="begin" w:fldLock="1"/>
      </w:r>
      <w:r w:rsidR="00CC04BD">
        <w:instrText>ADDIN CSL_CITATION { "citationItems" : [ { "id" : "ITEM-1", "itemData" : { "DOI" : "10.1093/cid/ciw719", "ISSN" : "1058-4838", "author" : [ { "dropping-particle" : "", "family" : "Read", "given" : "Tim R. H.", "non-dropping-particle" : "", "parse-names" : false, "suffix" : "" }, { "dropping-particle" : "", "family" : "Fairley", "given" : "Christopher K.", "non-dropping-particle" : "", "parse-names" : false, "suffix" : "" }, { "dropping-particle" : "", "family" : "Tabrizi", "given" : "Sepehr N.", "non-dropping-particle" : "", "parse-names" : false, "suffix" : "" }, { "dropping-particle" : "", "family" : "Bissessor", "given" : "Melanie", "non-dropping-particle" : "", "parse-names" : false, "suffix" : "" }, { "dropping-particle" : "", "family" : "Vodstrcil", "given" : "Lenka", "non-dropping-particle" : "", "parse-names" : false, "suffix" : "" }, { "dropping-particle" : "", "family" : "Chow", "given" : "Eric P. F.", "non-dropping-particle" : "", "parse-names" : false, "suffix" : "" }, { "dropping-particle" : "", "family" : "Grant", "given" : "Mieken", "non-dropping-particle" : "", "parse-names" : false, "suffix" : "" }, { "dropping-particle" : "", "family" : "Danielewski", "given" : "Jennifer", "non-dropping-particle" : "", "parse-names" : false, "suffix" : "" }, { "dropping-particle" : "", "family" : "Garland", "given" : "Suzanne M.", "non-dropping-particle" : "", "parse-names" : false, "suffix" : "" }, { "dropping-particle" : "", "family" : "Hocking", "given" : "Jane S.", "non-dropping-particle" : "", "parse-names" : false, "suffix" : "" }, { "dropping-particle" : "", "family" : "Chen", "given" : "Marcus Y.", "non-dropping-particle" : "", "parse-names" : false, "suffix" : "" }, { "dropping-particle" : "", "family" : "Bradshaw", "given" : "Catriona S.", "non-dropping-particle" : "", "parse-names" : false, "suffix" : "" } ], "container-title" : "Clinical Infectious Diseases", "id" : "ITEM-1", "issue" : "3", "issued" : { "date-parts" : [ [ "2017", "2", "1" ] ] }, "page" : "250-256", "publisher" : "Oxford University Press", "title" : "Azithromycin 1.5g Over 5 Days Compared to 1g Single Dose in Urethral &lt;i&gt;Mycoplasma genitalium&lt;/i&gt; : Impact on Treatment Outcome and Resistance", "type" : "article-journal", "volume" : "64" }, "uris" : [ "http://www.mendeley.com/documents/?uuid=0d3764e4-2d2e-3fde-af3d-ad61aa357c48" ] } ], "mendeley" : { "formattedCitation" : "(6)", "manualFormatting" : "(5", "plainTextFormattedCitation" : "(6)", "previouslyFormattedCitation" : "(6)" }, "properties" : {  }, "schema" : "https://github.com/citation-style-language/schema/raw/master/csl-citation.json" }</w:instrText>
      </w:r>
      <w:r w:rsidR="00493E82">
        <w:fldChar w:fldCharType="separate"/>
      </w:r>
      <w:r w:rsidR="00CC04BD">
        <w:rPr>
          <w:noProof/>
        </w:rPr>
        <w:t>(</w:t>
      </w:r>
      <w:r w:rsidR="00295E82">
        <w:rPr>
          <w:noProof/>
        </w:rPr>
        <w:t>6</w:t>
      </w:r>
      <w:r w:rsidR="00493E82">
        <w:fldChar w:fldCharType="end"/>
      </w:r>
      <w:r w:rsidR="00CC04BD">
        <w:t>)</w:t>
      </w:r>
      <w:r w:rsidR="002A0351">
        <w:t xml:space="preserve">, </w:t>
      </w:r>
      <w:r w:rsidR="00C27DBF">
        <w:t xml:space="preserve"> </w:t>
      </w:r>
      <w:r w:rsidR="00E9490D">
        <w:t xml:space="preserve">which is </w:t>
      </w:r>
      <w:r w:rsidR="00C27DBF">
        <w:t>associated with high rates of</w:t>
      </w:r>
      <w:r w:rsidR="002A0351">
        <w:t xml:space="preserve"> MG</w:t>
      </w:r>
      <w:r w:rsidR="00C27DBF">
        <w:t xml:space="preserve"> treatment failure</w:t>
      </w:r>
      <w:r w:rsidR="00CC04BD">
        <w:t>(1)</w:t>
      </w:r>
      <w:r w:rsidR="00D152EE">
        <w:t xml:space="preserve"> and </w:t>
      </w:r>
      <w:r w:rsidR="00C27DBF">
        <w:t xml:space="preserve">selection of </w:t>
      </w:r>
      <w:r w:rsidR="00050CD9">
        <w:t>23S rRNA gene mutations</w:t>
      </w:r>
      <w:r w:rsidR="004F2DE0">
        <w:t xml:space="preserve"> (</w:t>
      </w:r>
      <w:r w:rsidR="00CB78B3">
        <w:t>7</w:t>
      </w:r>
      <w:r w:rsidR="004F2DE0">
        <w:t>)</w:t>
      </w:r>
      <w:r w:rsidR="001B79A1">
        <w:t xml:space="preserve">. </w:t>
      </w:r>
      <w:r w:rsidR="00945A99">
        <w:t xml:space="preserve">Increasingly, data from Asia and Australia detail outbreaks of resistance to </w:t>
      </w:r>
      <w:r w:rsidR="00902AB7">
        <w:t xml:space="preserve">a second line treatment for MG, </w:t>
      </w:r>
      <w:r w:rsidR="00945A99">
        <w:t>fluoroquinolones</w:t>
      </w:r>
      <w:r w:rsidR="00945A99">
        <w:fldChar w:fldCharType="begin" w:fldLock="1"/>
      </w:r>
      <w:r w:rsidR="00CC04BD">
        <w:instrText>ADDIN CSL_CITATION { "citationItems" : [ { "id" : "ITEM-1", "itemData" : { "DOI" : "10.1093/jac/dku164", "ISSN" : "0305-7453", "PMID" : "24894419", "abstract" : "OBJECTIVES We determined the prevalence of macrolide and fluoroquinolone resistance-associated mutations in Mycoplasma genitalium DNA specimens from men with non-gonococcal urethritis (NGU) and analysed their effects on antibiotic treatments of M. genitalium infections. METHODS In this retrospective study, we examined antibiotic resistance-associated mutations in the 23S rRNA, gyrA and parC genes of M. genitalium and the association of the mutations with microbiological outcomes of antibiotic treatments in men with M. genitalium-positive NGU. RESULTS No macrolide resistance-associated mutations in the 23S rRNA gene were observed in 27 M. genitalium DNA specimens in 2011 and in 24 in 2012. However, 5 of 17 in 2013 had 23S rRNA mutations. Three of 15 in 2011, 6 of 19 in 2012 and 8 of 17 in 2013 had fluoroquinolone resistance-associated alterations in ParC. Three in 2013 had both the antibiotic resistance-associated alterations coincidentally. In two men with M. genitalium harbouring 23S rRNA mutations, the mycoplasma persisted after treatment with a regimen of 2 g of extended-release azithromycin (AZM-SR) once daily for 1 day. All nine men with mycoplasma harbouring ParC alterations were microbiologically cured with a regimen of 100 mg of sitafloxacin twice daily for 7 days. CONCLUSIONS Macrolide- or fluoroquinolone-resistant M. genitalium appears to be increasing, and the increase in fluoroquinolone-resistant mycoplasmas is especially remarkable in Japan. Mycoplasmas harbouring 23S rRNA mutations would be resistant to the AZM-SR regimen, but those harbouring ParC alterations would still be susceptible to the sitafloxacin regimen.", "author" : [ { "dropping-particle" : "", "family" : "Kikuchi", "given" : "M.", "non-dropping-particle" : "", "parse-names" : false, "suffix" : "" }, { "dropping-particle" : "", "family" : "Ito", "given" : "S.", "non-dropping-particle" : "", "parse-names" : false, "suffix" : "" }, { "dropping-particle" : "", "family" : "Yasuda", "given" : "M.", "non-dropping-particle" : "", "parse-names" : false, "suffix" : "" }, { "dropping-particle" : "", "family" : "Tsuchiya", "given" : "T.", "non-dropping-particle" : "", "parse-names" : false, "suffix" : "" }, { "dropping-particle" : "", "family" : "Hatazaki", "given" : "K.", "non-dropping-particle" : "", "parse-names" : false, "suffix" : "" }, { "dropping-particle" : "", "family" : "Takanashi", "given" : "M.", "non-dropping-particle" : "", "parse-names" : false, "suffix" : "" }, { "dropping-particle" : "", "family" : "Ezaki", "given" : "T.", "non-dropping-particle" : "", "parse-names" : false, "suffix" : "" }, { "dropping-particle" : "", "family" : "Deguchi", "given" : "T.", "non-dropping-particle" : "", "parse-names" : false, "suffix" : "" } ], "container-title" : "Journal of Antimicrobial Chemotherapy", "id" : "ITEM-1", "issue" : "9", "issued" : { "date-parts" : [ [ "2014", "9" ] ] }, "page" : "2376-2382", "title" : "Remarkable increase in fluoroquinolone-resistant Mycoplasma genitalium in Japan", "type" : "article-journal", "volume" : "69" }, "uris" : [ "http://www.mendeley.com/documents/?uuid=108c49d3-e3d6-3f5b-b2d7-a1aadfaa9044", "http://www.mendeley.com/documents/?uuid=19f9608b-3e25-45b3-902a-0b1ae682c04c", "http://www.mendeley.com/documents/?uuid=997e84b9-9744-43f7-aff2-1165983a3b45" ] } ], "mendeley" : { "formattedCitation" : "(8)", "manualFormatting" : "(7", "plainTextFormattedCitation" : "(8)", "previouslyFormattedCitation" : "(8)" }, "properties" : {  }, "schema" : "https://github.com/citation-style-language/schema/raw/master/csl-citation.json" }</w:instrText>
      </w:r>
      <w:r w:rsidR="00945A99">
        <w:fldChar w:fldCharType="separate"/>
      </w:r>
      <w:r w:rsidR="00CC04BD">
        <w:rPr>
          <w:noProof/>
        </w:rPr>
        <w:t>(</w:t>
      </w:r>
      <w:r w:rsidR="00CB78B3">
        <w:rPr>
          <w:noProof/>
        </w:rPr>
        <w:t>8</w:t>
      </w:r>
      <w:r w:rsidR="00945A99">
        <w:fldChar w:fldCharType="end"/>
      </w:r>
      <w:r w:rsidR="00CC04BD">
        <w:t>)</w:t>
      </w:r>
      <w:r w:rsidR="00945A99">
        <w:t xml:space="preserve">, </w:t>
      </w:r>
      <w:r w:rsidR="00050CD9">
        <w:t xml:space="preserve"> </w:t>
      </w:r>
      <w:r w:rsidR="00945A99">
        <w:t xml:space="preserve">resulting </w:t>
      </w:r>
      <w:r w:rsidR="00EE4657">
        <w:t xml:space="preserve">primarily </w:t>
      </w:r>
      <w:r w:rsidR="00945A99">
        <w:t>from mutations</w:t>
      </w:r>
      <w:r w:rsidR="00EE4657">
        <w:t xml:space="preserve"> in</w:t>
      </w:r>
      <w:r w:rsidR="006F3D31">
        <w:t xml:space="preserve"> the</w:t>
      </w:r>
      <w:r w:rsidR="00945A99">
        <w:t xml:space="preserve"> quinolone resistance-determining region (QRDR) of </w:t>
      </w:r>
      <w:r w:rsidR="006F3D31">
        <w:t xml:space="preserve">the </w:t>
      </w:r>
      <w:proofErr w:type="spellStart"/>
      <w:r w:rsidR="00EE4657" w:rsidRPr="0037317F">
        <w:rPr>
          <w:i/>
        </w:rPr>
        <w:t>parC</w:t>
      </w:r>
      <w:proofErr w:type="spellEnd"/>
      <w:r w:rsidR="00EE4657">
        <w:t xml:space="preserve"> gene</w:t>
      </w:r>
      <w:r w:rsidR="00EE4657" w:rsidDel="00EE4657">
        <w:t xml:space="preserve"> </w:t>
      </w:r>
      <w:r w:rsidR="00EE4657">
        <w:t xml:space="preserve">of </w:t>
      </w:r>
      <w:r w:rsidR="00945A99">
        <w:t>DNA topoisomerase I</w:t>
      </w:r>
      <w:r w:rsidR="00C53771">
        <w:t>V</w:t>
      </w:r>
      <w:r w:rsidR="00945A99">
        <w:fldChar w:fldCharType="begin" w:fldLock="1"/>
      </w:r>
      <w:r w:rsidR="00CC04BD">
        <w:instrText>ADDIN CSL_CITATION { "citationItems" : [ { "id" : "ITEM-1", "itemData" : { "DOI" : "10.1128/JCM.00495-13", "ISSN" : "1098-660X", "PMID" : "23658265", "abstract" : "Mycoplasma genitalium is a significant sexually transmitted pathogen, causing up to 25% of cases of nongonococcal urethritis in men, and it is strongly associated with cervicitis and pelvic inflammatory disease in women. Currently, the usual first-line treatment is the macrolide antibiotic azithromycin, but an increasing incidence of treatment failure over the last 5 years suggests the emergence of antibiotic resistance. The mutations responsible for macrolide resistance have been found in the 23S rRNA gene in numerous M. genitalium populations. A second-line antibiotic, the fluoroquinolone moxifloxacin, was thought to be a reliable alternative when azithromycin began to fail, but recent studies have identified mutations that may confer fluoroquinolone resistance in the genes parC and gyrA. The aim of this study was to determine the prevalence of antibiotic resistance in M. genitalium in Sydney, Australia, by detecting relevant mutations in the 23S rRNA gene, parC, and gyrA. M. genitalium-positive DNA extracts of specimens, collected from patients attending sexual health clinics in Sydney, were tested by PCR amplification and DNA sequence alignment. The 186 specimens tested included 143 initial patient specimens and 43 second, or subsequent, specimens from 24 patients. We identified known macrolide resistance-associated mutations in the 23S rRNA gene in 43% of the initial patient samples and mutations potentially associated with fluoroquinolone resistance in parC or gyrA sequences in 15% of the initial patient samples. These findings support anecdotal clinical reports of azithromycin and moxifloxacin treatment failures in Sydney. Our results indicate that further surveillance is needed, and testing and treatment protocols for M. genitalium infections may need to be reviewed.", "author" : [ { "dropping-particle" : "", "family" : "Tagg", "given" : "Kaitlin A", "non-dropping-particle" : "", "parse-names" : false, "suffix" : "" }, { "dropping-particle" : "", "family" : "Jeoffreys", "given" : "Neisha J", "non-dropping-particle" : "", "parse-names" : false, "suffix" : "" }, { "dropping-particle" : "", "family" : "Couldwell", "given" : "Deborah L", "non-dropping-particle" : "", "parse-names" : false, "suffix" : "" }, { "dropping-particle" : "", "family" : "Donald", "given" : "Jennifer A", "non-dropping-particle" : "", "parse-names" : false, "suffix" : "" }, { "dropping-particle" : "", "family" : "Gilbert", "given" : "Gwendolyn L", "non-dropping-particle" : "", "parse-names" : false, "suffix" : "" } ], "container-title" : "Journal of clinical microbiology", "id" : "ITEM-1", "issue" : "7", "issued" : { "date-parts" : [ [ "2013", "7" ] ] }, "page" : "2245-9", "publisher" : "American Society for Microbiology (ASM)", "title" : "Fluoroquinolone and macrolide resistance-associated mutations in Mycoplasma genitalium.", "type" : "article-journal", "volume" : "51" }, "uris" : [ "http://www.mendeley.com/documents/?uuid=0df8cc0c-ed28-36ba-a3c6-1584b9327019", "http://www.mendeley.com/documents/?uuid=17b03703-dd5e-4634-a42e-62ac5ef70185", "http://www.mendeley.com/documents/?uuid=471ab681-0d89-4b97-afcb-d3361587fa45" ] } ], "mendeley" : { "formattedCitation" : "(9)", "manualFormatting" : "(8", "plainTextFormattedCitation" : "(9)", "previouslyFormattedCitation" : "(9)" }, "properties" : {  }, "schema" : "https://github.com/citation-style-language/schema/raw/master/csl-citation.json" }</w:instrText>
      </w:r>
      <w:r w:rsidR="00945A99">
        <w:fldChar w:fldCharType="separate"/>
      </w:r>
      <w:r w:rsidR="00CC04BD">
        <w:rPr>
          <w:noProof/>
        </w:rPr>
        <w:t>(</w:t>
      </w:r>
      <w:r w:rsidR="00CB78B3">
        <w:rPr>
          <w:noProof/>
        </w:rPr>
        <w:t>9</w:t>
      </w:r>
      <w:r w:rsidR="00945A99">
        <w:fldChar w:fldCharType="end"/>
      </w:r>
      <w:r w:rsidR="00CC04BD">
        <w:t>)</w:t>
      </w:r>
      <w:r w:rsidR="003947D9">
        <w:t>,</w:t>
      </w:r>
      <w:r w:rsidR="00945A99">
        <w:t xml:space="preserve"> leaving few treatment options available for some patients.</w:t>
      </w:r>
      <w:r w:rsidR="00050CD9">
        <w:t xml:space="preserve"> </w:t>
      </w:r>
      <w:r w:rsidR="00C27DBF">
        <w:t xml:space="preserve">Newer treatment guidelines suggest </w:t>
      </w:r>
      <w:r w:rsidR="001A4506">
        <w:t>using</w:t>
      </w:r>
      <w:r w:rsidR="00C27DBF">
        <w:t xml:space="preserve"> doxyc</w:t>
      </w:r>
      <w:r w:rsidR="004A23AA">
        <w:t>ycl</w:t>
      </w:r>
      <w:r w:rsidR="00C27DBF">
        <w:t>ine</w:t>
      </w:r>
      <w:r w:rsidR="001A4506">
        <w:t xml:space="preserve"> for one week to reduce bacterial load</w:t>
      </w:r>
      <w:r w:rsidR="00EE4657">
        <w:t>,</w:t>
      </w:r>
      <w:r w:rsidR="00EE4657" w:rsidRPr="00EE4657">
        <w:t xml:space="preserve"> </w:t>
      </w:r>
      <w:r w:rsidR="00940CB3">
        <w:t xml:space="preserve">which by itself has poor efficacy </w:t>
      </w:r>
      <w:r w:rsidR="009C26A6">
        <w:fldChar w:fldCharType="begin" w:fldLock="1"/>
      </w:r>
      <w:r w:rsidR="00E01487">
        <w:instrText>ADDIN CSL_CITATION { "citationItems" : [ { "id" : "ITEM-1", "itemData" : { "DOI" : "10.1093/cid/civ785", "ISSN" : "1058-4838", "author" : [ { "dropping-particle" : "", "family" : "Manhart", "given" : "Lisa E.", "non-dropping-particle" : "", "parse-names" : false, "suffix" : "" }, { "dropping-particle" : "", "family" : "Jensen", "given" : "J\u00f8rgen Skov", "non-dropping-particle" : "", "parse-names" : false, "suffix" : "" }, { "dropping-particle" : "", "family" : "Bradshaw", "given" : "Catriona S.", "non-dropping-particle" : "", "parse-names" : false, "suffix" : "" }, { "dropping-particle" : "", "family" : "Golden", "given" : "Matthew R.", "non-dropping-particle" : "", "parse-names" : false, "suffix" : "" }, { "dropping-particle" : "", "family" : "Martin", "given" : "David H.", "non-dropping-particle" : "", "parse-names" : false, "suffix" : "" } ], "container-title" : "Clinical Infectious Diseases", "id" : "ITEM-1", "issue" : "suppl 8", "issued" : { "date-parts" : [ [ "2015", "12" ] ] }, "page" : "S802-S817", "publisher" : "Oxford University Press", "title" : "Efficacy of Antimicrobial Therapy for &lt;i&gt;Mycoplasma genitalium&lt;/i&gt; Infections", "type" : "article-journal", "volume" : "61" }, "uris" : [ "http://www.mendeley.com/documents/?uuid=26feedc5-9bcd-4a96-b512-d7c5bdcc4838" ] } ], "mendeley" : { "formattedCitation" : "(7)", "plainTextFormattedCitation" : "(7)", "previouslyFormattedCitation" : "(7)" }, "properties" : {  }, "schema" : "https://github.com/citation-style-language/schema/raw/master/csl-citation.json" }</w:instrText>
      </w:r>
      <w:r w:rsidR="009C26A6">
        <w:fldChar w:fldCharType="separate"/>
      </w:r>
      <w:r w:rsidR="00E01487" w:rsidRPr="00E01487">
        <w:rPr>
          <w:noProof/>
        </w:rPr>
        <w:t>(7</w:t>
      </w:r>
      <w:r w:rsidR="00CB78B3">
        <w:rPr>
          <w:noProof/>
        </w:rPr>
        <w:t>, 10</w:t>
      </w:r>
      <w:r w:rsidR="00E01487" w:rsidRPr="00E01487">
        <w:rPr>
          <w:noProof/>
        </w:rPr>
        <w:t>)</w:t>
      </w:r>
      <w:r w:rsidR="009C26A6">
        <w:fldChar w:fldCharType="end"/>
      </w:r>
      <w:r w:rsidR="00EB6231">
        <w:t>,</w:t>
      </w:r>
      <w:r w:rsidR="00F54E20">
        <w:t xml:space="preserve"> </w:t>
      </w:r>
      <w:r w:rsidR="004A23AA">
        <w:t>followed by extended dose azithromycin to improve rates of cure</w:t>
      </w:r>
      <w:r w:rsidR="00020FAE">
        <w:fldChar w:fldCharType="begin" w:fldLock="1"/>
      </w:r>
      <w:r w:rsidR="00E01487">
        <w:instrText>ADDIN CSL_CITATION { "citationItems" : [ { "id" : "ITEM-1", "itemData" : { "DOI" : "10.1093/cid/ciy477", "ISSN" : "1058-4838", "PMID" : "29873691", "abstract" : "Background Rising macrolide and quinolone resistance in Mycoplasma genitalium necessitate new treatment approaches. We evaluated outcomes of sequential antimicrobial therapy for M.genitalium guided by a macrolide-resistance assay. Methods In mid-2016 Melbourne Sexual Health Centre switched from azithromycin to doxycycline (100mg twice daily,7 days) for non-gonococcal urethritis/cervicitis/proctitis. Cases were tested for M. genitalium and macrolide-resistance mutations (MRM) by polymerase chain reaction (PCR). Directly after doxycycline, MRM-negative infections received 2.5g azithromycin (1g then 500mg daily for 3 days), and MRM-positive infections received sitafloxacin (100mg twice daily, 7 days). Assessment of test-of-cure and reinfection risk, occurred 14-90 days after the second antibiotic. Those reporting condomless sex with incompletely treated partners were excluded. Results Of 244 evaluable M. genitalium infections (52 women, 68 heterosexual men, 124 men who have sex with men) diagnosed from 20 June 2016 to 15 May 2017, MRM were detected in 167 [68.4% (95%confidence interval(CI):62.2%, 74.2%)]. Treatment with doxycycline decreased bacterial load by a mean 2.60 log10 (n=56, p&lt;0.0001). Microbiologic cure occurred in: 73/77 MRM-negative infections [94.8% (95%CI:87.2%, 98.6%)] and in 154/167 MRM-positive infections [92.2% (95%CI:87.1%, 95.8%)]. Selection of macrolide-resistance occurred in only 2 [2.6% (95%CI: 0.3%, 9.2%)] of 76 macrolide-susceptible infections. Proportions reporting no missed doses and no adverse events, respectively, were: doxycycline 89.9% and 86.6%, sitafloxacin 90.8% and 80.5%, azithromycin 100% and 91.4%. Conclusions In the context of high levels of antimicrobial resistance, switching from azithromycin to doxycycline for presumptive treatment of M. genitalium, followed by resistance-guided therapy, cured \u226592% of infections, with infrequent selection of macrolide resistance.", "author" : [ { "dropping-particle" : "", "family" : "Read", "given" : "Tim R H", "non-dropping-particle" : "", "parse-names" : false, "suffix" : "" }, { "dropping-particle" : "", "family" : "Fairley", "given" : "Christopher K", "non-dropping-particle" : "", "parse-names" : false, "suffix" : "" }, { "dropping-particle" : "", "family" : "Murray", "given" : "Gerald L", "non-dropping-particle" : "", "parse-names" : false, "suffix" : "" }, { "dropping-particle" : "", "family" : "Jensen", "given" : "Jorgen S", "non-dropping-particle" : "", "parse-names" : false, "suffix" : "" }, { "dropping-particle" : "", "family" : "Danielewski", "given" : "Jennifer", "non-dropping-particle" : "", "parse-names" : false, "suffix" : "" }, { "dropping-particle" : "", "family" : "Worthington", "given" : "Karen", "non-dropping-particle" : "", "parse-names" : false, "suffix" : "" }, { "dropping-particle" : "", "family" : "Doyle", "given" : "Michelle", "non-dropping-particle" : "", "parse-names" : false, "suffix" : "" }, { "dropping-particle" : "", "family" : "Mokany", "given" : "Elisa", "non-dropping-particle" : "", "parse-names" : false, "suffix" : "" }, { "dropping-particle" : "", "family" : "Tan", "given" : "Litty", "non-dropping-particle" : "", "parse-names" : false, "suffix" : "" }, { "dropping-particle" : "", "family" : "Chow", "given" : "Eric P F", "non-dropping-particle" : "", "parse-names" : false, "suffix" : "" }, { "dropping-particle" : "", "family" : "Garland", "given" : "Suzanne M", "non-dropping-particle" : "", "parse-names" : false, "suffix" : "" }, { "dropping-particle" : "", "family" : "Bradshaw", "given" : "Catriona S", "non-dropping-particle" : "", "parse-names" : false, "suffix" : "" } ], "container-title" : "Clinical Infectious Diseases", "id" : "ITEM-1", "issued" : { "date-parts" : [ [ "2018", "6" ] ] }, "title" : "Outcomes of Resistance-guided Sequential Treatment of Mycoplasma genitalium Infections: A Prospective Evaluation", "type" : "article-journal" }, "uris" : [ "http://www.mendeley.com/documents/?uuid=51aa818e-c835-4d84-ad51-28c974bfbd98" ] }, { "id" : "ITEM-2", "itemData" : { "author" : [ { "dropping-particle" : "", "family" : "et al.", "given" : "", "non-dropping-particle" : "", "parse-names" : false, "suffix" : "" } ], "container-title" : "Guidelines", "id" : "ITEM-2", "issued" : { "date-parts" : [ [ "2018" ] ] }, "title" : "Mycoplasma genitalium - Australian STI Management Guidelines", "type" : "webpage" }, "uris" : [ "http://www.mendeley.com/documents/?uuid=4d3254ec-d57d-4d17-9891-e0c8ff82c5d8" ] } ], "mendeley" : { "formattedCitation" : "(10,11)", "plainTextFormattedCitation" : "(10,11)", "previouslyFormattedCitation" : "(10,11)" }, "properties" : {  }, "schema" : "https://github.com/citation-style-language/schema/raw/master/csl-citation.json" }</w:instrText>
      </w:r>
      <w:r w:rsidR="00020FAE">
        <w:fldChar w:fldCharType="separate"/>
      </w:r>
      <w:r w:rsidR="00E01487" w:rsidRPr="00E01487">
        <w:rPr>
          <w:noProof/>
        </w:rPr>
        <w:t>(1</w:t>
      </w:r>
      <w:r w:rsidR="00CB78B3">
        <w:rPr>
          <w:noProof/>
        </w:rPr>
        <w:t>1, 12</w:t>
      </w:r>
      <w:r w:rsidR="00E01487" w:rsidRPr="00E01487">
        <w:rPr>
          <w:noProof/>
        </w:rPr>
        <w:t>)</w:t>
      </w:r>
      <w:r w:rsidR="00020FAE">
        <w:fldChar w:fldCharType="end"/>
      </w:r>
      <w:r w:rsidR="002E4466">
        <w:t xml:space="preserve">. </w:t>
      </w:r>
    </w:p>
    <w:p w14:paraId="1A229FE8" w14:textId="52E1EAC5" w:rsidR="00170192" w:rsidRDefault="00170192" w:rsidP="00720644">
      <w:pPr>
        <w:spacing w:line="480" w:lineRule="auto"/>
      </w:pPr>
      <w:r>
        <w:t>UK MG prevalence data are primarily reported at population level</w:t>
      </w:r>
      <w:r w:rsidR="00EB6231">
        <w:fldChar w:fldCharType="begin" w:fldLock="1"/>
      </w:r>
      <w:r w:rsidR="00E01487">
        <w:instrText>ADDIN CSL_CITATION { "citationItems" : [ { "id" : "ITEM-1", "itemData" : { "DOI" : "10.1093/ije/dyv194", "ISSN" : "1464-3685", "PMID" : "26534946", "abstract" : "BACKGROUND There are currently no large general population epidemiological studies of Mycoplasma genitalium (MG), which include prevalence, risk factors, symptoms and co-infection in men and women across a broad age range. METHODS In 2010-\u201312, we conducted the third National Survey of Sexual Attitudes and Lifestyles (Natsal-3), a probability sample survey in Britain. Urine from 4507 sexually-experienced participants, aged 16\u201344 years, was tested for MG. RESULTS MG prevalence was 1.2% [95% confidence interval (CI): 0.7\u20131.8%] in men and 1.3% (0.9\u20131.9%) in women. There were no positive MG tests in men aged 16\u201319, and prevalence peaked at 2.1% (1.2\u20133.7%) in men aged 25\u201334 years. In women, prevalence was highest in 16\u201319 year olds, at 2.4% (1.2\u20134.8%), and decreased with age. Men of Black ethnicity were more likely to test positive for MG [adjusted odds ratio (AOR) 12.1; 95% CI: 3.7\u201339.4). For both men and women, MG was strongly associated with reporting sexual risk behaviours (increasing number of total and new partners, and unsafe sex, in the past year). Women with MG were more likely to report post-coital bleeding (AOR 5.8; 95%CI 1.4\u201323.3). However, the majority of men (94.4%), and over half of women (56.2%) with MG did not report any sexually transmitted infection (STI) symptoms. Men with MG were more likely to report previously diagnosed gonorrhoea, syphilis or non-specific urethritis, and women previous trichomoniasis. CONCLUSIONS This study strengthens evidence that MG is an STI. MG was identified in over 1% of the population, including in men with high-risk behaviours in older age groups that are often not included in STI prevention measures.", "author" : [ { "dropping-particle" : "", "family" : "Sonnenberg", "given" : "Pam", "non-dropping-particle" : "", "parse-names" : false, "suffix" : "" }, { "dropping-particle" : "", "family" : "Ison", "given" : "Catherine A", "non-dropping-particle" : "", "parse-names" : false, "suffix" : "" }, { "dropping-particle" : "", "family" : "Clifton", "given" : "Soazig", "non-dropping-particle" : "", "parse-names" : false, "suffix" : "" }, { "dropping-particle" : "", "family" : "Field", "given" : "Nigel", "non-dropping-particle" : "", "parse-names" : false, "suffix" : "" }, { "dropping-particle" : "", "family" : "Tanton", "given" : "Clare", "non-dropping-particle" : "", "parse-names" : false, "suffix" : "" }, { "dropping-particle" : "", "family" : "Soldan", "given" : "Kate", "non-dropping-particle" : "", "parse-names" : false, "suffix" : "" }, { "dropping-particle" : "", "family" : "Beddows", "given" : "Simon", "non-dropping-particle" : "", "parse-names" : false, "suffix" : "" }, { "dropping-particle" : "", "family" : "Alexander", "given" : "Sarah", "non-dropping-particle" : "", "parse-names" : false, "suffix" : "" }, { "dropping-particle" : "", "family" : "Khanom", "given" : "Rumena", "non-dropping-particle" : "", "parse-names" : false, "suffix" : "" }, { "dropping-particle" : "", "family" : "Saunders", "given" : "Pamela", "non-dropping-particle" : "", "parse-names" : false, "suffix" : "" }, { "dropping-particle" : "", "family" : "Copas", "given" : "Andrew J", "non-dropping-particle" : "", "parse-names" : false, "suffix" : "" }, { "dropping-particle" : "", "family" : "Wellings", "given" : "Kaye", "non-dropping-particle" : "", "parse-names" : false, "suffix" : "" }, { "dropping-particle" : "", "family" : "Mercer", "given" : "Catherine H", "non-dropping-particle" : "", "parse-names" : false, "suffix" : "" }, { "dropping-particle" : "", "family" : "Johnson", "given" : "Anne M", "non-dropping-particle" : "", "parse-names" : false, "suffix" : "" } ], "container-title" : "International journal of epidemiology", "id" : "ITEM-1", "issue" : "6", "issued" : { "date-parts" : [ [ "2015", "12" ] ] }, "page" : "1982-94", "publisher" : "Oxford University Press", "title" : "Epidemiology of Mycoplasma genitalium in  British men and women aged 16\u201344 years:  evidence from the third National Survey of  Sexual Attitudes and Lifestyles (Natsal-3).", "type" : "article-journal", "volume" : "44" }, "uris" : [ "http://www.mendeley.com/documents/?uuid=a074a457-eba0-34a9-bb17-571cb2de8151" ] } ], "mendeley" : { "formattedCitation" : "(12)", "plainTextFormattedCitation" : "(12)", "previouslyFormattedCitation" : "(12)" }, "properties" : {  }, "schema" : "https://github.com/citation-style-language/schema/raw/master/csl-citation.json" }</w:instrText>
      </w:r>
      <w:r w:rsidR="00EB6231">
        <w:fldChar w:fldCharType="separate"/>
      </w:r>
      <w:r w:rsidR="00E01487" w:rsidRPr="00E01487">
        <w:rPr>
          <w:noProof/>
        </w:rPr>
        <w:t>(1</w:t>
      </w:r>
      <w:r w:rsidR="00CB78B3">
        <w:rPr>
          <w:noProof/>
        </w:rPr>
        <w:t>3</w:t>
      </w:r>
      <w:r w:rsidR="00E01487" w:rsidRPr="00E01487">
        <w:rPr>
          <w:noProof/>
        </w:rPr>
        <w:t>)</w:t>
      </w:r>
      <w:r w:rsidR="00EB6231">
        <w:fldChar w:fldCharType="end"/>
      </w:r>
      <w:r>
        <w:t xml:space="preserve"> and </w:t>
      </w:r>
      <w:r w:rsidR="00BD210D">
        <w:t>apart from our previous report of MG in symptomatic men-who-have-sex-with-women (MSW) from one London SHC</w:t>
      </w:r>
      <w:r w:rsidR="00020FAE">
        <w:fldChar w:fldCharType="begin" w:fldLock="1"/>
      </w:r>
      <w:r w:rsidR="00E01487">
        <w:instrText>ADDIN CSL_CITATION { "citationItems" : [ { "id" : "ITEM-1", "itemData" : { "DOI" : "10.1093/cid/cit752", "ISSN" : "1058-4838", "PMID" : "24280088", "abstract" : "BACKGROUND \u2003Empirical antibiotic therapy for nongonococcal urethritis (NGU) and cervicitis is aimed at Chlamydia trachomatis, but Mycoplasma genitalium, which also commonly causes undiagnosed NGU, necessitates treatment with macrolides or fluoroquinolones rather than doxycycline, the preferred chlamydia treatment. Prevalence of M. genitalium and associated genotypic markers of macrolide and fluoroquinolone resistance among men symptomatic of urethritis were investigated. Genetic diversity of M. genitalium populations was determined to infer whether findings were applicable beyond our setting. METHODS \u2003Mycoplasma genitalium and other NGU pathogens were detected using nucleic acid amplification methods, and DNA sequencing was used to detect genotypic resistance markers of macrolide and fluoroquinolone antibiotics in 23S ribosomal RNA, gyrA, gyrB, and parC genes. MG191 single-nucleotide polymorphism typing and MG309 variable number tandem analysis were combined to assign a dual locus sequence type (DLST) to each positive sample. RESULTS \u2003Among 217 men, M. genitalium prevalence was 16.7% (95% confidence interval [CI], 9.5%-24.0%) and C. trachomatis prevalence was 14.7% (95% CI, 7.8%-21.6%) in NGU cases. Nine of 22 (41%; 95% CI, 20%-62%) patients with M. genitalium were infected with DLSTs possessing genotypic macrolide resistance and 1 patient was infected with a DLST having genotypic fluoroquinolone resistance. Typing assigned M. genitalium DLSTs to 2 major clusters, broadly distributed among previously typed international strains. Genotypic macrolide resistance was spread within these 2 clusters. CONCLUSIONS \u2003Mycoplasma genitalium is a frequent undiagnosed cause of NGU in this population with rates of macrolide resistance higher than those previously documented. Current guidelines for routine testing and empirical treatment of NGU should be modified to reduce treatment failure of NGU and the development of further resistance.", "author" : [ { "dropping-particle" : "", "family" : "Pond", "given" : "M. J.", "non-dropping-particle" : "", "parse-names" : false, "suffix" : "" }, { "dropping-particle" : "V.", "family" : "Nori", "given" : "A.", "non-dropping-particle" : "", "parse-names" : false, "suffix" : "" }, { "dropping-particle" : "", "family" : "Witney", "given" : "A. A.", "non-dropping-particle" : "", "parse-names" : false, "suffix" : "" }, { "dropping-particle" : "", "family" : "Lopeman", "given" : "R. C.", "non-dropping-particle" : "", "parse-names" : false, "suffix" : "" }, { "dropping-particle" : "", "family" : "Butcher", "given" : "P. D.", "non-dropping-particle" : "", "parse-names" : false, "suffix" : "" }, { "dropping-particle" : "", "family" : "Sadiq", "given" : "S. T.", "non-dropping-particle" : "", "parse-names" : false, "suffix" : "" } ], "container-title" : "Clinical Infectious Diseases", "id" : "ITEM-1", "issue" : "5", "issued" : { "date-parts" : [ [ "2014", "3" ] ] }, "page" : "631-637", "title" : "High Prevalence of Antibiotic-Resistant Mycoplasma genitalium in Nongonococcal Urethritis: The Need for Routine Testing and the Inadequacy of Current Treatment Options", "type" : "article-journal", "volume" : "58" }, "uris" : [ "http://www.mendeley.com/documents/?uuid=d5854693-9626-4600-99f0-08cef14a385b" ] } ], "mendeley" : { "formattedCitation" : "(13)", "plainTextFormattedCitation" : "(13)", "previouslyFormattedCitation" : "(13)" }, "properties" : {  }, "schema" : "https://github.com/citation-style-language/schema/raw/master/csl-citation.json" }</w:instrText>
      </w:r>
      <w:r w:rsidR="00020FAE">
        <w:fldChar w:fldCharType="separate"/>
      </w:r>
      <w:r w:rsidR="00E01487" w:rsidRPr="00E01487">
        <w:rPr>
          <w:noProof/>
        </w:rPr>
        <w:t>(1</w:t>
      </w:r>
      <w:r w:rsidR="00C74CE5">
        <w:rPr>
          <w:noProof/>
        </w:rPr>
        <w:t>4</w:t>
      </w:r>
      <w:r w:rsidR="00E01487" w:rsidRPr="00E01487">
        <w:rPr>
          <w:noProof/>
        </w:rPr>
        <w:t>)</w:t>
      </w:r>
      <w:r w:rsidR="00020FAE">
        <w:fldChar w:fldCharType="end"/>
      </w:r>
      <w:r w:rsidR="00BD210D">
        <w:t xml:space="preserve">, </w:t>
      </w:r>
      <w:r>
        <w:t>few data are available for symptomatic clinic attendees, particularly females and men-who-have-sex-with-men (MSM). Studies across the USA and Europe have identified high rates of co-infection with CT and NG</w:t>
      </w:r>
      <w:r w:rsidR="00635625">
        <w:fldChar w:fldCharType="begin" w:fldLock="1"/>
      </w:r>
      <w:r w:rsidR="00CC04BD">
        <w:instrText>ADDIN CSL_CITATION { "citationItems" : [ { "id" : "ITEM-1", "itemData" : { "DOI" : "10.1128/JCM.01053-16", "ISSN" : "1098-660X", "PMID" : "27307460", "abstract" : "The prevalence rates of Mycoplasma genitalium infections and coinfections with other sexually transmitted organisms and the frequency of a macrolide antibiotic resistance phenotype were determined in urogenital specimens collected from female and male subjects enrolled in a multicenter clinical study in the United States. Specimens from 946 subjects seeking care from seven geographically diverse clinical sites were tested for M. genitalium and for Chlamydia trachomatis, Neisseria gonorrhoeae, and Trichomonas vaginalis Sequencing was used to assess macrolide antibiotic resistance among M. genitalium-positive subjects. M. genitalium prevalence rates were 16.1% for females and 17.2% for males. Significant risk factors for M. genitalium infections were black race, younger age, non-Hispanic ethnicity, and female symptomatic status. Female M. genitalium infections were significantly more prevalent than C. trachomatis and N. gonorrhoeae infections, while the M. genitalium infection rate in males was significantly higher than the N. gonorrhoeae and T. vaginalis infection rates. The macrolide-resistant phenotype was found in 50.8% of females and 42% of males. These results show a high prevalence of M. genitalium single infections, a lower prevalence of coinfections with other sexually transmitted organisms, and high rates of macrolide antibiotic resistance in a diverse sample of subjects seeking care across a wide geographic area of the United States.", "author" : [ { "dropping-particle" : "", "family" : "Getman", "given" : "Damon", "non-dropping-particle" : "", "parse-names" : false, "suffix" : "" }, { "dropping-particle" : "", "family" : "Jiang", "given" : "Alice", "non-dropping-particle" : "", "parse-names" : false, "suffix" : "" }, { "dropping-particle" : "", "family" : "O'Donnell", "given" : "Meghan", "non-dropping-particle" : "", "parse-names" : false, "suffix" : "" }, { "dropping-particle" : "", "family" : "Cohen", "given" : "Seth", "non-dropping-particle" : "", "parse-names" : false, "suffix" : "" } ], "container-title" : "Journal of clinical microbiology", "id" : "ITEM-1", "issue" : "9", "issued" : { "date-parts" : [ [ "2016", "9" ] ] }, "page" : "2278-83", "publisher" : "American Society for Microbiology", "title" : "Mycoplasma genitalium Prevalence, Coinfection, and Macrolide Antibiotic Resistance Frequency in a Multicenter Clinical Study Cohort in the United States.", "type" : "article-journal", "volume" : "54" }, "uris" : [ "http://www.mendeley.com/documents/?uuid=40fda420-2c73-4896-9675-3c8aaf9692ac", "http://www.mendeley.com/documents/?uuid=47ab16c7-3d10-4735-ad13-e4ebbc67ac22" ] }, { "id" : "ITEM-2", "itemData" : { "DOI" : "10.1136/bmjopen-2017-016300", "ISSN" : "2044-6055", "PMID" : "28698342", "abstract" : "OBJECTIVES To determine the prevalence and correlates ofMycoplasmagenitalium(MG) infection among men and women, determine the prevalence of gene mutations conferring resistance and compare test performance of female specimen types. METHODS A cross-sectional study was conducted on specimens collected for gonorrhoea (NG,Neisseria gonorrhoeae) and chlamydia (CT,Chlamydia trachomatis) among male and female Alberta STI clinic attendees using theM. genitaliumtranscription-mediated amplification-research use only test. Positive specimens were sequenced for 23SrRNA,parCandgyrAgenes. Gender-stratified analysis compared test results using \u03c72or Fisher's exact test, Mann-Whitney U test and logistic regression. Female endocervical and urine specimens were compared. RESULTS A total of 2254 individuals were tested; 53.8% (n=1212) were male. Male prevalence of MG was 5.3%; CT was 5.9% and NG was 1.8%. Correlates of male infection were a non-gonococcal urethritis diagnosis and NG coinfection. MG prevalence for women was 7.2%; CT was 5.8% and NG was 1.8%. Correlates of female infection were younger age, Indigenous/Other ethnicity and CT/NG coinfection. Nearly two-thirds of eligible specimens had mutations associated with macrolide resistance and 12.2% of specimens had aparCmutation signifying possible moxifloxacin resistance. There was high concordance (98.1%) of results between urine and endocervical swabs. CONCLUSIONS The high prevalence of MG relative to CT and NG supports the incorporation of MG testing into routine sexually transmissible infection screening. The high rate of resistance to macrolides and moxifloxacin raises concerns about treatment options. The good concordance of results between urine and endocervical swabs supports the use of female urine specimens for testing.", "author" : [ { "dropping-particle" : "", "family" : "Gratrix", "given" : "Jennifer", "non-dropping-particle" : "", "parse-names" : false, "suffix" : "" }, { "dropping-particle" : "", "family" : "Plitt", "given" : "Sabrina", "non-dropping-particle" : "", "parse-names" : false, "suffix" : "" }, { "dropping-particle" : "", "family" : "Turnbull", "given" : "LeeAnn", "non-dropping-particle" : "", "parse-names" : false, "suffix" : "" }, { "dropping-particle" : "", "family" : "Smyczek", "given" : "Petra", "non-dropping-particle" : "", "parse-names" : false, "suffix" : "" }, { "dropping-particle" : "", "family" : "Brandley", "given" : "Judith", "non-dropping-particle" : "", "parse-names" : false, "suffix" : "" }, { "dropping-particle" : "", "family" : "Scarrott", "given" : "Ron", "non-dropping-particle" : "", "parse-names" : false, "suffix" : "" }, { "dropping-particle" : "", "family" : "Naidu", "given" : "Prenilla", "non-dropping-particle" : "", "parse-names" : false, "suffix" : "" }, { "dropping-particle" : "", "family" : "Parker", "given" : "Penny", "non-dropping-particle" : "", "parse-names" : false, "suffix" : "" }, { "dropping-particle" : "", "family" : "Blore", "given" : "Brenda", "non-dropping-particle" : "", "parse-names" : false, "suffix" : "" }, { "dropping-particle" : "", "family" : "Bull", "given" : "Amy", "non-dropping-particle" : "", "parse-names" : false, "suffix" : "" }, { "dropping-particle" : "", "family" : "Shokoples", "given" : "Sandy", "non-dropping-particle" : "", "parse-names" : false, "suffix" : "" }, { "dropping-particle" : "", "family" : "Bertholet", "given" : "Lindsay", "non-dropping-particle" : "", "parse-names" : false, "suffix" : "" }, { "dropping-particle" : "", "family" : "Martin", "given" : "Irene", "non-dropping-particle" : "", "parse-names" : false, "suffix" : "" }, { "dropping-particle" : "", "family" : "Chernesky", "given" : "Max", "non-dropping-particle" : "", "parse-names" : false, "suffix" : "" }, { "dropping-particle" : "", "family" : "Read", "given" : "Ron", "non-dropping-particle" : "", "parse-names" : false, "suffix" : "" }, { "dropping-particle" : "", "family" : "Singh", "given" : "Ameeta", "non-dropping-particle" : "", "parse-names" : false, "suffix" : "" } ], "container-title" : "BMJ open", "id" : "ITEM-2", "issue" : "7", "issued" : { "date-parts" : [ [ "2017", "7" ] ] }, "page" : "e016300", "publisher" : "British Medical Journal Publishing Group", "title" : "Prevalence and antibiotic resistance ofMycoplasma genitaliumamong STI clinic attendees in Western Canada: a cross-sectional analysis.", "type" : "article-journal", "volume" : "7" }, "uris" : [ "http://www.mendeley.com/documents/?uuid=c4c30cb8-ea5a-4bdb-843b-7ec0a8a9916c", "http://www.mendeley.com/documents/?uuid=96bf43a8-8bef-424a-9555-33cf0c7fe9cf" ] } ], "mendeley" : { "formattedCitation" : "(14,15)", "manualFormatting" : "(15,16)", "plainTextFormattedCitation" : "(14,15)", "previouslyFormattedCitation" : "(14,15)" }, "properties" : {  }, "schema" : "https://github.com/citation-style-language/schema/raw/master/csl-citation.json" }</w:instrText>
      </w:r>
      <w:r w:rsidR="00635625">
        <w:fldChar w:fldCharType="separate"/>
      </w:r>
      <w:r w:rsidR="00CC04BD">
        <w:rPr>
          <w:noProof/>
        </w:rPr>
        <w:t>(</w:t>
      </w:r>
      <w:r w:rsidR="00493E82" w:rsidRPr="00493E82">
        <w:rPr>
          <w:noProof/>
        </w:rPr>
        <w:t>15,16</w:t>
      </w:r>
      <w:r w:rsidR="00CC04BD">
        <w:rPr>
          <w:noProof/>
        </w:rPr>
        <w:t>)</w:t>
      </w:r>
      <w:r w:rsidR="00635625">
        <w:fldChar w:fldCharType="end"/>
      </w:r>
      <w:r w:rsidR="00635625">
        <w:t xml:space="preserve"> </w:t>
      </w:r>
      <w:r>
        <w:t xml:space="preserve">but </w:t>
      </w:r>
      <w:r w:rsidR="001A4506">
        <w:t xml:space="preserve">UK </w:t>
      </w:r>
      <w:r>
        <w:t>studies are lacking</w:t>
      </w:r>
      <w:r w:rsidR="00902AB7">
        <w:t>,</w:t>
      </w:r>
      <w:r w:rsidR="000D3F34">
        <w:t xml:space="preserve"> </w:t>
      </w:r>
      <w:bookmarkStart w:id="3" w:name="_Hlk30573460"/>
      <w:r w:rsidR="000D3F34">
        <w:t>and there is a global lack of data on prevalence of MG infection and macrolide resistance</w:t>
      </w:r>
      <w:r>
        <w:t>.</w:t>
      </w:r>
      <w:bookmarkEnd w:id="3"/>
      <w:r w:rsidR="000D3F34">
        <w:t xml:space="preserve"> </w:t>
      </w:r>
    </w:p>
    <w:p w14:paraId="51F0A995" w14:textId="0AA3A705" w:rsidR="00942FA1" w:rsidRDefault="00687798" w:rsidP="001F2813">
      <w:pPr>
        <w:spacing w:line="480" w:lineRule="auto"/>
      </w:pPr>
      <w:r>
        <w:t>Undiagnosed MG co-infection presents challenges to the management of other STIs. For example, a first</w:t>
      </w:r>
      <w:r w:rsidR="001F2813">
        <w:t>-</w:t>
      </w:r>
      <w:r>
        <w:t>line treatment for CT infection is doxycycline</w:t>
      </w:r>
      <w:r w:rsidR="00C74CE5">
        <w:t xml:space="preserve"> (17)</w:t>
      </w:r>
      <w:r>
        <w:t xml:space="preserve"> for one week</w:t>
      </w:r>
      <w:r w:rsidR="001F2813">
        <w:t>,</w:t>
      </w:r>
      <w:r>
        <w:t xml:space="preserve"> which has poor efficacy as a single agent against MG</w:t>
      </w:r>
      <w:r w:rsidR="009C26A6">
        <w:t xml:space="preserve"> </w:t>
      </w:r>
      <w:r w:rsidR="009C26A6">
        <w:fldChar w:fldCharType="begin" w:fldLock="1"/>
      </w:r>
      <w:r w:rsidR="00E01487">
        <w:instrText>ADDIN CSL_CITATION { "citationItems" : [ { "id" : "ITEM-1", "itemData" : { "DOI" : "10.1093/cid/civ785", "ISSN" : "1058-4838", "author" : [ { "dropping-particle" : "", "family" : "Manhart", "given" : "Lisa E.", "non-dropping-particle" : "", "parse-names" : false, "suffix" : "" }, { "dropping-particle" : "", "family" : "Jensen", "given" : "J\u00f8rgen Skov", "non-dropping-particle" : "", "parse-names" : false, "suffix" : "" }, { "dropping-particle" : "", "family" : "Bradshaw", "given" : "Catriona S.", "non-dropping-particle" : "", "parse-names" : false, "suffix" : "" }, { "dropping-particle" : "", "family" : "Golden", "given" : "Matthew R.", "non-dropping-particle" : "", "parse-names" : false, "suffix" : "" }, { "dropping-particle" : "", "family" : "Martin", "given" : "David H.", "non-dropping-particle" : "", "parse-names" : false, "suffix" : "" } ], "container-title" : "Clinical Infectious Diseases", "id" : "ITEM-1", "issue" : "suppl 8", "issued" : { "date-parts" : [ [ "2015", "12" ] ] }, "page" : "S802-S817", "publisher" : "Oxford University Press", "title" : "Efficacy of Antimicrobial Therapy for &lt;i&gt;Mycoplasma genitalium&lt;/i&gt; Infections", "type" : "article-journal", "volume" : "61" }, "uris" : [ "http://www.mendeley.com/documents/?uuid=26feedc5-9bcd-4a96-b512-d7c5bdcc4838" ] }, { "id" : "ITEM-2", "itemData" : { "DOI" : "10.1136/sti.2005.018598", "ISSN" : "1368-4973", "PMID" : "16877573", "abstract" : "BACKGROUND/OBJECTIVE Persistent or recurrent non-gonococcal urethritis (NGU) is commonly observed in men attending sexually transmitted diseases clinics. The aim of this study was to determine the importance of Mycoplasma genitalium in this condition and to monitor the effect of treatment with macrolides. METHODS 78 male patients with persistent or recurrent symptomatic non-chlamydial NGU after treatment with doxycycline 200 mg day 1 and 100 mg for the following 8 days were enrolled. The patients had a first void urine specimen examined for the presence of M genitalium DNA by an inhibitor controlled PCR. Treatment with azithromycin and/or erythromycin and/or repeat doxycycline was prescribed at the doctor's discretion to the M genitalium positive men. Microbiological cure rate was determined at a 3 week follow up visit. RESULTS M genitalium was detected in 32 (41%) men and those infected had more often a high grade urethritis (&gt;10 PMNLs/hpf) than those negative for M genitalium (p = 0.01). 22 men had been treated with azithromycin, 19 of whom received 1.5 g over 5 days and three received 1 g as a single dose. All 20 who came back after treatment were M genitalium negative. Only two of five erythromycin treated controlled cases were M genitalium negative after treatment compared to all six given azithromycin at inclusion (p = 0.12). Six of nine female partners were M genitalium positive; they were treated with 1.5 g azithromycin given over 5 days, and the four tested were M genitalium negative after treatment. CONCLUSIONS M genitalium is a common cause of persistent or recurrent urethritis among men treated with doxycycline and erythromycin appears to be less efficient than azithromycin in eradicating the infection.", "author" : [ { "dropping-particle" : "", "family" : "Wikstrom", "given" : "A", "non-dropping-particle" : "", "parse-names" : false, "suffix" : "" }, { "dropping-particle" : "", "family" : "Jensen", "given" : "J S", "non-dropping-particle" : "", "parse-names" : false, "suffix" : "" } ], "container-title" : "Sexually Transmitted Infections", "id" : "ITEM-2", "issue" : "4", "issued" : { "date-parts" : [ [ "2006", "8" ] ] }, "page" : "276-279", "title" : "Mycoplasma genitalium: a common cause of persistent urethritis among men treated with doxycycline", "type" : "article-journal", "volume" : "82" }, "uris" : [ "http://www.mendeley.com/documents/?uuid=4db6d3c5-db70-4283-95f5-853c95220a1f" ] } ], "mendeley" : { "formattedCitation" : "(7,17)", "plainTextFormattedCitation" : "(7,17)", "previouslyFormattedCitation" : "(7,17)" }, "properties" : {  }, "schema" : "https://github.com/citation-style-language/schema/raw/master/csl-citation.json" }</w:instrText>
      </w:r>
      <w:r w:rsidR="009C26A6">
        <w:fldChar w:fldCharType="separate"/>
      </w:r>
      <w:r w:rsidR="00E01487" w:rsidRPr="00E01487">
        <w:rPr>
          <w:noProof/>
        </w:rPr>
        <w:t>(7,1</w:t>
      </w:r>
      <w:r w:rsidR="00C74CE5">
        <w:rPr>
          <w:noProof/>
        </w:rPr>
        <w:t>0, 18</w:t>
      </w:r>
      <w:r w:rsidR="00E01487" w:rsidRPr="00E01487">
        <w:rPr>
          <w:noProof/>
        </w:rPr>
        <w:t>)</w:t>
      </w:r>
      <w:r w:rsidR="009C26A6">
        <w:fldChar w:fldCharType="end"/>
      </w:r>
      <w:r w:rsidR="009C26A6">
        <w:t>.</w:t>
      </w:r>
      <w:r w:rsidR="000D3F34">
        <w:t xml:space="preserve"> I</w:t>
      </w:r>
      <w:r>
        <w:t xml:space="preserve">n the treatment of </w:t>
      </w:r>
      <w:r w:rsidRPr="00B16B93">
        <w:rPr>
          <w:i/>
        </w:rPr>
        <w:t>Neisseria gonorrhoeae</w:t>
      </w:r>
      <w:r>
        <w:t xml:space="preserve"> (NG)</w:t>
      </w:r>
      <w:r w:rsidR="000D3F34">
        <w:t>,</w:t>
      </w:r>
      <w:r>
        <w:t xml:space="preserve"> use of single </w:t>
      </w:r>
      <w:r>
        <w:lastRenderedPageBreak/>
        <w:t xml:space="preserve">dose azithromycin 1g in dual therapy </w:t>
      </w:r>
      <w:r w:rsidR="00020FAE">
        <w:t>c</w:t>
      </w:r>
      <w:r>
        <w:t>ould risk selection of macrolide resistant MG</w:t>
      </w:r>
      <w:r w:rsidR="00020FAE">
        <w:t xml:space="preserve"> </w:t>
      </w:r>
      <w:r w:rsidR="00020FAE">
        <w:fldChar w:fldCharType="begin" w:fldLock="1"/>
      </w:r>
      <w:r w:rsidR="00E01487">
        <w:instrText>ADDIN CSL_CITATION { "citationItems" : [ { "id" : "ITEM-1", "itemData" : { "DOI" : "10.1093/cid/civ785", "ISSN" : "1058-4838", "author" : [ { "dropping-particle" : "", "family" : "Manhart", "given" : "Lisa E.", "non-dropping-particle" : "", "parse-names" : false, "suffix" : "" }, { "dropping-particle" : "", "family" : "Jensen", "given" : "J\u00f8rgen Skov", "non-dropping-particle" : "", "parse-names" : false, "suffix" : "" }, { "dropping-particle" : "", "family" : "Bradshaw", "given" : "Catriona S.", "non-dropping-particle" : "", "parse-names" : false, "suffix" : "" }, { "dropping-particle" : "", "family" : "Golden", "given" : "Matthew R.", "non-dropping-particle" : "", "parse-names" : false, "suffix" : "" }, { "dropping-particle" : "", "family" : "Martin", "given" : "David H.", "non-dropping-particle" : "", "parse-names" : false, "suffix" : "" } ], "container-title" : "Clinical Infectious Diseases", "id" : "ITEM-1", "issue" : "suppl 8", "issued" : { "date-parts" : [ [ "2015", "12" ] ] }, "page" : "S802-S817", "publisher" : "Oxford University Press", "title" : "Efficacy of Antimicrobial Therapy for &lt;i&gt;Mycoplasma genitalium&lt;/i&gt; Infections", "type" : "article-journal", "volume" : "61" }, "uris" : [ "http://www.mendeley.com/documents/?uuid=26feedc5-9bcd-4a96-b512-d7c5bdcc4838" ] }, { "id" : "ITEM-2", "itemData" : { "DOI" : "10.1371/journal.pone.0061481", "ISSN" : "1932-6203", "PMID" : "23593483", "abstract" : "OBJECTIVES To evaluate therapy for Mycoplasma genitalium infection with doxycycline or azithromycin 1 g compared to five days of azithromycin (total dose 1.5 g). METHODS A retrospective case study was performed among patients attending the STD-clinic in Falun, Sweden 1998-2005. All patients with a positive PCR test for M. genitalium were routinely offered a test of cure (toc). Response to doxycycline for 9 days, azithromycin 1 g single dose and extended azithromycin (500 mg on day 1 followed by 250 mg o.d. for 4 days) was determined. In patients with treatment failure after azithromycin, macrolide resistance was monitored before and after treatment. Furthermore, the rate of macrolide resistance was monitored for positive specimens available from 2006-2011. RESULTS The eradication rate after doxycycline was 43% (48% for women and 38% for men), for azithromycin 1 g 91% (96% for women and 88% for men) and for extended azithromycin 99% (100% for women and 93% for men). Macrolide resistance developed in 7/7 examined (100%) of those testing positive after azithromycin 1 g, but in none of those treated with extended azithromycin. Macrolide resistance before treatment increased from 0% in 2006 and 2007 to 18% in 2011. CONCLUSIONS These findings confirm the results from other studies showing that doxycycline is inefficient in eradicating M. genitalium. Although azithromycin 1 g was not significantly less efficient than extended dosage, it was associated with selection of macrolide resistant M. genitalium strains and should not be used as first line therapy for M. genitalium. Monitoring of M. genitalium macrolide resistance should be encouraged.", "author" : [ { "dropping-particle" : "", "family" : "Anagrius", "given" : "Carin", "non-dropping-particle" : "", "parse-names" : false, "suffix" : "" }, { "dropping-particle" : "", "family" : "Lor\u00e9", "given" : "Britta", "non-dropping-particle" : "", "parse-names" : false, "suffix" : "" }, { "dropping-particle" : "", "family" : "Jensen", "given" : "J\u00f8rgen Skov", "non-dropping-particle" : "", "parse-names" : false, "suffix" : "" } ], "container-title" : "PLoS ONE", "editor" : [ { "dropping-particle" : "", "family" : "Coenye", "given" : "Tom", "non-dropping-particle" : "", "parse-names" : false, "suffix" : "" } ], "id" : "ITEM-2", "issue" : "4", "issued" : { "date-parts" : [ [ "2013", "4", "8" ] ] }, "page" : "e61481", "title" : "Treatment of Mycoplasma genitalium. Observations from a Swedish STD Clinic", "type" : "article-journal", "volume" : "8" }, "uris" : [ "http://www.mendeley.com/documents/?uuid=cabc9272-7e17-3e6e-afa5-5b84b1477d01" ] } ], "mendeley" : { "formattedCitation" : "(7,18)", "plainTextFormattedCitation" : "(7,18)", "previouslyFormattedCitation" : "(7,18)" }, "properties" : {  }, "schema" : "https://github.com/citation-style-language/schema/raw/master/csl-citation.json" }</w:instrText>
      </w:r>
      <w:r w:rsidR="00020FAE">
        <w:fldChar w:fldCharType="separate"/>
      </w:r>
      <w:r w:rsidR="00E01487" w:rsidRPr="00E01487">
        <w:rPr>
          <w:noProof/>
        </w:rPr>
        <w:t>(</w:t>
      </w:r>
      <w:r w:rsidR="00C74CE5">
        <w:rPr>
          <w:noProof/>
        </w:rPr>
        <w:t>10</w:t>
      </w:r>
      <w:r w:rsidR="00E01487" w:rsidRPr="00E01487">
        <w:rPr>
          <w:noProof/>
        </w:rPr>
        <w:t>)</w:t>
      </w:r>
      <w:r w:rsidR="00020FAE">
        <w:fldChar w:fldCharType="end"/>
      </w:r>
      <w:r>
        <w:t xml:space="preserve">. </w:t>
      </w:r>
      <w:r w:rsidR="00392285">
        <w:t>To</w:t>
      </w:r>
      <w:r w:rsidR="00BD210D">
        <w:t xml:space="preserve"> </w:t>
      </w:r>
      <w:r w:rsidR="00D152EE">
        <w:t>determine</w:t>
      </w:r>
      <w:r w:rsidR="0050152E">
        <w:t xml:space="preserve"> clinical management implications of undiagnosed MG infection and resistance</w:t>
      </w:r>
      <w:r w:rsidR="00054BE8">
        <w:t>,</w:t>
      </w:r>
      <w:r w:rsidR="00201B5F">
        <w:t xml:space="preserve"> using data from a sub-study of a larger programme of work</w:t>
      </w:r>
      <w:r w:rsidR="001F2813">
        <w:t xml:space="preserve"> (the “Precise Study</w:t>
      </w:r>
      <w:r w:rsidR="002067A6">
        <w:t xml:space="preserve">: a point of care antimicrobial resistance test for </w:t>
      </w:r>
      <w:r w:rsidR="002067A6">
        <w:rPr>
          <w:i/>
          <w:iCs/>
        </w:rPr>
        <w:t>Neisseria gonorrhoeae</w:t>
      </w:r>
      <w:r w:rsidR="002067A6">
        <w:t xml:space="preserve"> and </w:t>
      </w:r>
      <w:r w:rsidR="002067A6">
        <w:rPr>
          <w:i/>
          <w:iCs/>
        </w:rPr>
        <w:t xml:space="preserve">Mycoplasma </w:t>
      </w:r>
      <w:proofErr w:type="spellStart"/>
      <w:r w:rsidR="002067A6">
        <w:rPr>
          <w:i/>
          <w:iCs/>
        </w:rPr>
        <w:t>genitalium</w:t>
      </w:r>
      <w:proofErr w:type="spellEnd"/>
      <w:r w:rsidR="002067A6">
        <w:t xml:space="preserve"> infection – ensuring accurate therapy and antibiotic stewardship in sexual health medicine”, </w:t>
      </w:r>
      <w:r w:rsidR="001F2813">
        <w:t xml:space="preserve">aimed at to develop and evaluating rapid nucleic acid amplification test (NAAT)-based Point of Care tests (POCTs) for multiple STIs and AMR detection </w:t>
      </w:r>
      <w:r w:rsidR="002067A6">
        <w:t>[</w:t>
      </w:r>
      <w:r w:rsidR="002067A6" w:rsidRPr="00080EF0">
        <w:t>http://www.preciseresearch.co.uk/</w:t>
      </w:r>
      <w:r w:rsidR="002067A6">
        <w:t>]</w:t>
      </w:r>
      <w:r w:rsidR="001F2813">
        <w:t>)</w:t>
      </w:r>
      <w:r w:rsidR="00201B5F">
        <w:t xml:space="preserve">, </w:t>
      </w:r>
      <w:r w:rsidR="0050152E">
        <w:t>w</w:t>
      </w:r>
      <w:r w:rsidR="00D152EE">
        <w:t>e aimed to estimate</w:t>
      </w:r>
      <w:r w:rsidR="00942FA1">
        <w:t xml:space="preserve"> prevalence</w:t>
      </w:r>
      <w:r w:rsidR="008E475B">
        <w:t>, co</w:t>
      </w:r>
      <w:r w:rsidR="00942FA1">
        <w:t>-infection</w:t>
      </w:r>
      <w:r w:rsidR="008E475B">
        <w:t>s</w:t>
      </w:r>
      <w:r w:rsidR="00974BAC">
        <w:t xml:space="preserve">, </w:t>
      </w:r>
      <w:r w:rsidR="00942FA1">
        <w:t>macrolide</w:t>
      </w:r>
      <w:r w:rsidR="00BD210D">
        <w:t xml:space="preserve"> and fluoroquinolone</w:t>
      </w:r>
      <w:r w:rsidR="00942FA1">
        <w:t xml:space="preserve"> resistance</w:t>
      </w:r>
      <w:r w:rsidR="003000AD">
        <w:t xml:space="preserve"> associated mutations</w:t>
      </w:r>
      <w:r w:rsidR="00BD210D">
        <w:t>,</w:t>
      </w:r>
      <w:r w:rsidR="00942FA1">
        <w:t xml:space="preserve"> </w:t>
      </w:r>
      <w:r w:rsidR="00974BAC">
        <w:t xml:space="preserve">and associated risk factors </w:t>
      </w:r>
      <w:r w:rsidR="008E475B">
        <w:t xml:space="preserve">of MG infection </w:t>
      </w:r>
      <w:r w:rsidR="00942FA1">
        <w:t xml:space="preserve">in </w:t>
      </w:r>
      <w:r w:rsidR="005D57C6">
        <w:t xml:space="preserve">STI-contacts or </w:t>
      </w:r>
      <w:r w:rsidR="008E475B">
        <w:t xml:space="preserve">symptomatic </w:t>
      </w:r>
      <w:r w:rsidR="00050CD9">
        <w:t>females, MSW and MSM</w:t>
      </w:r>
      <w:r w:rsidR="0049443C">
        <w:t xml:space="preserve">, </w:t>
      </w:r>
      <w:r w:rsidR="008E475B">
        <w:t xml:space="preserve">attending </w:t>
      </w:r>
      <w:r w:rsidR="00974BAC">
        <w:t>inner London SHCs</w:t>
      </w:r>
      <w:r w:rsidR="00942FA1">
        <w:t xml:space="preserve">. </w:t>
      </w:r>
    </w:p>
    <w:p w14:paraId="78D58340" w14:textId="77777777" w:rsidR="00F32043" w:rsidRDefault="00F32043" w:rsidP="00720644">
      <w:pPr>
        <w:spacing w:line="480" w:lineRule="auto"/>
        <w:rPr>
          <w:b/>
          <w:bCs/>
        </w:rPr>
      </w:pPr>
    </w:p>
    <w:p w14:paraId="4EFA5FAE" w14:textId="3A43153F" w:rsidR="000B2A43" w:rsidRDefault="000B2A43" w:rsidP="00720644">
      <w:pPr>
        <w:spacing w:line="480" w:lineRule="auto"/>
      </w:pPr>
      <w:r>
        <w:rPr>
          <w:b/>
          <w:bCs/>
        </w:rPr>
        <w:t>Methods</w:t>
      </w:r>
      <w:r>
        <w:t xml:space="preserve"> </w:t>
      </w:r>
    </w:p>
    <w:p w14:paraId="521F24DB" w14:textId="77777777" w:rsidR="00031A91" w:rsidRDefault="00064C1B" w:rsidP="00720644">
      <w:pPr>
        <w:spacing w:line="480" w:lineRule="auto"/>
        <w:rPr>
          <w:b/>
        </w:rPr>
      </w:pPr>
      <w:bookmarkStart w:id="4" w:name="_Hlk18662381"/>
      <w:r w:rsidRPr="00080EF0">
        <w:rPr>
          <w:b/>
        </w:rPr>
        <w:t>Study design</w:t>
      </w:r>
    </w:p>
    <w:p w14:paraId="2C7B62F2" w14:textId="63D06E6F" w:rsidR="00FC5EDC" w:rsidRDefault="00BD210D" w:rsidP="00183FA4">
      <w:pPr>
        <w:spacing w:line="480" w:lineRule="auto"/>
      </w:pPr>
      <w:r>
        <w:t>D</w:t>
      </w:r>
      <w:r w:rsidR="000B2A43">
        <w:t>ata were collected as part of</w:t>
      </w:r>
      <w:r w:rsidR="001256FB">
        <w:t xml:space="preserve"> </w:t>
      </w:r>
      <w:r w:rsidR="002067A6">
        <w:t>the</w:t>
      </w:r>
      <w:r w:rsidR="001256FB">
        <w:t xml:space="preserve"> larger </w:t>
      </w:r>
      <w:r w:rsidR="002067A6">
        <w:t>“Precise S</w:t>
      </w:r>
      <w:r w:rsidR="001256FB">
        <w:t>tudy</w:t>
      </w:r>
      <w:r w:rsidR="002067A6">
        <w:t>”</w:t>
      </w:r>
      <w:r w:rsidR="000D3F34">
        <w:t>.</w:t>
      </w:r>
      <w:r w:rsidR="001256FB">
        <w:t xml:space="preserve"> </w:t>
      </w:r>
      <w:r w:rsidR="00183FA4">
        <w:t xml:space="preserve">The target recruitment numbers for the “Precise Study” were </w:t>
      </w:r>
      <w:r w:rsidR="00183FA4" w:rsidRPr="00183FA4">
        <w:t>50 NG positives</w:t>
      </w:r>
      <w:r w:rsidR="00183FA4">
        <w:t xml:space="preserve">, </w:t>
      </w:r>
      <w:r w:rsidR="00183FA4" w:rsidRPr="00183FA4">
        <w:t>50 MG positives</w:t>
      </w:r>
      <w:r w:rsidR="00183FA4">
        <w:t xml:space="preserve">, </w:t>
      </w:r>
      <w:r w:rsidR="00183FA4" w:rsidRPr="00183FA4">
        <w:t xml:space="preserve">30 </w:t>
      </w:r>
      <w:r w:rsidR="005D57C6" w:rsidRPr="002067A6">
        <w:t xml:space="preserve">Trichomonas vaginalis </w:t>
      </w:r>
      <w:r w:rsidR="005D57C6">
        <w:t>(</w:t>
      </w:r>
      <w:r w:rsidR="00183FA4" w:rsidRPr="00183FA4">
        <w:t>TV</w:t>
      </w:r>
      <w:r w:rsidR="005D57C6">
        <w:t>)</w:t>
      </w:r>
      <w:r w:rsidR="00183FA4" w:rsidRPr="00183FA4">
        <w:t xml:space="preserve"> positives</w:t>
      </w:r>
      <w:r w:rsidR="00183FA4">
        <w:t xml:space="preserve">, and </w:t>
      </w:r>
      <w:r w:rsidR="00183FA4" w:rsidRPr="00183FA4">
        <w:t>70 CT positives</w:t>
      </w:r>
      <w:r w:rsidR="00183FA4">
        <w:t xml:space="preserve"> from </w:t>
      </w:r>
      <w:r w:rsidR="00183FA4" w:rsidRPr="00183FA4">
        <w:t>500 females</w:t>
      </w:r>
      <w:r w:rsidR="00183FA4">
        <w:t xml:space="preserve"> and </w:t>
      </w:r>
      <w:r w:rsidR="00183FA4" w:rsidRPr="00183FA4">
        <w:t>500 males (</w:t>
      </w:r>
      <w:r w:rsidR="005D57C6">
        <w:t xml:space="preserve">100 </w:t>
      </w:r>
      <w:r w:rsidR="00183FA4" w:rsidRPr="00183FA4">
        <w:t>of which</w:t>
      </w:r>
      <w:r w:rsidR="005D57C6">
        <w:t xml:space="preserve"> to be</w:t>
      </w:r>
      <w:r w:rsidR="00183FA4">
        <w:t xml:space="preserve"> </w:t>
      </w:r>
      <w:r w:rsidR="00183FA4" w:rsidRPr="00183FA4">
        <w:t>MSM)</w:t>
      </w:r>
      <w:r w:rsidR="00183FA4">
        <w:t>.</w:t>
      </w:r>
      <w:r w:rsidR="00183FA4" w:rsidRPr="00183FA4">
        <w:t xml:space="preserve"> </w:t>
      </w:r>
      <w:r w:rsidR="001F2813">
        <w:t xml:space="preserve">In order to reach </w:t>
      </w:r>
      <w:r w:rsidR="00183FA4">
        <w:t>these</w:t>
      </w:r>
      <w:r w:rsidR="001F2813">
        <w:t xml:space="preserve"> targets, symptomatic patients and </w:t>
      </w:r>
      <w:r w:rsidR="002067A6">
        <w:t xml:space="preserve">sexual </w:t>
      </w:r>
      <w:r w:rsidR="001F2813">
        <w:t xml:space="preserve">contacts of individuals </w:t>
      </w:r>
      <w:r w:rsidR="002067A6" w:rsidRPr="002067A6">
        <w:t>with CT, NG, TV or NGU</w:t>
      </w:r>
      <w:r w:rsidR="002067A6">
        <w:t xml:space="preserve"> </w:t>
      </w:r>
      <w:r w:rsidR="001F2813">
        <w:t xml:space="preserve">were targeted for recruitment. </w:t>
      </w:r>
      <w:r w:rsidR="000B2A43">
        <w:t>Ethi</w:t>
      </w:r>
      <w:r w:rsidR="00D152EE">
        <w:t>cal approval was provided by</w:t>
      </w:r>
      <w:r w:rsidR="000B2A43">
        <w:t xml:space="preserve"> London Bridge Research Ethics Committee (reference 13/LO/0691). </w:t>
      </w:r>
    </w:p>
    <w:bookmarkEnd w:id="4"/>
    <w:p w14:paraId="1C920283" w14:textId="77777777" w:rsidR="00031A91" w:rsidRDefault="00064C1B" w:rsidP="00720644">
      <w:pPr>
        <w:spacing w:line="480" w:lineRule="auto"/>
        <w:rPr>
          <w:b/>
        </w:rPr>
      </w:pPr>
      <w:r w:rsidRPr="00080EF0">
        <w:rPr>
          <w:b/>
        </w:rPr>
        <w:t>Recruitment</w:t>
      </w:r>
    </w:p>
    <w:p w14:paraId="1115E393" w14:textId="50991367" w:rsidR="006F7161" w:rsidRDefault="00902AB7" w:rsidP="00720644">
      <w:pPr>
        <w:spacing w:line="480" w:lineRule="auto"/>
      </w:pPr>
      <w:r>
        <w:t xml:space="preserve">Participants </w:t>
      </w:r>
      <w:r w:rsidR="00FC5EDC">
        <w:t xml:space="preserve">were prospectively recruited </w:t>
      </w:r>
      <w:r w:rsidR="00BD210D">
        <w:t xml:space="preserve">between </w:t>
      </w:r>
      <w:r w:rsidR="003A2797">
        <w:t xml:space="preserve">March 2015 </w:t>
      </w:r>
      <w:r w:rsidR="00BD210D">
        <w:t xml:space="preserve">and </w:t>
      </w:r>
      <w:r w:rsidR="003A2797">
        <w:t xml:space="preserve">March 2016. </w:t>
      </w:r>
      <w:r w:rsidR="00183FA4">
        <w:t xml:space="preserve">Females and MSW were recruited from one SHC, however, due </w:t>
      </w:r>
      <w:r w:rsidR="00064C1B">
        <w:t xml:space="preserve">to </w:t>
      </w:r>
      <w:r w:rsidR="00031A91">
        <w:t xml:space="preserve">initial poor </w:t>
      </w:r>
      <w:r w:rsidR="005D01E5">
        <w:t>MSM recruitment</w:t>
      </w:r>
      <w:r w:rsidR="00183FA4">
        <w:t xml:space="preserve"> in that clinic</w:t>
      </w:r>
      <w:r w:rsidR="005D01E5">
        <w:t xml:space="preserve">, </w:t>
      </w:r>
      <w:r w:rsidR="00183FA4">
        <w:t>MSM</w:t>
      </w:r>
      <w:r w:rsidR="003A2797">
        <w:t xml:space="preserve"> </w:t>
      </w:r>
      <w:r w:rsidR="00C50586">
        <w:t xml:space="preserve">recruitment was extended </w:t>
      </w:r>
      <w:r w:rsidR="00183FA4">
        <w:t>to a further two SHCs</w:t>
      </w:r>
      <w:r w:rsidR="002B02F6">
        <w:t xml:space="preserve"> </w:t>
      </w:r>
      <w:r w:rsidR="00183FA4">
        <w:t>in order to achieve the 100 MSM participant target for the “Precise Study”.</w:t>
      </w:r>
      <w:r w:rsidR="00CA7FBD">
        <w:t xml:space="preserve"> </w:t>
      </w:r>
      <w:bookmarkStart w:id="5" w:name="_Hlk30581758"/>
      <w:r w:rsidR="002B02F6">
        <w:t xml:space="preserve">Men who reported sex with men and women were classified as MSM. </w:t>
      </w:r>
      <w:bookmarkEnd w:id="5"/>
      <w:r w:rsidR="00DF4216">
        <w:lastRenderedPageBreak/>
        <w:t xml:space="preserve">Patient </w:t>
      </w:r>
      <w:r w:rsidR="00BD210D">
        <w:t>eligibility</w:t>
      </w:r>
      <w:r w:rsidR="00031A91">
        <w:t xml:space="preserve"> </w:t>
      </w:r>
      <w:r w:rsidR="00C43BAC">
        <w:t xml:space="preserve">was </w:t>
      </w:r>
      <w:r w:rsidR="00BD210D">
        <w:t>determine</w:t>
      </w:r>
      <w:r w:rsidR="00031A91">
        <w:t xml:space="preserve">d </w:t>
      </w:r>
      <w:r w:rsidR="00C43BAC">
        <w:t>using triage forms, indicating whether patients met</w:t>
      </w:r>
      <w:r w:rsidR="00BD210D">
        <w:t xml:space="preserve"> </w:t>
      </w:r>
      <w:r w:rsidR="00C43BAC">
        <w:t>inclusion criteria</w:t>
      </w:r>
      <w:r w:rsidR="00031A91">
        <w:t xml:space="preserve"> to participate in the </w:t>
      </w:r>
      <w:r w:rsidR="000C549E">
        <w:t>“</w:t>
      </w:r>
      <w:r w:rsidR="00031A91">
        <w:t>Precise Study</w:t>
      </w:r>
      <w:r w:rsidR="000C549E">
        <w:t>”</w:t>
      </w:r>
      <w:r w:rsidR="00BD210D">
        <w:t xml:space="preserve">: </w:t>
      </w:r>
      <w:r w:rsidR="00C43BAC">
        <w:t xml:space="preserve">aged </w:t>
      </w:r>
      <w:r w:rsidR="00BD210D">
        <w:rPr>
          <w:rFonts w:cs="Calibri"/>
        </w:rPr>
        <w:t>≥</w:t>
      </w:r>
      <w:r w:rsidR="00D152EE">
        <w:t>16 years; attending</w:t>
      </w:r>
      <w:r w:rsidR="00C43BAC">
        <w:t xml:space="preserve"> SHC for routine STI testing including CT and NG (N</w:t>
      </w:r>
      <w:r w:rsidR="00707747">
        <w:t>ucleic acid amplification test</w:t>
      </w:r>
      <w:r w:rsidR="00BD210D">
        <w:t xml:space="preserve"> </w:t>
      </w:r>
      <w:r w:rsidR="00707747">
        <w:t xml:space="preserve"> [N</w:t>
      </w:r>
      <w:r w:rsidR="00C43BAC">
        <w:t>AAT</w:t>
      </w:r>
      <w:r w:rsidR="00707747">
        <w:t>]</w:t>
      </w:r>
      <w:r w:rsidR="00BD210D">
        <w:t xml:space="preserve"> testing</w:t>
      </w:r>
      <w:r w:rsidR="00C43BAC">
        <w:t>); symptomatic (itching, genital</w:t>
      </w:r>
      <w:r w:rsidR="001A788C">
        <w:t xml:space="preserve"> discharge</w:t>
      </w:r>
      <w:r w:rsidR="00DD0607">
        <w:t xml:space="preserve"> (all participants)</w:t>
      </w:r>
      <w:r w:rsidR="001A788C">
        <w:t>,</w:t>
      </w:r>
      <w:r w:rsidR="00201B5F">
        <w:t xml:space="preserve"> rectal</w:t>
      </w:r>
      <w:r w:rsidR="00C43BAC">
        <w:t xml:space="preserve"> discharge</w:t>
      </w:r>
      <w:r w:rsidR="00201B5F">
        <w:t xml:space="preserve"> (MSM only)</w:t>
      </w:r>
      <w:r w:rsidR="00C43BAC">
        <w:t>, pain/burning when urinating, dysuria, dyspareunia, post-coital bleeding, intermenstrual bleeding</w:t>
      </w:r>
      <w:r w:rsidR="001A788C">
        <w:t>, rectal bleeding</w:t>
      </w:r>
      <w:r w:rsidR="00882A07">
        <w:t xml:space="preserve"> (MSM only)</w:t>
      </w:r>
      <w:r w:rsidR="001A788C">
        <w:t xml:space="preserve"> </w:t>
      </w:r>
      <w:r w:rsidR="00C43BAC">
        <w:t xml:space="preserve">and pelvic abdominal pain) or </w:t>
      </w:r>
      <w:bookmarkStart w:id="6" w:name="_Hlk30505639"/>
      <w:r w:rsidR="00C43BAC">
        <w:t xml:space="preserve">being a sexual contact of someone with CT, NG, TV or NGU; </w:t>
      </w:r>
      <w:bookmarkEnd w:id="6"/>
      <w:r w:rsidR="00C43BAC">
        <w:t xml:space="preserve">and willing to provide appropriate samples (see Specimen Collection, below). </w:t>
      </w:r>
      <w:r w:rsidR="006F7161">
        <w:t xml:space="preserve">Under the eligibility criteria, all MSM were required to be ‘willing to provide’ additional urine, rectal and pharyngeal samples, however </w:t>
      </w:r>
      <w:r w:rsidR="0028734C">
        <w:t xml:space="preserve">if patients were willing to provide these samples but </w:t>
      </w:r>
      <w:r w:rsidR="006F7161">
        <w:t>fail</w:t>
      </w:r>
      <w:r w:rsidR="0028734C">
        <w:t xml:space="preserve">ed to do so, this </w:t>
      </w:r>
      <w:r w:rsidR="006F7161">
        <w:t xml:space="preserve">did not result in exclusion from the study. </w:t>
      </w:r>
    </w:p>
    <w:p w14:paraId="4EF4A07B" w14:textId="2BCADA9E" w:rsidR="00C43BAC" w:rsidRDefault="00C43BAC" w:rsidP="00720644">
      <w:pPr>
        <w:spacing w:line="480" w:lineRule="auto"/>
      </w:pPr>
      <w:r>
        <w:t xml:space="preserve">Patients were approached </w:t>
      </w:r>
      <w:r w:rsidR="006F7161">
        <w:t xml:space="preserve">by </w:t>
      </w:r>
      <w:r w:rsidR="00395BBA">
        <w:t>research study staf</w:t>
      </w:r>
      <w:r w:rsidR="004B75B0">
        <w:t>f</w:t>
      </w:r>
      <w:r w:rsidR="006F7161">
        <w:t xml:space="preserve"> </w:t>
      </w:r>
      <w:r>
        <w:t>and</w:t>
      </w:r>
      <w:r w:rsidR="006F7161">
        <w:t xml:space="preserve"> provided written informed</w:t>
      </w:r>
      <w:r>
        <w:t xml:space="preserve"> consent</w:t>
      </w:r>
      <w:r w:rsidR="006F7161">
        <w:t xml:space="preserve"> to participate in the study</w:t>
      </w:r>
      <w:r w:rsidR="00D02660">
        <w:t xml:space="preserve"> prior to </w:t>
      </w:r>
      <w:r w:rsidR="00392285">
        <w:t>seeing</w:t>
      </w:r>
      <w:r>
        <w:t xml:space="preserve"> </w:t>
      </w:r>
      <w:r w:rsidR="00D02660">
        <w:t xml:space="preserve">a healthcare professional. </w:t>
      </w:r>
      <w:r w:rsidR="00392285">
        <w:t xml:space="preserve">Study staff populated </w:t>
      </w:r>
      <w:r w:rsidR="00A41FA7">
        <w:t>case report form</w:t>
      </w:r>
      <w:r w:rsidR="00392285">
        <w:t>s</w:t>
      </w:r>
      <w:r w:rsidR="00A41FA7">
        <w:t xml:space="preserve"> capturing basic demographic, clinical and behavioural data.</w:t>
      </w:r>
      <w:r w:rsidR="00A0642E">
        <w:t xml:space="preserve"> </w:t>
      </w:r>
    </w:p>
    <w:p w14:paraId="66F411D9" w14:textId="77777777" w:rsidR="00031A91" w:rsidRDefault="00031A91" w:rsidP="00720644">
      <w:pPr>
        <w:spacing w:line="480" w:lineRule="auto"/>
        <w:rPr>
          <w:b/>
        </w:rPr>
      </w:pPr>
      <w:r w:rsidRPr="00080EF0">
        <w:rPr>
          <w:b/>
        </w:rPr>
        <w:t>Specimen collection</w:t>
      </w:r>
    </w:p>
    <w:p w14:paraId="4A8DE3DD" w14:textId="1B8A3DD2" w:rsidR="00A41FA7" w:rsidRPr="00B16B93" w:rsidRDefault="00031A91" w:rsidP="00720644">
      <w:pPr>
        <w:spacing w:line="480" w:lineRule="auto"/>
        <w:rPr>
          <w:i/>
        </w:rPr>
      </w:pPr>
      <w:r>
        <w:t xml:space="preserve"> </w:t>
      </w:r>
      <w:r w:rsidR="00E40BE5">
        <w:t>Research samples were collected after routine sample collection. Females provided an additional vulv</w:t>
      </w:r>
      <w:r w:rsidR="00CA3AA0">
        <w:t>o</w:t>
      </w:r>
      <w:r w:rsidR="00E40BE5">
        <w:t xml:space="preserve">vaginal swab (VVS), </w:t>
      </w:r>
      <w:r w:rsidR="006210B0">
        <w:t xml:space="preserve">either self- or healthcare-collected, in </w:t>
      </w:r>
      <w:proofErr w:type="spellStart"/>
      <w:r w:rsidR="006210B0">
        <w:t>eNAT</w:t>
      </w:r>
      <w:proofErr w:type="spellEnd"/>
      <w:r w:rsidR="006210B0">
        <w:t xml:space="preserve"> media (Copan, Italy)</w:t>
      </w:r>
      <w:r w:rsidR="00516D7C">
        <w:t xml:space="preserve">. </w:t>
      </w:r>
      <w:r w:rsidR="00E40BE5">
        <w:t xml:space="preserve">All </w:t>
      </w:r>
      <w:r w:rsidR="00B07D2F">
        <w:t>males provided residual first catch urine</w:t>
      </w:r>
      <w:r w:rsidR="00E40BE5">
        <w:t xml:space="preserve"> and MSM </w:t>
      </w:r>
      <w:r w:rsidR="002D4AF7">
        <w:t>provided additional</w:t>
      </w:r>
      <w:r w:rsidR="00E40BE5">
        <w:t xml:space="preserve"> pharyngeal </w:t>
      </w:r>
      <w:r w:rsidR="00CA3AA0">
        <w:t xml:space="preserve">swabs </w:t>
      </w:r>
      <w:r w:rsidR="00B07D2F">
        <w:t xml:space="preserve">(collected by </w:t>
      </w:r>
      <w:r w:rsidR="006F7161">
        <w:t xml:space="preserve">a </w:t>
      </w:r>
      <w:r w:rsidR="00B07D2F">
        <w:t>healthcare professional) and additional rectal swabs (blind or via proctoscopy)</w:t>
      </w:r>
      <w:r w:rsidR="00CA7FBD">
        <w:t>.</w:t>
      </w:r>
      <w:r w:rsidR="00B07D2F">
        <w:t xml:space="preserve"> One of each was placed in </w:t>
      </w:r>
      <w:proofErr w:type="spellStart"/>
      <w:r w:rsidR="00B07D2F">
        <w:t>eNAT</w:t>
      </w:r>
      <w:proofErr w:type="spellEnd"/>
      <w:r w:rsidR="00516D7C">
        <w:t xml:space="preserve">. </w:t>
      </w:r>
    </w:p>
    <w:p w14:paraId="33000409" w14:textId="77777777" w:rsidR="00031A91" w:rsidRDefault="00031A91" w:rsidP="00720644">
      <w:pPr>
        <w:spacing w:line="480" w:lineRule="auto"/>
        <w:rPr>
          <w:rFonts w:asciiTheme="minorHAnsi" w:hAnsiTheme="minorHAnsi" w:cs="Arial"/>
          <w:b/>
          <w:lang w:eastAsia="en-GB"/>
        </w:rPr>
      </w:pPr>
      <w:r w:rsidRPr="00080EF0">
        <w:rPr>
          <w:rFonts w:asciiTheme="minorHAnsi" w:hAnsiTheme="minorHAnsi" w:cs="Arial"/>
          <w:b/>
          <w:lang w:eastAsia="en-GB"/>
        </w:rPr>
        <w:t>Research sample processing</w:t>
      </w:r>
    </w:p>
    <w:p w14:paraId="4B3CD1EC" w14:textId="33E6A977" w:rsidR="00B07D2F" w:rsidRPr="00B16B93" w:rsidRDefault="00D152EE" w:rsidP="00720644">
      <w:pPr>
        <w:spacing w:line="480" w:lineRule="auto"/>
        <w:rPr>
          <w:i/>
        </w:rPr>
      </w:pPr>
      <w:r>
        <w:rPr>
          <w:rFonts w:asciiTheme="minorHAnsi" w:hAnsiTheme="minorHAnsi" w:cs="Arial"/>
          <w:lang w:eastAsia="en-GB"/>
        </w:rPr>
        <w:t>DNA was extracted using</w:t>
      </w:r>
      <w:r w:rsidR="00F60AF7">
        <w:rPr>
          <w:rFonts w:asciiTheme="minorHAnsi" w:hAnsiTheme="minorHAnsi" w:cs="Arial"/>
          <w:lang w:eastAsia="en-GB"/>
        </w:rPr>
        <w:t xml:space="preserve"> Virus/Pathogen Midi kit (Qiagen, Germany) with the </w:t>
      </w:r>
      <w:proofErr w:type="spellStart"/>
      <w:r w:rsidR="00F60AF7">
        <w:rPr>
          <w:rFonts w:asciiTheme="minorHAnsi" w:hAnsiTheme="minorHAnsi" w:cs="Arial"/>
          <w:lang w:eastAsia="en-GB"/>
        </w:rPr>
        <w:t>QIAsymphony</w:t>
      </w:r>
      <w:proofErr w:type="spellEnd"/>
      <w:r w:rsidR="00F60AF7">
        <w:rPr>
          <w:rFonts w:asciiTheme="minorHAnsi" w:hAnsiTheme="minorHAnsi" w:cs="Arial"/>
          <w:lang w:eastAsia="en-GB"/>
        </w:rPr>
        <w:t xml:space="preserve"> instrument (Qiagen)</w:t>
      </w:r>
      <w:r w:rsidR="005569C2">
        <w:rPr>
          <w:rFonts w:asciiTheme="minorHAnsi" w:hAnsiTheme="minorHAnsi" w:cs="Arial"/>
          <w:lang w:eastAsia="en-GB"/>
        </w:rPr>
        <w:t xml:space="preserve">. Real-time PCR reactions were run using the Rotor-Gene Q 5plex HRM </w:t>
      </w:r>
      <w:r w:rsidR="00F818B6">
        <w:rPr>
          <w:rFonts w:asciiTheme="minorHAnsi" w:hAnsiTheme="minorHAnsi" w:cs="Arial"/>
          <w:lang w:eastAsia="en-GB"/>
        </w:rPr>
        <w:t>PCR thermocycler (Qiagen</w:t>
      </w:r>
      <w:r w:rsidR="002E35D0">
        <w:rPr>
          <w:rFonts w:asciiTheme="minorHAnsi" w:hAnsiTheme="minorHAnsi" w:cs="Arial"/>
          <w:lang w:eastAsia="en-GB"/>
        </w:rPr>
        <w:t>)</w:t>
      </w:r>
      <w:r w:rsidR="00F818B6">
        <w:rPr>
          <w:rFonts w:asciiTheme="minorHAnsi" w:hAnsiTheme="minorHAnsi" w:cs="Arial"/>
          <w:lang w:eastAsia="en-GB"/>
        </w:rPr>
        <w:t>.</w:t>
      </w:r>
      <w:r w:rsidR="005569C2">
        <w:rPr>
          <w:rFonts w:asciiTheme="minorHAnsi" w:hAnsiTheme="minorHAnsi" w:cs="Arial"/>
          <w:lang w:eastAsia="en-GB"/>
        </w:rPr>
        <w:t xml:space="preserve"> </w:t>
      </w:r>
      <w:r w:rsidR="00B07D2F">
        <w:t xml:space="preserve">Samples collected were processed using the FTD Urethritis plus kit </w:t>
      </w:r>
      <w:r w:rsidR="006F7161">
        <w:t>(</w:t>
      </w:r>
      <w:r w:rsidR="00516D7C">
        <w:t>Fast Track Diagnostics, Luxembourg)</w:t>
      </w:r>
      <w:r w:rsidR="006F7161">
        <w:t xml:space="preserve"> for the detection of MG, </w:t>
      </w:r>
      <w:r w:rsidR="00B07D2F">
        <w:t xml:space="preserve">and final resolved sample status </w:t>
      </w:r>
      <w:r w:rsidR="00B07D2F">
        <w:lastRenderedPageBreak/>
        <w:t>determined using a discrepant analysis approach.</w:t>
      </w:r>
      <w:r w:rsidR="006D7A7E">
        <w:t xml:space="preserve"> See Supplementary Material for d</w:t>
      </w:r>
      <w:r w:rsidR="005569C2">
        <w:t>etailed testing methodology</w:t>
      </w:r>
      <w:r w:rsidR="00396ECB">
        <w:t xml:space="preserve">. </w:t>
      </w:r>
    </w:p>
    <w:p w14:paraId="21A201C1" w14:textId="77777777" w:rsidR="00031A91" w:rsidRDefault="00031A91" w:rsidP="00720644">
      <w:pPr>
        <w:spacing w:line="480" w:lineRule="auto"/>
        <w:rPr>
          <w:rStyle w:val="None"/>
          <w:b/>
        </w:rPr>
      </w:pPr>
      <w:r w:rsidRPr="00080EF0">
        <w:rPr>
          <w:rStyle w:val="None"/>
          <w:b/>
        </w:rPr>
        <w:t>Resistance detection</w:t>
      </w:r>
    </w:p>
    <w:p w14:paraId="077E248D" w14:textId="21726E3E" w:rsidR="002E31DF" w:rsidRDefault="00031A91" w:rsidP="00720644">
      <w:pPr>
        <w:spacing w:line="480" w:lineRule="auto"/>
        <w:rPr>
          <w:rStyle w:val="None"/>
        </w:rPr>
      </w:pPr>
      <w:r>
        <w:rPr>
          <w:rStyle w:val="None"/>
        </w:rPr>
        <w:t>S</w:t>
      </w:r>
      <w:r w:rsidR="00711EF2">
        <w:rPr>
          <w:rStyle w:val="None"/>
        </w:rPr>
        <w:t>anger sequ</w:t>
      </w:r>
      <w:r w:rsidR="00D152EE">
        <w:rPr>
          <w:rStyle w:val="None"/>
        </w:rPr>
        <w:t>encing was used to determine</w:t>
      </w:r>
      <w:r w:rsidR="00711EF2">
        <w:rPr>
          <w:rStyle w:val="None"/>
        </w:rPr>
        <w:t xml:space="preserve"> presence or absence of mutations associated with resistance to azithromycin and fluoroquinolones in MG. </w:t>
      </w:r>
      <w:r w:rsidR="00214AA8">
        <w:rPr>
          <w:rStyle w:val="None"/>
        </w:rPr>
        <w:t>T</w:t>
      </w:r>
      <w:r w:rsidR="00711EF2">
        <w:rPr>
          <w:rStyle w:val="None"/>
        </w:rPr>
        <w:t xml:space="preserve">he </w:t>
      </w:r>
      <w:r w:rsidR="007D224F">
        <w:rPr>
          <w:rStyle w:val="None"/>
        </w:rPr>
        <w:t xml:space="preserve">positioning of </w:t>
      </w:r>
      <w:r w:rsidR="00711EF2">
        <w:rPr>
          <w:rStyle w:val="None"/>
        </w:rPr>
        <w:t>resistance</w:t>
      </w:r>
      <w:r w:rsidR="00F83870">
        <w:rPr>
          <w:rStyle w:val="None"/>
        </w:rPr>
        <w:t>-</w:t>
      </w:r>
      <w:r w:rsidR="00711EF2">
        <w:rPr>
          <w:rStyle w:val="None"/>
        </w:rPr>
        <w:t>associated mutations and primers used for PCR and sequencing</w:t>
      </w:r>
      <w:r w:rsidR="00214AA8">
        <w:rPr>
          <w:rStyle w:val="None"/>
        </w:rPr>
        <w:t xml:space="preserve"> can be found in the</w:t>
      </w:r>
      <w:r w:rsidR="006D7A7E">
        <w:t xml:space="preserve"> Supplementary Material </w:t>
      </w:r>
      <w:r w:rsidR="00214AA8">
        <w:t>along with</w:t>
      </w:r>
      <w:r w:rsidR="006D7A7E">
        <w:t xml:space="preserve"> detailed testing methodology.</w:t>
      </w:r>
    </w:p>
    <w:p w14:paraId="5A820A97" w14:textId="5FFDB48A" w:rsidR="00031A91" w:rsidRPr="00080EF0" w:rsidRDefault="00031A91" w:rsidP="00720644">
      <w:pPr>
        <w:spacing w:line="480" w:lineRule="auto"/>
        <w:rPr>
          <w:b/>
        </w:rPr>
      </w:pPr>
      <w:r w:rsidRPr="00080EF0">
        <w:rPr>
          <w:b/>
        </w:rPr>
        <w:t>Analysis</w:t>
      </w:r>
    </w:p>
    <w:p w14:paraId="27EC9F41" w14:textId="7DFCA6F3" w:rsidR="004B75B0" w:rsidRDefault="004B75B0" w:rsidP="00720644">
      <w:pPr>
        <w:spacing w:line="480" w:lineRule="auto"/>
      </w:pPr>
      <w:r>
        <w:t xml:space="preserve">Analyses included descriptive analysis of </w:t>
      </w:r>
      <w:r w:rsidR="00902AB7">
        <w:t xml:space="preserve">participant </w:t>
      </w:r>
      <w:r>
        <w:t>characteristics. Sample size was determined by the larger “Precise Study”</w:t>
      </w:r>
      <w:r w:rsidR="001256FB">
        <w:t xml:space="preserve">. </w:t>
      </w:r>
    </w:p>
    <w:p w14:paraId="4F7B9CE6" w14:textId="3CFF2CBB" w:rsidR="00031A91" w:rsidRPr="00080EF0" w:rsidRDefault="00031A91" w:rsidP="00720644">
      <w:pPr>
        <w:spacing w:line="480" w:lineRule="auto"/>
        <w:rPr>
          <w:b/>
        </w:rPr>
      </w:pPr>
      <w:r w:rsidRPr="00080EF0">
        <w:rPr>
          <w:b/>
        </w:rPr>
        <w:t xml:space="preserve">Data analysis </w:t>
      </w:r>
    </w:p>
    <w:p w14:paraId="047A76F3" w14:textId="609DAA04" w:rsidR="00942FA1" w:rsidRDefault="00942FA1" w:rsidP="00720644">
      <w:pPr>
        <w:spacing w:line="480" w:lineRule="auto"/>
      </w:pPr>
      <w:r>
        <w:t>Data were analysed using Stata (</w:t>
      </w:r>
      <w:proofErr w:type="spellStart"/>
      <w:r>
        <w:t>StataCorp</w:t>
      </w:r>
      <w:proofErr w:type="spellEnd"/>
      <w:r>
        <w:t xml:space="preserve">, Texas, USA) for Windows v15.1. Data validation and cleaning was undertaken at both </w:t>
      </w:r>
      <w:r w:rsidR="00CA3AA0">
        <w:t>S</w:t>
      </w:r>
      <w:r w:rsidR="00707747">
        <w:t>t George’s</w:t>
      </w:r>
      <w:r w:rsidR="00F83870">
        <w:t>,</w:t>
      </w:r>
      <w:r w:rsidR="00707747">
        <w:t xml:space="preserve"> University of London</w:t>
      </w:r>
      <w:r>
        <w:t xml:space="preserve"> and P</w:t>
      </w:r>
      <w:r w:rsidR="00707747">
        <w:t>ublic Health England</w:t>
      </w:r>
      <w:r>
        <w:t xml:space="preserve"> independently. </w:t>
      </w:r>
      <w:r w:rsidR="007D224F">
        <w:t>M</w:t>
      </w:r>
      <w:r>
        <w:t>issing data w</w:t>
      </w:r>
      <w:r w:rsidR="00CA3AA0">
        <w:t>ere</w:t>
      </w:r>
      <w:r>
        <w:t xml:space="preserve"> checked with corresponding clinics and any </w:t>
      </w:r>
      <w:r w:rsidR="00902AB7">
        <w:t xml:space="preserve">participants </w:t>
      </w:r>
      <w:r>
        <w:t xml:space="preserve">missing one or more sets of results (either </w:t>
      </w:r>
      <w:r w:rsidR="00CA3AA0">
        <w:t>clinical NAAT or research results</w:t>
      </w:r>
      <w:r>
        <w:t xml:space="preserve">) were excluded from analysis. </w:t>
      </w:r>
    </w:p>
    <w:p w14:paraId="3BD660D5" w14:textId="0946AFE5" w:rsidR="00942FA1" w:rsidRDefault="00942FA1" w:rsidP="00720644">
      <w:pPr>
        <w:spacing w:line="480" w:lineRule="auto"/>
      </w:pPr>
      <w:r>
        <w:t xml:space="preserve">Prevalence and </w:t>
      </w:r>
      <w:r w:rsidRPr="004806B8">
        <w:t>95% confidence interval</w:t>
      </w:r>
      <w:r w:rsidR="00F83870">
        <w:t>s</w:t>
      </w:r>
      <w:r w:rsidRPr="004806B8">
        <w:t xml:space="preserve"> (CI</w:t>
      </w:r>
      <w:r w:rsidR="00CB1BA1">
        <w:t>s</w:t>
      </w:r>
      <w:r w:rsidRPr="004806B8">
        <w:t xml:space="preserve">) </w:t>
      </w:r>
      <w:r>
        <w:t xml:space="preserve">for MG, CT and NG were derived by gender and anatomical site. </w:t>
      </w:r>
      <w:r w:rsidR="00BF450C">
        <w:t>Comparison of</w:t>
      </w:r>
      <w:r w:rsidRPr="004806B8">
        <w:t xml:space="preserve"> differences in</w:t>
      </w:r>
      <w:r>
        <w:t xml:space="preserve"> demographic characteristics and other</w:t>
      </w:r>
      <w:r w:rsidRPr="004806B8">
        <w:t xml:space="preserve"> risk factors for </w:t>
      </w:r>
      <w:r>
        <w:t xml:space="preserve">MG </w:t>
      </w:r>
      <w:r w:rsidR="003D20AC" w:rsidRPr="003967F1">
        <w:t xml:space="preserve">macrolide resistance associated mutations (MG-MRAM). </w:t>
      </w:r>
      <w:r w:rsidR="003000AD">
        <w:t xml:space="preserve">MRAMs </w:t>
      </w:r>
      <w:r>
        <w:t>and co-infection</w:t>
      </w:r>
      <w:r w:rsidRPr="004806B8">
        <w:t xml:space="preserve"> was </w:t>
      </w:r>
      <w:r>
        <w:t>derived</w:t>
      </w:r>
      <w:r w:rsidRPr="004806B8">
        <w:t xml:space="preserve"> using </w:t>
      </w:r>
      <w:r w:rsidRPr="00A753FD">
        <w:t>Pearson's chi-squared test</w:t>
      </w:r>
      <w:r w:rsidRPr="004806B8">
        <w:t xml:space="preserve">. A p-value &lt;0.05 was considered statistically significant. </w:t>
      </w:r>
    </w:p>
    <w:p w14:paraId="2F79F095" w14:textId="23E1D531" w:rsidR="00C24054" w:rsidRDefault="00942FA1" w:rsidP="00720644">
      <w:pPr>
        <w:spacing w:line="480" w:lineRule="auto"/>
        <w:rPr>
          <w:b/>
        </w:rPr>
      </w:pPr>
      <w:r w:rsidRPr="004806B8">
        <w:t>Odds ratios and 95%CI</w:t>
      </w:r>
      <w:r w:rsidR="00CB1BA1">
        <w:t>s</w:t>
      </w:r>
      <w:r w:rsidRPr="004806B8">
        <w:t xml:space="preserve"> of </w:t>
      </w:r>
      <w:r>
        <w:t>demographic characteristics and other risk factors</w:t>
      </w:r>
      <w:r w:rsidR="008F7FFD">
        <w:t xml:space="preserve"> </w:t>
      </w:r>
      <w:r>
        <w:t>associated with MG</w:t>
      </w:r>
      <w:r w:rsidR="009F0412">
        <w:t>-</w:t>
      </w:r>
      <w:r w:rsidR="00751A59">
        <w:t xml:space="preserve"> </w:t>
      </w:r>
      <w:r w:rsidR="003000AD">
        <w:t xml:space="preserve">MRAMs </w:t>
      </w:r>
      <w:r w:rsidRPr="004806B8">
        <w:t xml:space="preserve">were derived </w:t>
      </w:r>
      <w:r>
        <w:t>from univariate logistic</w:t>
      </w:r>
      <w:r w:rsidRPr="004806B8">
        <w:t xml:space="preserve"> </w:t>
      </w:r>
      <w:r w:rsidR="002B44B7">
        <w:t>regression. F</w:t>
      </w:r>
      <w:r w:rsidRPr="004806B8">
        <w:t>actors with a p &lt;0.</w:t>
      </w:r>
      <w:r w:rsidR="00632056">
        <w:t>10</w:t>
      </w:r>
      <w:r w:rsidR="00632056" w:rsidRPr="004806B8">
        <w:t xml:space="preserve"> </w:t>
      </w:r>
      <w:bookmarkStart w:id="7" w:name="_Hlk30660336"/>
      <w:r w:rsidRPr="004806B8">
        <w:t>were further evaluated for independent effect using multivariate analysis</w:t>
      </w:r>
      <w:r w:rsidR="002B44B7">
        <w:t>, using a forward stepwise approach</w:t>
      </w:r>
      <w:r w:rsidR="00783341">
        <w:t>.</w:t>
      </w:r>
      <w:bookmarkEnd w:id="7"/>
      <w:r w:rsidR="00DF533E">
        <w:t xml:space="preserve"> T</w:t>
      </w:r>
      <w:bookmarkStart w:id="8" w:name="_Hlk30660503"/>
      <w:r w:rsidR="00DF533E">
        <w:t>he reference group for each category was that with the highest number of participants.</w:t>
      </w:r>
      <w:bookmarkEnd w:id="8"/>
    </w:p>
    <w:p w14:paraId="5F39AE02" w14:textId="33193CD8" w:rsidR="00ED14A5" w:rsidRDefault="00232337" w:rsidP="00720644">
      <w:pPr>
        <w:spacing w:line="480" w:lineRule="auto"/>
        <w:rPr>
          <w:b/>
        </w:rPr>
      </w:pPr>
      <w:r>
        <w:rPr>
          <w:b/>
        </w:rPr>
        <w:lastRenderedPageBreak/>
        <w:t>R</w:t>
      </w:r>
      <w:r w:rsidR="00ED14A5" w:rsidRPr="001653D7">
        <w:rPr>
          <w:b/>
        </w:rPr>
        <w:t>esults</w:t>
      </w:r>
      <w:r w:rsidR="003C0D1C">
        <w:rPr>
          <w:b/>
        </w:rPr>
        <w:t xml:space="preserve"> </w:t>
      </w:r>
    </w:p>
    <w:p w14:paraId="1F8DADE9" w14:textId="26D55705" w:rsidR="00FE1D26" w:rsidRPr="00080EF0" w:rsidRDefault="00FE1D26" w:rsidP="00720644">
      <w:pPr>
        <w:spacing w:line="480" w:lineRule="auto"/>
        <w:rPr>
          <w:b/>
        </w:rPr>
      </w:pPr>
      <w:r>
        <w:rPr>
          <w:b/>
        </w:rPr>
        <w:t>Participant overview</w:t>
      </w:r>
    </w:p>
    <w:p w14:paraId="42D57AFD" w14:textId="4263F3EE" w:rsidR="00ED14A5" w:rsidRDefault="00195C67" w:rsidP="00720644">
      <w:pPr>
        <w:spacing w:line="480" w:lineRule="auto"/>
      </w:pPr>
      <w:r>
        <w:t>Of the 786 patients approached</w:t>
      </w:r>
      <w:r w:rsidR="006D04F4">
        <w:t>, 308 females, 173 MSW and 88 MSM provided clinic and research test results</w:t>
      </w:r>
      <w:r w:rsidR="00ED14A5">
        <w:t>.</w:t>
      </w:r>
      <w:r w:rsidR="006D04F4">
        <w:t xml:space="preserve"> Of the</w:t>
      </w:r>
      <w:r w:rsidR="00ED14A5">
        <w:t xml:space="preserve"> </w:t>
      </w:r>
      <w:r w:rsidR="00A0642E">
        <w:t>88</w:t>
      </w:r>
      <w:r w:rsidR="00A252FE">
        <w:t xml:space="preserve"> MSM </w:t>
      </w:r>
      <w:r w:rsidR="006D04F4">
        <w:t xml:space="preserve">who </w:t>
      </w:r>
      <w:r w:rsidR="00A252FE">
        <w:t>consented</w:t>
      </w:r>
      <w:r w:rsidR="006F1A18">
        <w:t xml:space="preserve"> to have samples taken from all three anatomical sites</w:t>
      </w:r>
      <w:r w:rsidR="00A0642E">
        <w:t>, 70</w:t>
      </w:r>
      <w:r w:rsidR="006F1A18">
        <w:t xml:space="preserve"> </w:t>
      </w:r>
      <w:r w:rsidR="00902AB7">
        <w:t xml:space="preserve">participants </w:t>
      </w:r>
      <w:r w:rsidR="00336D8A">
        <w:t>provid</w:t>
      </w:r>
      <w:r w:rsidR="006D04F4">
        <w:t>ed</w:t>
      </w:r>
      <w:r w:rsidR="00336D8A">
        <w:t xml:space="preserve"> </w:t>
      </w:r>
      <w:r w:rsidR="00A252FE">
        <w:t>samples</w:t>
      </w:r>
      <w:r w:rsidR="00A0642E">
        <w:t xml:space="preserve"> from all three sites</w:t>
      </w:r>
      <w:r w:rsidR="009142EB">
        <w:t>,</w:t>
      </w:r>
      <w:r w:rsidR="00A0642E">
        <w:t xml:space="preserve"> </w:t>
      </w:r>
      <w:r w:rsidR="006F1A18">
        <w:t xml:space="preserve">and </w:t>
      </w:r>
      <w:r w:rsidR="00336D8A">
        <w:t xml:space="preserve">a </w:t>
      </w:r>
      <w:r w:rsidR="006F1A18">
        <w:t>total</w:t>
      </w:r>
      <w:r w:rsidR="00336D8A">
        <w:t xml:space="preserve"> of</w:t>
      </w:r>
      <w:r w:rsidR="006F1A18">
        <w:t xml:space="preserve"> </w:t>
      </w:r>
      <w:r w:rsidR="00077C53">
        <w:t xml:space="preserve">79 urine, </w:t>
      </w:r>
      <w:r w:rsidR="00A0642E">
        <w:t xml:space="preserve">79 rectal </w:t>
      </w:r>
      <w:r w:rsidR="00077C53">
        <w:t xml:space="preserve">and 85 pharyngeal </w:t>
      </w:r>
      <w:r w:rsidR="00A0642E">
        <w:t>samples</w:t>
      </w:r>
      <w:r w:rsidR="007D224F">
        <w:t xml:space="preserve"> were</w:t>
      </w:r>
      <w:r w:rsidR="006F1A18">
        <w:t xml:space="preserve"> received</w:t>
      </w:r>
      <w:r w:rsidR="00A0642E">
        <w:t xml:space="preserve">. Reasons samples </w:t>
      </w:r>
      <w:r w:rsidR="006F1A18">
        <w:t xml:space="preserve">were </w:t>
      </w:r>
      <w:r w:rsidR="00A0642E">
        <w:t xml:space="preserve">not </w:t>
      </w:r>
      <w:r w:rsidR="009142EB">
        <w:t>collected</w:t>
      </w:r>
      <w:r w:rsidR="00A0642E">
        <w:t xml:space="preserve"> from MSM incl</w:t>
      </w:r>
      <w:r w:rsidR="00BF450C">
        <w:t>uded: accidental disposal at</w:t>
      </w:r>
      <w:r w:rsidR="00A0642E">
        <w:t xml:space="preserve"> clinic,</w:t>
      </w:r>
      <w:r w:rsidR="009142EB">
        <w:t xml:space="preserve"> inadvertent neglect of sample taking by </w:t>
      </w:r>
      <w:r w:rsidR="00902AB7">
        <w:t>participant</w:t>
      </w:r>
      <w:r w:rsidR="009142EB">
        <w:t>, or failure</w:t>
      </w:r>
      <w:r w:rsidR="007D224F">
        <w:t xml:space="preserve"> of </w:t>
      </w:r>
      <w:r w:rsidR="00C90883">
        <w:t>collection by</w:t>
      </w:r>
      <w:r w:rsidR="007D224F">
        <w:t xml:space="preserve"> clinician</w:t>
      </w:r>
      <w:r w:rsidR="009142EB">
        <w:t xml:space="preserve"> during examination. </w:t>
      </w:r>
      <w:r w:rsidR="00A252FE">
        <w:t xml:space="preserve"> </w:t>
      </w:r>
      <w:r w:rsidR="004B2B88">
        <w:t>One female participant also had a</w:t>
      </w:r>
      <w:r w:rsidR="005315C2">
        <w:t>n unresolved</w:t>
      </w:r>
      <w:r w:rsidR="004B2B88">
        <w:t xml:space="preserve"> discrepant result and was removed from analysis</w:t>
      </w:r>
      <w:r w:rsidR="005315C2">
        <w:t>,</w:t>
      </w:r>
      <w:r w:rsidR="004B2B88">
        <w:t xml:space="preserve"> resulting in </w:t>
      </w:r>
      <w:r w:rsidR="009142EB">
        <w:t>a</w:t>
      </w:r>
      <w:r w:rsidR="00A252FE">
        <w:t xml:space="preserve"> total of 550</w:t>
      </w:r>
      <w:r w:rsidR="006F1A18">
        <w:t xml:space="preserve"> </w:t>
      </w:r>
      <w:r w:rsidR="00902AB7">
        <w:t xml:space="preserve">participants </w:t>
      </w:r>
      <w:r w:rsidR="00A252FE">
        <w:t>(307</w:t>
      </w:r>
      <w:r w:rsidR="006F1A18">
        <w:t xml:space="preserve"> females</w:t>
      </w:r>
      <w:r w:rsidR="00A252FE">
        <w:t xml:space="preserve">, 173 </w:t>
      </w:r>
      <w:r w:rsidR="006F1A18">
        <w:t xml:space="preserve">MSW </w:t>
      </w:r>
      <w:r w:rsidR="00A252FE">
        <w:t>and 70</w:t>
      </w:r>
      <w:r w:rsidR="006F1A18">
        <w:t xml:space="preserve"> MSM</w:t>
      </w:r>
      <w:r w:rsidR="00A252FE">
        <w:t>) provid</w:t>
      </w:r>
      <w:r w:rsidR="00FE1D26">
        <w:t>ing</w:t>
      </w:r>
      <w:r w:rsidR="00A252FE">
        <w:t xml:space="preserve"> a full set of samples along with routine NAAT and research test results.</w:t>
      </w:r>
      <w:r w:rsidR="00F67567">
        <w:t xml:space="preserve"> The proportion of females, MSW and MSM who were symptomatic </w:t>
      </w:r>
      <w:r w:rsidR="00DD35BA">
        <w:t>was</w:t>
      </w:r>
      <w:r w:rsidR="00F67567">
        <w:t xml:space="preserve">: 98.7% (304/308), 97.1% (168/173), and 62.9% (44/70), respectively. The corresponding proportions who were sexual contacts of an individual </w:t>
      </w:r>
      <w:r w:rsidR="00F67567" w:rsidRPr="00FA3147">
        <w:t>with CT, NG, TV</w:t>
      </w:r>
      <w:r w:rsidR="00DD35BA">
        <w:t xml:space="preserve"> or</w:t>
      </w:r>
      <w:r w:rsidR="00F67567" w:rsidRPr="00FA3147">
        <w:t xml:space="preserve"> NGU</w:t>
      </w:r>
      <w:r w:rsidR="00F67567">
        <w:t xml:space="preserve"> were 6.8% (21/308), 12.7% (22/173), and 41.4% (29/70). </w:t>
      </w:r>
    </w:p>
    <w:p w14:paraId="77B44D88" w14:textId="1BBF4F02" w:rsidR="00FE1D26" w:rsidRPr="00080EF0" w:rsidRDefault="00FE1D26" w:rsidP="00720644">
      <w:pPr>
        <w:spacing w:line="480" w:lineRule="auto"/>
        <w:rPr>
          <w:b/>
        </w:rPr>
      </w:pPr>
      <w:bookmarkStart w:id="9" w:name="_Hlk30658859"/>
      <w:bookmarkStart w:id="10" w:name="_Hlk30660604"/>
      <w:r>
        <w:rPr>
          <w:b/>
        </w:rPr>
        <w:t>CT, MG and NG infection and co-infection prevalence by population group</w:t>
      </w:r>
      <w:bookmarkEnd w:id="9"/>
    </w:p>
    <w:p w14:paraId="289FA35D" w14:textId="5486D484" w:rsidR="00C60929" w:rsidRDefault="00F46DDC" w:rsidP="00720644">
      <w:pPr>
        <w:spacing w:line="480" w:lineRule="auto"/>
      </w:pPr>
      <w:bookmarkStart w:id="11" w:name="_Hlk30658951"/>
      <w:bookmarkEnd w:id="10"/>
      <w:r>
        <w:t xml:space="preserve">Of the total 723 samples, discrepant analysis was needed for 4 CT diagnoses, 20 NG diagnoses, and </w:t>
      </w:r>
      <w:r w:rsidR="00074FB1">
        <w:t xml:space="preserve">5 MG diagnoses. </w:t>
      </w:r>
      <w:bookmarkEnd w:id="11"/>
      <w:r w:rsidR="00BF450C">
        <w:t>P</w:t>
      </w:r>
      <w:r w:rsidR="00284E58">
        <w:t>revalence of</w:t>
      </w:r>
      <w:r w:rsidR="0005707E">
        <w:t xml:space="preserve"> </w:t>
      </w:r>
      <w:r w:rsidR="00A252FE">
        <w:t xml:space="preserve">any </w:t>
      </w:r>
      <w:r w:rsidR="0005707E">
        <w:t xml:space="preserve">infection </w:t>
      </w:r>
      <w:r w:rsidR="00A252FE">
        <w:t>(CT, MG</w:t>
      </w:r>
      <w:r w:rsidR="00284E58">
        <w:t xml:space="preserve">, </w:t>
      </w:r>
      <w:r w:rsidR="00A252FE">
        <w:t xml:space="preserve">NG) </w:t>
      </w:r>
      <w:r w:rsidR="00061C56">
        <w:t xml:space="preserve">was 13.6% (42/307) </w:t>
      </w:r>
      <w:r w:rsidR="00284E58">
        <w:t>in</w:t>
      </w:r>
      <w:r w:rsidR="00284E58" w:rsidRPr="00721D85">
        <w:t xml:space="preserve"> females</w:t>
      </w:r>
      <w:r w:rsidR="00061C56">
        <w:t>,</w:t>
      </w:r>
      <w:r w:rsidR="00460920">
        <w:t xml:space="preserve"> </w:t>
      </w:r>
      <w:r w:rsidR="00061C56">
        <w:t xml:space="preserve">39.3% (68/173) in </w:t>
      </w:r>
      <w:r w:rsidR="00284E58">
        <w:t>MSW</w:t>
      </w:r>
      <w:r w:rsidR="00061C56">
        <w:t xml:space="preserve">, </w:t>
      </w:r>
      <w:r w:rsidR="00284E58">
        <w:t xml:space="preserve">and </w:t>
      </w:r>
      <w:r w:rsidR="00061C56">
        <w:t xml:space="preserve">45.7% (32/70) in </w:t>
      </w:r>
      <w:r w:rsidR="002C41DF">
        <w:t>MSM</w:t>
      </w:r>
      <w:r w:rsidR="006210B0">
        <w:t xml:space="preserve"> </w:t>
      </w:r>
      <w:r w:rsidR="00061C56">
        <w:t>(all sample types combined)</w:t>
      </w:r>
      <w:r w:rsidR="009142EB">
        <w:t>. Among th</w:t>
      </w:r>
      <w:r w:rsidR="00460920">
        <w:t xml:space="preserve">ose </w:t>
      </w:r>
      <w:r w:rsidR="009142EB">
        <w:t xml:space="preserve">positive </w:t>
      </w:r>
      <w:r w:rsidR="00460920">
        <w:t>for any of these infections</w:t>
      </w:r>
      <w:r w:rsidR="002C41DF">
        <w:t xml:space="preserve">, </w:t>
      </w:r>
      <w:bookmarkStart w:id="12" w:name="_Hlk30660627"/>
      <w:r w:rsidR="002C41DF">
        <w:t xml:space="preserve">co-infection </w:t>
      </w:r>
      <w:bookmarkStart w:id="13" w:name="_Hlk30582666"/>
      <w:r w:rsidR="00204FAA">
        <w:t>(</w:t>
      </w:r>
      <w:r w:rsidR="00204FAA">
        <w:rPr>
          <w:rFonts w:cs="Calibri"/>
        </w:rPr>
        <w:t xml:space="preserve">≥1 </w:t>
      </w:r>
      <w:r w:rsidR="00204FAA">
        <w:t>CT, MG or NG</w:t>
      </w:r>
      <w:r w:rsidR="00204FAA">
        <w:rPr>
          <w:rFonts w:cs="Calibri"/>
        </w:rPr>
        <w:t xml:space="preserve"> </w:t>
      </w:r>
      <w:bookmarkEnd w:id="13"/>
      <w:r w:rsidR="00204FAA">
        <w:t xml:space="preserve">within a sample) </w:t>
      </w:r>
      <w:bookmarkEnd w:id="12"/>
      <w:r w:rsidR="002C41DF">
        <w:t xml:space="preserve">was present in </w:t>
      </w:r>
      <w:r w:rsidR="009142EB">
        <w:t>19.0%</w:t>
      </w:r>
      <w:r w:rsidR="0005707E">
        <w:t xml:space="preserve"> (8/</w:t>
      </w:r>
      <w:r w:rsidR="009142EB">
        <w:t>42</w:t>
      </w:r>
      <w:r w:rsidR="0005707E">
        <w:t>)</w:t>
      </w:r>
      <w:r w:rsidR="002C41DF">
        <w:t>, 13.2% (9/68) and 15.6% (5/32), respectively</w:t>
      </w:r>
      <w:r w:rsidR="005E1717">
        <w:t>.</w:t>
      </w:r>
      <w:r w:rsidR="008E3E80">
        <w:t xml:space="preserve"> </w:t>
      </w:r>
      <w:r w:rsidR="005E1717">
        <w:t>There was no difference between rate</w:t>
      </w:r>
      <w:r w:rsidR="003C7292">
        <w:t>s</w:t>
      </w:r>
      <w:r w:rsidR="005E1717">
        <w:t xml:space="preserve"> of co-infections in </w:t>
      </w:r>
      <w:r w:rsidR="007B7A83">
        <w:t>m</w:t>
      </w:r>
      <w:r w:rsidR="00CB4EBC">
        <w:t>ales</w:t>
      </w:r>
      <w:r w:rsidR="007B7A83">
        <w:t xml:space="preserve"> </w:t>
      </w:r>
      <w:r w:rsidR="005E1717">
        <w:t>and females (p=0.124).</w:t>
      </w:r>
    </w:p>
    <w:p w14:paraId="18D75E02" w14:textId="548C01CA" w:rsidR="00ED14A5" w:rsidRDefault="00FB41A2" w:rsidP="00720644">
      <w:pPr>
        <w:spacing w:line="480" w:lineRule="auto"/>
      </w:pPr>
      <w:r>
        <w:t xml:space="preserve">In </w:t>
      </w:r>
      <w:r w:rsidR="00B841F4">
        <w:t xml:space="preserve">MSM, prevalence of any infection </w:t>
      </w:r>
      <w:r>
        <w:t xml:space="preserve">by anatomical site was </w:t>
      </w:r>
      <w:r w:rsidR="00B841F4">
        <w:t>21.5% (17/79), 40.5% (32/79) and 18.8% (16/85)</w:t>
      </w:r>
      <w:r w:rsidR="009A2CE7">
        <w:t xml:space="preserve"> </w:t>
      </w:r>
      <w:r>
        <w:t>in urine, rectal and pharyngeal samples</w:t>
      </w:r>
      <w:r w:rsidR="00B11CE5">
        <w:t>,</w:t>
      </w:r>
      <w:r>
        <w:t xml:space="preserve"> </w:t>
      </w:r>
      <w:r w:rsidR="009A2CE7">
        <w:t>respectively</w:t>
      </w:r>
      <w:r w:rsidR="00C60929">
        <w:t xml:space="preserve">. </w:t>
      </w:r>
      <w:r w:rsidR="005E1717">
        <w:t xml:space="preserve">Among positives, </w:t>
      </w:r>
      <w:r w:rsidR="00C60929">
        <w:t>co-infection</w:t>
      </w:r>
      <w:r w:rsidR="005E1717">
        <w:t xml:space="preserve"> was present </w:t>
      </w:r>
      <w:r w:rsidR="00C60929">
        <w:t xml:space="preserve">in </w:t>
      </w:r>
      <w:r w:rsidR="005E1717">
        <w:t>5.9</w:t>
      </w:r>
      <w:r w:rsidR="00133C0B">
        <w:t>% (1/</w:t>
      </w:r>
      <w:r w:rsidR="005E1717">
        <w:t>17</w:t>
      </w:r>
      <w:r w:rsidR="00133C0B">
        <w:t xml:space="preserve">), </w:t>
      </w:r>
      <w:r w:rsidR="005E1717">
        <w:t>6.3</w:t>
      </w:r>
      <w:r w:rsidR="00133C0B">
        <w:t>% (2/</w:t>
      </w:r>
      <w:r w:rsidR="005E1717">
        <w:t>32</w:t>
      </w:r>
      <w:r w:rsidR="00133C0B">
        <w:t>) and 0</w:t>
      </w:r>
      <w:r w:rsidR="009A2CE7">
        <w:t>.0</w:t>
      </w:r>
      <w:r w:rsidR="00133C0B">
        <w:t>% (0/</w:t>
      </w:r>
      <w:r w:rsidR="005E1717">
        <w:t>16</w:t>
      </w:r>
      <w:r w:rsidR="00133C0B">
        <w:t>)</w:t>
      </w:r>
      <w:r w:rsidR="005E1717">
        <w:t>,</w:t>
      </w:r>
      <w:r w:rsidR="00133C0B">
        <w:t xml:space="preserve"> respectively.</w:t>
      </w:r>
      <w:r w:rsidR="005E1717">
        <w:t xml:space="preserve"> </w:t>
      </w:r>
    </w:p>
    <w:p w14:paraId="3F8D99AE" w14:textId="18B93B49" w:rsidR="008652CF" w:rsidRDefault="00697C1F" w:rsidP="00720644">
      <w:pPr>
        <w:spacing w:line="480" w:lineRule="auto"/>
      </w:pPr>
      <w:r>
        <w:lastRenderedPageBreak/>
        <w:t>Prevalence e</w:t>
      </w:r>
      <w:r w:rsidR="00A42561">
        <w:t xml:space="preserve">stimates of </w:t>
      </w:r>
      <w:r w:rsidR="00E77B07">
        <w:t>individual</w:t>
      </w:r>
      <w:r>
        <w:t xml:space="preserve"> </w:t>
      </w:r>
      <w:r w:rsidR="00A42561">
        <w:t>infection</w:t>
      </w:r>
      <w:r w:rsidR="00E77B07">
        <w:t>s</w:t>
      </w:r>
      <w:r w:rsidR="00A42561">
        <w:t xml:space="preserve"> and</w:t>
      </w:r>
      <w:r>
        <w:t xml:space="preserve"> </w:t>
      </w:r>
      <w:r w:rsidR="00A42561">
        <w:t xml:space="preserve">co-infections are shown in Table </w:t>
      </w:r>
      <w:r w:rsidR="00214AA8">
        <w:t>1</w:t>
      </w:r>
      <w:r w:rsidR="00A42561">
        <w:t xml:space="preserve">. </w:t>
      </w:r>
      <w:r w:rsidR="003C7292">
        <w:t>P</w:t>
      </w:r>
      <w:r w:rsidR="00A42561">
        <w:t xml:space="preserve">revalence of CT and MG </w:t>
      </w:r>
      <w:r w:rsidR="0055321A">
        <w:t xml:space="preserve">was </w:t>
      </w:r>
      <w:r w:rsidR="00A42561">
        <w:t>highest in MSW</w:t>
      </w:r>
      <w:r w:rsidR="0055321A">
        <w:t>, where</w:t>
      </w:r>
      <w:r w:rsidR="00A42561">
        <w:t xml:space="preserve">as NG </w:t>
      </w:r>
      <w:r w:rsidR="0055321A">
        <w:t xml:space="preserve">was most prevalent </w:t>
      </w:r>
      <w:r w:rsidR="00A42561">
        <w:t>in MSM.</w:t>
      </w:r>
      <w:r w:rsidR="00FE1D26">
        <w:t xml:space="preserve"> </w:t>
      </w:r>
      <w:bookmarkStart w:id="14" w:name="_Hlk30574259"/>
      <w:r w:rsidR="00FE1D26">
        <w:t xml:space="preserve">Co-infection was present in all population groups, although differences existed by pathogen. </w:t>
      </w:r>
      <w:bookmarkEnd w:id="14"/>
      <w:r w:rsidR="009D6FA3">
        <w:t xml:space="preserve"> There were no MG-NG co-infections detected in any </w:t>
      </w:r>
      <w:r w:rsidR="00902AB7">
        <w:t>participants</w:t>
      </w:r>
      <w:r w:rsidR="008A3C54">
        <w:t>.</w:t>
      </w:r>
      <w:r w:rsidR="009D6FA3">
        <w:t xml:space="preserve"> </w:t>
      </w:r>
    </w:p>
    <w:p w14:paraId="1A9AEBC7" w14:textId="5A49C87B" w:rsidR="003967F1" w:rsidRDefault="003967F1" w:rsidP="003967F1">
      <w:pPr>
        <w:spacing w:line="480" w:lineRule="auto"/>
      </w:pPr>
    </w:p>
    <w:p w14:paraId="444667C3" w14:textId="27860DA2" w:rsidR="003967F1" w:rsidRDefault="00340E05" w:rsidP="00720644">
      <w:pPr>
        <w:spacing w:line="480" w:lineRule="auto"/>
      </w:pPr>
      <w:r>
        <w:rPr>
          <w:i/>
        </w:rPr>
        <w:t>Table 1: Resolved</w:t>
      </w:r>
      <w:r w:rsidRPr="00D77BFF">
        <w:rPr>
          <w:i/>
        </w:rPr>
        <w:t xml:space="preserve"> </w:t>
      </w:r>
      <w:r>
        <w:rPr>
          <w:i/>
        </w:rPr>
        <w:t>CT, NG and MG p</w:t>
      </w:r>
      <w:r w:rsidRPr="00D77BFF">
        <w:rPr>
          <w:i/>
        </w:rPr>
        <w:t xml:space="preserve">revalence and co-infection </w:t>
      </w:r>
      <w:r>
        <w:rPr>
          <w:i/>
        </w:rPr>
        <w:t>in</w:t>
      </w:r>
      <w:r w:rsidRPr="00D77BFF">
        <w:rPr>
          <w:i/>
        </w:rPr>
        <w:t xml:space="preserve"> </w:t>
      </w:r>
      <w:r>
        <w:rPr>
          <w:i/>
        </w:rPr>
        <w:t>f</w:t>
      </w:r>
      <w:r w:rsidRPr="00D77BFF">
        <w:rPr>
          <w:i/>
        </w:rPr>
        <w:t>emales, MSW and MSM</w:t>
      </w:r>
    </w:p>
    <w:tbl>
      <w:tblPr>
        <w:tblStyle w:val="TableGridLight"/>
        <w:tblW w:w="5000" w:type="pct"/>
        <w:jc w:val="center"/>
        <w:tblLook w:val="00A0" w:firstRow="1" w:lastRow="0" w:firstColumn="1" w:lastColumn="0" w:noHBand="0" w:noVBand="0"/>
      </w:tblPr>
      <w:tblGrid>
        <w:gridCol w:w="1598"/>
        <w:gridCol w:w="1228"/>
        <w:gridCol w:w="1122"/>
        <w:gridCol w:w="1302"/>
        <w:gridCol w:w="1232"/>
        <w:gridCol w:w="1302"/>
        <w:gridCol w:w="1232"/>
      </w:tblGrid>
      <w:tr w:rsidR="003967F1" w:rsidRPr="00830E89" w14:paraId="41D4E8C4" w14:textId="77777777" w:rsidTr="0081090E">
        <w:trPr>
          <w:trHeight w:val="270"/>
          <w:jc w:val="center"/>
        </w:trPr>
        <w:tc>
          <w:tcPr>
            <w:tcW w:w="886" w:type="pct"/>
          </w:tcPr>
          <w:p w14:paraId="3CBB7B96" w14:textId="5CC5C1F0" w:rsidR="003967F1" w:rsidRPr="00A100E9" w:rsidRDefault="003967F1" w:rsidP="0081090E">
            <w:pPr>
              <w:pStyle w:val="NormalWeb"/>
              <w:jc w:val="center"/>
              <w:textAlignment w:val="center"/>
              <w:rPr>
                <w:rFonts w:asciiTheme="minorHAnsi" w:hAnsiTheme="minorHAnsi" w:cs="Arial"/>
                <w:bCs/>
                <w:kern w:val="24"/>
                <w:lang w:eastAsia="en-US"/>
              </w:rPr>
            </w:pPr>
            <w:r w:rsidRPr="00A100E9">
              <w:rPr>
                <w:rFonts w:asciiTheme="minorHAnsi" w:hAnsiTheme="minorHAnsi" w:cs="Arial"/>
                <w:bCs/>
                <w:kern w:val="24"/>
                <w:lang w:eastAsia="en-US"/>
              </w:rPr>
              <w:t xml:space="preserve">Total </w:t>
            </w:r>
            <w:r w:rsidR="00902AB7">
              <w:rPr>
                <w:rFonts w:asciiTheme="minorHAnsi" w:hAnsiTheme="minorHAnsi" w:cs="Arial"/>
                <w:bCs/>
                <w:kern w:val="24"/>
                <w:lang w:eastAsia="en-US"/>
              </w:rPr>
              <w:t>participants</w:t>
            </w:r>
          </w:p>
        </w:tc>
        <w:tc>
          <w:tcPr>
            <w:tcW w:w="1303" w:type="pct"/>
            <w:gridSpan w:val="2"/>
          </w:tcPr>
          <w:p w14:paraId="7F8101FB" w14:textId="77777777" w:rsidR="003967F1" w:rsidRPr="00A100E9" w:rsidRDefault="003967F1" w:rsidP="0081090E">
            <w:pPr>
              <w:jc w:val="center"/>
              <w:rPr>
                <w:rFonts w:asciiTheme="minorHAnsi" w:hAnsiTheme="minorHAnsi"/>
                <w:sz w:val="24"/>
                <w:szCs w:val="24"/>
              </w:rPr>
            </w:pPr>
            <w:r w:rsidRPr="00A100E9">
              <w:rPr>
                <w:rFonts w:asciiTheme="minorHAnsi" w:hAnsiTheme="minorHAnsi"/>
                <w:sz w:val="24"/>
                <w:szCs w:val="24"/>
              </w:rPr>
              <w:t>Females</w:t>
            </w:r>
          </w:p>
          <w:p w14:paraId="1335E7E2" w14:textId="77777777" w:rsidR="003967F1" w:rsidRPr="00A100E9" w:rsidRDefault="003967F1" w:rsidP="0081090E">
            <w:pPr>
              <w:jc w:val="center"/>
              <w:rPr>
                <w:rFonts w:asciiTheme="minorHAnsi" w:hAnsiTheme="minorHAnsi"/>
                <w:sz w:val="24"/>
                <w:szCs w:val="24"/>
              </w:rPr>
            </w:pPr>
            <w:r w:rsidRPr="00A100E9">
              <w:rPr>
                <w:rFonts w:asciiTheme="minorHAnsi" w:hAnsiTheme="minorHAnsi"/>
                <w:sz w:val="24"/>
                <w:szCs w:val="24"/>
              </w:rPr>
              <w:t>307</w:t>
            </w:r>
          </w:p>
        </w:tc>
        <w:tc>
          <w:tcPr>
            <w:tcW w:w="1405" w:type="pct"/>
            <w:gridSpan w:val="2"/>
          </w:tcPr>
          <w:p w14:paraId="160D7995" w14:textId="77777777" w:rsidR="003967F1" w:rsidRPr="00A100E9" w:rsidRDefault="003967F1" w:rsidP="0081090E">
            <w:pPr>
              <w:jc w:val="center"/>
              <w:rPr>
                <w:rFonts w:asciiTheme="minorHAnsi" w:hAnsiTheme="minorHAnsi"/>
                <w:sz w:val="24"/>
                <w:szCs w:val="24"/>
              </w:rPr>
            </w:pPr>
            <w:r w:rsidRPr="00A100E9">
              <w:rPr>
                <w:rFonts w:asciiTheme="minorHAnsi" w:hAnsiTheme="minorHAnsi"/>
                <w:sz w:val="24"/>
                <w:szCs w:val="24"/>
              </w:rPr>
              <w:t>MSW</w:t>
            </w:r>
          </w:p>
          <w:p w14:paraId="1DFE109D" w14:textId="77777777" w:rsidR="003967F1" w:rsidRPr="00A100E9" w:rsidRDefault="003967F1" w:rsidP="0081090E">
            <w:pPr>
              <w:jc w:val="center"/>
              <w:rPr>
                <w:rFonts w:asciiTheme="minorHAnsi" w:hAnsiTheme="minorHAnsi"/>
                <w:sz w:val="24"/>
                <w:szCs w:val="24"/>
              </w:rPr>
            </w:pPr>
            <w:r w:rsidRPr="00A100E9">
              <w:rPr>
                <w:rFonts w:asciiTheme="minorHAnsi" w:hAnsiTheme="minorHAnsi"/>
                <w:sz w:val="24"/>
                <w:szCs w:val="24"/>
              </w:rPr>
              <w:t>173</w:t>
            </w:r>
          </w:p>
        </w:tc>
        <w:tc>
          <w:tcPr>
            <w:tcW w:w="1405" w:type="pct"/>
            <w:gridSpan w:val="2"/>
          </w:tcPr>
          <w:p w14:paraId="36D01574" w14:textId="77777777" w:rsidR="003967F1" w:rsidRPr="00A100E9" w:rsidRDefault="003967F1" w:rsidP="0081090E">
            <w:pPr>
              <w:jc w:val="center"/>
              <w:rPr>
                <w:rFonts w:asciiTheme="minorHAnsi" w:hAnsiTheme="minorHAnsi"/>
                <w:sz w:val="24"/>
                <w:szCs w:val="24"/>
              </w:rPr>
            </w:pPr>
            <w:r w:rsidRPr="00A100E9">
              <w:rPr>
                <w:rFonts w:asciiTheme="minorHAnsi" w:hAnsiTheme="minorHAnsi"/>
                <w:sz w:val="24"/>
                <w:szCs w:val="24"/>
              </w:rPr>
              <w:t>MSM</w:t>
            </w:r>
          </w:p>
          <w:p w14:paraId="67D3C261" w14:textId="77777777" w:rsidR="003967F1" w:rsidRPr="00A100E9" w:rsidRDefault="003967F1" w:rsidP="0081090E">
            <w:pPr>
              <w:jc w:val="center"/>
              <w:rPr>
                <w:rFonts w:asciiTheme="minorHAnsi" w:hAnsiTheme="minorHAnsi"/>
                <w:sz w:val="24"/>
                <w:szCs w:val="24"/>
              </w:rPr>
            </w:pPr>
            <w:r w:rsidRPr="00A100E9">
              <w:rPr>
                <w:rFonts w:asciiTheme="minorHAnsi" w:hAnsiTheme="minorHAnsi"/>
                <w:sz w:val="24"/>
                <w:szCs w:val="24"/>
              </w:rPr>
              <w:t>70</w:t>
            </w:r>
          </w:p>
        </w:tc>
      </w:tr>
      <w:tr w:rsidR="003967F1" w:rsidRPr="00830E89" w14:paraId="3708FAA0" w14:textId="77777777" w:rsidTr="0081090E">
        <w:trPr>
          <w:trHeight w:val="416"/>
          <w:jc w:val="center"/>
        </w:trPr>
        <w:tc>
          <w:tcPr>
            <w:tcW w:w="886" w:type="pct"/>
          </w:tcPr>
          <w:p w14:paraId="1FF285C4"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bCs/>
                <w:kern w:val="24"/>
                <w:lang w:eastAsia="en-US"/>
              </w:rPr>
            </w:pPr>
          </w:p>
        </w:tc>
        <w:tc>
          <w:tcPr>
            <w:tcW w:w="681" w:type="pct"/>
          </w:tcPr>
          <w:p w14:paraId="36026C85" w14:textId="77777777" w:rsidR="003967F1" w:rsidRPr="00A100E9" w:rsidRDefault="003967F1" w:rsidP="0081090E">
            <w:pPr>
              <w:jc w:val="center"/>
              <w:rPr>
                <w:rFonts w:asciiTheme="minorHAnsi" w:hAnsiTheme="minorHAnsi"/>
                <w:b/>
                <w:sz w:val="24"/>
                <w:szCs w:val="24"/>
              </w:rPr>
            </w:pPr>
            <w:r w:rsidRPr="00A100E9">
              <w:rPr>
                <w:rFonts w:asciiTheme="minorHAnsi" w:hAnsiTheme="minorHAnsi"/>
                <w:b/>
                <w:bCs/>
                <w:sz w:val="24"/>
                <w:szCs w:val="24"/>
              </w:rPr>
              <w:t>No. positive (%)</w:t>
            </w:r>
          </w:p>
        </w:tc>
        <w:tc>
          <w:tcPr>
            <w:tcW w:w="622" w:type="pct"/>
          </w:tcPr>
          <w:p w14:paraId="160A0CA0" w14:textId="77777777" w:rsidR="003967F1" w:rsidRPr="00A100E9" w:rsidRDefault="003967F1" w:rsidP="0081090E">
            <w:pPr>
              <w:jc w:val="center"/>
              <w:rPr>
                <w:rFonts w:asciiTheme="minorHAnsi" w:hAnsiTheme="minorHAnsi"/>
                <w:b/>
                <w:sz w:val="24"/>
                <w:szCs w:val="24"/>
              </w:rPr>
            </w:pPr>
            <w:r w:rsidRPr="00A100E9">
              <w:rPr>
                <w:rFonts w:asciiTheme="minorHAnsi" w:hAnsiTheme="minorHAnsi"/>
                <w:b/>
                <w:bCs/>
                <w:sz w:val="24"/>
                <w:szCs w:val="24"/>
              </w:rPr>
              <w:t>95%CI</w:t>
            </w:r>
          </w:p>
          <w:p w14:paraId="1A931598" w14:textId="77777777" w:rsidR="003967F1" w:rsidRPr="00A100E9" w:rsidRDefault="003967F1" w:rsidP="0081090E">
            <w:pPr>
              <w:jc w:val="center"/>
              <w:rPr>
                <w:rFonts w:asciiTheme="minorHAnsi" w:hAnsiTheme="minorHAnsi"/>
                <w:b/>
                <w:sz w:val="24"/>
                <w:szCs w:val="24"/>
              </w:rPr>
            </w:pPr>
          </w:p>
        </w:tc>
        <w:tc>
          <w:tcPr>
            <w:tcW w:w="722" w:type="pct"/>
          </w:tcPr>
          <w:p w14:paraId="17B015EE" w14:textId="77777777" w:rsidR="003967F1" w:rsidRPr="00A100E9" w:rsidRDefault="003967F1" w:rsidP="0081090E">
            <w:pPr>
              <w:jc w:val="center"/>
              <w:rPr>
                <w:rFonts w:asciiTheme="minorHAnsi" w:hAnsiTheme="minorHAnsi"/>
                <w:b/>
                <w:sz w:val="24"/>
                <w:szCs w:val="24"/>
              </w:rPr>
            </w:pPr>
            <w:r w:rsidRPr="00A100E9">
              <w:rPr>
                <w:rFonts w:asciiTheme="minorHAnsi" w:hAnsiTheme="minorHAnsi"/>
                <w:b/>
                <w:bCs/>
                <w:sz w:val="24"/>
                <w:szCs w:val="24"/>
              </w:rPr>
              <w:t>No. positive (%)</w:t>
            </w:r>
          </w:p>
        </w:tc>
        <w:tc>
          <w:tcPr>
            <w:tcW w:w="683" w:type="pct"/>
          </w:tcPr>
          <w:p w14:paraId="5945F74B" w14:textId="77777777" w:rsidR="003967F1" w:rsidRPr="00A100E9" w:rsidRDefault="003967F1" w:rsidP="0081090E">
            <w:pPr>
              <w:jc w:val="center"/>
              <w:rPr>
                <w:rFonts w:asciiTheme="minorHAnsi" w:hAnsiTheme="minorHAnsi"/>
                <w:b/>
                <w:sz w:val="24"/>
                <w:szCs w:val="24"/>
              </w:rPr>
            </w:pPr>
            <w:r w:rsidRPr="00A100E9">
              <w:rPr>
                <w:rFonts w:asciiTheme="minorHAnsi" w:hAnsiTheme="minorHAnsi"/>
                <w:b/>
                <w:bCs/>
                <w:sz w:val="24"/>
                <w:szCs w:val="24"/>
              </w:rPr>
              <w:t>95%CI</w:t>
            </w:r>
          </w:p>
          <w:p w14:paraId="6C2CDC0C" w14:textId="77777777" w:rsidR="003967F1" w:rsidRPr="00A100E9" w:rsidRDefault="003967F1" w:rsidP="0081090E">
            <w:pPr>
              <w:jc w:val="center"/>
              <w:rPr>
                <w:rFonts w:asciiTheme="minorHAnsi" w:hAnsiTheme="minorHAnsi"/>
                <w:b/>
                <w:sz w:val="24"/>
                <w:szCs w:val="24"/>
              </w:rPr>
            </w:pPr>
          </w:p>
        </w:tc>
        <w:tc>
          <w:tcPr>
            <w:tcW w:w="722" w:type="pct"/>
          </w:tcPr>
          <w:p w14:paraId="1002B678" w14:textId="77777777" w:rsidR="003967F1" w:rsidRPr="00A100E9" w:rsidRDefault="003967F1" w:rsidP="0081090E">
            <w:pPr>
              <w:jc w:val="center"/>
              <w:rPr>
                <w:rFonts w:asciiTheme="minorHAnsi" w:hAnsiTheme="minorHAnsi"/>
                <w:b/>
                <w:sz w:val="24"/>
                <w:szCs w:val="24"/>
              </w:rPr>
            </w:pPr>
            <w:r w:rsidRPr="00A100E9">
              <w:rPr>
                <w:rFonts w:asciiTheme="minorHAnsi" w:hAnsiTheme="minorHAnsi"/>
                <w:b/>
                <w:bCs/>
                <w:sz w:val="24"/>
                <w:szCs w:val="24"/>
              </w:rPr>
              <w:t>No. positive (%)</w:t>
            </w:r>
          </w:p>
        </w:tc>
        <w:tc>
          <w:tcPr>
            <w:tcW w:w="683" w:type="pct"/>
          </w:tcPr>
          <w:p w14:paraId="531EC1AE" w14:textId="77777777" w:rsidR="003967F1" w:rsidRPr="00A100E9" w:rsidRDefault="003967F1" w:rsidP="0081090E">
            <w:pPr>
              <w:jc w:val="center"/>
              <w:rPr>
                <w:rFonts w:asciiTheme="minorHAnsi" w:hAnsiTheme="minorHAnsi"/>
                <w:b/>
                <w:sz w:val="24"/>
                <w:szCs w:val="24"/>
              </w:rPr>
            </w:pPr>
            <w:r w:rsidRPr="00A100E9">
              <w:rPr>
                <w:rFonts w:asciiTheme="minorHAnsi" w:hAnsiTheme="minorHAnsi"/>
                <w:b/>
                <w:bCs/>
                <w:sz w:val="24"/>
                <w:szCs w:val="24"/>
              </w:rPr>
              <w:t>95%CI</w:t>
            </w:r>
          </w:p>
          <w:p w14:paraId="5DF910DE" w14:textId="77777777" w:rsidR="003967F1" w:rsidRPr="00A100E9" w:rsidRDefault="003967F1" w:rsidP="0081090E">
            <w:pPr>
              <w:jc w:val="center"/>
              <w:rPr>
                <w:rFonts w:asciiTheme="minorHAnsi" w:hAnsiTheme="minorHAnsi"/>
                <w:b/>
                <w:sz w:val="24"/>
                <w:szCs w:val="24"/>
              </w:rPr>
            </w:pPr>
          </w:p>
        </w:tc>
      </w:tr>
      <w:tr w:rsidR="003967F1" w:rsidRPr="00830E89" w14:paraId="5386E731" w14:textId="77777777" w:rsidTr="0081090E">
        <w:trPr>
          <w:trHeight w:val="190"/>
          <w:jc w:val="center"/>
        </w:trPr>
        <w:tc>
          <w:tcPr>
            <w:tcW w:w="886" w:type="pct"/>
          </w:tcPr>
          <w:p w14:paraId="6E83AE21"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sz w:val="24"/>
                <w:szCs w:val="24"/>
              </w:rPr>
              <w:t>Overall</w:t>
            </w:r>
            <w:r>
              <w:rPr>
                <w:rFonts w:asciiTheme="minorHAnsi" w:hAnsiTheme="minorHAnsi"/>
                <w:sz w:val="24"/>
                <w:szCs w:val="24"/>
              </w:rPr>
              <w:t xml:space="preserve"> </w:t>
            </w:r>
            <w:r w:rsidRPr="00A100E9">
              <w:rPr>
                <w:rFonts w:asciiTheme="minorHAnsi" w:hAnsiTheme="minorHAnsi"/>
                <w:sz w:val="24"/>
                <w:szCs w:val="24"/>
              </w:rPr>
              <w:t>CT</w:t>
            </w:r>
            <w:r>
              <w:rPr>
                <w:rFonts w:asciiTheme="minorHAnsi" w:hAnsiTheme="minorHAnsi"/>
                <w:sz w:val="24"/>
                <w:szCs w:val="24"/>
              </w:rPr>
              <w:t xml:space="preserve"> infections</w:t>
            </w:r>
          </w:p>
        </w:tc>
        <w:tc>
          <w:tcPr>
            <w:tcW w:w="681" w:type="pct"/>
          </w:tcPr>
          <w:p w14:paraId="4CBC184E"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25 (8.1)</w:t>
            </w:r>
          </w:p>
        </w:tc>
        <w:tc>
          <w:tcPr>
            <w:tcW w:w="622" w:type="pct"/>
          </w:tcPr>
          <w:p w14:paraId="66FD4CF6"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5.6-11.7</w:t>
            </w:r>
          </w:p>
        </w:tc>
        <w:tc>
          <w:tcPr>
            <w:tcW w:w="722" w:type="pct"/>
          </w:tcPr>
          <w:p w14:paraId="1E7E7766"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37 (21.4)</w:t>
            </w:r>
          </w:p>
        </w:tc>
        <w:tc>
          <w:tcPr>
            <w:tcW w:w="683" w:type="pct"/>
          </w:tcPr>
          <w:p w14:paraId="74B74B75"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16.0-28.1</w:t>
            </w:r>
          </w:p>
        </w:tc>
        <w:tc>
          <w:tcPr>
            <w:tcW w:w="722" w:type="pct"/>
          </w:tcPr>
          <w:p w14:paraId="36D6CBAE"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9 (12.9)</w:t>
            </w:r>
          </w:p>
        </w:tc>
        <w:tc>
          <w:tcPr>
            <w:tcW w:w="683" w:type="pct"/>
          </w:tcPr>
          <w:p w14:paraId="69509592"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6.9-22.7</w:t>
            </w:r>
          </w:p>
        </w:tc>
      </w:tr>
      <w:tr w:rsidR="003967F1" w:rsidRPr="00830E89" w14:paraId="56BF6D07" w14:textId="77777777" w:rsidTr="0081090E">
        <w:trPr>
          <w:trHeight w:val="367"/>
          <w:jc w:val="center"/>
        </w:trPr>
        <w:tc>
          <w:tcPr>
            <w:tcW w:w="886" w:type="pct"/>
          </w:tcPr>
          <w:p w14:paraId="796024E1" w14:textId="77777777" w:rsidR="003967F1" w:rsidRPr="00A100E9" w:rsidRDefault="003967F1" w:rsidP="0081090E">
            <w:pPr>
              <w:pStyle w:val="NoSpacing"/>
              <w:jc w:val="center"/>
              <w:rPr>
                <w:rFonts w:asciiTheme="minorHAnsi" w:hAnsiTheme="minorHAnsi"/>
                <w:sz w:val="24"/>
                <w:szCs w:val="24"/>
              </w:rPr>
            </w:pPr>
            <w:r>
              <w:rPr>
                <w:rFonts w:asciiTheme="minorHAnsi" w:hAnsiTheme="minorHAnsi"/>
                <w:sz w:val="24"/>
                <w:szCs w:val="24"/>
              </w:rPr>
              <w:t>Overall</w:t>
            </w:r>
            <w:r w:rsidRPr="00A100E9">
              <w:rPr>
                <w:rFonts w:asciiTheme="minorHAnsi" w:hAnsiTheme="minorHAnsi"/>
                <w:sz w:val="24"/>
                <w:szCs w:val="24"/>
              </w:rPr>
              <w:t xml:space="preserve"> MG</w:t>
            </w:r>
            <w:r>
              <w:rPr>
                <w:rFonts w:asciiTheme="minorHAnsi" w:hAnsiTheme="minorHAnsi"/>
                <w:sz w:val="24"/>
                <w:szCs w:val="24"/>
              </w:rPr>
              <w:t xml:space="preserve"> infections</w:t>
            </w:r>
          </w:p>
        </w:tc>
        <w:tc>
          <w:tcPr>
            <w:tcW w:w="681" w:type="pct"/>
          </w:tcPr>
          <w:p w14:paraId="7873C305"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23 (7.5)</w:t>
            </w:r>
          </w:p>
        </w:tc>
        <w:tc>
          <w:tcPr>
            <w:tcW w:w="622" w:type="pct"/>
          </w:tcPr>
          <w:p w14:paraId="0C0D9D9E"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5.0-11.0</w:t>
            </w:r>
          </w:p>
        </w:tc>
        <w:tc>
          <w:tcPr>
            <w:tcW w:w="722" w:type="pct"/>
          </w:tcPr>
          <w:p w14:paraId="01646130"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30 (17.3)</w:t>
            </w:r>
          </w:p>
        </w:tc>
        <w:tc>
          <w:tcPr>
            <w:tcW w:w="683" w:type="pct"/>
          </w:tcPr>
          <w:p w14:paraId="02F1170D"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12.4-23.7</w:t>
            </w:r>
          </w:p>
        </w:tc>
        <w:tc>
          <w:tcPr>
            <w:tcW w:w="722" w:type="pct"/>
          </w:tcPr>
          <w:p w14:paraId="760E126E"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8 (11.4)</w:t>
            </w:r>
          </w:p>
        </w:tc>
        <w:tc>
          <w:tcPr>
            <w:tcW w:w="683" w:type="pct"/>
          </w:tcPr>
          <w:p w14:paraId="14E600F5"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5.0-11.0</w:t>
            </w:r>
          </w:p>
        </w:tc>
      </w:tr>
      <w:tr w:rsidR="003967F1" w:rsidRPr="00830E89" w14:paraId="2460E8C7" w14:textId="77777777" w:rsidTr="0081090E">
        <w:trPr>
          <w:trHeight w:val="382"/>
          <w:jc w:val="center"/>
        </w:trPr>
        <w:tc>
          <w:tcPr>
            <w:tcW w:w="886" w:type="pct"/>
          </w:tcPr>
          <w:p w14:paraId="08C67DF6" w14:textId="77777777" w:rsidR="003967F1" w:rsidRPr="00A100E9" w:rsidRDefault="003967F1" w:rsidP="0081090E">
            <w:pPr>
              <w:pStyle w:val="NoSpacing"/>
              <w:jc w:val="center"/>
              <w:rPr>
                <w:rFonts w:asciiTheme="minorHAnsi" w:hAnsiTheme="minorHAnsi"/>
                <w:sz w:val="24"/>
                <w:szCs w:val="24"/>
              </w:rPr>
            </w:pPr>
            <w:r>
              <w:rPr>
                <w:rFonts w:asciiTheme="minorHAnsi" w:hAnsiTheme="minorHAnsi"/>
                <w:sz w:val="24"/>
                <w:szCs w:val="24"/>
              </w:rPr>
              <w:t xml:space="preserve">Overall </w:t>
            </w:r>
            <w:r w:rsidRPr="00A100E9">
              <w:rPr>
                <w:rFonts w:asciiTheme="minorHAnsi" w:hAnsiTheme="minorHAnsi"/>
                <w:sz w:val="24"/>
                <w:szCs w:val="24"/>
              </w:rPr>
              <w:t>NG</w:t>
            </w:r>
            <w:r>
              <w:rPr>
                <w:rFonts w:asciiTheme="minorHAnsi" w:hAnsiTheme="minorHAnsi"/>
                <w:sz w:val="24"/>
                <w:szCs w:val="24"/>
              </w:rPr>
              <w:t xml:space="preserve"> infections</w:t>
            </w:r>
          </w:p>
        </w:tc>
        <w:tc>
          <w:tcPr>
            <w:tcW w:w="681" w:type="pct"/>
          </w:tcPr>
          <w:p w14:paraId="41DB06BB"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4 (1.3)</w:t>
            </w:r>
          </w:p>
        </w:tc>
        <w:tc>
          <w:tcPr>
            <w:tcW w:w="622" w:type="pct"/>
          </w:tcPr>
          <w:p w14:paraId="0A9E0EE6"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0.5-3.3</w:t>
            </w:r>
          </w:p>
        </w:tc>
        <w:tc>
          <w:tcPr>
            <w:tcW w:w="722" w:type="pct"/>
          </w:tcPr>
          <w:p w14:paraId="6CAE54A9"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10 (5.8)</w:t>
            </w:r>
          </w:p>
        </w:tc>
        <w:tc>
          <w:tcPr>
            <w:tcW w:w="683" w:type="pct"/>
          </w:tcPr>
          <w:p w14:paraId="76F2BFB1"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3.2-10.3</w:t>
            </w:r>
          </w:p>
        </w:tc>
        <w:tc>
          <w:tcPr>
            <w:tcW w:w="722" w:type="pct"/>
          </w:tcPr>
          <w:p w14:paraId="59B0E382"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27 (38.6)</w:t>
            </w:r>
          </w:p>
        </w:tc>
        <w:tc>
          <w:tcPr>
            <w:tcW w:w="683" w:type="pct"/>
          </w:tcPr>
          <w:p w14:paraId="7214D5F4" w14:textId="77777777" w:rsidR="003967F1" w:rsidRPr="00A100E9" w:rsidRDefault="003967F1" w:rsidP="0081090E">
            <w:pPr>
              <w:pStyle w:val="NoSpacing"/>
              <w:jc w:val="center"/>
              <w:rPr>
                <w:rFonts w:asciiTheme="minorHAnsi" w:hAnsiTheme="minorHAnsi"/>
                <w:sz w:val="24"/>
                <w:szCs w:val="24"/>
              </w:rPr>
            </w:pPr>
            <w:r w:rsidRPr="00A100E9">
              <w:rPr>
                <w:rFonts w:asciiTheme="minorHAnsi" w:hAnsiTheme="minorHAnsi"/>
                <w:color w:val="000000"/>
                <w:sz w:val="24"/>
                <w:szCs w:val="24"/>
              </w:rPr>
              <w:t>28.1-50.3</w:t>
            </w:r>
          </w:p>
        </w:tc>
      </w:tr>
      <w:tr w:rsidR="003967F1" w:rsidRPr="00830E89" w14:paraId="23A080C5" w14:textId="77777777" w:rsidTr="0081090E">
        <w:trPr>
          <w:trHeight w:val="382"/>
          <w:jc w:val="center"/>
        </w:trPr>
        <w:tc>
          <w:tcPr>
            <w:tcW w:w="886" w:type="pct"/>
          </w:tcPr>
          <w:p w14:paraId="34CEECF1" w14:textId="77777777" w:rsidR="003967F1" w:rsidRDefault="003967F1" w:rsidP="0081090E">
            <w:pPr>
              <w:pStyle w:val="NoSpacing"/>
              <w:jc w:val="center"/>
              <w:rPr>
                <w:rFonts w:asciiTheme="minorHAnsi" w:hAnsiTheme="minorHAnsi"/>
                <w:sz w:val="24"/>
                <w:szCs w:val="24"/>
              </w:rPr>
            </w:pPr>
            <w:r>
              <w:rPr>
                <w:rFonts w:asciiTheme="minorHAnsi" w:hAnsiTheme="minorHAnsi"/>
                <w:sz w:val="24"/>
                <w:szCs w:val="24"/>
              </w:rPr>
              <w:t>CT Mono infections</w:t>
            </w:r>
          </w:p>
        </w:tc>
        <w:tc>
          <w:tcPr>
            <w:tcW w:w="681" w:type="pct"/>
          </w:tcPr>
          <w:p w14:paraId="01649A71" w14:textId="77777777" w:rsidR="003967F1" w:rsidRPr="00A100E9"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17 (5.5)</w:t>
            </w:r>
          </w:p>
        </w:tc>
        <w:tc>
          <w:tcPr>
            <w:tcW w:w="622" w:type="pct"/>
          </w:tcPr>
          <w:p w14:paraId="0B85A012" w14:textId="77777777" w:rsidR="003967F1" w:rsidRPr="00A100E9"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3.5-8.7</w:t>
            </w:r>
          </w:p>
        </w:tc>
        <w:tc>
          <w:tcPr>
            <w:tcW w:w="722" w:type="pct"/>
          </w:tcPr>
          <w:p w14:paraId="205A7CCD" w14:textId="77777777" w:rsidR="003967F1" w:rsidRPr="00A100E9"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28 (16.2)</w:t>
            </w:r>
          </w:p>
        </w:tc>
        <w:tc>
          <w:tcPr>
            <w:tcW w:w="683" w:type="pct"/>
          </w:tcPr>
          <w:p w14:paraId="4A729489" w14:textId="77777777" w:rsidR="003967F1" w:rsidRPr="00A100E9"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11.4-22.4</w:t>
            </w:r>
          </w:p>
        </w:tc>
        <w:tc>
          <w:tcPr>
            <w:tcW w:w="722" w:type="pct"/>
          </w:tcPr>
          <w:p w14:paraId="28B9159D" w14:textId="77777777" w:rsidR="003967F1" w:rsidRPr="00A100E9"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4 (5.7)</w:t>
            </w:r>
          </w:p>
        </w:tc>
        <w:tc>
          <w:tcPr>
            <w:tcW w:w="683" w:type="pct"/>
          </w:tcPr>
          <w:p w14:paraId="5F7EEEEA" w14:textId="77777777" w:rsidR="003967F1" w:rsidRPr="00A100E9"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2.2-13.8</w:t>
            </w:r>
          </w:p>
        </w:tc>
      </w:tr>
      <w:tr w:rsidR="003967F1" w:rsidRPr="00830E89" w14:paraId="24A62AC7" w14:textId="77777777" w:rsidTr="0081090E">
        <w:trPr>
          <w:trHeight w:val="382"/>
          <w:jc w:val="center"/>
        </w:trPr>
        <w:tc>
          <w:tcPr>
            <w:tcW w:w="886" w:type="pct"/>
          </w:tcPr>
          <w:p w14:paraId="5F78BF69" w14:textId="77777777" w:rsidR="003967F1" w:rsidRDefault="003967F1" w:rsidP="0081090E">
            <w:pPr>
              <w:pStyle w:val="NoSpacing"/>
              <w:jc w:val="center"/>
              <w:rPr>
                <w:rFonts w:asciiTheme="minorHAnsi" w:hAnsiTheme="minorHAnsi"/>
                <w:sz w:val="24"/>
                <w:szCs w:val="24"/>
              </w:rPr>
            </w:pPr>
            <w:r>
              <w:rPr>
                <w:rFonts w:asciiTheme="minorHAnsi" w:hAnsiTheme="minorHAnsi"/>
                <w:sz w:val="24"/>
                <w:szCs w:val="24"/>
              </w:rPr>
              <w:t>MG Mono infections</w:t>
            </w:r>
          </w:p>
        </w:tc>
        <w:tc>
          <w:tcPr>
            <w:tcW w:w="681" w:type="pct"/>
          </w:tcPr>
          <w:p w14:paraId="365401AD"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16 (5.2)</w:t>
            </w:r>
          </w:p>
        </w:tc>
        <w:tc>
          <w:tcPr>
            <w:tcW w:w="622" w:type="pct"/>
          </w:tcPr>
          <w:p w14:paraId="4FD11E37"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3.2-8.3</w:t>
            </w:r>
          </w:p>
        </w:tc>
        <w:tc>
          <w:tcPr>
            <w:tcW w:w="722" w:type="pct"/>
          </w:tcPr>
          <w:p w14:paraId="2481120D"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25 (14.5)</w:t>
            </w:r>
          </w:p>
        </w:tc>
        <w:tc>
          <w:tcPr>
            <w:tcW w:w="683" w:type="pct"/>
          </w:tcPr>
          <w:p w14:paraId="069E500C"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10.0-20.5</w:t>
            </w:r>
          </w:p>
        </w:tc>
        <w:tc>
          <w:tcPr>
            <w:tcW w:w="722" w:type="pct"/>
          </w:tcPr>
          <w:p w14:paraId="02718F3D"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8 (11.4)</w:t>
            </w:r>
          </w:p>
        </w:tc>
        <w:tc>
          <w:tcPr>
            <w:tcW w:w="683" w:type="pct"/>
          </w:tcPr>
          <w:p w14:paraId="5990D773"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5.0-11.0</w:t>
            </w:r>
          </w:p>
        </w:tc>
      </w:tr>
      <w:tr w:rsidR="003967F1" w:rsidRPr="00830E89" w14:paraId="540102F4" w14:textId="77777777" w:rsidTr="0081090E">
        <w:trPr>
          <w:trHeight w:val="382"/>
          <w:jc w:val="center"/>
        </w:trPr>
        <w:tc>
          <w:tcPr>
            <w:tcW w:w="886" w:type="pct"/>
          </w:tcPr>
          <w:p w14:paraId="15C3D02A" w14:textId="77777777" w:rsidR="003967F1" w:rsidRDefault="003967F1" w:rsidP="0081090E">
            <w:pPr>
              <w:pStyle w:val="NoSpacing"/>
              <w:jc w:val="center"/>
              <w:rPr>
                <w:rFonts w:asciiTheme="minorHAnsi" w:hAnsiTheme="minorHAnsi"/>
                <w:sz w:val="24"/>
                <w:szCs w:val="24"/>
              </w:rPr>
            </w:pPr>
            <w:r>
              <w:rPr>
                <w:rFonts w:asciiTheme="minorHAnsi" w:hAnsiTheme="minorHAnsi"/>
                <w:sz w:val="24"/>
                <w:szCs w:val="24"/>
              </w:rPr>
              <w:t>NG Mono infections</w:t>
            </w:r>
          </w:p>
        </w:tc>
        <w:tc>
          <w:tcPr>
            <w:tcW w:w="681" w:type="pct"/>
          </w:tcPr>
          <w:p w14:paraId="141593C2"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1 (0.3)</w:t>
            </w:r>
          </w:p>
        </w:tc>
        <w:tc>
          <w:tcPr>
            <w:tcW w:w="622" w:type="pct"/>
          </w:tcPr>
          <w:p w14:paraId="1AD22B4E"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0.0-0.2</w:t>
            </w:r>
          </w:p>
        </w:tc>
        <w:tc>
          <w:tcPr>
            <w:tcW w:w="722" w:type="pct"/>
          </w:tcPr>
          <w:p w14:paraId="0BD42129"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6 (3.5)</w:t>
            </w:r>
          </w:p>
        </w:tc>
        <w:tc>
          <w:tcPr>
            <w:tcW w:w="683" w:type="pct"/>
          </w:tcPr>
          <w:p w14:paraId="6408E2DB"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1.6-7.4</w:t>
            </w:r>
          </w:p>
        </w:tc>
        <w:tc>
          <w:tcPr>
            <w:tcW w:w="722" w:type="pct"/>
          </w:tcPr>
          <w:p w14:paraId="43F3D7E8"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22 (31.4)</w:t>
            </w:r>
          </w:p>
        </w:tc>
        <w:tc>
          <w:tcPr>
            <w:tcW w:w="683" w:type="pct"/>
          </w:tcPr>
          <w:p w14:paraId="7CAEABC8" w14:textId="77777777" w:rsidR="003967F1" w:rsidRDefault="003967F1" w:rsidP="0081090E">
            <w:pPr>
              <w:pStyle w:val="NoSpacing"/>
              <w:jc w:val="center"/>
              <w:rPr>
                <w:rFonts w:asciiTheme="minorHAnsi" w:hAnsiTheme="minorHAnsi"/>
                <w:color w:val="000000"/>
                <w:sz w:val="24"/>
                <w:szCs w:val="24"/>
              </w:rPr>
            </w:pPr>
            <w:r>
              <w:rPr>
                <w:rFonts w:asciiTheme="minorHAnsi" w:hAnsiTheme="minorHAnsi"/>
                <w:color w:val="000000"/>
                <w:sz w:val="24"/>
                <w:szCs w:val="24"/>
              </w:rPr>
              <w:t>21.8-43.0</w:t>
            </w:r>
          </w:p>
        </w:tc>
      </w:tr>
      <w:tr w:rsidR="003967F1" w:rsidRPr="00830E89" w14:paraId="7F605E14" w14:textId="77777777" w:rsidTr="0081090E">
        <w:trPr>
          <w:trHeight w:val="127"/>
          <w:jc w:val="center"/>
        </w:trPr>
        <w:tc>
          <w:tcPr>
            <w:tcW w:w="886" w:type="pct"/>
          </w:tcPr>
          <w:p w14:paraId="45DB28AD"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bCs/>
                <w:kern w:val="24"/>
                <w:lang w:eastAsia="en-US"/>
              </w:rPr>
              <w:t>CT-MG</w:t>
            </w:r>
            <w:r>
              <w:rPr>
                <w:rFonts w:asciiTheme="minorHAnsi" w:hAnsiTheme="minorHAnsi" w:cs="Arial"/>
                <w:bCs/>
                <w:kern w:val="24"/>
                <w:lang w:eastAsia="en-US"/>
              </w:rPr>
              <w:t xml:space="preserve"> co-infection</w:t>
            </w:r>
          </w:p>
        </w:tc>
        <w:tc>
          <w:tcPr>
            <w:tcW w:w="681" w:type="pct"/>
          </w:tcPr>
          <w:p w14:paraId="03B44D1E"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5 (1.6)</w:t>
            </w:r>
          </w:p>
        </w:tc>
        <w:tc>
          <w:tcPr>
            <w:tcW w:w="622" w:type="pct"/>
          </w:tcPr>
          <w:p w14:paraId="36FF2A53"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0.7-3.8</w:t>
            </w:r>
          </w:p>
        </w:tc>
        <w:tc>
          <w:tcPr>
            <w:tcW w:w="722" w:type="pct"/>
          </w:tcPr>
          <w:p w14:paraId="7607955B"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5 (2.9)</w:t>
            </w:r>
          </w:p>
        </w:tc>
        <w:tc>
          <w:tcPr>
            <w:tcW w:w="683" w:type="pct"/>
          </w:tcPr>
          <w:p w14:paraId="1BF9B0C8"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1.2-6.6</w:t>
            </w:r>
          </w:p>
        </w:tc>
        <w:tc>
          <w:tcPr>
            <w:tcW w:w="722" w:type="pct"/>
          </w:tcPr>
          <w:p w14:paraId="54FFB1B6"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0 (0)</w:t>
            </w:r>
          </w:p>
        </w:tc>
        <w:tc>
          <w:tcPr>
            <w:tcW w:w="683" w:type="pct"/>
          </w:tcPr>
          <w:p w14:paraId="705170C6"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w:t>
            </w:r>
          </w:p>
        </w:tc>
      </w:tr>
      <w:tr w:rsidR="003967F1" w:rsidRPr="00830E89" w14:paraId="3CC729A1" w14:textId="77777777" w:rsidTr="0081090E">
        <w:trPr>
          <w:trHeight w:val="127"/>
          <w:jc w:val="center"/>
        </w:trPr>
        <w:tc>
          <w:tcPr>
            <w:tcW w:w="886" w:type="pct"/>
          </w:tcPr>
          <w:p w14:paraId="2F0612BD" w14:textId="77777777" w:rsidR="003967F1" w:rsidRPr="00A100E9" w:rsidRDefault="003967F1" w:rsidP="0081090E">
            <w:pPr>
              <w:pStyle w:val="NormalWeb"/>
              <w:jc w:val="center"/>
              <w:rPr>
                <w:rFonts w:asciiTheme="minorHAnsi" w:hAnsiTheme="minorHAnsi" w:cs="Arial"/>
                <w:bCs/>
                <w:kern w:val="24"/>
                <w:lang w:eastAsia="en-US"/>
              </w:rPr>
            </w:pPr>
            <w:r w:rsidRPr="00A100E9">
              <w:rPr>
                <w:rFonts w:asciiTheme="minorHAnsi" w:hAnsiTheme="minorHAnsi" w:cs="Arial"/>
                <w:bCs/>
                <w:kern w:val="24"/>
                <w:lang w:eastAsia="en-US"/>
              </w:rPr>
              <w:t>CT-NG</w:t>
            </w:r>
            <w:r>
              <w:rPr>
                <w:rFonts w:asciiTheme="minorHAnsi" w:hAnsiTheme="minorHAnsi" w:cs="Arial"/>
                <w:bCs/>
                <w:kern w:val="24"/>
                <w:lang w:eastAsia="en-US"/>
              </w:rPr>
              <w:t xml:space="preserve"> co-infection</w:t>
            </w:r>
          </w:p>
        </w:tc>
        <w:tc>
          <w:tcPr>
            <w:tcW w:w="681" w:type="pct"/>
          </w:tcPr>
          <w:p w14:paraId="17099EAD"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1 (0.3)</w:t>
            </w:r>
          </w:p>
        </w:tc>
        <w:tc>
          <w:tcPr>
            <w:tcW w:w="622" w:type="pct"/>
          </w:tcPr>
          <w:p w14:paraId="6719074C"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0.0-0.2</w:t>
            </w:r>
          </w:p>
        </w:tc>
        <w:tc>
          <w:tcPr>
            <w:tcW w:w="722" w:type="pct"/>
          </w:tcPr>
          <w:p w14:paraId="4639CE25"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4 (2.3)</w:t>
            </w:r>
          </w:p>
        </w:tc>
        <w:tc>
          <w:tcPr>
            <w:tcW w:w="683" w:type="pct"/>
          </w:tcPr>
          <w:p w14:paraId="32A62B9F"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0.9-5.8</w:t>
            </w:r>
          </w:p>
        </w:tc>
        <w:tc>
          <w:tcPr>
            <w:tcW w:w="722" w:type="pct"/>
          </w:tcPr>
          <w:p w14:paraId="2BE445DC"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5 (7.1)</w:t>
            </w:r>
          </w:p>
        </w:tc>
        <w:tc>
          <w:tcPr>
            <w:tcW w:w="683" w:type="pct"/>
          </w:tcPr>
          <w:p w14:paraId="6F58CD41"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3.1-15.7</w:t>
            </w:r>
          </w:p>
        </w:tc>
      </w:tr>
      <w:tr w:rsidR="003967F1" w:rsidRPr="00830E89" w14:paraId="266F51E0" w14:textId="77777777" w:rsidTr="0081090E">
        <w:trPr>
          <w:trHeight w:val="127"/>
          <w:jc w:val="center"/>
        </w:trPr>
        <w:tc>
          <w:tcPr>
            <w:tcW w:w="886" w:type="pct"/>
          </w:tcPr>
          <w:p w14:paraId="3F94D86F" w14:textId="77777777" w:rsidR="003967F1" w:rsidRPr="00A100E9" w:rsidRDefault="003967F1" w:rsidP="0081090E">
            <w:pPr>
              <w:pStyle w:val="NormalWeb"/>
              <w:jc w:val="center"/>
              <w:rPr>
                <w:rFonts w:asciiTheme="minorHAnsi" w:hAnsiTheme="minorHAnsi" w:cs="Arial"/>
                <w:bCs/>
                <w:kern w:val="24"/>
                <w:lang w:eastAsia="en-US"/>
              </w:rPr>
            </w:pPr>
            <w:r w:rsidRPr="00A100E9">
              <w:rPr>
                <w:rFonts w:asciiTheme="minorHAnsi" w:hAnsiTheme="minorHAnsi" w:cs="Arial"/>
                <w:bCs/>
                <w:kern w:val="24"/>
                <w:lang w:eastAsia="en-US"/>
              </w:rPr>
              <w:t>CT-MG-NG</w:t>
            </w:r>
            <w:r>
              <w:rPr>
                <w:rFonts w:asciiTheme="minorHAnsi" w:hAnsiTheme="minorHAnsi" w:cs="Arial"/>
                <w:bCs/>
                <w:kern w:val="24"/>
                <w:lang w:eastAsia="en-US"/>
              </w:rPr>
              <w:t xml:space="preserve"> co-infections</w:t>
            </w:r>
          </w:p>
        </w:tc>
        <w:tc>
          <w:tcPr>
            <w:tcW w:w="681" w:type="pct"/>
          </w:tcPr>
          <w:p w14:paraId="4C3FF716"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2 (0.7)</w:t>
            </w:r>
          </w:p>
        </w:tc>
        <w:tc>
          <w:tcPr>
            <w:tcW w:w="622" w:type="pct"/>
          </w:tcPr>
          <w:p w14:paraId="4CF6DBE3"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0.2-2.3</w:t>
            </w:r>
          </w:p>
        </w:tc>
        <w:tc>
          <w:tcPr>
            <w:tcW w:w="722" w:type="pct"/>
          </w:tcPr>
          <w:p w14:paraId="355E6596"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0 (0)</w:t>
            </w:r>
          </w:p>
        </w:tc>
        <w:tc>
          <w:tcPr>
            <w:tcW w:w="683" w:type="pct"/>
          </w:tcPr>
          <w:p w14:paraId="016C0855"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w:t>
            </w:r>
          </w:p>
        </w:tc>
        <w:tc>
          <w:tcPr>
            <w:tcW w:w="722" w:type="pct"/>
          </w:tcPr>
          <w:p w14:paraId="28885A61"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0 (0)</w:t>
            </w:r>
          </w:p>
        </w:tc>
        <w:tc>
          <w:tcPr>
            <w:tcW w:w="683" w:type="pct"/>
          </w:tcPr>
          <w:p w14:paraId="1200093E" w14:textId="77777777" w:rsidR="003967F1" w:rsidRPr="00A100E9" w:rsidRDefault="003967F1" w:rsidP="0081090E">
            <w:pPr>
              <w:jc w:val="center"/>
              <w:rPr>
                <w:rFonts w:asciiTheme="minorHAnsi" w:hAnsiTheme="minorHAnsi"/>
                <w:sz w:val="24"/>
                <w:szCs w:val="24"/>
              </w:rPr>
            </w:pPr>
            <w:r w:rsidRPr="00A100E9">
              <w:rPr>
                <w:rFonts w:asciiTheme="minorHAnsi" w:hAnsiTheme="minorHAnsi"/>
                <w:sz w:val="24"/>
                <w:szCs w:val="24"/>
              </w:rPr>
              <w:t>-</w:t>
            </w:r>
          </w:p>
        </w:tc>
      </w:tr>
      <w:tr w:rsidR="003967F1" w:rsidRPr="00830E89" w14:paraId="60B74B3D" w14:textId="77777777" w:rsidTr="0081090E">
        <w:trPr>
          <w:trHeight w:val="121"/>
          <w:jc w:val="center"/>
        </w:trPr>
        <w:tc>
          <w:tcPr>
            <w:tcW w:w="886" w:type="pct"/>
          </w:tcPr>
          <w:p w14:paraId="17A4BF01" w14:textId="77777777" w:rsidR="003967F1" w:rsidRPr="00A100E9" w:rsidRDefault="003967F1" w:rsidP="0081090E">
            <w:pPr>
              <w:pStyle w:val="NormalWeb"/>
              <w:jc w:val="center"/>
              <w:rPr>
                <w:rFonts w:asciiTheme="minorHAnsi" w:hAnsiTheme="minorHAnsi" w:cs="Arial"/>
                <w:bCs/>
                <w:kern w:val="24"/>
                <w:lang w:eastAsia="en-US"/>
              </w:rPr>
            </w:pPr>
            <w:r w:rsidRPr="00A100E9">
              <w:rPr>
                <w:rFonts w:asciiTheme="minorHAnsi" w:hAnsiTheme="minorHAnsi" w:cs="Arial"/>
                <w:bCs/>
                <w:kern w:val="24"/>
                <w:lang w:eastAsia="en-US"/>
              </w:rPr>
              <w:t>MG-NG</w:t>
            </w:r>
            <w:r>
              <w:rPr>
                <w:rFonts w:asciiTheme="minorHAnsi" w:hAnsiTheme="minorHAnsi" w:cs="Arial"/>
                <w:bCs/>
                <w:kern w:val="24"/>
                <w:lang w:eastAsia="en-US"/>
              </w:rPr>
              <w:t xml:space="preserve"> co-infection</w:t>
            </w:r>
          </w:p>
        </w:tc>
        <w:tc>
          <w:tcPr>
            <w:tcW w:w="681" w:type="pct"/>
          </w:tcPr>
          <w:p w14:paraId="2640432C"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0 (0)</w:t>
            </w:r>
          </w:p>
        </w:tc>
        <w:tc>
          <w:tcPr>
            <w:tcW w:w="622" w:type="pct"/>
          </w:tcPr>
          <w:p w14:paraId="0A5DBADA"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w:t>
            </w:r>
          </w:p>
        </w:tc>
        <w:tc>
          <w:tcPr>
            <w:tcW w:w="722" w:type="pct"/>
          </w:tcPr>
          <w:p w14:paraId="48D60071"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0 (0)</w:t>
            </w:r>
          </w:p>
        </w:tc>
        <w:tc>
          <w:tcPr>
            <w:tcW w:w="683" w:type="pct"/>
          </w:tcPr>
          <w:p w14:paraId="54DBDCEF" w14:textId="77777777" w:rsidR="003967F1" w:rsidRPr="00A100E9" w:rsidRDefault="003967F1" w:rsidP="0081090E">
            <w:pPr>
              <w:pStyle w:val="NormalWeb"/>
              <w:spacing w:before="0" w:beforeAutospacing="0" w:after="0" w:afterAutospacing="0"/>
              <w:jc w:val="center"/>
              <w:textAlignment w:val="center"/>
              <w:rPr>
                <w:rFonts w:asciiTheme="minorHAnsi" w:hAnsiTheme="minorHAnsi" w:cs="Arial"/>
                <w:lang w:eastAsia="en-US"/>
              </w:rPr>
            </w:pPr>
            <w:r w:rsidRPr="00A100E9">
              <w:rPr>
                <w:rFonts w:asciiTheme="minorHAnsi" w:hAnsiTheme="minorHAnsi" w:cs="Arial"/>
                <w:color w:val="000000"/>
                <w:kern w:val="24"/>
                <w:lang w:eastAsia="en-US"/>
              </w:rPr>
              <w:t>-</w:t>
            </w:r>
          </w:p>
        </w:tc>
        <w:tc>
          <w:tcPr>
            <w:tcW w:w="722" w:type="pct"/>
          </w:tcPr>
          <w:p w14:paraId="11B791F2" w14:textId="77777777" w:rsidR="003967F1" w:rsidRPr="00A100E9" w:rsidRDefault="003967F1" w:rsidP="0081090E">
            <w:pPr>
              <w:jc w:val="center"/>
              <w:rPr>
                <w:rFonts w:asciiTheme="minorHAnsi" w:hAnsiTheme="minorHAnsi"/>
                <w:sz w:val="24"/>
                <w:szCs w:val="24"/>
              </w:rPr>
            </w:pPr>
            <w:r w:rsidRPr="00A100E9">
              <w:rPr>
                <w:rFonts w:asciiTheme="minorHAnsi" w:hAnsiTheme="minorHAnsi"/>
                <w:sz w:val="24"/>
                <w:szCs w:val="24"/>
              </w:rPr>
              <w:t>0 (0)</w:t>
            </w:r>
          </w:p>
        </w:tc>
        <w:tc>
          <w:tcPr>
            <w:tcW w:w="683" w:type="pct"/>
          </w:tcPr>
          <w:p w14:paraId="4A66B194" w14:textId="77777777" w:rsidR="003967F1" w:rsidRPr="00A100E9" w:rsidRDefault="003967F1" w:rsidP="0081090E">
            <w:pPr>
              <w:jc w:val="center"/>
              <w:rPr>
                <w:rFonts w:asciiTheme="minorHAnsi" w:hAnsiTheme="minorHAnsi"/>
                <w:sz w:val="24"/>
                <w:szCs w:val="24"/>
              </w:rPr>
            </w:pPr>
            <w:r w:rsidRPr="00A100E9">
              <w:rPr>
                <w:rFonts w:asciiTheme="minorHAnsi" w:hAnsiTheme="minorHAnsi"/>
                <w:sz w:val="24"/>
                <w:szCs w:val="24"/>
              </w:rPr>
              <w:t>-</w:t>
            </w:r>
          </w:p>
        </w:tc>
      </w:tr>
    </w:tbl>
    <w:p w14:paraId="00BDA923" w14:textId="77777777" w:rsidR="006906B4" w:rsidRDefault="006906B4" w:rsidP="00FE1D26">
      <w:pPr>
        <w:spacing w:line="480" w:lineRule="auto"/>
        <w:rPr>
          <w:b/>
        </w:rPr>
      </w:pPr>
    </w:p>
    <w:p w14:paraId="53CF7976" w14:textId="07FC9A71" w:rsidR="00FE1D26" w:rsidRPr="00080EF0" w:rsidRDefault="00FE1D26" w:rsidP="00080EF0">
      <w:pPr>
        <w:spacing w:line="480" w:lineRule="auto"/>
        <w:rPr>
          <w:b/>
        </w:rPr>
      </w:pPr>
      <w:r>
        <w:rPr>
          <w:b/>
        </w:rPr>
        <w:t>CT, MG and NG infection and co-infection prevalence by anatomical site in MSM</w:t>
      </w:r>
    </w:p>
    <w:p w14:paraId="27E8B410" w14:textId="0F21F1A3" w:rsidR="006254A2" w:rsidRDefault="006F03E3" w:rsidP="00080EF0">
      <w:pPr>
        <w:spacing w:line="480" w:lineRule="auto"/>
      </w:pPr>
      <w:r>
        <w:lastRenderedPageBreak/>
        <w:t xml:space="preserve">As shown in table </w:t>
      </w:r>
      <w:r w:rsidR="00214AA8">
        <w:t>2</w:t>
      </w:r>
      <w:r>
        <w:t>, i</w:t>
      </w:r>
      <w:r w:rsidR="004204F8">
        <w:t>n MSM</w:t>
      </w:r>
      <w:r w:rsidR="006D6237">
        <w:t xml:space="preserve"> that provided any sample</w:t>
      </w:r>
      <w:r w:rsidR="004204F8">
        <w:t xml:space="preserve">, </w:t>
      </w:r>
      <w:r w:rsidR="008A3C54">
        <w:t xml:space="preserve">there </w:t>
      </w:r>
      <w:r w:rsidR="00132224">
        <w:t xml:space="preserve">were </w:t>
      </w:r>
      <w:r w:rsidR="008A3C54">
        <w:t>no MG co-infections at any anatomical site. CT-NG co-infections were identified in urine and rectal samples, but t</w:t>
      </w:r>
      <w:r w:rsidR="00DC2D10">
        <w:t xml:space="preserve">here were no pharyngeal co-infections. </w:t>
      </w:r>
      <w:r w:rsidR="00DC2D10" w:rsidDel="00DC2D10">
        <w:t xml:space="preserve"> </w:t>
      </w:r>
    </w:p>
    <w:p w14:paraId="256E9939" w14:textId="35C7F1B1" w:rsidR="003967F1" w:rsidRDefault="003967F1" w:rsidP="00720644">
      <w:pPr>
        <w:spacing w:before="240" w:line="480" w:lineRule="auto"/>
      </w:pPr>
    </w:p>
    <w:p w14:paraId="528FF17C" w14:textId="243FA84C" w:rsidR="003967F1" w:rsidRDefault="00340E05" w:rsidP="00080EF0">
      <w:pPr>
        <w:spacing w:line="480" w:lineRule="auto"/>
      </w:pPr>
      <w:r w:rsidRPr="00B16B93">
        <w:rPr>
          <w:i/>
        </w:rPr>
        <w:t xml:space="preserve">Table </w:t>
      </w:r>
      <w:r>
        <w:rPr>
          <w:i/>
        </w:rPr>
        <w:t>2</w:t>
      </w:r>
      <w:r w:rsidRPr="00B16B93">
        <w:rPr>
          <w:i/>
        </w:rPr>
        <w:t xml:space="preserve">: </w:t>
      </w:r>
      <w:r>
        <w:rPr>
          <w:i/>
        </w:rPr>
        <w:t>CT, NG and MG</w:t>
      </w:r>
      <w:r w:rsidRPr="00B16B93">
        <w:rPr>
          <w:i/>
        </w:rPr>
        <w:t xml:space="preserve"> prevalence and co-infection by anatomical site</w:t>
      </w:r>
      <w:r>
        <w:rPr>
          <w:i/>
        </w:rPr>
        <w:t xml:space="preserve"> in MS</w:t>
      </w:r>
      <w:r w:rsidRPr="00080EF0">
        <w:rPr>
          <w:i/>
        </w:rPr>
        <w:t>M</w:t>
      </w:r>
    </w:p>
    <w:tbl>
      <w:tblPr>
        <w:tblStyle w:val="TableGridLight"/>
        <w:tblW w:w="5000" w:type="pct"/>
        <w:tblLook w:val="00A0" w:firstRow="1" w:lastRow="0" w:firstColumn="1" w:lastColumn="0" w:noHBand="0" w:noVBand="0"/>
      </w:tblPr>
      <w:tblGrid>
        <w:gridCol w:w="1489"/>
        <w:gridCol w:w="1246"/>
        <w:gridCol w:w="1248"/>
        <w:gridCol w:w="1246"/>
        <w:gridCol w:w="1210"/>
        <w:gridCol w:w="1297"/>
        <w:gridCol w:w="1280"/>
      </w:tblGrid>
      <w:tr w:rsidR="003967F1" w:rsidRPr="00830E89" w14:paraId="005ECABF" w14:textId="77777777" w:rsidTr="0081090E">
        <w:trPr>
          <w:trHeight w:val="589"/>
        </w:trPr>
        <w:tc>
          <w:tcPr>
            <w:tcW w:w="826" w:type="pct"/>
          </w:tcPr>
          <w:p w14:paraId="48595A60"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Total samples</w:t>
            </w:r>
          </w:p>
        </w:tc>
        <w:tc>
          <w:tcPr>
            <w:tcW w:w="1383" w:type="pct"/>
            <w:gridSpan w:val="2"/>
          </w:tcPr>
          <w:p w14:paraId="26ECEFFD"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URINE</w:t>
            </w:r>
          </w:p>
          <w:p w14:paraId="6ABF91F4"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79</w:t>
            </w:r>
          </w:p>
        </w:tc>
        <w:tc>
          <w:tcPr>
            <w:tcW w:w="1362" w:type="pct"/>
            <w:gridSpan w:val="2"/>
          </w:tcPr>
          <w:p w14:paraId="524F1DB3"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RECTAL</w:t>
            </w:r>
          </w:p>
          <w:p w14:paraId="4033309F"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79</w:t>
            </w:r>
          </w:p>
        </w:tc>
        <w:tc>
          <w:tcPr>
            <w:tcW w:w="1429" w:type="pct"/>
            <w:gridSpan w:val="2"/>
          </w:tcPr>
          <w:p w14:paraId="06DD2060"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PHARYNGEAL</w:t>
            </w:r>
          </w:p>
          <w:p w14:paraId="6C2FC9D4"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85</w:t>
            </w:r>
          </w:p>
        </w:tc>
      </w:tr>
      <w:tr w:rsidR="003967F1" w:rsidRPr="00830E89" w14:paraId="35616C01" w14:textId="77777777" w:rsidTr="003967F1">
        <w:trPr>
          <w:trHeight w:val="589"/>
        </w:trPr>
        <w:tc>
          <w:tcPr>
            <w:tcW w:w="826" w:type="pct"/>
          </w:tcPr>
          <w:p w14:paraId="4F94B742" w14:textId="77777777" w:rsidR="003967F1" w:rsidRPr="00B16B93" w:rsidRDefault="003967F1" w:rsidP="0081090E">
            <w:pPr>
              <w:pStyle w:val="NoSpacing"/>
              <w:jc w:val="center"/>
              <w:rPr>
                <w:rFonts w:asciiTheme="minorHAnsi" w:hAnsiTheme="minorHAnsi"/>
                <w:b/>
                <w:sz w:val="24"/>
                <w:szCs w:val="24"/>
              </w:rPr>
            </w:pPr>
          </w:p>
        </w:tc>
        <w:tc>
          <w:tcPr>
            <w:tcW w:w="691" w:type="pct"/>
          </w:tcPr>
          <w:p w14:paraId="17474FD3" w14:textId="77777777" w:rsidR="003967F1" w:rsidRPr="00B16B93" w:rsidRDefault="003967F1" w:rsidP="0081090E">
            <w:pPr>
              <w:pStyle w:val="NoSpacing"/>
              <w:jc w:val="center"/>
              <w:rPr>
                <w:rFonts w:asciiTheme="minorHAnsi" w:hAnsiTheme="minorHAnsi"/>
                <w:b/>
                <w:sz w:val="24"/>
                <w:szCs w:val="24"/>
              </w:rPr>
            </w:pPr>
            <w:r w:rsidRPr="00B16B93">
              <w:rPr>
                <w:rFonts w:asciiTheme="minorHAnsi" w:hAnsiTheme="minorHAnsi"/>
                <w:b/>
                <w:bCs/>
                <w:sz w:val="24"/>
                <w:szCs w:val="24"/>
              </w:rPr>
              <w:t>No. positive (%)</w:t>
            </w:r>
          </w:p>
        </w:tc>
        <w:tc>
          <w:tcPr>
            <w:tcW w:w="692" w:type="pct"/>
          </w:tcPr>
          <w:p w14:paraId="25CE0248" w14:textId="77777777" w:rsidR="003967F1" w:rsidRPr="00B16B93" w:rsidRDefault="003967F1" w:rsidP="0081090E">
            <w:pPr>
              <w:pStyle w:val="NoSpacing"/>
              <w:jc w:val="center"/>
              <w:rPr>
                <w:rFonts w:asciiTheme="minorHAnsi" w:hAnsiTheme="minorHAnsi"/>
                <w:b/>
                <w:sz w:val="24"/>
                <w:szCs w:val="24"/>
              </w:rPr>
            </w:pPr>
            <w:r w:rsidRPr="00B16B93">
              <w:rPr>
                <w:rFonts w:asciiTheme="minorHAnsi" w:hAnsiTheme="minorHAnsi"/>
                <w:b/>
                <w:sz w:val="24"/>
                <w:szCs w:val="24"/>
              </w:rPr>
              <w:t>95%CI</w:t>
            </w:r>
          </w:p>
        </w:tc>
        <w:tc>
          <w:tcPr>
            <w:tcW w:w="691" w:type="pct"/>
          </w:tcPr>
          <w:p w14:paraId="6B3A5992" w14:textId="77777777" w:rsidR="003967F1" w:rsidRPr="00B16B93" w:rsidRDefault="003967F1" w:rsidP="0081090E">
            <w:pPr>
              <w:pStyle w:val="NoSpacing"/>
              <w:jc w:val="center"/>
              <w:rPr>
                <w:rFonts w:asciiTheme="minorHAnsi" w:hAnsiTheme="minorHAnsi"/>
                <w:b/>
                <w:sz w:val="24"/>
                <w:szCs w:val="24"/>
              </w:rPr>
            </w:pPr>
            <w:r w:rsidRPr="00B16B93">
              <w:rPr>
                <w:rFonts w:asciiTheme="minorHAnsi" w:hAnsiTheme="minorHAnsi"/>
                <w:b/>
                <w:bCs/>
                <w:sz w:val="24"/>
                <w:szCs w:val="24"/>
              </w:rPr>
              <w:t>No. positive (%)</w:t>
            </w:r>
          </w:p>
        </w:tc>
        <w:tc>
          <w:tcPr>
            <w:tcW w:w="671" w:type="pct"/>
          </w:tcPr>
          <w:p w14:paraId="388B38F1" w14:textId="77777777" w:rsidR="003967F1" w:rsidRPr="00B16B93" w:rsidRDefault="003967F1" w:rsidP="0081090E">
            <w:pPr>
              <w:pStyle w:val="NoSpacing"/>
              <w:jc w:val="center"/>
              <w:rPr>
                <w:rFonts w:asciiTheme="minorHAnsi" w:hAnsiTheme="minorHAnsi"/>
                <w:b/>
                <w:sz w:val="24"/>
                <w:szCs w:val="24"/>
              </w:rPr>
            </w:pPr>
            <w:r w:rsidRPr="00B16B93">
              <w:rPr>
                <w:rFonts w:asciiTheme="minorHAnsi" w:hAnsiTheme="minorHAnsi"/>
                <w:b/>
                <w:sz w:val="24"/>
                <w:szCs w:val="24"/>
              </w:rPr>
              <w:t>95%CI</w:t>
            </w:r>
          </w:p>
        </w:tc>
        <w:tc>
          <w:tcPr>
            <w:tcW w:w="719" w:type="pct"/>
          </w:tcPr>
          <w:p w14:paraId="5014359D" w14:textId="77777777" w:rsidR="003967F1" w:rsidRPr="00B16B93" w:rsidRDefault="003967F1" w:rsidP="0081090E">
            <w:pPr>
              <w:pStyle w:val="NoSpacing"/>
              <w:jc w:val="center"/>
              <w:rPr>
                <w:rFonts w:asciiTheme="minorHAnsi" w:hAnsiTheme="minorHAnsi"/>
                <w:b/>
                <w:sz w:val="24"/>
                <w:szCs w:val="24"/>
              </w:rPr>
            </w:pPr>
            <w:r w:rsidRPr="00B16B93">
              <w:rPr>
                <w:rFonts w:asciiTheme="minorHAnsi" w:hAnsiTheme="minorHAnsi"/>
                <w:b/>
                <w:bCs/>
                <w:sz w:val="24"/>
                <w:szCs w:val="24"/>
              </w:rPr>
              <w:t>No. positive (%)</w:t>
            </w:r>
          </w:p>
        </w:tc>
        <w:tc>
          <w:tcPr>
            <w:tcW w:w="710" w:type="pct"/>
          </w:tcPr>
          <w:p w14:paraId="3259AD7D" w14:textId="77777777" w:rsidR="003967F1" w:rsidRPr="00B16B93" w:rsidRDefault="003967F1" w:rsidP="0081090E">
            <w:pPr>
              <w:pStyle w:val="NoSpacing"/>
              <w:jc w:val="center"/>
              <w:rPr>
                <w:rFonts w:asciiTheme="minorHAnsi" w:hAnsiTheme="minorHAnsi"/>
                <w:b/>
                <w:sz w:val="24"/>
                <w:szCs w:val="24"/>
              </w:rPr>
            </w:pPr>
            <w:r w:rsidRPr="00B16B93">
              <w:rPr>
                <w:rFonts w:asciiTheme="minorHAnsi" w:hAnsiTheme="minorHAnsi"/>
                <w:b/>
                <w:sz w:val="24"/>
                <w:szCs w:val="24"/>
              </w:rPr>
              <w:t>95%CI</w:t>
            </w:r>
          </w:p>
        </w:tc>
      </w:tr>
      <w:tr w:rsidR="003967F1" w:rsidRPr="00830E89" w14:paraId="3DB8CFCB" w14:textId="77777777" w:rsidTr="003967F1">
        <w:trPr>
          <w:trHeight w:val="841"/>
        </w:trPr>
        <w:tc>
          <w:tcPr>
            <w:tcW w:w="826" w:type="pct"/>
          </w:tcPr>
          <w:p w14:paraId="757922CC"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Any infection of CT/NG/MG</w:t>
            </w:r>
          </w:p>
        </w:tc>
        <w:tc>
          <w:tcPr>
            <w:tcW w:w="691" w:type="pct"/>
          </w:tcPr>
          <w:p w14:paraId="4338F467"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 xml:space="preserve"> 17 (21.5)</w:t>
            </w:r>
          </w:p>
        </w:tc>
        <w:tc>
          <w:tcPr>
            <w:tcW w:w="692" w:type="pct"/>
          </w:tcPr>
          <w:p w14:paraId="7B04FCD7"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13.9-31.8</w:t>
            </w:r>
          </w:p>
        </w:tc>
        <w:tc>
          <w:tcPr>
            <w:tcW w:w="691" w:type="pct"/>
          </w:tcPr>
          <w:p w14:paraId="0964B3C1"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32 (40.5)</w:t>
            </w:r>
          </w:p>
        </w:tc>
        <w:tc>
          <w:tcPr>
            <w:tcW w:w="671" w:type="pct"/>
          </w:tcPr>
          <w:p w14:paraId="77509919"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30.4-51.2</w:t>
            </w:r>
          </w:p>
        </w:tc>
        <w:tc>
          <w:tcPr>
            <w:tcW w:w="719" w:type="pct"/>
          </w:tcPr>
          <w:p w14:paraId="6A0E57CE"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16 (18.8)</w:t>
            </w:r>
          </w:p>
        </w:tc>
        <w:tc>
          <w:tcPr>
            <w:tcW w:w="710" w:type="pct"/>
          </w:tcPr>
          <w:p w14:paraId="434B6043"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11.9-28.4</w:t>
            </w:r>
          </w:p>
        </w:tc>
      </w:tr>
      <w:tr w:rsidR="003967F1" w:rsidRPr="00830E89" w14:paraId="2B021818" w14:textId="77777777" w:rsidTr="003967F1">
        <w:trPr>
          <w:trHeight w:val="589"/>
        </w:trPr>
        <w:tc>
          <w:tcPr>
            <w:tcW w:w="826" w:type="pct"/>
          </w:tcPr>
          <w:p w14:paraId="76087656" w14:textId="77777777" w:rsidR="003967F1" w:rsidRPr="00B16B93" w:rsidRDefault="003967F1" w:rsidP="0081090E">
            <w:pPr>
              <w:pStyle w:val="NoSpacing"/>
              <w:jc w:val="center"/>
              <w:rPr>
                <w:rFonts w:asciiTheme="minorHAnsi" w:hAnsiTheme="minorHAnsi"/>
                <w:sz w:val="24"/>
                <w:szCs w:val="24"/>
              </w:rPr>
            </w:pPr>
            <w:r w:rsidRPr="007160EA">
              <w:rPr>
                <w:rFonts w:asciiTheme="minorHAnsi" w:hAnsiTheme="minorHAnsi"/>
                <w:sz w:val="24"/>
                <w:szCs w:val="24"/>
              </w:rPr>
              <w:t>Overall CT infections</w:t>
            </w:r>
          </w:p>
        </w:tc>
        <w:tc>
          <w:tcPr>
            <w:tcW w:w="691" w:type="pct"/>
          </w:tcPr>
          <w:p w14:paraId="3DB0A80B"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5 (6.3)</w:t>
            </w:r>
          </w:p>
        </w:tc>
        <w:tc>
          <w:tcPr>
            <w:tcW w:w="692" w:type="pct"/>
          </w:tcPr>
          <w:p w14:paraId="3D2B8FEE"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2.7-14.0</w:t>
            </w:r>
          </w:p>
        </w:tc>
        <w:tc>
          <w:tcPr>
            <w:tcW w:w="691" w:type="pct"/>
          </w:tcPr>
          <w:p w14:paraId="4B3D6072"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6 (7.6)</w:t>
            </w:r>
          </w:p>
        </w:tc>
        <w:tc>
          <w:tcPr>
            <w:tcW w:w="671" w:type="pct"/>
          </w:tcPr>
          <w:p w14:paraId="0CA9DE18"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3.5-15.6</w:t>
            </w:r>
          </w:p>
        </w:tc>
        <w:tc>
          <w:tcPr>
            <w:tcW w:w="719" w:type="pct"/>
          </w:tcPr>
          <w:p w14:paraId="6BB9E8AD"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1 (1.2)</w:t>
            </w:r>
          </w:p>
        </w:tc>
        <w:tc>
          <w:tcPr>
            <w:tcW w:w="710" w:type="pct"/>
          </w:tcPr>
          <w:p w14:paraId="56202A42"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0.2-6.4</w:t>
            </w:r>
          </w:p>
        </w:tc>
      </w:tr>
      <w:tr w:rsidR="003967F1" w:rsidRPr="00830E89" w14:paraId="3E60D55D" w14:textId="77777777" w:rsidTr="003967F1">
        <w:trPr>
          <w:trHeight w:val="615"/>
        </w:trPr>
        <w:tc>
          <w:tcPr>
            <w:tcW w:w="826" w:type="pct"/>
          </w:tcPr>
          <w:p w14:paraId="0A631CB3" w14:textId="77777777" w:rsidR="003967F1" w:rsidRPr="00B16B93" w:rsidRDefault="003967F1" w:rsidP="0081090E">
            <w:pPr>
              <w:pStyle w:val="NoSpacing"/>
              <w:jc w:val="center"/>
              <w:rPr>
                <w:rFonts w:asciiTheme="minorHAnsi" w:hAnsiTheme="minorHAnsi"/>
                <w:sz w:val="24"/>
                <w:szCs w:val="24"/>
              </w:rPr>
            </w:pPr>
            <w:r w:rsidRPr="007160EA">
              <w:rPr>
                <w:rFonts w:asciiTheme="minorHAnsi" w:hAnsiTheme="minorHAnsi"/>
                <w:sz w:val="24"/>
                <w:szCs w:val="24"/>
              </w:rPr>
              <w:t>Overall NG infections</w:t>
            </w:r>
          </w:p>
        </w:tc>
        <w:tc>
          <w:tcPr>
            <w:tcW w:w="691" w:type="pct"/>
          </w:tcPr>
          <w:p w14:paraId="1750B98D"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11 (13.9)</w:t>
            </w:r>
          </w:p>
        </w:tc>
        <w:tc>
          <w:tcPr>
            <w:tcW w:w="692" w:type="pct"/>
          </w:tcPr>
          <w:p w14:paraId="0EEB0462"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8.0-23.2</w:t>
            </w:r>
          </w:p>
        </w:tc>
        <w:tc>
          <w:tcPr>
            <w:tcW w:w="691" w:type="pct"/>
          </w:tcPr>
          <w:p w14:paraId="6913D2E1"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22 (27.8)</w:t>
            </w:r>
          </w:p>
        </w:tc>
        <w:tc>
          <w:tcPr>
            <w:tcW w:w="671" w:type="pct"/>
          </w:tcPr>
          <w:p w14:paraId="388DF32E"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19.2-38.6</w:t>
            </w:r>
          </w:p>
        </w:tc>
        <w:tc>
          <w:tcPr>
            <w:tcW w:w="719" w:type="pct"/>
          </w:tcPr>
          <w:p w14:paraId="38B705B3"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15 (17.6)</w:t>
            </w:r>
          </w:p>
        </w:tc>
        <w:tc>
          <w:tcPr>
            <w:tcW w:w="710" w:type="pct"/>
          </w:tcPr>
          <w:p w14:paraId="606283A2"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11.0-27.1</w:t>
            </w:r>
          </w:p>
        </w:tc>
      </w:tr>
      <w:tr w:rsidR="003967F1" w:rsidRPr="00830E89" w14:paraId="3F1AFA8D" w14:textId="77777777" w:rsidTr="003967F1">
        <w:trPr>
          <w:trHeight w:val="589"/>
        </w:trPr>
        <w:tc>
          <w:tcPr>
            <w:tcW w:w="826" w:type="pct"/>
          </w:tcPr>
          <w:p w14:paraId="23E61FC3" w14:textId="77777777" w:rsidR="003967F1" w:rsidRPr="00B16B93" w:rsidRDefault="003967F1" w:rsidP="0081090E">
            <w:pPr>
              <w:pStyle w:val="NoSpacing"/>
              <w:jc w:val="center"/>
              <w:rPr>
                <w:rFonts w:asciiTheme="minorHAnsi" w:hAnsiTheme="minorHAnsi"/>
                <w:sz w:val="24"/>
                <w:szCs w:val="24"/>
              </w:rPr>
            </w:pPr>
            <w:r w:rsidRPr="007160EA">
              <w:rPr>
                <w:rFonts w:asciiTheme="minorHAnsi" w:hAnsiTheme="minorHAnsi"/>
                <w:sz w:val="24"/>
                <w:szCs w:val="24"/>
              </w:rPr>
              <w:t>Overall MG infections</w:t>
            </w:r>
          </w:p>
        </w:tc>
        <w:tc>
          <w:tcPr>
            <w:tcW w:w="691" w:type="pct"/>
          </w:tcPr>
          <w:p w14:paraId="4E5D408C"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2 (2.5)</w:t>
            </w:r>
          </w:p>
        </w:tc>
        <w:tc>
          <w:tcPr>
            <w:tcW w:w="692" w:type="pct"/>
          </w:tcPr>
          <w:p w14:paraId="6A822A5A"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0.7-8.8</w:t>
            </w:r>
          </w:p>
        </w:tc>
        <w:tc>
          <w:tcPr>
            <w:tcW w:w="691" w:type="pct"/>
          </w:tcPr>
          <w:p w14:paraId="1E9FA354"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6 (7.6)</w:t>
            </w:r>
          </w:p>
        </w:tc>
        <w:tc>
          <w:tcPr>
            <w:tcW w:w="671" w:type="pct"/>
          </w:tcPr>
          <w:p w14:paraId="6D497ED1"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3.5-15.6</w:t>
            </w:r>
          </w:p>
        </w:tc>
        <w:tc>
          <w:tcPr>
            <w:tcW w:w="719" w:type="pct"/>
          </w:tcPr>
          <w:p w14:paraId="379305B2"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 (0)</w:t>
            </w:r>
          </w:p>
        </w:tc>
        <w:tc>
          <w:tcPr>
            <w:tcW w:w="710" w:type="pct"/>
          </w:tcPr>
          <w:p w14:paraId="1E4E5B8D"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w:t>
            </w:r>
          </w:p>
        </w:tc>
      </w:tr>
      <w:tr w:rsidR="003967F1" w:rsidRPr="00830E89" w14:paraId="319CAB35" w14:textId="77777777" w:rsidTr="003967F1">
        <w:trPr>
          <w:trHeight w:val="589"/>
        </w:trPr>
        <w:tc>
          <w:tcPr>
            <w:tcW w:w="826" w:type="pct"/>
          </w:tcPr>
          <w:p w14:paraId="090AD442"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 xml:space="preserve">CT-MG </w:t>
            </w:r>
            <w:r w:rsidRPr="00B16B93">
              <w:rPr>
                <w:rFonts w:asciiTheme="minorHAnsi" w:hAnsiTheme="minorHAnsi" w:cs="Arial"/>
                <w:bCs/>
                <w:kern w:val="24"/>
                <w:sz w:val="24"/>
                <w:szCs w:val="24"/>
              </w:rPr>
              <w:t>co-infection</w:t>
            </w:r>
          </w:p>
        </w:tc>
        <w:tc>
          <w:tcPr>
            <w:tcW w:w="691" w:type="pct"/>
          </w:tcPr>
          <w:p w14:paraId="7F7DA411"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 (0)</w:t>
            </w:r>
          </w:p>
        </w:tc>
        <w:tc>
          <w:tcPr>
            <w:tcW w:w="692" w:type="pct"/>
          </w:tcPr>
          <w:p w14:paraId="120C13F1"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w:t>
            </w:r>
          </w:p>
        </w:tc>
        <w:tc>
          <w:tcPr>
            <w:tcW w:w="691" w:type="pct"/>
          </w:tcPr>
          <w:p w14:paraId="7465D073"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 (0)</w:t>
            </w:r>
          </w:p>
        </w:tc>
        <w:tc>
          <w:tcPr>
            <w:tcW w:w="671" w:type="pct"/>
          </w:tcPr>
          <w:p w14:paraId="00FACC0F"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w:t>
            </w:r>
          </w:p>
        </w:tc>
        <w:tc>
          <w:tcPr>
            <w:tcW w:w="719" w:type="pct"/>
          </w:tcPr>
          <w:p w14:paraId="30730DBA"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 (0)</w:t>
            </w:r>
          </w:p>
        </w:tc>
        <w:tc>
          <w:tcPr>
            <w:tcW w:w="710" w:type="pct"/>
          </w:tcPr>
          <w:p w14:paraId="48E26DD7"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w:t>
            </w:r>
          </w:p>
        </w:tc>
      </w:tr>
      <w:tr w:rsidR="003967F1" w:rsidRPr="00830E89" w14:paraId="4C09C193" w14:textId="77777777" w:rsidTr="003967F1">
        <w:trPr>
          <w:trHeight w:val="615"/>
        </w:trPr>
        <w:tc>
          <w:tcPr>
            <w:tcW w:w="826" w:type="pct"/>
          </w:tcPr>
          <w:p w14:paraId="6260E72B"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 xml:space="preserve">CT-NG </w:t>
            </w:r>
            <w:r w:rsidRPr="00B16B93">
              <w:rPr>
                <w:rFonts w:asciiTheme="minorHAnsi" w:hAnsiTheme="minorHAnsi" w:cs="Arial"/>
                <w:bCs/>
                <w:kern w:val="24"/>
                <w:sz w:val="24"/>
                <w:szCs w:val="24"/>
              </w:rPr>
              <w:t>co-infection</w:t>
            </w:r>
          </w:p>
        </w:tc>
        <w:tc>
          <w:tcPr>
            <w:tcW w:w="691" w:type="pct"/>
          </w:tcPr>
          <w:p w14:paraId="3A91516F"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1 (1.3)</w:t>
            </w:r>
          </w:p>
        </w:tc>
        <w:tc>
          <w:tcPr>
            <w:tcW w:w="692" w:type="pct"/>
          </w:tcPr>
          <w:p w14:paraId="73EDEFFB"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0.2-6.8</w:t>
            </w:r>
          </w:p>
        </w:tc>
        <w:tc>
          <w:tcPr>
            <w:tcW w:w="691" w:type="pct"/>
          </w:tcPr>
          <w:p w14:paraId="0A1C562A"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2 (2.5)</w:t>
            </w:r>
          </w:p>
        </w:tc>
        <w:tc>
          <w:tcPr>
            <w:tcW w:w="671" w:type="pct"/>
          </w:tcPr>
          <w:p w14:paraId="7C2244F9"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0.7-8.8</w:t>
            </w:r>
          </w:p>
        </w:tc>
        <w:tc>
          <w:tcPr>
            <w:tcW w:w="719" w:type="pct"/>
          </w:tcPr>
          <w:p w14:paraId="49BCFBBE"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 (0)</w:t>
            </w:r>
          </w:p>
        </w:tc>
        <w:tc>
          <w:tcPr>
            <w:tcW w:w="710" w:type="pct"/>
          </w:tcPr>
          <w:p w14:paraId="72128874"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w:t>
            </w:r>
          </w:p>
        </w:tc>
      </w:tr>
      <w:tr w:rsidR="003967F1" w:rsidRPr="00830E89" w14:paraId="772F9944" w14:textId="77777777" w:rsidTr="003967F1">
        <w:trPr>
          <w:trHeight w:val="589"/>
        </w:trPr>
        <w:tc>
          <w:tcPr>
            <w:tcW w:w="826" w:type="pct"/>
          </w:tcPr>
          <w:p w14:paraId="2D5412EC"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CT-NG-MG</w:t>
            </w:r>
            <w:r w:rsidRPr="00B16B93">
              <w:rPr>
                <w:rFonts w:asciiTheme="minorHAnsi" w:hAnsiTheme="minorHAnsi" w:cs="Arial"/>
                <w:bCs/>
                <w:kern w:val="24"/>
                <w:sz w:val="24"/>
                <w:szCs w:val="24"/>
              </w:rPr>
              <w:t xml:space="preserve"> co-infections</w:t>
            </w:r>
          </w:p>
        </w:tc>
        <w:tc>
          <w:tcPr>
            <w:tcW w:w="691" w:type="pct"/>
          </w:tcPr>
          <w:p w14:paraId="0D66BE81"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 (0)</w:t>
            </w:r>
          </w:p>
        </w:tc>
        <w:tc>
          <w:tcPr>
            <w:tcW w:w="692" w:type="pct"/>
          </w:tcPr>
          <w:p w14:paraId="39A71B61"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w:t>
            </w:r>
          </w:p>
        </w:tc>
        <w:tc>
          <w:tcPr>
            <w:tcW w:w="691" w:type="pct"/>
          </w:tcPr>
          <w:p w14:paraId="5AD21AC6"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 (0)</w:t>
            </w:r>
          </w:p>
        </w:tc>
        <w:tc>
          <w:tcPr>
            <w:tcW w:w="671" w:type="pct"/>
          </w:tcPr>
          <w:p w14:paraId="495A0328"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w:t>
            </w:r>
          </w:p>
        </w:tc>
        <w:tc>
          <w:tcPr>
            <w:tcW w:w="719" w:type="pct"/>
          </w:tcPr>
          <w:p w14:paraId="1D37FE95"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 (0)</w:t>
            </w:r>
          </w:p>
        </w:tc>
        <w:tc>
          <w:tcPr>
            <w:tcW w:w="710" w:type="pct"/>
          </w:tcPr>
          <w:p w14:paraId="082E66EF"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w:t>
            </w:r>
          </w:p>
        </w:tc>
      </w:tr>
      <w:tr w:rsidR="003967F1" w:rsidRPr="00830E89" w14:paraId="53663D1C" w14:textId="77777777" w:rsidTr="003967F1">
        <w:trPr>
          <w:trHeight w:val="589"/>
        </w:trPr>
        <w:tc>
          <w:tcPr>
            <w:tcW w:w="826" w:type="pct"/>
          </w:tcPr>
          <w:p w14:paraId="7817B99D"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MG-NG</w:t>
            </w:r>
            <w:r w:rsidRPr="00B16B93">
              <w:rPr>
                <w:rFonts w:asciiTheme="minorHAnsi" w:hAnsiTheme="minorHAnsi" w:cs="Arial"/>
                <w:bCs/>
                <w:kern w:val="24"/>
                <w:sz w:val="24"/>
                <w:szCs w:val="24"/>
              </w:rPr>
              <w:t xml:space="preserve"> co-infection</w:t>
            </w:r>
          </w:p>
        </w:tc>
        <w:tc>
          <w:tcPr>
            <w:tcW w:w="691" w:type="pct"/>
          </w:tcPr>
          <w:p w14:paraId="4138BC3D"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 (0)</w:t>
            </w:r>
          </w:p>
        </w:tc>
        <w:tc>
          <w:tcPr>
            <w:tcW w:w="692" w:type="pct"/>
          </w:tcPr>
          <w:p w14:paraId="389A41E8"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w:t>
            </w:r>
          </w:p>
        </w:tc>
        <w:tc>
          <w:tcPr>
            <w:tcW w:w="691" w:type="pct"/>
          </w:tcPr>
          <w:p w14:paraId="10DF41A4"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 (0)</w:t>
            </w:r>
          </w:p>
        </w:tc>
        <w:tc>
          <w:tcPr>
            <w:tcW w:w="671" w:type="pct"/>
          </w:tcPr>
          <w:p w14:paraId="5FE5FAAE"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w:t>
            </w:r>
          </w:p>
        </w:tc>
        <w:tc>
          <w:tcPr>
            <w:tcW w:w="719" w:type="pct"/>
          </w:tcPr>
          <w:p w14:paraId="14CED7B4"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0 (0)</w:t>
            </w:r>
          </w:p>
        </w:tc>
        <w:tc>
          <w:tcPr>
            <w:tcW w:w="710" w:type="pct"/>
          </w:tcPr>
          <w:p w14:paraId="5E35DCD8" w14:textId="77777777" w:rsidR="003967F1" w:rsidRPr="00B16B93" w:rsidRDefault="003967F1" w:rsidP="0081090E">
            <w:pPr>
              <w:pStyle w:val="NoSpacing"/>
              <w:jc w:val="center"/>
              <w:rPr>
                <w:rFonts w:asciiTheme="minorHAnsi" w:hAnsiTheme="minorHAnsi"/>
                <w:sz w:val="24"/>
                <w:szCs w:val="24"/>
              </w:rPr>
            </w:pPr>
            <w:r w:rsidRPr="00B16B93">
              <w:rPr>
                <w:rFonts w:asciiTheme="minorHAnsi" w:hAnsiTheme="minorHAnsi"/>
                <w:sz w:val="24"/>
                <w:szCs w:val="24"/>
              </w:rPr>
              <w:t>-</w:t>
            </w:r>
          </w:p>
        </w:tc>
      </w:tr>
    </w:tbl>
    <w:p w14:paraId="3F2059DA" w14:textId="77777777" w:rsidR="006906B4" w:rsidRDefault="006906B4" w:rsidP="00720644">
      <w:pPr>
        <w:spacing w:line="480" w:lineRule="auto"/>
        <w:rPr>
          <w:b/>
        </w:rPr>
      </w:pPr>
    </w:p>
    <w:p w14:paraId="41BB19DE" w14:textId="19FAA1DD" w:rsidR="00FE1D26" w:rsidRPr="00080EF0" w:rsidRDefault="00FE1D26" w:rsidP="00720644">
      <w:pPr>
        <w:spacing w:line="480" w:lineRule="auto"/>
        <w:rPr>
          <w:b/>
        </w:rPr>
      </w:pPr>
      <w:r>
        <w:rPr>
          <w:b/>
        </w:rPr>
        <w:t>MG macrolide and fluoroquinolone resistance</w:t>
      </w:r>
      <w:r w:rsidR="003912A2">
        <w:rPr>
          <w:b/>
        </w:rPr>
        <w:t xml:space="preserve"> by population group</w:t>
      </w:r>
    </w:p>
    <w:p w14:paraId="07F28949" w14:textId="26AA757B" w:rsidR="00942FA1" w:rsidRDefault="00D063AE" w:rsidP="00720644">
      <w:pPr>
        <w:spacing w:line="480" w:lineRule="auto"/>
      </w:pPr>
      <w:r>
        <w:t>A</w:t>
      </w:r>
      <w:r w:rsidR="005A06B6">
        <w:t>mong</w:t>
      </w:r>
      <w:r w:rsidR="003314A2">
        <w:t xml:space="preserve"> females and</w:t>
      </w:r>
      <w:r w:rsidR="005A06B6">
        <w:t xml:space="preserve"> MSM,</w:t>
      </w:r>
      <w:r w:rsidR="006C0600">
        <w:t xml:space="preserve"> </w:t>
      </w:r>
      <w:r w:rsidR="005A06B6">
        <w:t xml:space="preserve">there </w:t>
      </w:r>
      <w:r w:rsidR="002E7AEB">
        <w:t>w</w:t>
      </w:r>
      <w:r w:rsidR="00983ACD">
        <w:t xml:space="preserve">ere no mutations in either </w:t>
      </w:r>
      <w:proofErr w:type="spellStart"/>
      <w:r w:rsidR="00983ACD" w:rsidRPr="00B16B93">
        <w:rPr>
          <w:i/>
        </w:rPr>
        <w:t>gyrA</w:t>
      </w:r>
      <w:proofErr w:type="spellEnd"/>
      <w:r w:rsidR="00983ACD">
        <w:t xml:space="preserve"> or </w:t>
      </w:r>
      <w:proofErr w:type="spellStart"/>
      <w:r w:rsidR="00983ACD" w:rsidRPr="00B16B93">
        <w:rPr>
          <w:i/>
        </w:rPr>
        <w:t>parC</w:t>
      </w:r>
      <w:proofErr w:type="spellEnd"/>
      <w:r w:rsidR="00983ACD" w:rsidRPr="00B16B93">
        <w:rPr>
          <w:i/>
        </w:rPr>
        <w:t xml:space="preserve"> </w:t>
      </w:r>
      <w:r w:rsidR="006D6237">
        <w:t xml:space="preserve">associated with </w:t>
      </w:r>
      <w:r w:rsidR="005A06B6">
        <w:t>fluoroquinolone resistance</w:t>
      </w:r>
      <w:r w:rsidR="00FE1D26">
        <w:t xml:space="preserve"> for MG</w:t>
      </w:r>
      <w:r w:rsidR="005A06B6">
        <w:t>. In MSW, one MG</w:t>
      </w:r>
      <w:r w:rsidR="003314A2">
        <w:t xml:space="preserve"> (mono-infection)</w:t>
      </w:r>
      <w:r w:rsidR="005A06B6">
        <w:t xml:space="preserve"> (</w:t>
      </w:r>
      <w:r w:rsidR="0029513D">
        <w:t>3.3</w:t>
      </w:r>
      <w:r w:rsidR="005A06B6">
        <w:t>%</w:t>
      </w:r>
      <w:r w:rsidR="0029513D">
        <w:t>, 1/30 95%CI 0.6-16.7</w:t>
      </w:r>
      <w:r w:rsidR="005A06B6">
        <w:t>)</w:t>
      </w:r>
      <w:r w:rsidR="00983ACD">
        <w:t xml:space="preserve"> had mutations in </w:t>
      </w:r>
      <w:proofErr w:type="spellStart"/>
      <w:r w:rsidR="00983ACD" w:rsidRPr="00B16B93">
        <w:rPr>
          <w:i/>
        </w:rPr>
        <w:t>parC</w:t>
      </w:r>
      <w:proofErr w:type="spellEnd"/>
      <w:r w:rsidR="00983ACD">
        <w:t xml:space="preserve"> at position S83</w:t>
      </w:r>
      <w:bookmarkStart w:id="15" w:name="_Hlk28878546"/>
      <w:r w:rsidR="007F1E22">
        <w:t>.</w:t>
      </w:r>
      <w:r w:rsidR="006F03E3" w:rsidDel="006F03E3">
        <w:t xml:space="preserve"> </w:t>
      </w:r>
      <w:r w:rsidR="00E77B07">
        <w:t>N</w:t>
      </w:r>
      <w:r w:rsidR="005A06B6">
        <w:t xml:space="preserve">o resistance towards macrolides or </w:t>
      </w:r>
      <w:r w:rsidR="00BF450C">
        <w:t>fluoroquinolones</w:t>
      </w:r>
      <w:r w:rsidR="00E77B07">
        <w:t xml:space="preserve"> was</w:t>
      </w:r>
      <w:r w:rsidR="00BF450C">
        <w:t xml:space="preserve"> detected in</w:t>
      </w:r>
      <w:r w:rsidR="005A06B6">
        <w:t xml:space="preserve"> MG</w:t>
      </w:r>
      <w:r w:rsidR="003912A2">
        <w:t>-</w:t>
      </w:r>
      <w:r w:rsidR="005A06B6">
        <w:t xml:space="preserve">positive </w:t>
      </w:r>
      <w:r w:rsidR="008507AE">
        <w:t xml:space="preserve">MSM </w:t>
      </w:r>
      <w:r w:rsidR="005A06B6">
        <w:t xml:space="preserve">urogenital </w:t>
      </w:r>
      <w:r w:rsidR="006D6237">
        <w:t xml:space="preserve">or pharyngeal </w:t>
      </w:r>
      <w:r w:rsidR="005A06B6">
        <w:t>samples.</w:t>
      </w:r>
      <w:r>
        <w:t xml:space="preserve"> </w:t>
      </w:r>
      <w:bookmarkStart w:id="16" w:name="_Hlk30659309"/>
      <w:bookmarkEnd w:id="15"/>
      <w:r>
        <w:t xml:space="preserve">As shown in table </w:t>
      </w:r>
      <w:r w:rsidR="00214AA8">
        <w:t>3</w:t>
      </w:r>
      <w:r>
        <w:t xml:space="preserve">, </w:t>
      </w:r>
      <w:r w:rsidR="00612E91">
        <w:t>MRAM</w:t>
      </w:r>
      <w:r w:rsidR="00745398">
        <w:t xml:space="preserve"> </w:t>
      </w:r>
      <w:bookmarkStart w:id="17" w:name="_Hlk30575376"/>
      <w:r w:rsidR="00745398">
        <w:t>was detected in female swabs, MSW urine and MSM rectal samples</w:t>
      </w:r>
      <w:r w:rsidR="00612E91">
        <w:t>, for both mono- and co-infections</w:t>
      </w:r>
      <w:r w:rsidR="00745398">
        <w:t xml:space="preserve">. </w:t>
      </w:r>
      <w:bookmarkEnd w:id="16"/>
      <w:bookmarkEnd w:id="17"/>
    </w:p>
    <w:p w14:paraId="50930CC8" w14:textId="77777777" w:rsidR="006906B4" w:rsidRDefault="006906B4" w:rsidP="006906B4">
      <w:pPr>
        <w:spacing w:line="480" w:lineRule="auto"/>
        <w:rPr>
          <w:i/>
        </w:rPr>
      </w:pPr>
    </w:p>
    <w:p w14:paraId="6483E775" w14:textId="75459EA4" w:rsidR="006906B4" w:rsidRDefault="006906B4" w:rsidP="006906B4">
      <w:pPr>
        <w:spacing w:line="480" w:lineRule="auto"/>
        <w:rPr>
          <w:i/>
        </w:rPr>
      </w:pPr>
      <w:r w:rsidRPr="00742220">
        <w:rPr>
          <w:i/>
        </w:rPr>
        <w:t xml:space="preserve">Table </w:t>
      </w:r>
      <w:r>
        <w:rPr>
          <w:i/>
        </w:rPr>
        <w:t>3</w:t>
      </w:r>
      <w:r w:rsidRPr="00742220">
        <w:rPr>
          <w:i/>
        </w:rPr>
        <w:t xml:space="preserve">: Macrolide </w:t>
      </w:r>
      <w:r w:rsidRPr="00B16B93">
        <w:rPr>
          <w:i/>
        </w:rPr>
        <w:t>resistant samples as dete</w:t>
      </w:r>
      <w:r>
        <w:rPr>
          <w:i/>
        </w:rPr>
        <w:t>rmined by the presence of A2058 and A2059</w:t>
      </w:r>
      <w:r w:rsidRPr="00B16B93">
        <w:rPr>
          <w:i/>
        </w:rPr>
        <w:t xml:space="preserve"> mutations </w:t>
      </w:r>
    </w:p>
    <w:p w14:paraId="0B8F8F99" w14:textId="2E646DB0" w:rsidR="003967F1" w:rsidRDefault="006906B4" w:rsidP="00720644">
      <w:pPr>
        <w:spacing w:line="480" w:lineRule="auto"/>
      </w:pPr>
      <w:r w:rsidRPr="00B16B93">
        <w:rPr>
          <w:i/>
        </w:rPr>
        <w:t xml:space="preserve">in </w:t>
      </w:r>
      <w:r w:rsidRPr="00742220">
        <w:rPr>
          <w:i/>
        </w:rPr>
        <w:t>23S rRNA</w:t>
      </w:r>
    </w:p>
    <w:tbl>
      <w:tblPr>
        <w:tblStyle w:val="TableGridLight"/>
        <w:tblpPr w:leftFromText="180" w:rightFromText="180" w:vertAnchor="text" w:horzAnchor="margin" w:tblpY="1104"/>
        <w:tblW w:w="5578" w:type="pct"/>
        <w:tblLayout w:type="fixed"/>
        <w:tblLook w:val="0000" w:firstRow="0" w:lastRow="0" w:firstColumn="0" w:lastColumn="0" w:noHBand="0" w:noVBand="0"/>
      </w:tblPr>
      <w:tblGrid>
        <w:gridCol w:w="1266"/>
        <w:gridCol w:w="990"/>
        <w:gridCol w:w="1129"/>
        <w:gridCol w:w="990"/>
        <w:gridCol w:w="1271"/>
        <w:gridCol w:w="990"/>
        <w:gridCol w:w="988"/>
        <w:gridCol w:w="1273"/>
        <w:gridCol w:w="1131"/>
        <w:gridCol w:w="30"/>
      </w:tblGrid>
      <w:tr w:rsidR="00662707" w:rsidRPr="007160EA" w14:paraId="01316E8B" w14:textId="23B7AE70" w:rsidTr="00080EF0">
        <w:trPr>
          <w:trHeight w:val="1204"/>
        </w:trPr>
        <w:tc>
          <w:tcPr>
            <w:tcW w:w="630" w:type="pct"/>
            <w:vMerge w:val="restart"/>
          </w:tcPr>
          <w:p w14:paraId="1A4D7E9F" w14:textId="77777777" w:rsidR="00BD0471" w:rsidRDefault="00BD0471" w:rsidP="0081090E">
            <w:pPr>
              <w:pStyle w:val="NoSpacing"/>
              <w:jc w:val="center"/>
              <w:rPr>
                <w:sz w:val="24"/>
                <w:szCs w:val="24"/>
              </w:rPr>
            </w:pPr>
          </w:p>
          <w:p w14:paraId="4CA0BB0D" w14:textId="6782A6FF" w:rsidR="00BD0471" w:rsidRPr="00B16B93" w:rsidRDefault="00BD0471" w:rsidP="0081090E">
            <w:pPr>
              <w:pStyle w:val="NoSpacing"/>
              <w:jc w:val="center"/>
              <w:rPr>
                <w:sz w:val="24"/>
                <w:szCs w:val="24"/>
              </w:rPr>
            </w:pPr>
          </w:p>
        </w:tc>
        <w:tc>
          <w:tcPr>
            <w:tcW w:w="1053" w:type="pct"/>
            <w:gridSpan w:val="2"/>
          </w:tcPr>
          <w:p w14:paraId="4D34D09E" w14:textId="77777777" w:rsidR="00BD0471" w:rsidRPr="00B16B93" w:rsidRDefault="00BD0471" w:rsidP="0081090E">
            <w:pPr>
              <w:pStyle w:val="NoSpacing"/>
              <w:jc w:val="center"/>
              <w:rPr>
                <w:sz w:val="24"/>
                <w:szCs w:val="24"/>
              </w:rPr>
            </w:pPr>
            <w:r w:rsidRPr="00B16B93">
              <w:rPr>
                <w:bCs/>
                <w:sz w:val="24"/>
                <w:szCs w:val="24"/>
              </w:rPr>
              <w:t>Females</w:t>
            </w:r>
          </w:p>
        </w:tc>
        <w:tc>
          <w:tcPr>
            <w:tcW w:w="1124" w:type="pct"/>
            <w:gridSpan w:val="2"/>
          </w:tcPr>
          <w:p w14:paraId="7E3410A4" w14:textId="77777777" w:rsidR="00BD0471" w:rsidRPr="00B16B93" w:rsidRDefault="00BD0471" w:rsidP="0081090E">
            <w:pPr>
              <w:pStyle w:val="NoSpacing"/>
              <w:jc w:val="center"/>
              <w:rPr>
                <w:sz w:val="24"/>
                <w:szCs w:val="24"/>
              </w:rPr>
            </w:pPr>
            <w:r w:rsidRPr="00B16B93">
              <w:rPr>
                <w:bCs/>
                <w:sz w:val="24"/>
                <w:szCs w:val="24"/>
              </w:rPr>
              <w:t>MSW</w:t>
            </w:r>
          </w:p>
        </w:tc>
        <w:tc>
          <w:tcPr>
            <w:tcW w:w="983" w:type="pct"/>
            <w:gridSpan w:val="2"/>
          </w:tcPr>
          <w:p w14:paraId="2E6F5C37" w14:textId="61057E5E" w:rsidR="00BD0471" w:rsidRPr="00B16B93" w:rsidRDefault="00BD0471" w:rsidP="0081090E">
            <w:pPr>
              <w:pStyle w:val="NoSpacing"/>
              <w:jc w:val="center"/>
              <w:rPr>
                <w:sz w:val="24"/>
                <w:szCs w:val="24"/>
              </w:rPr>
            </w:pPr>
            <w:r w:rsidRPr="00B16B93">
              <w:rPr>
                <w:bCs/>
                <w:sz w:val="24"/>
                <w:szCs w:val="24"/>
              </w:rPr>
              <w:t>MSM Rectal</w:t>
            </w:r>
            <w:r>
              <w:rPr>
                <w:bCs/>
                <w:sz w:val="24"/>
                <w:szCs w:val="24"/>
              </w:rPr>
              <w:t xml:space="preserve"> samples*</w:t>
            </w:r>
          </w:p>
        </w:tc>
        <w:tc>
          <w:tcPr>
            <w:tcW w:w="1210" w:type="pct"/>
            <w:gridSpan w:val="3"/>
          </w:tcPr>
          <w:p w14:paraId="58ABC8CA" w14:textId="00E9307C" w:rsidR="00BD0471" w:rsidRPr="00B16B93" w:rsidRDefault="00BD0471" w:rsidP="0081090E">
            <w:pPr>
              <w:pStyle w:val="NoSpacing"/>
              <w:jc w:val="center"/>
              <w:rPr>
                <w:bCs/>
                <w:sz w:val="24"/>
                <w:szCs w:val="24"/>
              </w:rPr>
            </w:pPr>
            <w:r w:rsidRPr="00B16B93">
              <w:rPr>
                <w:bCs/>
                <w:sz w:val="24"/>
                <w:szCs w:val="24"/>
              </w:rPr>
              <w:t xml:space="preserve">MSM </w:t>
            </w:r>
            <w:r>
              <w:rPr>
                <w:bCs/>
                <w:sz w:val="24"/>
                <w:szCs w:val="24"/>
              </w:rPr>
              <w:t>Urine samples*</w:t>
            </w:r>
          </w:p>
        </w:tc>
      </w:tr>
      <w:tr w:rsidR="00662707" w:rsidRPr="007160EA" w14:paraId="57436E5A" w14:textId="5142DFDF" w:rsidTr="00080EF0">
        <w:trPr>
          <w:gridAfter w:val="1"/>
          <w:wAfter w:w="15" w:type="pct"/>
          <w:trHeight w:val="877"/>
        </w:trPr>
        <w:tc>
          <w:tcPr>
            <w:tcW w:w="630" w:type="pct"/>
            <w:vMerge/>
          </w:tcPr>
          <w:p w14:paraId="606A85B0" w14:textId="77777777" w:rsidR="00BD0471" w:rsidRPr="00B16B93" w:rsidRDefault="00BD0471" w:rsidP="00BD0471">
            <w:pPr>
              <w:pStyle w:val="NoSpacing"/>
              <w:jc w:val="center"/>
              <w:rPr>
                <w:sz w:val="24"/>
                <w:szCs w:val="24"/>
              </w:rPr>
            </w:pPr>
          </w:p>
        </w:tc>
        <w:tc>
          <w:tcPr>
            <w:tcW w:w="492" w:type="pct"/>
          </w:tcPr>
          <w:p w14:paraId="71979DCF" w14:textId="77777777" w:rsidR="00BD0471" w:rsidRPr="00B16B93" w:rsidRDefault="00BD0471" w:rsidP="00BD0471">
            <w:pPr>
              <w:pStyle w:val="NoSpacing"/>
              <w:jc w:val="center"/>
              <w:rPr>
                <w:b/>
                <w:sz w:val="24"/>
                <w:szCs w:val="24"/>
              </w:rPr>
            </w:pPr>
            <w:r>
              <w:rPr>
                <w:b/>
                <w:bCs/>
                <w:sz w:val="24"/>
                <w:szCs w:val="24"/>
              </w:rPr>
              <w:t>R</w:t>
            </w:r>
            <w:r>
              <w:rPr>
                <w:b/>
                <w:bCs/>
                <w:sz w:val="24"/>
                <w:szCs w:val="24"/>
                <w:vertAlign w:val="superscript"/>
              </w:rPr>
              <w:t>+</w:t>
            </w:r>
            <w:r>
              <w:rPr>
                <w:b/>
                <w:bCs/>
                <w:sz w:val="24"/>
                <w:szCs w:val="24"/>
              </w:rPr>
              <w:t>/n</w:t>
            </w:r>
          </w:p>
        </w:tc>
        <w:tc>
          <w:tcPr>
            <w:tcW w:w="561" w:type="pct"/>
          </w:tcPr>
          <w:p w14:paraId="608DF094" w14:textId="77777777" w:rsidR="00BD0471" w:rsidRPr="00B16B93" w:rsidRDefault="00BD0471" w:rsidP="00BD0471">
            <w:pPr>
              <w:pStyle w:val="NoSpacing"/>
              <w:jc w:val="center"/>
              <w:rPr>
                <w:b/>
                <w:sz w:val="24"/>
                <w:szCs w:val="24"/>
              </w:rPr>
            </w:pPr>
            <w:r w:rsidRPr="00B16B93">
              <w:rPr>
                <w:b/>
                <w:bCs/>
                <w:sz w:val="24"/>
                <w:szCs w:val="24"/>
              </w:rPr>
              <w:t>%</w:t>
            </w:r>
          </w:p>
          <w:p w14:paraId="40534AA3" w14:textId="77777777" w:rsidR="00BD0471" w:rsidRPr="00B16B93" w:rsidRDefault="00BD0471" w:rsidP="00BD0471">
            <w:pPr>
              <w:pStyle w:val="NoSpacing"/>
              <w:jc w:val="center"/>
              <w:rPr>
                <w:b/>
                <w:sz w:val="24"/>
                <w:szCs w:val="24"/>
              </w:rPr>
            </w:pPr>
            <w:r w:rsidRPr="00B16B93">
              <w:rPr>
                <w:b/>
                <w:bCs/>
                <w:sz w:val="24"/>
                <w:szCs w:val="24"/>
              </w:rPr>
              <w:t>(95%CI)</w:t>
            </w:r>
          </w:p>
        </w:tc>
        <w:tc>
          <w:tcPr>
            <w:tcW w:w="492" w:type="pct"/>
          </w:tcPr>
          <w:p w14:paraId="56632621" w14:textId="77777777" w:rsidR="00BD0471" w:rsidRPr="00B16B93" w:rsidRDefault="00BD0471" w:rsidP="00BD0471">
            <w:pPr>
              <w:pStyle w:val="NoSpacing"/>
              <w:jc w:val="center"/>
              <w:rPr>
                <w:b/>
                <w:sz w:val="24"/>
                <w:szCs w:val="24"/>
              </w:rPr>
            </w:pPr>
            <w:r>
              <w:rPr>
                <w:b/>
                <w:bCs/>
                <w:sz w:val="24"/>
                <w:szCs w:val="24"/>
              </w:rPr>
              <w:t>R</w:t>
            </w:r>
            <w:r>
              <w:rPr>
                <w:b/>
                <w:bCs/>
                <w:sz w:val="24"/>
                <w:szCs w:val="24"/>
                <w:vertAlign w:val="superscript"/>
              </w:rPr>
              <w:t>+</w:t>
            </w:r>
            <w:r>
              <w:rPr>
                <w:b/>
                <w:bCs/>
                <w:sz w:val="24"/>
                <w:szCs w:val="24"/>
              </w:rPr>
              <w:t>/n</w:t>
            </w:r>
          </w:p>
        </w:tc>
        <w:tc>
          <w:tcPr>
            <w:tcW w:w="632" w:type="pct"/>
          </w:tcPr>
          <w:p w14:paraId="34BAB4CD" w14:textId="77777777" w:rsidR="00BD0471" w:rsidRPr="00B16B93" w:rsidRDefault="00BD0471" w:rsidP="00BD0471">
            <w:pPr>
              <w:pStyle w:val="NoSpacing"/>
              <w:jc w:val="center"/>
              <w:rPr>
                <w:b/>
                <w:sz w:val="24"/>
                <w:szCs w:val="24"/>
              </w:rPr>
            </w:pPr>
            <w:r w:rsidRPr="00B16B93">
              <w:rPr>
                <w:b/>
                <w:bCs/>
                <w:sz w:val="24"/>
                <w:szCs w:val="24"/>
              </w:rPr>
              <w:t>%</w:t>
            </w:r>
          </w:p>
          <w:p w14:paraId="79B6FD21" w14:textId="77777777" w:rsidR="00BD0471" w:rsidRPr="00B16B93" w:rsidRDefault="00BD0471" w:rsidP="00BD0471">
            <w:pPr>
              <w:pStyle w:val="NoSpacing"/>
              <w:jc w:val="center"/>
              <w:rPr>
                <w:b/>
                <w:sz w:val="24"/>
                <w:szCs w:val="24"/>
              </w:rPr>
            </w:pPr>
            <w:r w:rsidRPr="00B16B93">
              <w:rPr>
                <w:b/>
                <w:bCs/>
                <w:sz w:val="24"/>
                <w:szCs w:val="24"/>
              </w:rPr>
              <w:t>(95%CI)</w:t>
            </w:r>
          </w:p>
        </w:tc>
        <w:tc>
          <w:tcPr>
            <w:tcW w:w="492" w:type="pct"/>
          </w:tcPr>
          <w:p w14:paraId="7C19C0F6" w14:textId="77777777" w:rsidR="00BD0471" w:rsidRPr="00B16B93" w:rsidRDefault="00BD0471" w:rsidP="00BD0471">
            <w:pPr>
              <w:pStyle w:val="NoSpacing"/>
              <w:jc w:val="center"/>
              <w:rPr>
                <w:b/>
                <w:sz w:val="24"/>
                <w:szCs w:val="24"/>
              </w:rPr>
            </w:pPr>
            <w:r>
              <w:rPr>
                <w:b/>
                <w:bCs/>
                <w:sz w:val="24"/>
                <w:szCs w:val="24"/>
              </w:rPr>
              <w:t>R</w:t>
            </w:r>
            <w:r>
              <w:rPr>
                <w:b/>
                <w:bCs/>
                <w:sz w:val="24"/>
                <w:szCs w:val="24"/>
                <w:vertAlign w:val="superscript"/>
              </w:rPr>
              <w:t>+</w:t>
            </w:r>
            <w:r>
              <w:rPr>
                <w:b/>
                <w:bCs/>
                <w:sz w:val="24"/>
                <w:szCs w:val="24"/>
              </w:rPr>
              <w:t>/n</w:t>
            </w:r>
          </w:p>
        </w:tc>
        <w:tc>
          <w:tcPr>
            <w:tcW w:w="491" w:type="pct"/>
          </w:tcPr>
          <w:p w14:paraId="030CA5D1" w14:textId="77777777" w:rsidR="00BD0471" w:rsidRPr="00B16B93" w:rsidRDefault="00BD0471" w:rsidP="00BD0471">
            <w:pPr>
              <w:pStyle w:val="NoSpacing"/>
              <w:jc w:val="center"/>
              <w:rPr>
                <w:b/>
                <w:sz w:val="24"/>
                <w:szCs w:val="24"/>
              </w:rPr>
            </w:pPr>
            <w:r w:rsidRPr="00B16B93">
              <w:rPr>
                <w:b/>
                <w:bCs/>
                <w:sz w:val="24"/>
                <w:szCs w:val="24"/>
              </w:rPr>
              <w:t>%</w:t>
            </w:r>
          </w:p>
          <w:p w14:paraId="1741ED90" w14:textId="77777777" w:rsidR="00BD0471" w:rsidRPr="00B16B93" w:rsidRDefault="00BD0471" w:rsidP="00BD0471">
            <w:pPr>
              <w:pStyle w:val="NoSpacing"/>
              <w:jc w:val="center"/>
              <w:rPr>
                <w:b/>
                <w:sz w:val="24"/>
                <w:szCs w:val="24"/>
              </w:rPr>
            </w:pPr>
            <w:r w:rsidRPr="00B16B93">
              <w:rPr>
                <w:b/>
                <w:bCs/>
                <w:sz w:val="24"/>
                <w:szCs w:val="24"/>
              </w:rPr>
              <w:t>(95%CI)</w:t>
            </w:r>
          </w:p>
        </w:tc>
        <w:tc>
          <w:tcPr>
            <w:tcW w:w="633" w:type="pct"/>
          </w:tcPr>
          <w:p w14:paraId="4AE36BE3" w14:textId="038C3B98" w:rsidR="00BD0471" w:rsidRPr="00B16B93" w:rsidRDefault="00BD0471" w:rsidP="00BD0471">
            <w:pPr>
              <w:pStyle w:val="NoSpacing"/>
              <w:jc w:val="center"/>
              <w:rPr>
                <w:b/>
                <w:bCs/>
                <w:sz w:val="24"/>
                <w:szCs w:val="24"/>
              </w:rPr>
            </w:pPr>
            <w:r>
              <w:rPr>
                <w:b/>
                <w:bCs/>
                <w:sz w:val="24"/>
                <w:szCs w:val="24"/>
              </w:rPr>
              <w:t>R</w:t>
            </w:r>
            <w:r>
              <w:rPr>
                <w:b/>
                <w:bCs/>
                <w:sz w:val="24"/>
                <w:szCs w:val="24"/>
                <w:vertAlign w:val="superscript"/>
              </w:rPr>
              <w:t>+</w:t>
            </w:r>
            <w:r>
              <w:rPr>
                <w:b/>
                <w:bCs/>
                <w:sz w:val="24"/>
                <w:szCs w:val="24"/>
              </w:rPr>
              <w:t>/n</w:t>
            </w:r>
          </w:p>
        </w:tc>
        <w:tc>
          <w:tcPr>
            <w:tcW w:w="562" w:type="pct"/>
          </w:tcPr>
          <w:p w14:paraId="35D6E8CC" w14:textId="77777777" w:rsidR="00BD0471" w:rsidRPr="00B16B93" w:rsidRDefault="00BD0471" w:rsidP="00BD0471">
            <w:pPr>
              <w:pStyle w:val="NoSpacing"/>
              <w:jc w:val="center"/>
              <w:rPr>
                <w:b/>
                <w:sz w:val="24"/>
                <w:szCs w:val="24"/>
              </w:rPr>
            </w:pPr>
            <w:r w:rsidRPr="00B16B93">
              <w:rPr>
                <w:b/>
                <w:bCs/>
                <w:sz w:val="24"/>
                <w:szCs w:val="24"/>
              </w:rPr>
              <w:t>%</w:t>
            </w:r>
          </w:p>
          <w:p w14:paraId="0D935CD6" w14:textId="10ADA4E4" w:rsidR="00BD0471" w:rsidRPr="00B16B93" w:rsidRDefault="00BD0471" w:rsidP="00BD0471">
            <w:pPr>
              <w:pStyle w:val="NoSpacing"/>
              <w:jc w:val="center"/>
              <w:rPr>
                <w:b/>
                <w:bCs/>
                <w:sz w:val="24"/>
                <w:szCs w:val="24"/>
              </w:rPr>
            </w:pPr>
            <w:r w:rsidRPr="00B16B93">
              <w:rPr>
                <w:b/>
                <w:bCs/>
                <w:sz w:val="24"/>
                <w:szCs w:val="24"/>
              </w:rPr>
              <w:t>(95%CI)</w:t>
            </w:r>
          </w:p>
        </w:tc>
      </w:tr>
      <w:tr w:rsidR="00662707" w:rsidRPr="007160EA" w14:paraId="551E6A03" w14:textId="695D23A7" w:rsidTr="00080EF0">
        <w:trPr>
          <w:gridAfter w:val="1"/>
          <w:wAfter w:w="15" w:type="pct"/>
          <w:trHeight w:val="1522"/>
        </w:trPr>
        <w:tc>
          <w:tcPr>
            <w:tcW w:w="630" w:type="pct"/>
          </w:tcPr>
          <w:p w14:paraId="50ED56A6" w14:textId="77777777" w:rsidR="00BD0471" w:rsidRPr="00F0744C" w:rsidRDefault="00BD0471" w:rsidP="0081090E">
            <w:pPr>
              <w:pStyle w:val="NoSpacing"/>
              <w:jc w:val="center"/>
              <w:rPr>
                <w:i/>
                <w:sz w:val="24"/>
                <w:szCs w:val="24"/>
              </w:rPr>
            </w:pPr>
            <w:r w:rsidRPr="00F0744C">
              <w:rPr>
                <w:rFonts w:asciiTheme="minorHAnsi" w:hAnsiTheme="minorHAnsi"/>
                <w:i/>
                <w:sz w:val="24"/>
                <w:szCs w:val="24"/>
              </w:rPr>
              <w:t>Overall MG infections</w:t>
            </w:r>
          </w:p>
        </w:tc>
        <w:tc>
          <w:tcPr>
            <w:tcW w:w="492" w:type="pct"/>
          </w:tcPr>
          <w:p w14:paraId="3C2203FC" w14:textId="77777777" w:rsidR="00BD0471" w:rsidRPr="00B16B93" w:rsidRDefault="00BD0471" w:rsidP="0081090E">
            <w:pPr>
              <w:pStyle w:val="NoSpacing"/>
              <w:jc w:val="center"/>
              <w:rPr>
                <w:sz w:val="24"/>
                <w:szCs w:val="24"/>
              </w:rPr>
            </w:pPr>
            <w:r w:rsidRPr="00B16B93">
              <w:rPr>
                <w:bCs/>
                <w:sz w:val="24"/>
                <w:szCs w:val="24"/>
              </w:rPr>
              <w:t>9/23</w:t>
            </w:r>
          </w:p>
        </w:tc>
        <w:tc>
          <w:tcPr>
            <w:tcW w:w="561" w:type="pct"/>
          </w:tcPr>
          <w:p w14:paraId="7FFFA0AD" w14:textId="77777777" w:rsidR="00BD0471" w:rsidRPr="00B16B93" w:rsidRDefault="00BD0471" w:rsidP="0081090E">
            <w:pPr>
              <w:pStyle w:val="NoSpacing"/>
              <w:jc w:val="center"/>
              <w:rPr>
                <w:sz w:val="24"/>
                <w:szCs w:val="24"/>
              </w:rPr>
            </w:pPr>
            <w:r w:rsidRPr="00B16B93">
              <w:rPr>
                <w:bCs/>
                <w:sz w:val="24"/>
                <w:szCs w:val="24"/>
              </w:rPr>
              <w:t>39.1</w:t>
            </w:r>
          </w:p>
          <w:p w14:paraId="0CC40DA7" w14:textId="77777777" w:rsidR="00BD0471" w:rsidRPr="00B16B93" w:rsidRDefault="00BD0471" w:rsidP="0081090E">
            <w:pPr>
              <w:pStyle w:val="NoSpacing"/>
              <w:jc w:val="center"/>
              <w:rPr>
                <w:sz w:val="24"/>
                <w:szCs w:val="24"/>
              </w:rPr>
            </w:pPr>
            <w:r w:rsidRPr="00B16B93">
              <w:rPr>
                <w:sz w:val="24"/>
                <w:szCs w:val="24"/>
              </w:rPr>
              <w:t>(22.2-59.2)</w:t>
            </w:r>
          </w:p>
        </w:tc>
        <w:tc>
          <w:tcPr>
            <w:tcW w:w="492" w:type="pct"/>
          </w:tcPr>
          <w:p w14:paraId="584C7C6F" w14:textId="77777777" w:rsidR="00BD0471" w:rsidRPr="00B16B93" w:rsidRDefault="00BD0471" w:rsidP="0081090E">
            <w:pPr>
              <w:pStyle w:val="NoSpacing"/>
              <w:jc w:val="center"/>
              <w:rPr>
                <w:sz w:val="24"/>
                <w:szCs w:val="24"/>
              </w:rPr>
            </w:pPr>
            <w:r w:rsidRPr="00B16B93">
              <w:rPr>
                <w:bCs/>
                <w:sz w:val="24"/>
                <w:szCs w:val="24"/>
              </w:rPr>
              <w:t>21/30</w:t>
            </w:r>
          </w:p>
        </w:tc>
        <w:tc>
          <w:tcPr>
            <w:tcW w:w="632" w:type="pct"/>
          </w:tcPr>
          <w:p w14:paraId="094E9415" w14:textId="77777777" w:rsidR="00BD0471" w:rsidRPr="00B16B93" w:rsidRDefault="00BD0471" w:rsidP="0081090E">
            <w:pPr>
              <w:pStyle w:val="NoSpacing"/>
              <w:jc w:val="center"/>
              <w:rPr>
                <w:sz w:val="24"/>
                <w:szCs w:val="24"/>
              </w:rPr>
            </w:pPr>
            <w:r w:rsidRPr="00B16B93">
              <w:rPr>
                <w:bCs/>
                <w:sz w:val="24"/>
                <w:szCs w:val="24"/>
              </w:rPr>
              <w:t>70.0</w:t>
            </w:r>
          </w:p>
          <w:p w14:paraId="2693905E" w14:textId="77777777" w:rsidR="00BD0471" w:rsidRPr="00B16B93" w:rsidRDefault="00BD0471" w:rsidP="0081090E">
            <w:pPr>
              <w:pStyle w:val="NoSpacing"/>
              <w:jc w:val="center"/>
              <w:rPr>
                <w:sz w:val="24"/>
                <w:szCs w:val="24"/>
              </w:rPr>
            </w:pPr>
            <w:r w:rsidRPr="00B16B93">
              <w:rPr>
                <w:sz w:val="24"/>
                <w:szCs w:val="24"/>
              </w:rPr>
              <w:t>(52.1-83.3)</w:t>
            </w:r>
          </w:p>
        </w:tc>
        <w:tc>
          <w:tcPr>
            <w:tcW w:w="492" w:type="pct"/>
          </w:tcPr>
          <w:p w14:paraId="06163C78" w14:textId="77777777" w:rsidR="00BD0471" w:rsidRPr="00B16B93" w:rsidRDefault="00BD0471" w:rsidP="0081090E">
            <w:pPr>
              <w:pStyle w:val="NoSpacing"/>
              <w:jc w:val="center"/>
              <w:rPr>
                <w:sz w:val="24"/>
                <w:szCs w:val="24"/>
              </w:rPr>
            </w:pPr>
            <w:r w:rsidRPr="00B16B93">
              <w:rPr>
                <w:bCs/>
                <w:sz w:val="24"/>
                <w:szCs w:val="24"/>
              </w:rPr>
              <w:t>5/6</w:t>
            </w:r>
          </w:p>
        </w:tc>
        <w:tc>
          <w:tcPr>
            <w:tcW w:w="491" w:type="pct"/>
          </w:tcPr>
          <w:p w14:paraId="1E1A84AA" w14:textId="77777777" w:rsidR="00BD0471" w:rsidRPr="00B16B93" w:rsidRDefault="00BD0471" w:rsidP="0081090E">
            <w:pPr>
              <w:pStyle w:val="NoSpacing"/>
              <w:jc w:val="center"/>
              <w:rPr>
                <w:sz w:val="24"/>
                <w:szCs w:val="24"/>
              </w:rPr>
            </w:pPr>
            <w:r w:rsidRPr="00B16B93">
              <w:rPr>
                <w:bCs/>
                <w:sz w:val="24"/>
                <w:szCs w:val="24"/>
              </w:rPr>
              <w:t>83.3</w:t>
            </w:r>
          </w:p>
          <w:p w14:paraId="7A6022A7" w14:textId="77777777" w:rsidR="00BD0471" w:rsidRPr="00B16B93" w:rsidRDefault="00BD0471" w:rsidP="0081090E">
            <w:pPr>
              <w:pStyle w:val="NoSpacing"/>
              <w:jc w:val="center"/>
              <w:rPr>
                <w:sz w:val="24"/>
                <w:szCs w:val="24"/>
              </w:rPr>
            </w:pPr>
            <w:r w:rsidRPr="00B16B93">
              <w:rPr>
                <w:sz w:val="24"/>
                <w:szCs w:val="24"/>
              </w:rPr>
              <w:t>(43.7-97.0)</w:t>
            </w:r>
          </w:p>
        </w:tc>
        <w:tc>
          <w:tcPr>
            <w:tcW w:w="633" w:type="pct"/>
          </w:tcPr>
          <w:p w14:paraId="7A502C18" w14:textId="4498E85B" w:rsidR="00BD0471" w:rsidRPr="00B16B93" w:rsidRDefault="00BD0471" w:rsidP="0081090E">
            <w:pPr>
              <w:pStyle w:val="NoSpacing"/>
              <w:jc w:val="center"/>
              <w:rPr>
                <w:bCs/>
                <w:sz w:val="24"/>
                <w:szCs w:val="24"/>
              </w:rPr>
            </w:pPr>
            <w:r>
              <w:rPr>
                <w:bCs/>
                <w:sz w:val="24"/>
                <w:szCs w:val="24"/>
              </w:rPr>
              <w:t>0/2</w:t>
            </w:r>
          </w:p>
        </w:tc>
        <w:tc>
          <w:tcPr>
            <w:tcW w:w="562" w:type="pct"/>
          </w:tcPr>
          <w:p w14:paraId="383BDF7A" w14:textId="77777777" w:rsidR="00BD0471" w:rsidRDefault="00BD0471" w:rsidP="0081090E">
            <w:pPr>
              <w:pStyle w:val="NoSpacing"/>
              <w:jc w:val="center"/>
              <w:rPr>
                <w:bCs/>
                <w:sz w:val="24"/>
                <w:szCs w:val="24"/>
              </w:rPr>
            </w:pPr>
            <w:r>
              <w:rPr>
                <w:bCs/>
                <w:sz w:val="24"/>
                <w:szCs w:val="24"/>
              </w:rPr>
              <w:t>0</w:t>
            </w:r>
          </w:p>
          <w:p w14:paraId="352DBA6D" w14:textId="2A7BA449" w:rsidR="00BD0471" w:rsidRPr="00B16B93" w:rsidRDefault="00BD0471" w:rsidP="0081090E">
            <w:pPr>
              <w:pStyle w:val="NoSpacing"/>
              <w:jc w:val="center"/>
              <w:rPr>
                <w:bCs/>
                <w:sz w:val="24"/>
                <w:szCs w:val="24"/>
              </w:rPr>
            </w:pPr>
            <w:r>
              <w:rPr>
                <w:bCs/>
                <w:sz w:val="24"/>
                <w:szCs w:val="24"/>
              </w:rPr>
              <w:t>(0-</w:t>
            </w:r>
            <w:r w:rsidR="000C6F1F">
              <w:rPr>
                <w:bCs/>
                <w:sz w:val="24"/>
                <w:szCs w:val="24"/>
              </w:rPr>
              <w:t>65.8</w:t>
            </w:r>
            <w:r>
              <w:rPr>
                <w:bCs/>
                <w:sz w:val="24"/>
                <w:szCs w:val="24"/>
              </w:rPr>
              <w:t>)</w:t>
            </w:r>
          </w:p>
        </w:tc>
      </w:tr>
      <w:tr w:rsidR="00662707" w:rsidRPr="007160EA" w14:paraId="14E12493" w14:textId="3655ABA2" w:rsidTr="00080EF0">
        <w:trPr>
          <w:gridAfter w:val="1"/>
          <w:wAfter w:w="15" w:type="pct"/>
          <w:trHeight w:val="1120"/>
        </w:trPr>
        <w:tc>
          <w:tcPr>
            <w:tcW w:w="630" w:type="pct"/>
          </w:tcPr>
          <w:p w14:paraId="0AD5CCFC" w14:textId="77777777" w:rsidR="00BD0471" w:rsidRPr="00F0744C" w:rsidRDefault="00BD0471" w:rsidP="0081090E">
            <w:pPr>
              <w:pStyle w:val="NoSpacing"/>
              <w:jc w:val="center"/>
              <w:rPr>
                <w:i/>
                <w:sz w:val="24"/>
                <w:szCs w:val="24"/>
              </w:rPr>
            </w:pPr>
            <w:r w:rsidRPr="00F0744C">
              <w:rPr>
                <w:rFonts w:asciiTheme="minorHAnsi" w:hAnsiTheme="minorHAnsi"/>
                <w:i/>
                <w:sz w:val="24"/>
                <w:szCs w:val="24"/>
              </w:rPr>
              <w:t xml:space="preserve">MG </w:t>
            </w:r>
            <w:r w:rsidRPr="00F0744C">
              <w:rPr>
                <w:rFonts w:asciiTheme="minorHAnsi" w:hAnsiTheme="minorHAnsi" w:cs="Arial"/>
                <w:bCs/>
                <w:i/>
                <w:kern w:val="24"/>
                <w:sz w:val="24"/>
                <w:szCs w:val="24"/>
              </w:rPr>
              <w:t>mono infection</w:t>
            </w:r>
          </w:p>
        </w:tc>
        <w:tc>
          <w:tcPr>
            <w:tcW w:w="492" w:type="pct"/>
          </w:tcPr>
          <w:p w14:paraId="4725957F" w14:textId="77777777" w:rsidR="00BD0471" w:rsidRPr="00B16B93" w:rsidRDefault="00BD0471" w:rsidP="0081090E">
            <w:pPr>
              <w:pStyle w:val="NoSpacing"/>
              <w:jc w:val="center"/>
              <w:rPr>
                <w:sz w:val="24"/>
                <w:szCs w:val="24"/>
              </w:rPr>
            </w:pPr>
            <w:r w:rsidRPr="00B16B93">
              <w:rPr>
                <w:sz w:val="24"/>
                <w:szCs w:val="24"/>
              </w:rPr>
              <w:t>6/16</w:t>
            </w:r>
          </w:p>
        </w:tc>
        <w:tc>
          <w:tcPr>
            <w:tcW w:w="561" w:type="pct"/>
          </w:tcPr>
          <w:p w14:paraId="07E4FA96" w14:textId="77777777" w:rsidR="00BD0471" w:rsidRPr="00B16B93" w:rsidRDefault="00BD0471" w:rsidP="0081090E">
            <w:pPr>
              <w:pStyle w:val="NoSpacing"/>
              <w:jc w:val="center"/>
              <w:rPr>
                <w:sz w:val="24"/>
                <w:szCs w:val="24"/>
              </w:rPr>
            </w:pPr>
            <w:r w:rsidRPr="00B16B93">
              <w:rPr>
                <w:sz w:val="24"/>
                <w:szCs w:val="24"/>
              </w:rPr>
              <w:t>37.5</w:t>
            </w:r>
          </w:p>
          <w:p w14:paraId="766E10F9" w14:textId="77777777" w:rsidR="00BD0471" w:rsidRPr="00B16B93" w:rsidRDefault="00BD0471" w:rsidP="0081090E">
            <w:pPr>
              <w:pStyle w:val="NoSpacing"/>
              <w:jc w:val="center"/>
              <w:rPr>
                <w:sz w:val="24"/>
                <w:szCs w:val="24"/>
              </w:rPr>
            </w:pPr>
            <w:r w:rsidRPr="00B16B93">
              <w:rPr>
                <w:sz w:val="24"/>
                <w:szCs w:val="24"/>
              </w:rPr>
              <w:t>(18.4-61.4)</w:t>
            </w:r>
          </w:p>
        </w:tc>
        <w:tc>
          <w:tcPr>
            <w:tcW w:w="492" w:type="pct"/>
          </w:tcPr>
          <w:p w14:paraId="778E2168" w14:textId="77777777" w:rsidR="00BD0471" w:rsidRPr="00B16B93" w:rsidRDefault="00BD0471" w:rsidP="0081090E">
            <w:pPr>
              <w:pStyle w:val="NoSpacing"/>
              <w:jc w:val="center"/>
              <w:rPr>
                <w:sz w:val="24"/>
                <w:szCs w:val="24"/>
              </w:rPr>
            </w:pPr>
            <w:r w:rsidRPr="00B16B93">
              <w:rPr>
                <w:sz w:val="24"/>
                <w:szCs w:val="24"/>
              </w:rPr>
              <w:t>17/25</w:t>
            </w:r>
          </w:p>
        </w:tc>
        <w:tc>
          <w:tcPr>
            <w:tcW w:w="632" w:type="pct"/>
          </w:tcPr>
          <w:p w14:paraId="22A483DA" w14:textId="77777777" w:rsidR="00BD0471" w:rsidRPr="00B16B93" w:rsidRDefault="00BD0471" w:rsidP="0081090E">
            <w:pPr>
              <w:pStyle w:val="NoSpacing"/>
              <w:jc w:val="center"/>
              <w:rPr>
                <w:sz w:val="24"/>
                <w:szCs w:val="24"/>
              </w:rPr>
            </w:pPr>
            <w:r w:rsidRPr="00B16B93">
              <w:rPr>
                <w:sz w:val="24"/>
                <w:szCs w:val="24"/>
              </w:rPr>
              <w:t>68.0</w:t>
            </w:r>
          </w:p>
          <w:p w14:paraId="1C62F96C" w14:textId="77777777" w:rsidR="00BD0471" w:rsidRPr="00B16B93" w:rsidRDefault="00BD0471" w:rsidP="0081090E">
            <w:pPr>
              <w:pStyle w:val="NoSpacing"/>
              <w:jc w:val="center"/>
              <w:rPr>
                <w:sz w:val="24"/>
                <w:szCs w:val="24"/>
              </w:rPr>
            </w:pPr>
            <w:r w:rsidRPr="00B16B93">
              <w:rPr>
                <w:sz w:val="24"/>
                <w:szCs w:val="24"/>
              </w:rPr>
              <w:t>(48.4-82.8)</w:t>
            </w:r>
          </w:p>
        </w:tc>
        <w:tc>
          <w:tcPr>
            <w:tcW w:w="492" w:type="pct"/>
          </w:tcPr>
          <w:p w14:paraId="1C0752B1" w14:textId="77777777" w:rsidR="00BD0471" w:rsidRPr="00B16B93" w:rsidRDefault="00BD0471" w:rsidP="0081090E">
            <w:pPr>
              <w:pStyle w:val="NoSpacing"/>
              <w:jc w:val="center"/>
              <w:rPr>
                <w:sz w:val="24"/>
                <w:szCs w:val="24"/>
              </w:rPr>
            </w:pPr>
            <w:r w:rsidRPr="00B16B93">
              <w:rPr>
                <w:sz w:val="24"/>
                <w:szCs w:val="24"/>
              </w:rPr>
              <w:t>5/6</w:t>
            </w:r>
          </w:p>
        </w:tc>
        <w:tc>
          <w:tcPr>
            <w:tcW w:w="491" w:type="pct"/>
          </w:tcPr>
          <w:p w14:paraId="5FFC1B74" w14:textId="77777777" w:rsidR="00BD0471" w:rsidRPr="00B16B93" w:rsidRDefault="00BD0471" w:rsidP="0081090E">
            <w:pPr>
              <w:pStyle w:val="NoSpacing"/>
              <w:jc w:val="center"/>
              <w:rPr>
                <w:sz w:val="24"/>
                <w:szCs w:val="24"/>
              </w:rPr>
            </w:pPr>
            <w:r w:rsidRPr="00B16B93">
              <w:rPr>
                <w:sz w:val="24"/>
                <w:szCs w:val="24"/>
              </w:rPr>
              <w:t>83.3</w:t>
            </w:r>
          </w:p>
          <w:p w14:paraId="65B61219" w14:textId="77777777" w:rsidR="00BD0471" w:rsidRPr="00B16B93" w:rsidRDefault="00BD0471" w:rsidP="0081090E">
            <w:pPr>
              <w:pStyle w:val="NoSpacing"/>
              <w:jc w:val="center"/>
              <w:rPr>
                <w:sz w:val="24"/>
                <w:szCs w:val="24"/>
              </w:rPr>
            </w:pPr>
            <w:r w:rsidRPr="00B16B93">
              <w:rPr>
                <w:sz w:val="24"/>
                <w:szCs w:val="24"/>
              </w:rPr>
              <w:t>(43.7-97.0)</w:t>
            </w:r>
          </w:p>
        </w:tc>
        <w:tc>
          <w:tcPr>
            <w:tcW w:w="633" w:type="pct"/>
          </w:tcPr>
          <w:p w14:paraId="7604BE95" w14:textId="6D608865" w:rsidR="00BD0471" w:rsidRPr="00B16B93" w:rsidRDefault="00BD0471" w:rsidP="0081090E">
            <w:pPr>
              <w:pStyle w:val="NoSpacing"/>
              <w:jc w:val="center"/>
              <w:rPr>
                <w:sz w:val="24"/>
                <w:szCs w:val="24"/>
              </w:rPr>
            </w:pPr>
            <w:r>
              <w:rPr>
                <w:sz w:val="24"/>
                <w:szCs w:val="24"/>
              </w:rPr>
              <w:t>0/2</w:t>
            </w:r>
          </w:p>
        </w:tc>
        <w:tc>
          <w:tcPr>
            <w:tcW w:w="562" w:type="pct"/>
          </w:tcPr>
          <w:p w14:paraId="54E47A07" w14:textId="77777777" w:rsidR="00BD0471" w:rsidRDefault="00BD0471" w:rsidP="00BD0471">
            <w:pPr>
              <w:pStyle w:val="NoSpacing"/>
              <w:jc w:val="center"/>
              <w:rPr>
                <w:bCs/>
                <w:sz w:val="24"/>
                <w:szCs w:val="24"/>
              </w:rPr>
            </w:pPr>
            <w:r>
              <w:rPr>
                <w:bCs/>
                <w:sz w:val="24"/>
                <w:szCs w:val="24"/>
              </w:rPr>
              <w:t>0</w:t>
            </w:r>
          </w:p>
          <w:p w14:paraId="0FA63CFF" w14:textId="645A3C0A" w:rsidR="00BD0471" w:rsidRPr="00B16B93" w:rsidRDefault="00BD0471" w:rsidP="00BD0471">
            <w:pPr>
              <w:pStyle w:val="NoSpacing"/>
              <w:jc w:val="center"/>
              <w:rPr>
                <w:sz w:val="24"/>
                <w:szCs w:val="24"/>
              </w:rPr>
            </w:pPr>
            <w:r>
              <w:rPr>
                <w:bCs/>
                <w:sz w:val="24"/>
                <w:szCs w:val="24"/>
              </w:rPr>
              <w:t>(0-</w:t>
            </w:r>
            <w:r w:rsidR="000C6F1F">
              <w:rPr>
                <w:bCs/>
                <w:sz w:val="24"/>
                <w:szCs w:val="24"/>
              </w:rPr>
              <w:t>65.8</w:t>
            </w:r>
            <w:r>
              <w:rPr>
                <w:bCs/>
                <w:sz w:val="24"/>
                <w:szCs w:val="24"/>
              </w:rPr>
              <w:t>)</w:t>
            </w:r>
          </w:p>
        </w:tc>
      </w:tr>
      <w:tr w:rsidR="00662707" w:rsidRPr="007160EA" w14:paraId="6FAA47C4" w14:textId="777EBFA0" w:rsidTr="00080EF0">
        <w:trPr>
          <w:gridAfter w:val="1"/>
          <w:wAfter w:w="15" w:type="pct"/>
          <w:trHeight w:val="1711"/>
        </w:trPr>
        <w:tc>
          <w:tcPr>
            <w:tcW w:w="630" w:type="pct"/>
          </w:tcPr>
          <w:p w14:paraId="1C44C690" w14:textId="77777777" w:rsidR="00BD0471" w:rsidRPr="00F0744C" w:rsidRDefault="00BD0471" w:rsidP="0081090E">
            <w:pPr>
              <w:pStyle w:val="NoSpacing"/>
              <w:jc w:val="center"/>
              <w:rPr>
                <w:i/>
                <w:sz w:val="24"/>
                <w:szCs w:val="24"/>
              </w:rPr>
            </w:pPr>
            <w:r w:rsidRPr="00F0744C">
              <w:rPr>
                <w:rFonts w:asciiTheme="minorHAnsi" w:hAnsiTheme="minorHAnsi"/>
                <w:i/>
                <w:sz w:val="24"/>
                <w:szCs w:val="24"/>
              </w:rPr>
              <w:t xml:space="preserve">CT-MG </w:t>
            </w:r>
            <w:r w:rsidRPr="00F0744C">
              <w:rPr>
                <w:rFonts w:asciiTheme="minorHAnsi" w:hAnsiTheme="minorHAnsi" w:cs="Arial"/>
                <w:bCs/>
                <w:i/>
                <w:kern w:val="24"/>
                <w:sz w:val="24"/>
                <w:szCs w:val="24"/>
              </w:rPr>
              <w:t>co-infection</w:t>
            </w:r>
          </w:p>
        </w:tc>
        <w:tc>
          <w:tcPr>
            <w:tcW w:w="492" w:type="pct"/>
          </w:tcPr>
          <w:p w14:paraId="15824DC5" w14:textId="77777777" w:rsidR="00BD0471" w:rsidRPr="00B16B93" w:rsidRDefault="00BD0471" w:rsidP="0081090E">
            <w:pPr>
              <w:pStyle w:val="NoSpacing"/>
              <w:jc w:val="center"/>
              <w:rPr>
                <w:sz w:val="24"/>
                <w:szCs w:val="24"/>
              </w:rPr>
            </w:pPr>
            <w:r w:rsidRPr="00B16B93">
              <w:rPr>
                <w:sz w:val="24"/>
                <w:szCs w:val="24"/>
              </w:rPr>
              <w:t>3/5</w:t>
            </w:r>
          </w:p>
        </w:tc>
        <w:tc>
          <w:tcPr>
            <w:tcW w:w="561" w:type="pct"/>
          </w:tcPr>
          <w:p w14:paraId="42EE2EAC" w14:textId="77777777" w:rsidR="00BD0471" w:rsidRPr="00B16B93" w:rsidRDefault="00BD0471" w:rsidP="0081090E">
            <w:pPr>
              <w:pStyle w:val="NoSpacing"/>
              <w:jc w:val="center"/>
              <w:rPr>
                <w:sz w:val="24"/>
                <w:szCs w:val="24"/>
              </w:rPr>
            </w:pPr>
            <w:r w:rsidRPr="00B16B93">
              <w:rPr>
                <w:sz w:val="24"/>
                <w:szCs w:val="24"/>
              </w:rPr>
              <w:t>60.0</w:t>
            </w:r>
          </w:p>
          <w:p w14:paraId="4681477D" w14:textId="77777777" w:rsidR="00BD0471" w:rsidRPr="00B16B93" w:rsidRDefault="00BD0471" w:rsidP="0081090E">
            <w:pPr>
              <w:pStyle w:val="NoSpacing"/>
              <w:jc w:val="center"/>
              <w:rPr>
                <w:sz w:val="24"/>
                <w:szCs w:val="24"/>
              </w:rPr>
            </w:pPr>
            <w:r w:rsidRPr="00B16B93">
              <w:rPr>
                <w:sz w:val="24"/>
                <w:szCs w:val="24"/>
              </w:rPr>
              <w:t>(23.1-88.2)</w:t>
            </w:r>
          </w:p>
        </w:tc>
        <w:tc>
          <w:tcPr>
            <w:tcW w:w="492" w:type="pct"/>
          </w:tcPr>
          <w:p w14:paraId="68A0596E" w14:textId="77777777" w:rsidR="00BD0471" w:rsidRPr="00B16B93" w:rsidRDefault="00BD0471" w:rsidP="0081090E">
            <w:pPr>
              <w:pStyle w:val="NoSpacing"/>
              <w:jc w:val="center"/>
              <w:rPr>
                <w:sz w:val="24"/>
                <w:szCs w:val="24"/>
              </w:rPr>
            </w:pPr>
            <w:r w:rsidRPr="00B16B93">
              <w:rPr>
                <w:sz w:val="24"/>
                <w:szCs w:val="24"/>
              </w:rPr>
              <w:t>4/5</w:t>
            </w:r>
          </w:p>
        </w:tc>
        <w:tc>
          <w:tcPr>
            <w:tcW w:w="632" w:type="pct"/>
          </w:tcPr>
          <w:p w14:paraId="6A93B4B0" w14:textId="77777777" w:rsidR="00BD0471" w:rsidRPr="00B16B93" w:rsidRDefault="00BD0471" w:rsidP="0081090E">
            <w:pPr>
              <w:pStyle w:val="NoSpacing"/>
              <w:jc w:val="center"/>
              <w:rPr>
                <w:sz w:val="24"/>
                <w:szCs w:val="24"/>
              </w:rPr>
            </w:pPr>
            <w:r w:rsidRPr="00B16B93">
              <w:rPr>
                <w:sz w:val="24"/>
                <w:szCs w:val="24"/>
              </w:rPr>
              <w:t>80.0</w:t>
            </w:r>
          </w:p>
          <w:p w14:paraId="3F87BB13" w14:textId="77777777" w:rsidR="00BD0471" w:rsidRPr="00B16B93" w:rsidRDefault="00BD0471" w:rsidP="0081090E">
            <w:pPr>
              <w:pStyle w:val="NoSpacing"/>
              <w:jc w:val="center"/>
              <w:rPr>
                <w:sz w:val="24"/>
                <w:szCs w:val="24"/>
              </w:rPr>
            </w:pPr>
            <w:r w:rsidRPr="00B16B93">
              <w:rPr>
                <w:sz w:val="24"/>
                <w:szCs w:val="24"/>
              </w:rPr>
              <w:t>(37.6-96.4)</w:t>
            </w:r>
          </w:p>
        </w:tc>
        <w:tc>
          <w:tcPr>
            <w:tcW w:w="492" w:type="pct"/>
          </w:tcPr>
          <w:p w14:paraId="55209A66" w14:textId="77777777" w:rsidR="00BD0471" w:rsidRPr="00B16B93" w:rsidRDefault="00BD0471" w:rsidP="0081090E">
            <w:pPr>
              <w:pStyle w:val="NoSpacing"/>
              <w:jc w:val="center"/>
              <w:rPr>
                <w:sz w:val="24"/>
                <w:szCs w:val="24"/>
              </w:rPr>
            </w:pPr>
            <w:r w:rsidRPr="00B16B93">
              <w:rPr>
                <w:sz w:val="24"/>
                <w:szCs w:val="24"/>
              </w:rPr>
              <w:t>-</w:t>
            </w:r>
          </w:p>
        </w:tc>
        <w:tc>
          <w:tcPr>
            <w:tcW w:w="491" w:type="pct"/>
          </w:tcPr>
          <w:p w14:paraId="5ED0145E" w14:textId="77777777" w:rsidR="00BD0471" w:rsidRPr="00B16B93" w:rsidRDefault="00BD0471" w:rsidP="0081090E">
            <w:pPr>
              <w:pStyle w:val="NoSpacing"/>
              <w:jc w:val="center"/>
              <w:rPr>
                <w:sz w:val="24"/>
                <w:szCs w:val="24"/>
              </w:rPr>
            </w:pPr>
            <w:r w:rsidRPr="00B16B93">
              <w:rPr>
                <w:sz w:val="24"/>
                <w:szCs w:val="24"/>
              </w:rPr>
              <w:t>-</w:t>
            </w:r>
          </w:p>
        </w:tc>
        <w:tc>
          <w:tcPr>
            <w:tcW w:w="633" w:type="pct"/>
          </w:tcPr>
          <w:p w14:paraId="1FA5D4CE" w14:textId="2B5D89C5" w:rsidR="00BD0471" w:rsidRPr="00B16B93" w:rsidRDefault="00BD0471" w:rsidP="0081090E">
            <w:pPr>
              <w:pStyle w:val="NoSpacing"/>
              <w:jc w:val="center"/>
              <w:rPr>
                <w:sz w:val="24"/>
                <w:szCs w:val="24"/>
              </w:rPr>
            </w:pPr>
            <w:r>
              <w:rPr>
                <w:sz w:val="24"/>
                <w:szCs w:val="24"/>
              </w:rPr>
              <w:t>-</w:t>
            </w:r>
          </w:p>
        </w:tc>
        <w:tc>
          <w:tcPr>
            <w:tcW w:w="562" w:type="pct"/>
          </w:tcPr>
          <w:p w14:paraId="548A57C8" w14:textId="3E7B26CE" w:rsidR="00BD0471" w:rsidRPr="00B16B93" w:rsidRDefault="00BD0471" w:rsidP="0081090E">
            <w:pPr>
              <w:pStyle w:val="NoSpacing"/>
              <w:jc w:val="center"/>
              <w:rPr>
                <w:sz w:val="24"/>
                <w:szCs w:val="24"/>
              </w:rPr>
            </w:pPr>
            <w:r>
              <w:rPr>
                <w:sz w:val="24"/>
                <w:szCs w:val="24"/>
              </w:rPr>
              <w:t>-</w:t>
            </w:r>
          </w:p>
        </w:tc>
      </w:tr>
    </w:tbl>
    <w:p w14:paraId="320B44E7" w14:textId="082B96EC" w:rsidR="003967F1" w:rsidRDefault="003967F1" w:rsidP="003967F1">
      <w:pPr>
        <w:rPr>
          <w:i/>
        </w:rPr>
      </w:pPr>
      <w:r w:rsidRPr="00F0744C">
        <w:rPr>
          <w:i/>
        </w:rPr>
        <w:t>*There</w:t>
      </w:r>
      <w:r w:rsidR="00BD0471">
        <w:rPr>
          <w:i/>
        </w:rPr>
        <w:t xml:space="preserve"> were no MG-positive</w:t>
      </w:r>
      <w:r w:rsidRPr="00F0744C">
        <w:rPr>
          <w:i/>
        </w:rPr>
        <w:t xml:space="preserve"> pharyngeal samples</w:t>
      </w:r>
    </w:p>
    <w:p w14:paraId="5F8FB1E5" w14:textId="1537D779" w:rsidR="00612E91" w:rsidRDefault="00612E91" w:rsidP="00612E91">
      <w:pPr>
        <w:rPr>
          <w:i/>
        </w:rPr>
      </w:pPr>
      <w:r>
        <w:t>R</w:t>
      </w:r>
      <w:r w:rsidRPr="00B16B93">
        <w:rPr>
          <w:vertAlign w:val="superscript"/>
        </w:rPr>
        <w:t>+</w:t>
      </w:r>
      <w:r>
        <w:t xml:space="preserve">: macrolide resistant; n=number of MG positives; MG: </w:t>
      </w:r>
      <w:r>
        <w:rPr>
          <w:i/>
        </w:rPr>
        <w:t xml:space="preserve">Mycoplasma </w:t>
      </w:r>
      <w:proofErr w:type="spellStart"/>
      <w:r>
        <w:rPr>
          <w:i/>
        </w:rPr>
        <w:t>genitalium</w:t>
      </w:r>
      <w:proofErr w:type="spellEnd"/>
      <w:r>
        <w:t xml:space="preserve">; CT: </w:t>
      </w:r>
      <w:r>
        <w:rPr>
          <w:i/>
        </w:rPr>
        <w:t>Chlamydia trachomatis; MSW: Men</w:t>
      </w:r>
      <w:r w:rsidR="00132224">
        <w:rPr>
          <w:i/>
        </w:rPr>
        <w:t>-</w:t>
      </w:r>
      <w:r>
        <w:rPr>
          <w:i/>
        </w:rPr>
        <w:t>who</w:t>
      </w:r>
      <w:r w:rsidR="00132224">
        <w:rPr>
          <w:i/>
        </w:rPr>
        <w:t>-</w:t>
      </w:r>
      <w:r>
        <w:rPr>
          <w:i/>
        </w:rPr>
        <w:t>have</w:t>
      </w:r>
      <w:r w:rsidR="00132224">
        <w:rPr>
          <w:i/>
        </w:rPr>
        <w:t>-</w:t>
      </w:r>
      <w:r>
        <w:rPr>
          <w:i/>
        </w:rPr>
        <w:t>sex</w:t>
      </w:r>
      <w:r w:rsidR="00132224">
        <w:rPr>
          <w:i/>
        </w:rPr>
        <w:t>-</w:t>
      </w:r>
      <w:r>
        <w:rPr>
          <w:i/>
        </w:rPr>
        <w:t>with</w:t>
      </w:r>
      <w:r w:rsidR="00132224">
        <w:rPr>
          <w:i/>
        </w:rPr>
        <w:t>-</w:t>
      </w:r>
      <w:r>
        <w:rPr>
          <w:i/>
        </w:rPr>
        <w:t>women; MSM: men</w:t>
      </w:r>
      <w:r w:rsidR="00132224">
        <w:rPr>
          <w:i/>
        </w:rPr>
        <w:t>-</w:t>
      </w:r>
      <w:r>
        <w:rPr>
          <w:i/>
        </w:rPr>
        <w:t>who</w:t>
      </w:r>
      <w:r w:rsidR="00132224">
        <w:rPr>
          <w:i/>
        </w:rPr>
        <w:t>-</w:t>
      </w:r>
      <w:r>
        <w:rPr>
          <w:i/>
        </w:rPr>
        <w:t>have</w:t>
      </w:r>
      <w:r w:rsidR="00132224">
        <w:rPr>
          <w:i/>
        </w:rPr>
        <w:t>-</w:t>
      </w:r>
      <w:r>
        <w:rPr>
          <w:i/>
        </w:rPr>
        <w:t>sex</w:t>
      </w:r>
      <w:r w:rsidR="00132224">
        <w:rPr>
          <w:i/>
        </w:rPr>
        <w:t>-</w:t>
      </w:r>
      <w:r>
        <w:rPr>
          <w:i/>
        </w:rPr>
        <w:t>with</w:t>
      </w:r>
      <w:r w:rsidR="00132224">
        <w:rPr>
          <w:i/>
        </w:rPr>
        <w:t>-</w:t>
      </w:r>
      <w:r>
        <w:rPr>
          <w:i/>
        </w:rPr>
        <w:t>men</w:t>
      </w:r>
    </w:p>
    <w:p w14:paraId="045CB8D8" w14:textId="5C4E53F5" w:rsidR="003967F1" w:rsidRDefault="003967F1" w:rsidP="00720644">
      <w:pPr>
        <w:spacing w:line="480" w:lineRule="auto"/>
        <w:rPr>
          <w:b/>
        </w:rPr>
      </w:pPr>
    </w:p>
    <w:p w14:paraId="43F7BA2A" w14:textId="068472F8" w:rsidR="003912A2" w:rsidRPr="003912A2" w:rsidRDefault="003912A2" w:rsidP="00720644">
      <w:pPr>
        <w:spacing w:line="480" w:lineRule="auto"/>
        <w:rPr>
          <w:b/>
        </w:rPr>
      </w:pPr>
      <w:r>
        <w:rPr>
          <w:b/>
        </w:rPr>
        <w:t xml:space="preserve">Risk factors associated with </w:t>
      </w:r>
      <w:r w:rsidRPr="003912A2">
        <w:rPr>
          <w:b/>
        </w:rPr>
        <w:t>MG macrolide resistance</w:t>
      </w:r>
    </w:p>
    <w:p w14:paraId="512C3D63" w14:textId="08067181" w:rsidR="00942FA1" w:rsidRDefault="002E7AEB" w:rsidP="00720644">
      <w:pPr>
        <w:spacing w:line="480" w:lineRule="auto"/>
      </w:pPr>
      <w:r>
        <w:t xml:space="preserve">Risk factors </w:t>
      </w:r>
      <w:r w:rsidR="001D5B9F">
        <w:t xml:space="preserve">included in </w:t>
      </w:r>
      <w:r w:rsidR="00DD3340">
        <w:t xml:space="preserve">the </w:t>
      </w:r>
      <w:r w:rsidR="001D5B9F">
        <w:t xml:space="preserve">logistic regression </w:t>
      </w:r>
      <w:r w:rsidR="00DD3340">
        <w:t xml:space="preserve">model </w:t>
      </w:r>
      <w:r w:rsidR="00BF450C">
        <w:t>for</w:t>
      </w:r>
      <w:r w:rsidR="001D5B9F">
        <w:t xml:space="preserve"> association</w:t>
      </w:r>
      <w:r w:rsidRPr="00B157BF">
        <w:t xml:space="preserve"> with </w:t>
      </w:r>
      <w:r w:rsidR="00132224">
        <w:t>MG</w:t>
      </w:r>
      <w:r w:rsidR="009F0412">
        <w:t>-</w:t>
      </w:r>
      <w:r w:rsidR="00132224">
        <w:t>MRAM</w:t>
      </w:r>
      <w:r w:rsidR="007E349A">
        <w:t>s</w:t>
      </w:r>
      <w:r w:rsidRPr="00B157BF">
        <w:t xml:space="preserve"> </w:t>
      </w:r>
      <w:r>
        <w:t xml:space="preserve">are shown in </w:t>
      </w:r>
      <w:r w:rsidR="00DD3340">
        <w:t>T</w:t>
      </w:r>
      <w:r>
        <w:t xml:space="preserve">able </w:t>
      </w:r>
      <w:r w:rsidR="00214AA8">
        <w:t>4</w:t>
      </w:r>
      <w:r>
        <w:t xml:space="preserve">. </w:t>
      </w:r>
      <w:r w:rsidR="00942FA1">
        <w:t xml:space="preserve"> </w:t>
      </w:r>
      <w:r w:rsidR="00BF450C">
        <w:t>In</w:t>
      </w:r>
      <w:r w:rsidR="00DD3340">
        <w:t xml:space="preserve"> </w:t>
      </w:r>
      <w:r w:rsidR="001D5B9F">
        <w:t>uni</w:t>
      </w:r>
      <w:r w:rsidR="00942FA1">
        <w:t xml:space="preserve">variate </w:t>
      </w:r>
      <w:r w:rsidR="001D5B9F">
        <w:t>analysis</w:t>
      </w:r>
      <w:r w:rsidR="00DD3340">
        <w:t>,</w:t>
      </w:r>
      <w:r w:rsidR="001D5B9F">
        <w:t xml:space="preserve"> risk </w:t>
      </w:r>
      <w:r w:rsidR="00942FA1" w:rsidRPr="00B157BF">
        <w:t>factors</w:t>
      </w:r>
      <w:r w:rsidR="00DD3340">
        <w:t xml:space="preserve"> with strong evidence of association with MG</w:t>
      </w:r>
      <w:r w:rsidR="009F0412">
        <w:t>-</w:t>
      </w:r>
      <w:r w:rsidR="003000AD">
        <w:t xml:space="preserve">MRAMs </w:t>
      </w:r>
      <w:r w:rsidR="00DD3340">
        <w:t>were</w:t>
      </w:r>
      <w:r w:rsidR="00942FA1" w:rsidRPr="00B157BF">
        <w:t xml:space="preserve"> </w:t>
      </w:r>
      <w:r w:rsidR="00132224">
        <w:t>sexual orientation</w:t>
      </w:r>
      <w:r w:rsidR="00942FA1">
        <w:t>, age, ethnicity, recent STI diagnosis and co-infect</w:t>
      </w:r>
      <w:r w:rsidR="00DD3340">
        <w:t>ion</w:t>
      </w:r>
      <w:r w:rsidR="00942FA1">
        <w:t xml:space="preserve"> with another STI.</w:t>
      </w:r>
      <w:r w:rsidR="001D5B9F">
        <w:t xml:space="preserve"> </w:t>
      </w:r>
    </w:p>
    <w:p w14:paraId="1389102B" w14:textId="73B4AF6F" w:rsidR="009A555A" w:rsidRDefault="001D5B9F" w:rsidP="00720644">
      <w:pPr>
        <w:widowControl w:val="0"/>
        <w:autoSpaceDE w:val="0"/>
        <w:autoSpaceDN w:val="0"/>
        <w:adjustRightInd w:val="0"/>
        <w:spacing w:line="480" w:lineRule="auto"/>
      </w:pPr>
      <w:r>
        <w:t>In</w:t>
      </w:r>
      <w:r w:rsidR="00DD3340">
        <w:t xml:space="preserve"> </w:t>
      </w:r>
      <w:r w:rsidR="006D5C26">
        <w:t>m</w:t>
      </w:r>
      <w:r w:rsidR="006D5C26" w:rsidRPr="00B157BF">
        <w:t>ultivaria</w:t>
      </w:r>
      <w:r w:rsidR="006D5C26">
        <w:t>bl</w:t>
      </w:r>
      <w:r w:rsidR="006D5C26" w:rsidRPr="00B157BF">
        <w:t xml:space="preserve">e </w:t>
      </w:r>
      <w:r w:rsidR="00D05041">
        <w:t>analysis</w:t>
      </w:r>
      <w:r>
        <w:t>, c</w:t>
      </w:r>
      <w:r w:rsidR="00942FA1">
        <w:t>ompared to MSW, females were less likely to have MG</w:t>
      </w:r>
      <w:r w:rsidR="009F0412">
        <w:t>-</w:t>
      </w:r>
      <w:r w:rsidR="003000AD">
        <w:t>MRAMs</w:t>
      </w:r>
      <w:r w:rsidR="00942FA1">
        <w:t xml:space="preserve"> (AOR</w:t>
      </w:r>
      <w:r w:rsidR="00DD3340">
        <w:t xml:space="preserve"> </w:t>
      </w:r>
      <w:r w:rsidR="00942FA1">
        <w:t>(95% CI)</w:t>
      </w:r>
      <w:r w:rsidR="006D5C26">
        <w:t xml:space="preserve">: </w:t>
      </w:r>
      <w:r w:rsidR="00E10CD3">
        <w:t>0.23</w:t>
      </w:r>
      <w:r w:rsidR="00942FA1">
        <w:t xml:space="preserve"> (0.</w:t>
      </w:r>
      <w:r w:rsidR="006D5C26">
        <w:t>09</w:t>
      </w:r>
      <w:r w:rsidR="00942FA1">
        <w:t>- 0.</w:t>
      </w:r>
      <w:r w:rsidR="006D5C26">
        <w:t>58</w:t>
      </w:r>
      <w:r w:rsidR="00942FA1">
        <w:t>)). Being of Black</w:t>
      </w:r>
      <w:r w:rsidR="008C0813">
        <w:t xml:space="preserve"> ethnicity</w:t>
      </w:r>
      <w:r w:rsidR="00942FA1">
        <w:t xml:space="preserve"> (2.</w:t>
      </w:r>
      <w:r w:rsidR="006D5C26">
        <w:t>64</w:t>
      </w:r>
      <w:r w:rsidR="00942FA1" w:rsidRPr="00B157BF">
        <w:t xml:space="preserve"> (1.</w:t>
      </w:r>
      <w:r w:rsidR="006D5C26">
        <w:t>0</w:t>
      </w:r>
      <w:r w:rsidR="00942FA1">
        <w:t>6</w:t>
      </w:r>
      <w:r w:rsidR="006D5C26">
        <w:t>-6.56)</w:t>
      </w:r>
      <w:r w:rsidR="00942FA1">
        <w:t>)</w:t>
      </w:r>
      <w:r w:rsidR="006D5C26">
        <w:t xml:space="preserve"> </w:t>
      </w:r>
      <w:r w:rsidR="00942FA1">
        <w:t xml:space="preserve">increased the odds </w:t>
      </w:r>
      <w:r w:rsidR="00C63EFA">
        <w:t xml:space="preserve">of </w:t>
      </w:r>
      <w:r w:rsidR="00942FA1">
        <w:t>hav</w:t>
      </w:r>
      <w:r w:rsidR="00C63EFA">
        <w:t>ing</w:t>
      </w:r>
      <w:r w:rsidR="00B16B93">
        <w:t xml:space="preserve"> </w:t>
      </w:r>
      <w:r w:rsidR="007E349A">
        <w:lastRenderedPageBreak/>
        <w:t>MRAMs</w:t>
      </w:r>
      <w:r w:rsidR="00942FA1">
        <w:t xml:space="preserve"> in MG samples compared to those of White ethnicity.  </w:t>
      </w:r>
      <w:r w:rsidR="00130A96">
        <w:t>C</w:t>
      </w:r>
      <w:r w:rsidR="00942FA1">
        <w:t>o-infect</w:t>
      </w:r>
      <w:r w:rsidR="00130A96">
        <w:t>ion</w:t>
      </w:r>
      <w:r w:rsidR="00942FA1">
        <w:t xml:space="preserve"> with</w:t>
      </w:r>
      <w:r w:rsidR="00B16B93">
        <w:t xml:space="preserve"> </w:t>
      </w:r>
      <w:r w:rsidR="00942FA1">
        <w:t xml:space="preserve">another STI </w:t>
      </w:r>
      <w:r w:rsidR="00D22C86">
        <w:t xml:space="preserve">was </w:t>
      </w:r>
      <w:r w:rsidR="00942FA1">
        <w:t>associated with MG</w:t>
      </w:r>
      <w:r w:rsidR="009F0412">
        <w:t>-</w:t>
      </w:r>
      <w:r w:rsidR="003000AD">
        <w:t>MRAMs</w:t>
      </w:r>
      <w:r w:rsidR="00942FA1">
        <w:t xml:space="preserve"> (</w:t>
      </w:r>
      <w:r w:rsidR="006D5C26">
        <w:t>7.19</w:t>
      </w:r>
      <w:r w:rsidR="00942FA1" w:rsidRPr="00B157BF">
        <w:t xml:space="preserve"> (</w:t>
      </w:r>
      <w:r w:rsidR="006D5C26">
        <w:t>2.41-21.46</w:t>
      </w:r>
      <w:r w:rsidR="00942FA1" w:rsidRPr="00B157BF">
        <w:t>)</w:t>
      </w:r>
      <w:r w:rsidR="00942FA1">
        <w:t>).</w:t>
      </w:r>
    </w:p>
    <w:p w14:paraId="46B13ABD" w14:textId="77777777" w:rsidR="006906B4" w:rsidRDefault="006906B4" w:rsidP="00340E05">
      <w:pPr>
        <w:spacing w:line="480" w:lineRule="auto"/>
        <w:rPr>
          <w:i/>
        </w:rPr>
      </w:pPr>
    </w:p>
    <w:p w14:paraId="7C05E084" w14:textId="2B14A52C" w:rsidR="00340E05" w:rsidRPr="00B16B93" w:rsidRDefault="00340E05" w:rsidP="00340E05">
      <w:pPr>
        <w:spacing w:line="480" w:lineRule="auto"/>
      </w:pPr>
      <w:r w:rsidRPr="00B16B93">
        <w:rPr>
          <w:i/>
        </w:rPr>
        <w:t xml:space="preserve">Table </w:t>
      </w:r>
      <w:r>
        <w:rPr>
          <w:i/>
        </w:rPr>
        <w:t>4: U</w:t>
      </w:r>
      <w:r w:rsidRPr="00B16B93">
        <w:rPr>
          <w:i/>
        </w:rPr>
        <w:t xml:space="preserve">nivariate and multivariable logistic regression analysis </w:t>
      </w:r>
      <w:r>
        <w:rPr>
          <w:i/>
        </w:rPr>
        <w:t>of factors associated with MG macrolide resistance</w:t>
      </w:r>
      <w:r w:rsidR="00612E91">
        <w:rPr>
          <w:i/>
        </w:rPr>
        <w:t xml:space="preserve"> (MRAM)</w:t>
      </w:r>
    </w:p>
    <w:tbl>
      <w:tblPr>
        <w:tblStyle w:val="TableGridLight"/>
        <w:tblW w:w="5262" w:type="pct"/>
        <w:tblLayout w:type="fixed"/>
        <w:tblLook w:val="04A0" w:firstRow="1" w:lastRow="0" w:firstColumn="1" w:lastColumn="0" w:noHBand="0" w:noVBand="1"/>
      </w:tblPr>
      <w:tblGrid>
        <w:gridCol w:w="1564"/>
        <w:gridCol w:w="1288"/>
        <w:gridCol w:w="2038"/>
        <w:gridCol w:w="1317"/>
        <w:gridCol w:w="1966"/>
        <w:gridCol w:w="1315"/>
      </w:tblGrid>
      <w:tr w:rsidR="003967F1" w:rsidRPr="00D2233F" w14:paraId="4668F661" w14:textId="77777777" w:rsidTr="0081090E">
        <w:trPr>
          <w:trHeight w:val="57"/>
        </w:trPr>
        <w:tc>
          <w:tcPr>
            <w:tcW w:w="824" w:type="pct"/>
          </w:tcPr>
          <w:p w14:paraId="196CE4C0" w14:textId="77777777" w:rsidR="003967F1" w:rsidRPr="00B16B93" w:rsidRDefault="003967F1" w:rsidP="0081090E">
            <w:pPr>
              <w:jc w:val="center"/>
              <w:rPr>
                <w:rFonts w:asciiTheme="minorHAnsi" w:hAnsiTheme="minorHAnsi"/>
                <w:sz w:val="24"/>
                <w:szCs w:val="24"/>
              </w:rPr>
            </w:pPr>
          </w:p>
        </w:tc>
        <w:tc>
          <w:tcPr>
            <w:tcW w:w="679" w:type="pct"/>
          </w:tcPr>
          <w:p w14:paraId="01904643" w14:textId="77777777" w:rsidR="003967F1" w:rsidRPr="00B16B93" w:rsidRDefault="003967F1" w:rsidP="0081090E">
            <w:pPr>
              <w:jc w:val="center"/>
              <w:rPr>
                <w:rFonts w:asciiTheme="minorHAnsi" w:hAnsiTheme="minorHAnsi"/>
                <w:sz w:val="24"/>
                <w:szCs w:val="24"/>
              </w:rPr>
            </w:pPr>
          </w:p>
        </w:tc>
        <w:tc>
          <w:tcPr>
            <w:tcW w:w="1768" w:type="pct"/>
            <w:gridSpan w:val="2"/>
          </w:tcPr>
          <w:p w14:paraId="16E427C6"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Univariate</w:t>
            </w:r>
          </w:p>
        </w:tc>
        <w:tc>
          <w:tcPr>
            <w:tcW w:w="1729" w:type="pct"/>
            <w:gridSpan w:val="2"/>
          </w:tcPr>
          <w:p w14:paraId="49D68995"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Multivariable</w:t>
            </w:r>
          </w:p>
        </w:tc>
      </w:tr>
      <w:tr w:rsidR="003967F1" w:rsidRPr="00D2233F" w14:paraId="7D4F80A7" w14:textId="77777777" w:rsidTr="0081090E">
        <w:trPr>
          <w:trHeight w:val="57"/>
        </w:trPr>
        <w:tc>
          <w:tcPr>
            <w:tcW w:w="824" w:type="pct"/>
          </w:tcPr>
          <w:p w14:paraId="43C0AFEB" w14:textId="77777777" w:rsidR="003967F1" w:rsidRPr="00B16B93" w:rsidRDefault="003967F1" w:rsidP="0081090E">
            <w:pPr>
              <w:jc w:val="center"/>
              <w:rPr>
                <w:rFonts w:asciiTheme="minorHAnsi" w:hAnsiTheme="minorHAnsi"/>
                <w:sz w:val="24"/>
                <w:szCs w:val="24"/>
              </w:rPr>
            </w:pPr>
          </w:p>
        </w:tc>
        <w:tc>
          <w:tcPr>
            <w:tcW w:w="679" w:type="pct"/>
          </w:tcPr>
          <w:p w14:paraId="5229AB8D" w14:textId="235934BD"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Prevalence</w:t>
            </w:r>
            <w:r>
              <w:rPr>
                <w:rFonts w:asciiTheme="minorHAnsi" w:hAnsiTheme="minorHAnsi"/>
                <w:sz w:val="24"/>
                <w:szCs w:val="24"/>
              </w:rPr>
              <w:t xml:space="preserve"> of MG </w:t>
            </w:r>
            <w:r w:rsidR="003000AD">
              <w:rPr>
                <w:rFonts w:asciiTheme="minorHAnsi" w:hAnsiTheme="minorHAnsi"/>
                <w:sz w:val="24"/>
                <w:szCs w:val="24"/>
              </w:rPr>
              <w:t>MRAMs</w:t>
            </w:r>
          </w:p>
          <w:p w14:paraId="23A7309E" w14:textId="3048FFDE" w:rsidR="003967F1" w:rsidRPr="00B16B93" w:rsidRDefault="003967F1" w:rsidP="0081090E">
            <w:pPr>
              <w:jc w:val="center"/>
              <w:rPr>
                <w:rFonts w:asciiTheme="minorHAnsi" w:hAnsiTheme="minorHAnsi"/>
                <w:sz w:val="24"/>
                <w:szCs w:val="24"/>
              </w:rPr>
            </w:pPr>
          </w:p>
        </w:tc>
        <w:tc>
          <w:tcPr>
            <w:tcW w:w="1074" w:type="pct"/>
          </w:tcPr>
          <w:p w14:paraId="6000E28E"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Odds ratio (95% confidence interval)</w:t>
            </w:r>
          </w:p>
        </w:tc>
        <w:tc>
          <w:tcPr>
            <w:tcW w:w="694" w:type="pct"/>
          </w:tcPr>
          <w:p w14:paraId="1D005487"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P value</w:t>
            </w:r>
          </w:p>
        </w:tc>
        <w:tc>
          <w:tcPr>
            <w:tcW w:w="1036" w:type="pct"/>
          </w:tcPr>
          <w:p w14:paraId="30B78AF2"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 xml:space="preserve">Adjusted odds ratio </w:t>
            </w:r>
            <w:r>
              <w:rPr>
                <w:rFonts w:asciiTheme="minorHAnsi" w:hAnsiTheme="minorHAnsi"/>
                <w:sz w:val="24"/>
                <w:szCs w:val="24"/>
              </w:rPr>
              <w:t xml:space="preserve">(AOR) </w:t>
            </w:r>
            <w:r w:rsidRPr="00B16B93">
              <w:rPr>
                <w:rFonts w:asciiTheme="minorHAnsi" w:hAnsiTheme="minorHAnsi"/>
                <w:sz w:val="24"/>
                <w:szCs w:val="24"/>
              </w:rPr>
              <w:t>(95% confidence interval)</w:t>
            </w:r>
          </w:p>
        </w:tc>
        <w:tc>
          <w:tcPr>
            <w:tcW w:w="693" w:type="pct"/>
          </w:tcPr>
          <w:p w14:paraId="0C5A3FD5"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P value</w:t>
            </w:r>
          </w:p>
        </w:tc>
      </w:tr>
      <w:tr w:rsidR="003967F1" w:rsidRPr="00D2233F" w14:paraId="4A7E66A2" w14:textId="77777777" w:rsidTr="0081090E">
        <w:trPr>
          <w:trHeight w:val="57"/>
        </w:trPr>
        <w:tc>
          <w:tcPr>
            <w:tcW w:w="824" w:type="pct"/>
          </w:tcPr>
          <w:p w14:paraId="6E07824C" w14:textId="5ED12DA5" w:rsidR="003967F1" w:rsidRPr="00B16B93" w:rsidRDefault="00BD0471" w:rsidP="0081090E">
            <w:pPr>
              <w:jc w:val="center"/>
              <w:rPr>
                <w:rFonts w:asciiTheme="minorHAnsi" w:hAnsiTheme="minorHAnsi"/>
                <w:sz w:val="24"/>
                <w:szCs w:val="24"/>
              </w:rPr>
            </w:pPr>
            <w:r>
              <w:rPr>
                <w:rFonts w:asciiTheme="minorHAnsi" w:hAnsiTheme="minorHAnsi"/>
                <w:sz w:val="24"/>
                <w:szCs w:val="24"/>
              </w:rPr>
              <w:t>S</w:t>
            </w:r>
            <w:r w:rsidR="00233E58">
              <w:rPr>
                <w:rFonts w:asciiTheme="minorHAnsi" w:hAnsiTheme="minorHAnsi"/>
                <w:sz w:val="24"/>
                <w:szCs w:val="24"/>
              </w:rPr>
              <w:t>exual orientation</w:t>
            </w:r>
          </w:p>
          <w:p w14:paraId="311E92B9"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MSW</w:t>
            </w:r>
          </w:p>
          <w:p w14:paraId="7CEF9972"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MSM</w:t>
            </w:r>
          </w:p>
          <w:p w14:paraId="0EDEAD3E" w14:textId="77777777" w:rsidR="003967F1" w:rsidRPr="00B16B93" w:rsidRDefault="003967F1" w:rsidP="0081090E">
            <w:pPr>
              <w:jc w:val="center"/>
              <w:rPr>
                <w:rFonts w:asciiTheme="minorHAnsi" w:hAnsiTheme="minorHAnsi"/>
                <w:b/>
                <w:sz w:val="24"/>
                <w:szCs w:val="24"/>
              </w:rPr>
            </w:pPr>
            <w:r w:rsidRPr="00B16B93">
              <w:rPr>
                <w:rFonts w:asciiTheme="minorHAnsi" w:hAnsiTheme="minorHAnsi"/>
                <w:b/>
                <w:sz w:val="24"/>
                <w:szCs w:val="24"/>
              </w:rPr>
              <w:t>Females</w:t>
            </w:r>
          </w:p>
        </w:tc>
        <w:tc>
          <w:tcPr>
            <w:tcW w:w="679" w:type="pct"/>
          </w:tcPr>
          <w:p w14:paraId="0FA8DCB2" w14:textId="77777777" w:rsidR="003967F1" w:rsidRPr="00B16B93" w:rsidRDefault="003967F1" w:rsidP="0081090E">
            <w:pPr>
              <w:jc w:val="center"/>
              <w:rPr>
                <w:rFonts w:asciiTheme="minorHAnsi" w:hAnsiTheme="minorHAnsi"/>
                <w:sz w:val="24"/>
                <w:szCs w:val="24"/>
              </w:rPr>
            </w:pPr>
          </w:p>
          <w:p w14:paraId="4364C039" w14:textId="77777777" w:rsidR="00754CF1" w:rsidRDefault="00754CF1" w:rsidP="0081090E">
            <w:pPr>
              <w:jc w:val="center"/>
              <w:rPr>
                <w:rFonts w:asciiTheme="minorHAnsi" w:hAnsiTheme="minorHAnsi"/>
                <w:sz w:val="24"/>
                <w:szCs w:val="24"/>
              </w:rPr>
            </w:pPr>
          </w:p>
          <w:p w14:paraId="5C2762D7" w14:textId="551C8D47" w:rsidR="003967F1" w:rsidRPr="00B16B93" w:rsidRDefault="003967F1" w:rsidP="0081090E">
            <w:pPr>
              <w:jc w:val="center"/>
              <w:rPr>
                <w:rFonts w:asciiTheme="minorHAnsi" w:hAnsiTheme="minorHAnsi"/>
                <w:sz w:val="24"/>
                <w:szCs w:val="24"/>
              </w:rPr>
            </w:pPr>
            <w:r>
              <w:rPr>
                <w:rFonts w:asciiTheme="minorHAnsi" w:hAnsiTheme="minorHAnsi"/>
                <w:sz w:val="24"/>
                <w:szCs w:val="24"/>
              </w:rPr>
              <w:t>12.1</w:t>
            </w:r>
          </w:p>
          <w:p w14:paraId="6E07CB90"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4.3</w:t>
            </w:r>
          </w:p>
          <w:p w14:paraId="3C193E03" w14:textId="77777777" w:rsidR="003967F1" w:rsidRPr="00B16B93" w:rsidRDefault="003967F1" w:rsidP="0081090E">
            <w:pPr>
              <w:jc w:val="center"/>
              <w:rPr>
                <w:rFonts w:asciiTheme="minorHAnsi" w:hAnsiTheme="minorHAnsi"/>
                <w:b/>
                <w:sz w:val="24"/>
                <w:szCs w:val="24"/>
              </w:rPr>
            </w:pPr>
            <w:r>
              <w:rPr>
                <w:rFonts w:asciiTheme="minorHAnsi" w:hAnsiTheme="minorHAnsi"/>
                <w:b/>
                <w:sz w:val="24"/>
                <w:szCs w:val="24"/>
              </w:rPr>
              <w:t>2.9</w:t>
            </w:r>
          </w:p>
        </w:tc>
        <w:tc>
          <w:tcPr>
            <w:tcW w:w="1074" w:type="pct"/>
          </w:tcPr>
          <w:p w14:paraId="2F6CC5BE" w14:textId="77777777" w:rsidR="003967F1" w:rsidRPr="00B16B93" w:rsidRDefault="003967F1" w:rsidP="0081090E">
            <w:pPr>
              <w:jc w:val="center"/>
              <w:rPr>
                <w:rFonts w:asciiTheme="minorHAnsi" w:hAnsiTheme="minorHAnsi"/>
                <w:sz w:val="24"/>
                <w:szCs w:val="24"/>
              </w:rPr>
            </w:pPr>
          </w:p>
          <w:p w14:paraId="1B8176B9" w14:textId="77777777" w:rsidR="00754CF1" w:rsidRDefault="00754CF1" w:rsidP="0081090E">
            <w:pPr>
              <w:jc w:val="center"/>
              <w:rPr>
                <w:rFonts w:asciiTheme="minorHAnsi" w:hAnsiTheme="minorHAnsi"/>
                <w:sz w:val="24"/>
                <w:szCs w:val="24"/>
              </w:rPr>
            </w:pPr>
          </w:p>
          <w:p w14:paraId="7AEADCE4" w14:textId="2AD07E13"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w:t>
            </w:r>
          </w:p>
          <w:p w14:paraId="1F2912FD"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0.32</w:t>
            </w:r>
            <w:r w:rsidRPr="00B16B93">
              <w:rPr>
                <w:rFonts w:asciiTheme="minorHAnsi" w:hAnsiTheme="minorHAnsi"/>
                <w:sz w:val="24"/>
                <w:szCs w:val="24"/>
              </w:rPr>
              <w:t xml:space="preserve"> (0.</w:t>
            </w:r>
            <w:r>
              <w:rPr>
                <w:rFonts w:asciiTheme="minorHAnsi" w:hAnsiTheme="minorHAnsi"/>
                <w:sz w:val="24"/>
                <w:szCs w:val="24"/>
              </w:rPr>
              <w:t>09</w:t>
            </w:r>
            <w:r w:rsidRPr="00B16B93">
              <w:rPr>
                <w:rFonts w:asciiTheme="minorHAnsi" w:hAnsiTheme="minorHAnsi"/>
                <w:sz w:val="24"/>
                <w:szCs w:val="24"/>
              </w:rPr>
              <w:t>-1.</w:t>
            </w:r>
            <w:r>
              <w:rPr>
                <w:rFonts w:asciiTheme="minorHAnsi" w:hAnsiTheme="minorHAnsi"/>
                <w:sz w:val="24"/>
                <w:szCs w:val="24"/>
              </w:rPr>
              <w:t>12</w:t>
            </w:r>
            <w:r w:rsidRPr="00B16B93">
              <w:rPr>
                <w:rFonts w:asciiTheme="minorHAnsi" w:hAnsiTheme="minorHAnsi"/>
                <w:sz w:val="24"/>
                <w:szCs w:val="24"/>
              </w:rPr>
              <w:t>)</w:t>
            </w:r>
          </w:p>
          <w:p w14:paraId="05CA26A4" w14:textId="77777777" w:rsidR="003967F1" w:rsidRPr="00B16B93" w:rsidRDefault="003967F1" w:rsidP="0081090E">
            <w:pPr>
              <w:jc w:val="center"/>
              <w:rPr>
                <w:rFonts w:asciiTheme="minorHAnsi" w:hAnsiTheme="minorHAnsi"/>
                <w:b/>
                <w:sz w:val="24"/>
                <w:szCs w:val="24"/>
              </w:rPr>
            </w:pPr>
            <w:r>
              <w:rPr>
                <w:rFonts w:asciiTheme="minorHAnsi" w:hAnsiTheme="minorHAnsi"/>
                <w:b/>
                <w:sz w:val="24"/>
                <w:szCs w:val="24"/>
              </w:rPr>
              <w:t>0.22</w:t>
            </w:r>
            <w:r w:rsidRPr="00B16B93">
              <w:rPr>
                <w:rFonts w:asciiTheme="minorHAnsi" w:hAnsiTheme="minorHAnsi"/>
                <w:b/>
                <w:sz w:val="24"/>
                <w:szCs w:val="24"/>
              </w:rPr>
              <w:t xml:space="preserve"> (0.10-0.49)</w:t>
            </w:r>
          </w:p>
        </w:tc>
        <w:tc>
          <w:tcPr>
            <w:tcW w:w="694" w:type="pct"/>
          </w:tcPr>
          <w:p w14:paraId="373913EE" w14:textId="77777777" w:rsidR="003967F1" w:rsidRPr="00B16B93" w:rsidRDefault="003967F1" w:rsidP="0081090E">
            <w:pPr>
              <w:jc w:val="center"/>
              <w:rPr>
                <w:rFonts w:asciiTheme="minorHAnsi" w:hAnsiTheme="minorHAnsi"/>
                <w:sz w:val="24"/>
                <w:szCs w:val="24"/>
              </w:rPr>
            </w:pPr>
          </w:p>
          <w:p w14:paraId="199691D7" w14:textId="77777777" w:rsidR="00754CF1" w:rsidRDefault="00754CF1" w:rsidP="0081090E">
            <w:pPr>
              <w:jc w:val="center"/>
              <w:rPr>
                <w:rFonts w:asciiTheme="minorHAnsi" w:hAnsiTheme="minorHAnsi"/>
                <w:sz w:val="24"/>
                <w:szCs w:val="24"/>
              </w:rPr>
            </w:pPr>
          </w:p>
          <w:p w14:paraId="23BE6DB3" w14:textId="2EF57502"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5B833681"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076</w:t>
            </w:r>
          </w:p>
          <w:p w14:paraId="53CEE1D5" w14:textId="77777777" w:rsidR="003967F1" w:rsidRPr="00B16B93" w:rsidRDefault="003967F1" w:rsidP="0081090E">
            <w:pPr>
              <w:jc w:val="center"/>
              <w:rPr>
                <w:rFonts w:asciiTheme="minorHAnsi" w:hAnsiTheme="minorHAnsi"/>
                <w:b/>
                <w:sz w:val="24"/>
                <w:szCs w:val="24"/>
              </w:rPr>
            </w:pPr>
            <w:r w:rsidRPr="00B16B93">
              <w:rPr>
                <w:rFonts w:asciiTheme="minorHAnsi" w:hAnsiTheme="minorHAnsi"/>
                <w:b/>
                <w:sz w:val="24"/>
                <w:szCs w:val="24"/>
              </w:rPr>
              <w:t>&lt;0.001</w:t>
            </w:r>
          </w:p>
        </w:tc>
        <w:tc>
          <w:tcPr>
            <w:tcW w:w="1036" w:type="pct"/>
          </w:tcPr>
          <w:p w14:paraId="42BA8298" w14:textId="77777777" w:rsidR="003967F1" w:rsidRPr="00B16B93" w:rsidRDefault="003967F1" w:rsidP="0081090E">
            <w:pPr>
              <w:jc w:val="center"/>
              <w:rPr>
                <w:rFonts w:asciiTheme="minorHAnsi" w:hAnsiTheme="minorHAnsi"/>
                <w:sz w:val="24"/>
                <w:szCs w:val="24"/>
              </w:rPr>
            </w:pPr>
          </w:p>
          <w:p w14:paraId="3517EEA2" w14:textId="77777777" w:rsidR="00754CF1" w:rsidRDefault="00754CF1" w:rsidP="0081090E">
            <w:pPr>
              <w:jc w:val="center"/>
              <w:rPr>
                <w:rFonts w:asciiTheme="minorHAnsi" w:hAnsiTheme="minorHAnsi"/>
                <w:sz w:val="24"/>
                <w:szCs w:val="24"/>
              </w:rPr>
            </w:pPr>
          </w:p>
          <w:p w14:paraId="0830CF5F" w14:textId="153F366F"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w:t>
            </w:r>
          </w:p>
          <w:p w14:paraId="5390344C"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0.25</w:t>
            </w:r>
            <w:r w:rsidRPr="00B16B93">
              <w:rPr>
                <w:rFonts w:asciiTheme="minorHAnsi" w:hAnsiTheme="minorHAnsi"/>
                <w:sz w:val="24"/>
                <w:szCs w:val="24"/>
              </w:rPr>
              <w:t>(0.</w:t>
            </w:r>
            <w:r>
              <w:rPr>
                <w:rFonts w:asciiTheme="minorHAnsi" w:hAnsiTheme="minorHAnsi"/>
                <w:sz w:val="24"/>
                <w:szCs w:val="24"/>
              </w:rPr>
              <w:t>05</w:t>
            </w:r>
            <w:r w:rsidRPr="00B16B93">
              <w:rPr>
                <w:rFonts w:asciiTheme="minorHAnsi" w:hAnsiTheme="minorHAnsi"/>
                <w:sz w:val="24"/>
                <w:szCs w:val="24"/>
              </w:rPr>
              <w:t>-1.</w:t>
            </w:r>
            <w:r>
              <w:rPr>
                <w:rFonts w:asciiTheme="minorHAnsi" w:hAnsiTheme="minorHAnsi"/>
                <w:sz w:val="24"/>
                <w:szCs w:val="24"/>
              </w:rPr>
              <w:t>37</w:t>
            </w:r>
            <w:r w:rsidRPr="00B16B93">
              <w:rPr>
                <w:rFonts w:asciiTheme="minorHAnsi" w:hAnsiTheme="minorHAnsi"/>
                <w:sz w:val="24"/>
                <w:szCs w:val="24"/>
              </w:rPr>
              <w:t>)</w:t>
            </w:r>
          </w:p>
          <w:p w14:paraId="5E3317B5" w14:textId="77777777" w:rsidR="003967F1" w:rsidRPr="00B16B93" w:rsidRDefault="003967F1" w:rsidP="0081090E">
            <w:pPr>
              <w:jc w:val="center"/>
              <w:rPr>
                <w:rFonts w:asciiTheme="minorHAnsi" w:hAnsiTheme="minorHAnsi"/>
                <w:b/>
                <w:sz w:val="24"/>
                <w:szCs w:val="24"/>
              </w:rPr>
            </w:pPr>
            <w:r w:rsidRPr="00B16B93">
              <w:rPr>
                <w:rFonts w:asciiTheme="minorHAnsi" w:hAnsiTheme="minorHAnsi"/>
                <w:b/>
                <w:sz w:val="24"/>
                <w:szCs w:val="24"/>
              </w:rPr>
              <w:t>0.2</w:t>
            </w:r>
            <w:r>
              <w:rPr>
                <w:rFonts w:asciiTheme="minorHAnsi" w:hAnsiTheme="minorHAnsi"/>
                <w:b/>
                <w:sz w:val="24"/>
                <w:szCs w:val="24"/>
              </w:rPr>
              <w:t>3</w:t>
            </w:r>
            <w:r w:rsidRPr="00B16B93">
              <w:rPr>
                <w:rFonts w:asciiTheme="minorHAnsi" w:hAnsiTheme="minorHAnsi"/>
                <w:b/>
                <w:sz w:val="24"/>
                <w:szCs w:val="24"/>
              </w:rPr>
              <w:t xml:space="preserve"> (0.0</w:t>
            </w:r>
            <w:r>
              <w:rPr>
                <w:rFonts w:asciiTheme="minorHAnsi" w:hAnsiTheme="minorHAnsi"/>
                <w:b/>
                <w:sz w:val="24"/>
                <w:szCs w:val="24"/>
              </w:rPr>
              <w:t>9</w:t>
            </w:r>
            <w:r w:rsidRPr="00B16B93">
              <w:rPr>
                <w:rFonts w:asciiTheme="minorHAnsi" w:hAnsiTheme="minorHAnsi"/>
                <w:b/>
                <w:sz w:val="24"/>
                <w:szCs w:val="24"/>
              </w:rPr>
              <w:t>-0.5</w:t>
            </w:r>
            <w:r>
              <w:rPr>
                <w:rFonts w:asciiTheme="minorHAnsi" w:hAnsiTheme="minorHAnsi"/>
                <w:b/>
                <w:sz w:val="24"/>
                <w:szCs w:val="24"/>
              </w:rPr>
              <w:t>8</w:t>
            </w:r>
            <w:r w:rsidRPr="00B16B93">
              <w:rPr>
                <w:rFonts w:asciiTheme="minorHAnsi" w:hAnsiTheme="minorHAnsi"/>
                <w:b/>
                <w:sz w:val="24"/>
                <w:szCs w:val="24"/>
              </w:rPr>
              <w:t>)</w:t>
            </w:r>
          </w:p>
        </w:tc>
        <w:tc>
          <w:tcPr>
            <w:tcW w:w="693" w:type="pct"/>
          </w:tcPr>
          <w:p w14:paraId="69215B42" w14:textId="77777777" w:rsidR="003967F1" w:rsidRPr="00B16B93" w:rsidRDefault="003967F1" w:rsidP="0081090E">
            <w:pPr>
              <w:jc w:val="center"/>
              <w:rPr>
                <w:rFonts w:asciiTheme="minorHAnsi" w:hAnsiTheme="minorHAnsi"/>
                <w:sz w:val="24"/>
                <w:szCs w:val="24"/>
              </w:rPr>
            </w:pPr>
          </w:p>
          <w:p w14:paraId="4082889D" w14:textId="77777777" w:rsidR="00754CF1" w:rsidRDefault="00754CF1" w:rsidP="0081090E">
            <w:pPr>
              <w:jc w:val="center"/>
              <w:rPr>
                <w:rFonts w:asciiTheme="minorHAnsi" w:hAnsiTheme="minorHAnsi"/>
                <w:sz w:val="24"/>
                <w:szCs w:val="24"/>
              </w:rPr>
            </w:pPr>
          </w:p>
          <w:p w14:paraId="3FB6F162" w14:textId="6299C760"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6857007C"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0.309</w:t>
            </w:r>
          </w:p>
          <w:p w14:paraId="6CBA849D" w14:textId="77777777" w:rsidR="003967F1" w:rsidRPr="00B16B93" w:rsidRDefault="003967F1" w:rsidP="0081090E">
            <w:pPr>
              <w:jc w:val="center"/>
              <w:rPr>
                <w:rFonts w:asciiTheme="minorHAnsi" w:hAnsiTheme="minorHAnsi"/>
                <w:b/>
                <w:sz w:val="24"/>
                <w:szCs w:val="24"/>
              </w:rPr>
            </w:pPr>
            <w:r>
              <w:rPr>
                <w:rFonts w:asciiTheme="minorHAnsi" w:hAnsiTheme="minorHAnsi"/>
                <w:b/>
                <w:sz w:val="24"/>
                <w:szCs w:val="24"/>
              </w:rPr>
              <w:t>&lt;0.05</w:t>
            </w:r>
          </w:p>
        </w:tc>
      </w:tr>
      <w:tr w:rsidR="003967F1" w:rsidRPr="00D2233F" w14:paraId="60C47D0E" w14:textId="77777777" w:rsidTr="0081090E">
        <w:trPr>
          <w:trHeight w:val="57"/>
        </w:trPr>
        <w:tc>
          <w:tcPr>
            <w:tcW w:w="824" w:type="pct"/>
          </w:tcPr>
          <w:p w14:paraId="6E342865" w14:textId="3ADFC87E"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Age</w:t>
            </w:r>
            <w:r w:rsidR="00233E58">
              <w:rPr>
                <w:rFonts w:asciiTheme="minorHAnsi" w:hAnsiTheme="minorHAnsi"/>
                <w:sz w:val="24"/>
                <w:szCs w:val="24"/>
              </w:rPr>
              <w:t xml:space="preserve"> group</w:t>
            </w:r>
            <w:r w:rsidR="00BD0471">
              <w:rPr>
                <w:rFonts w:asciiTheme="minorHAnsi" w:hAnsiTheme="minorHAnsi"/>
                <w:sz w:val="24"/>
                <w:szCs w:val="24"/>
              </w:rPr>
              <w:t xml:space="preserve"> (years)</w:t>
            </w:r>
          </w:p>
          <w:p w14:paraId="61FE98D6"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16-19</w:t>
            </w:r>
          </w:p>
          <w:p w14:paraId="7F3A242D"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20-24</w:t>
            </w:r>
          </w:p>
          <w:p w14:paraId="748ADBC3" w14:textId="77777777" w:rsidR="003967F1" w:rsidRPr="00B16B93" w:rsidRDefault="003967F1" w:rsidP="0081090E">
            <w:pPr>
              <w:jc w:val="center"/>
              <w:rPr>
                <w:rFonts w:asciiTheme="minorHAnsi" w:hAnsiTheme="minorHAnsi"/>
                <w:b/>
                <w:sz w:val="24"/>
                <w:szCs w:val="24"/>
              </w:rPr>
            </w:pPr>
            <w:r w:rsidRPr="00B16B93">
              <w:rPr>
                <w:rFonts w:asciiTheme="minorHAnsi" w:hAnsiTheme="minorHAnsi"/>
                <w:b/>
                <w:sz w:val="24"/>
                <w:szCs w:val="24"/>
              </w:rPr>
              <w:t>25-34</w:t>
            </w:r>
          </w:p>
          <w:p w14:paraId="0E1DCD24"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35+</w:t>
            </w:r>
          </w:p>
        </w:tc>
        <w:tc>
          <w:tcPr>
            <w:tcW w:w="679" w:type="pct"/>
          </w:tcPr>
          <w:p w14:paraId="285396F3" w14:textId="0C38DD89" w:rsidR="003967F1" w:rsidRDefault="003967F1" w:rsidP="0081090E">
            <w:pPr>
              <w:jc w:val="center"/>
              <w:rPr>
                <w:rFonts w:asciiTheme="minorHAnsi" w:hAnsiTheme="minorHAnsi"/>
                <w:sz w:val="24"/>
                <w:szCs w:val="24"/>
              </w:rPr>
            </w:pPr>
          </w:p>
          <w:p w14:paraId="7C977D93" w14:textId="77777777" w:rsidR="00DF533E" w:rsidRPr="00B16B93" w:rsidRDefault="00DF533E" w:rsidP="0081090E">
            <w:pPr>
              <w:jc w:val="center"/>
              <w:rPr>
                <w:rFonts w:asciiTheme="minorHAnsi" w:hAnsiTheme="minorHAnsi"/>
                <w:sz w:val="24"/>
                <w:szCs w:val="24"/>
              </w:rPr>
            </w:pPr>
          </w:p>
          <w:p w14:paraId="29D2BCF3"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13.0</w:t>
            </w:r>
          </w:p>
          <w:p w14:paraId="14A7737F"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6.5</w:t>
            </w:r>
          </w:p>
          <w:p w14:paraId="770691F8" w14:textId="77777777" w:rsidR="003967F1" w:rsidRPr="00CB4EBC" w:rsidRDefault="003967F1" w:rsidP="0081090E">
            <w:pPr>
              <w:jc w:val="center"/>
              <w:rPr>
                <w:rFonts w:asciiTheme="minorHAnsi" w:hAnsiTheme="minorHAnsi"/>
                <w:b/>
                <w:sz w:val="24"/>
                <w:szCs w:val="24"/>
              </w:rPr>
            </w:pPr>
            <w:r w:rsidRPr="00CB4EBC">
              <w:rPr>
                <w:rFonts w:asciiTheme="minorHAnsi" w:hAnsiTheme="minorHAnsi"/>
                <w:b/>
                <w:sz w:val="24"/>
                <w:szCs w:val="24"/>
              </w:rPr>
              <w:t>5.1</w:t>
            </w:r>
          </w:p>
          <w:p w14:paraId="521AD832"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4.8</w:t>
            </w:r>
          </w:p>
        </w:tc>
        <w:tc>
          <w:tcPr>
            <w:tcW w:w="1074" w:type="pct"/>
          </w:tcPr>
          <w:p w14:paraId="6AE4CECD" w14:textId="5AB96211" w:rsidR="003967F1" w:rsidRDefault="003967F1" w:rsidP="0081090E">
            <w:pPr>
              <w:jc w:val="center"/>
              <w:rPr>
                <w:rFonts w:asciiTheme="minorHAnsi" w:hAnsiTheme="minorHAnsi"/>
                <w:sz w:val="24"/>
                <w:szCs w:val="24"/>
              </w:rPr>
            </w:pPr>
          </w:p>
          <w:p w14:paraId="14F41526" w14:textId="77777777" w:rsidR="00DF533E" w:rsidRPr="00B16B93" w:rsidRDefault="00DF533E" w:rsidP="0081090E">
            <w:pPr>
              <w:jc w:val="center"/>
              <w:rPr>
                <w:rFonts w:asciiTheme="minorHAnsi" w:hAnsiTheme="minorHAnsi"/>
                <w:sz w:val="24"/>
                <w:szCs w:val="24"/>
              </w:rPr>
            </w:pPr>
          </w:p>
          <w:p w14:paraId="66DE8A1A"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w:t>
            </w:r>
          </w:p>
          <w:p w14:paraId="0264FC90"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0.46</w:t>
            </w:r>
            <w:r w:rsidRPr="00B16B93">
              <w:rPr>
                <w:rFonts w:asciiTheme="minorHAnsi" w:hAnsiTheme="minorHAnsi"/>
                <w:sz w:val="24"/>
                <w:szCs w:val="24"/>
              </w:rPr>
              <w:t xml:space="preserve"> (0.1</w:t>
            </w:r>
            <w:r>
              <w:rPr>
                <w:rFonts w:asciiTheme="minorHAnsi" w:hAnsiTheme="minorHAnsi"/>
                <w:sz w:val="24"/>
                <w:szCs w:val="24"/>
              </w:rPr>
              <w:t>5</w:t>
            </w:r>
            <w:r w:rsidRPr="00B16B93">
              <w:rPr>
                <w:rFonts w:asciiTheme="minorHAnsi" w:hAnsiTheme="minorHAnsi"/>
                <w:sz w:val="24"/>
                <w:szCs w:val="24"/>
              </w:rPr>
              <w:t>-1.</w:t>
            </w:r>
            <w:r>
              <w:rPr>
                <w:rFonts w:asciiTheme="minorHAnsi" w:hAnsiTheme="minorHAnsi"/>
                <w:sz w:val="24"/>
                <w:szCs w:val="24"/>
              </w:rPr>
              <w:t>42</w:t>
            </w:r>
            <w:r w:rsidRPr="00B16B93">
              <w:rPr>
                <w:rFonts w:asciiTheme="minorHAnsi" w:hAnsiTheme="minorHAnsi"/>
                <w:sz w:val="24"/>
                <w:szCs w:val="24"/>
              </w:rPr>
              <w:t>)</w:t>
            </w:r>
          </w:p>
          <w:p w14:paraId="7739D01D" w14:textId="77777777" w:rsidR="003967F1" w:rsidRPr="00B16B93" w:rsidRDefault="003967F1" w:rsidP="0081090E">
            <w:pPr>
              <w:jc w:val="center"/>
              <w:rPr>
                <w:rFonts w:asciiTheme="minorHAnsi" w:hAnsiTheme="minorHAnsi"/>
                <w:b/>
                <w:sz w:val="24"/>
                <w:szCs w:val="24"/>
              </w:rPr>
            </w:pPr>
            <w:r w:rsidRPr="00B16B93">
              <w:rPr>
                <w:rFonts w:asciiTheme="minorHAnsi" w:hAnsiTheme="minorHAnsi"/>
                <w:b/>
                <w:sz w:val="24"/>
                <w:szCs w:val="24"/>
              </w:rPr>
              <w:t>0.35 (0.14-1.03)</w:t>
            </w:r>
          </w:p>
          <w:p w14:paraId="7FF1E464"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 xml:space="preserve">  </w:t>
            </w:r>
            <w:r w:rsidRPr="00B16B93">
              <w:rPr>
                <w:rFonts w:asciiTheme="minorHAnsi" w:hAnsiTheme="minorHAnsi"/>
                <w:sz w:val="24"/>
                <w:szCs w:val="24"/>
              </w:rPr>
              <w:t>0.</w:t>
            </w:r>
            <w:r>
              <w:rPr>
                <w:rFonts w:asciiTheme="minorHAnsi" w:hAnsiTheme="minorHAnsi"/>
                <w:sz w:val="24"/>
                <w:szCs w:val="24"/>
              </w:rPr>
              <w:t>34</w:t>
            </w:r>
            <w:r w:rsidRPr="00B16B93">
              <w:rPr>
                <w:rFonts w:asciiTheme="minorHAnsi" w:hAnsiTheme="minorHAnsi"/>
                <w:sz w:val="24"/>
                <w:szCs w:val="24"/>
              </w:rPr>
              <w:t xml:space="preserve"> (0.1</w:t>
            </w:r>
            <w:r>
              <w:rPr>
                <w:rFonts w:asciiTheme="minorHAnsi" w:hAnsiTheme="minorHAnsi"/>
                <w:sz w:val="24"/>
                <w:szCs w:val="24"/>
              </w:rPr>
              <w:t>0-</w:t>
            </w:r>
            <w:r w:rsidRPr="00B16B93">
              <w:rPr>
                <w:rFonts w:asciiTheme="minorHAnsi" w:hAnsiTheme="minorHAnsi"/>
                <w:sz w:val="24"/>
                <w:szCs w:val="24"/>
              </w:rPr>
              <w:t>1.0</w:t>
            </w:r>
            <w:r>
              <w:rPr>
                <w:rFonts w:asciiTheme="minorHAnsi" w:hAnsiTheme="minorHAnsi"/>
                <w:sz w:val="24"/>
                <w:szCs w:val="24"/>
              </w:rPr>
              <w:t>1</w:t>
            </w:r>
            <w:r w:rsidRPr="00B16B93">
              <w:rPr>
                <w:rFonts w:asciiTheme="minorHAnsi" w:hAnsiTheme="minorHAnsi"/>
                <w:sz w:val="24"/>
                <w:szCs w:val="24"/>
              </w:rPr>
              <w:t>)</w:t>
            </w:r>
          </w:p>
        </w:tc>
        <w:tc>
          <w:tcPr>
            <w:tcW w:w="694" w:type="pct"/>
          </w:tcPr>
          <w:p w14:paraId="7DD3CAD5" w14:textId="72DC06A7" w:rsidR="003967F1" w:rsidRDefault="003967F1" w:rsidP="0081090E">
            <w:pPr>
              <w:jc w:val="center"/>
              <w:rPr>
                <w:rFonts w:asciiTheme="minorHAnsi" w:hAnsiTheme="minorHAnsi"/>
                <w:sz w:val="24"/>
                <w:szCs w:val="24"/>
              </w:rPr>
            </w:pPr>
          </w:p>
          <w:p w14:paraId="7DF8292E" w14:textId="77777777" w:rsidR="00DF533E" w:rsidRPr="00B16B93" w:rsidRDefault="00DF533E" w:rsidP="0081090E">
            <w:pPr>
              <w:jc w:val="center"/>
              <w:rPr>
                <w:rFonts w:asciiTheme="minorHAnsi" w:hAnsiTheme="minorHAnsi"/>
                <w:sz w:val="24"/>
                <w:szCs w:val="24"/>
              </w:rPr>
            </w:pPr>
          </w:p>
          <w:p w14:paraId="41194CFB"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02AB1FEA"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178</w:t>
            </w:r>
          </w:p>
          <w:p w14:paraId="79F4089B" w14:textId="77777777" w:rsidR="003967F1" w:rsidRPr="00B16B93" w:rsidRDefault="003967F1" w:rsidP="0081090E">
            <w:pPr>
              <w:jc w:val="center"/>
              <w:rPr>
                <w:rFonts w:asciiTheme="minorHAnsi" w:hAnsiTheme="minorHAnsi"/>
                <w:b/>
                <w:sz w:val="24"/>
                <w:szCs w:val="24"/>
              </w:rPr>
            </w:pPr>
            <w:r>
              <w:rPr>
                <w:rFonts w:asciiTheme="minorHAnsi" w:hAnsiTheme="minorHAnsi"/>
                <w:b/>
                <w:sz w:val="24"/>
                <w:szCs w:val="24"/>
              </w:rPr>
              <w:t>&lt;0.05</w:t>
            </w:r>
          </w:p>
          <w:p w14:paraId="21FB0FC9"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0.0</w:t>
            </w:r>
            <w:r>
              <w:rPr>
                <w:rFonts w:asciiTheme="minorHAnsi" w:hAnsiTheme="minorHAnsi"/>
                <w:sz w:val="24"/>
                <w:szCs w:val="24"/>
              </w:rPr>
              <w:t>72</w:t>
            </w:r>
          </w:p>
        </w:tc>
        <w:tc>
          <w:tcPr>
            <w:tcW w:w="1036" w:type="pct"/>
          </w:tcPr>
          <w:p w14:paraId="37994499" w14:textId="3450B4EF" w:rsidR="003967F1" w:rsidRDefault="003967F1" w:rsidP="0081090E">
            <w:pPr>
              <w:jc w:val="center"/>
              <w:rPr>
                <w:rFonts w:asciiTheme="minorHAnsi" w:hAnsiTheme="minorHAnsi"/>
                <w:sz w:val="24"/>
                <w:szCs w:val="24"/>
              </w:rPr>
            </w:pPr>
          </w:p>
          <w:p w14:paraId="173A0BF8" w14:textId="77777777" w:rsidR="00DF533E" w:rsidRPr="00B16B93" w:rsidRDefault="00DF533E" w:rsidP="0081090E">
            <w:pPr>
              <w:jc w:val="center"/>
              <w:rPr>
                <w:rFonts w:asciiTheme="minorHAnsi" w:hAnsiTheme="minorHAnsi"/>
                <w:sz w:val="24"/>
                <w:szCs w:val="24"/>
              </w:rPr>
            </w:pPr>
          </w:p>
          <w:p w14:paraId="0DE96C5D"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w:t>
            </w:r>
          </w:p>
          <w:p w14:paraId="4EEEE9E6"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41</w:t>
            </w:r>
            <w:r w:rsidRPr="00B16B93">
              <w:rPr>
                <w:rFonts w:asciiTheme="minorHAnsi" w:hAnsiTheme="minorHAnsi"/>
                <w:sz w:val="24"/>
                <w:szCs w:val="24"/>
              </w:rPr>
              <w:t xml:space="preserve"> (0.1</w:t>
            </w:r>
            <w:r>
              <w:rPr>
                <w:rFonts w:asciiTheme="minorHAnsi" w:hAnsiTheme="minorHAnsi"/>
                <w:sz w:val="24"/>
                <w:szCs w:val="24"/>
              </w:rPr>
              <w:t>1</w:t>
            </w:r>
            <w:r w:rsidRPr="00B16B93">
              <w:rPr>
                <w:rFonts w:asciiTheme="minorHAnsi" w:hAnsiTheme="minorHAnsi"/>
                <w:sz w:val="24"/>
                <w:szCs w:val="24"/>
              </w:rPr>
              <w:t>-</w:t>
            </w:r>
            <w:r>
              <w:rPr>
                <w:rFonts w:asciiTheme="minorHAnsi" w:hAnsiTheme="minorHAnsi"/>
                <w:sz w:val="24"/>
                <w:szCs w:val="24"/>
              </w:rPr>
              <w:t>1.48</w:t>
            </w:r>
            <w:r w:rsidRPr="00B16B93">
              <w:rPr>
                <w:rFonts w:asciiTheme="minorHAnsi" w:hAnsiTheme="minorHAnsi"/>
                <w:sz w:val="24"/>
                <w:szCs w:val="24"/>
              </w:rPr>
              <w:t>)</w:t>
            </w:r>
          </w:p>
          <w:p w14:paraId="3E900CA6"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0.30</w:t>
            </w:r>
            <w:r w:rsidRPr="00B16B93">
              <w:rPr>
                <w:rFonts w:asciiTheme="minorHAnsi" w:hAnsiTheme="minorHAnsi"/>
                <w:sz w:val="24"/>
                <w:szCs w:val="24"/>
              </w:rPr>
              <w:t xml:space="preserve"> (0.</w:t>
            </w:r>
            <w:r>
              <w:rPr>
                <w:rFonts w:asciiTheme="minorHAnsi" w:hAnsiTheme="minorHAnsi"/>
                <w:sz w:val="24"/>
                <w:szCs w:val="24"/>
              </w:rPr>
              <w:t>09</w:t>
            </w:r>
            <w:r w:rsidRPr="00B16B93">
              <w:rPr>
                <w:rFonts w:asciiTheme="minorHAnsi" w:hAnsiTheme="minorHAnsi"/>
                <w:sz w:val="24"/>
                <w:szCs w:val="24"/>
              </w:rPr>
              <w:t>-</w:t>
            </w:r>
            <w:r>
              <w:rPr>
                <w:rFonts w:asciiTheme="minorHAnsi" w:hAnsiTheme="minorHAnsi"/>
                <w:sz w:val="24"/>
                <w:szCs w:val="24"/>
              </w:rPr>
              <w:t>1.07</w:t>
            </w:r>
            <w:r w:rsidRPr="00B16B93">
              <w:rPr>
                <w:rFonts w:asciiTheme="minorHAnsi" w:hAnsiTheme="minorHAnsi"/>
                <w:sz w:val="24"/>
                <w:szCs w:val="24"/>
              </w:rPr>
              <w:t>)</w:t>
            </w:r>
          </w:p>
          <w:p w14:paraId="37420BF4"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34</w:t>
            </w:r>
            <w:r w:rsidRPr="00B16B93">
              <w:rPr>
                <w:rFonts w:asciiTheme="minorHAnsi" w:hAnsiTheme="minorHAnsi"/>
                <w:sz w:val="24"/>
                <w:szCs w:val="24"/>
              </w:rPr>
              <w:t xml:space="preserve"> (0.0</w:t>
            </w:r>
            <w:r>
              <w:rPr>
                <w:rFonts w:asciiTheme="minorHAnsi" w:hAnsiTheme="minorHAnsi"/>
                <w:sz w:val="24"/>
                <w:szCs w:val="24"/>
              </w:rPr>
              <w:t>8</w:t>
            </w:r>
            <w:r w:rsidRPr="00B16B93">
              <w:rPr>
                <w:rFonts w:asciiTheme="minorHAnsi" w:hAnsiTheme="minorHAnsi"/>
                <w:sz w:val="24"/>
                <w:szCs w:val="24"/>
              </w:rPr>
              <w:t>-</w:t>
            </w:r>
            <w:r>
              <w:rPr>
                <w:rFonts w:asciiTheme="minorHAnsi" w:hAnsiTheme="minorHAnsi"/>
                <w:sz w:val="24"/>
                <w:szCs w:val="24"/>
              </w:rPr>
              <w:t>1.38</w:t>
            </w:r>
            <w:r w:rsidRPr="00B16B93">
              <w:rPr>
                <w:rFonts w:asciiTheme="minorHAnsi" w:hAnsiTheme="minorHAnsi"/>
                <w:sz w:val="24"/>
                <w:szCs w:val="24"/>
              </w:rPr>
              <w:t>)</w:t>
            </w:r>
          </w:p>
        </w:tc>
        <w:tc>
          <w:tcPr>
            <w:tcW w:w="693" w:type="pct"/>
          </w:tcPr>
          <w:p w14:paraId="7BD16CB3" w14:textId="28E9E616" w:rsidR="003967F1" w:rsidRDefault="003967F1" w:rsidP="0081090E">
            <w:pPr>
              <w:jc w:val="center"/>
              <w:rPr>
                <w:rFonts w:asciiTheme="minorHAnsi" w:hAnsiTheme="minorHAnsi"/>
                <w:sz w:val="24"/>
                <w:szCs w:val="24"/>
              </w:rPr>
            </w:pPr>
          </w:p>
          <w:p w14:paraId="302CAE4A" w14:textId="77777777" w:rsidR="00DF533E" w:rsidRPr="00B16B93" w:rsidRDefault="00DF533E" w:rsidP="0081090E">
            <w:pPr>
              <w:jc w:val="center"/>
              <w:rPr>
                <w:rFonts w:asciiTheme="minorHAnsi" w:hAnsiTheme="minorHAnsi"/>
                <w:sz w:val="24"/>
                <w:szCs w:val="24"/>
              </w:rPr>
            </w:pPr>
          </w:p>
          <w:p w14:paraId="2C43FFCC"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47B8F6D2"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174</w:t>
            </w:r>
          </w:p>
          <w:p w14:paraId="1DE1BB98"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063</w:t>
            </w:r>
          </w:p>
          <w:p w14:paraId="77E67FDF"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131</w:t>
            </w:r>
          </w:p>
        </w:tc>
      </w:tr>
      <w:tr w:rsidR="003967F1" w:rsidRPr="00D2233F" w14:paraId="16F9B04C" w14:textId="77777777" w:rsidTr="0081090E">
        <w:trPr>
          <w:trHeight w:val="57"/>
        </w:trPr>
        <w:tc>
          <w:tcPr>
            <w:tcW w:w="824" w:type="pct"/>
          </w:tcPr>
          <w:p w14:paraId="6CFE636A"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Ethnicity</w:t>
            </w:r>
          </w:p>
          <w:p w14:paraId="7638D7D5"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White</w:t>
            </w:r>
          </w:p>
          <w:p w14:paraId="7DBD102B"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Asian</w:t>
            </w:r>
          </w:p>
          <w:p w14:paraId="59224352" w14:textId="77777777" w:rsidR="003967F1" w:rsidRPr="00B16B93" w:rsidRDefault="003967F1" w:rsidP="0081090E">
            <w:pPr>
              <w:jc w:val="center"/>
              <w:rPr>
                <w:rFonts w:asciiTheme="minorHAnsi" w:hAnsiTheme="minorHAnsi"/>
                <w:b/>
                <w:sz w:val="24"/>
                <w:szCs w:val="24"/>
              </w:rPr>
            </w:pPr>
            <w:r w:rsidRPr="00B16B93">
              <w:rPr>
                <w:rFonts w:asciiTheme="minorHAnsi" w:hAnsiTheme="minorHAnsi"/>
                <w:b/>
                <w:sz w:val="24"/>
                <w:szCs w:val="24"/>
              </w:rPr>
              <w:t>Black</w:t>
            </w:r>
          </w:p>
          <w:p w14:paraId="127D8AD1"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Other</w:t>
            </w:r>
          </w:p>
        </w:tc>
        <w:tc>
          <w:tcPr>
            <w:tcW w:w="679" w:type="pct"/>
          </w:tcPr>
          <w:p w14:paraId="75432839" w14:textId="77777777" w:rsidR="003967F1" w:rsidRPr="00B16B93" w:rsidRDefault="003967F1" w:rsidP="0081090E">
            <w:pPr>
              <w:jc w:val="center"/>
              <w:rPr>
                <w:rFonts w:asciiTheme="minorHAnsi" w:hAnsiTheme="minorHAnsi"/>
                <w:sz w:val="24"/>
                <w:szCs w:val="24"/>
              </w:rPr>
            </w:pPr>
          </w:p>
          <w:p w14:paraId="2C6B0AAB"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2.8</w:t>
            </w:r>
          </w:p>
          <w:p w14:paraId="2185149F"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10.0</w:t>
            </w:r>
          </w:p>
          <w:p w14:paraId="0974CAB7" w14:textId="77777777" w:rsidR="003967F1" w:rsidRPr="00CB4EBC" w:rsidRDefault="003967F1" w:rsidP="0081090E">
            <w:pPr>
              <w:jc w:val="center"/>
              <w:rPr>
                <w:rFonts w:asciiTheme="minorHAnsi" w:hAnsiTheme="minorHAnsi"/>
                <w:b/>
                <w:sz w:val="24"/>
                <w:szCs w:val="24"/>
              </w:rPr>
            </w:pPr>
            <w:r w:rsidRPr="00CB4EBC">
              <w:rPr>
                <w:rFonts w:asciiTheme="minorHAnsi" w:hAnsiTheme="minorHAnsi"/>
                <w:b/>
                <w:sz w:val="24"/>
                <w:szCs w:val="24"/>
              </w:rPr>
              <w:t>11.5</w:t>
            </w:r>
          </w:p>
          <w:p w14:paraId="609195BC"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7.1</w:t>
            </w:r>
          </w:p>
        </w:tc>
        <w:tc>
          <w:tcPr>
            <w:tcW w:w="1074" w:type="pct"/>
          </w:tcPr>
          <w:p w14:paraId="4C2A4389" w14:textId="77777777" w:rsidR="003967F1" w:rsidRPr="00B16B93" w:rsidRDefault="003967F1" w:rsidP="0081090E">
            <w:pPr>
              <w:jc w:val="center"/>
              <w:rPr>
                <w:rFonts w:asciiTheme="minorHAnsi" w:hAnsiTheme="minorHAnsi"/>
                <w:sz w:val="24"/>
                <w:szCs w:val="24"/>
              </w:rPr>
            </w:pPr>
          </w:p>
          <w:p w14:paraId="0C6DAA60"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w:t>
            </w:r>
          </w:p>
          <w:p w14:paraId="662DE2EA"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 xml:space="preserve"> 3.83 (</w:t>
            </w:r>
            <w:r>
              <w:rPr>
                <w:rFonts w:asciiTheme="minorHAnsi" w:hAnsiTheme="minorHAnsi"/>
                <w:sz w:val="24"/>
                <w:szCs w:val="24"/>
              </w:rPr>
              <w:t>0.77-19.03</w:t>
            </w:r>
            <w:r w:rsidRPr="00B16B93">
              <w:rPr>
                <w:rFonts w:asciiTheme="minorHAnsi" w:hAnsiTheme="minorHAnsi"/>
                <w:sz w:val="24"/>
                <w:szCs w:val="24"/>
              </w:rPr>
              <w:t>)</w:t>
            </w:r>
          </w:p>
          <w:p w14:paraId="09671423" w14:textId="77777777" w:rsidR="003967F1" w:rsidRPr="00B16B93" w:rsidRDefault="003967F1" w:rsidP="0081090E">
            <w:pPr>
              <w:jc w:val="center"/>
              <w:rPr>
                <w:rFonts w:asciiTheme="minorHAnsi" w:hAnsiTheme="minorHAnsi"/>
                <w:b/>
                <w:sz w:val="24"/>
                <w:szCs w:val="24"/>
              </w:rPr>
            </w:pPr>
            <w:r>
              <w:rPr>
                <w:rFonts w:asciiTheme="minorHAnsi" w:hAnsiTheme="minorHAnsi"/>
                <w:b/>
                <w:sz w:val="24"/>
                <w:szCs w:val="24"/>
              </w:rPr>
              <w:t>4.49</w:t>
            </w:r>
            <w:r w:rsidRPr="00B16B93">
              <w:rPr>
                <w:rFonts w:asciiTheme="minorHAnsi" w:hAnsiTheme="minorHAnsi"/>
                <w:b/>
                <w:sz w:val="24"/>
                <w:szCs w:val="24"/>
              </w:rPr>
              <w:t xml:space="preserve"> (1.97-10.25)</w:t>
            </w:r>
          </w:p>
          <w:p w14:paraId="527C301F"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2.65</w:t>
            </w:r>
            <w:r w:rsidRPr="00B16B93">
              <w:rPr>
                <w:rFonts w:asciiTheme="minorHAnsi" w:hAnsiTheme="minorHAnsi"/>
                <w:sz w:val="24"/>
                <w:szCs w:val="24"/>
              </w:rPr>
              <w:t xml:space="preserve"> (0.7</w:t>
            </w:r>
            <w:r>
              <w:rPr>
                <w:rFonts w:asciiTheme="minorHAnsi" w:hAnsiTheme="minorHAnsi"/>
                <w:sz w:val="24"/>
                <w:szCs w:val="24"/>
              </w:rPr>
              <w:t>9-</w:t>
            </w:r>
            <w:r w:rsidRPr="00B16B93">
              <w:rPr>
                <w:rFonts w:asciiTheme="minorHAnsi" w:hAnsiTheme="minorHAnsi"/>
                <w:sz w:val="24"/>
                <w:szCs w:val="24"/>
              </w:rPr>
              <w:t>8.</w:t>
            </w:r>
            <w:r>
              <w:rPr>
                <w:rFonts w:asciiTheme="minorHAnsi" w:hAnsiTheme="minorHAnsi"/>
                <w:sz w:val="24"/>
                <w:szCs w:val="24"/>
              </w:rPr>
              <w:t>92</w:t>
            </w:r>
            <w:r w:rsidRPr="00B16B93">
              <w:rPr>
                <w:rFonts w:asciiTheme="minorHAnsi" w:hAnsiTheme="minorHAnsi"/>
                <w:sz w:val="24"/>
                <w:szCs w:val="24"/>
              </w:rPr>
              <w:t>)</w:t>
            </w:r>
          </w:p>
        </w:tc>
        <w:tc>
          <w:tcPr>
            <w:tcW w:w="694" w:type="pct"/>
          </w:tcPr>
          <w:p w14:paraId="014EF1F4" w14:textId="77777777" w:rsidR="003967F1" w:rsidRPr="00B16B93" w:rsidRDefault="003967F1" w:rsidP="0081090E">
            <w:pPr>
              <w:jc w:val="center"/>
              <w:rPr>
                <w:rFonts w:asciiTheme="minorHAnsi" w:hAnsiTheme="minorHAnsi"/>
                <w:sz w:val="24"/>
                <w:szCs w:val="24"/>
              </w:rPr>
            </w:pPr>
          </w:p>
          <w:p w14:paraId="4CA4C534"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682E3222"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0.101</w:t>
            </w:r>
          </w:p>
          <w:p w14:paraId="4F462A47" w14:textId="77777777" w:rsidR="003967F1" w:rsidRPr="00B16B93" w:rsidRDefault="003967F1" w:rsidP="0081090E">
            <w:pPr>
              <w:jc w:val="center"/>
              <w:rPr>
                <w:rFonts w:asciiTheme="minorHAnsi" w:hAnsiTheme="minorHAnsi"/>
                <w:b/>
                <w:sz w:val="24"/>
                <w:szCs w:val="24"/>
              </w:rPr>
            </w:pPr>
            <w:r w:rsidRPr="00B16B93">
              <w:rPr>
                <w:rFonts w:asciiTheme="minorHAnsi" w:hAnsiTheme="minorHAnsi"/>
                <w:b/>
                <w:sz w:val="24"/>
                <w:szCs w:val="24"/>
              </w:rPr>
              <w:t>&lt;0.001</w:t>
            </w:r>
          </w:p>
          <w:p w14:paraId="51D0BD29"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116</w:t>
            </w:r>
          </w:p>
        </w:tc>
        <w:tc>
          <w:tcPr>
            <w:tcW w:w="1036" w:type="pct"/>
          </w:tcPr>
          <w:p w14:paraId="4FF59FCA" w14:textId="77777777" w:rsidR="003967F1" w:rsidRPr="00B16B93" w:rsidRDefault="003967F1" w:rsidP="0081090E">
            <w:pPr>
              <w:jc w:val="center"/>
              <w:rPr>
                <w:rFonts w:asciiTheme="minorHAnsi" w:hAnsiTheme="minorHAnsi"/>
                <w:sz w:val="24"/>
                <w:szCs w:val="24"/>
              </w:rPr>
            </w:pPr>
          </w:p>
          <w:p w14:paraId="1CFFF6AE"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w:t>
            </w:r>
          </w:p>
          <w:p w14:paraId="22A73313"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3.16 (0.52-19.30)</w:t>
            </w:r>
          </w:p>
          <w:p w14:paraId="035F2CC8" w14:textId="77777777" w:rsidR="003967F1" w:rsidRPr="00B16B93" w:rsidRDefault="003967F1" w:rsidP="0081090E">
            <w:pPr>
              <w:jc w:val="center"/>
              <w:rPr>
                <w:rFonts w:asciiTheme="minorHAnsi" w:hAnsiTheme="minorHAnsi"/>
                <w:b/>
                <w:sz w:val="24"/>
                <w:szCs w:val="24"/>
              </w:rPr>
            </w:pPr>
            <w:r w:rsidRPr="00B16B93">
              <w:rPr>
                <w:rFonts w:asciiTheme="minorHAnsi" w:hAnsiTheme="minorHAnsi"/>
                <w:b/>
                <w:sz w:val="24"/>
                <w:szCs w:val="24"/>
              </w:rPr>
              <w:t>2.</w:t>
            </w:r>
            <w:r>
              <w:rPr>
                <w:rFonts w:asciiTheme="minorHAnsi" w:hAnsiTheme="minorHAnsi"/>
                <w:b/>
                <w:sz w:val="24"/>
                <w:szCs w:val="24"/>
              </w:rPr>
              <w:t>64</w:t>
            </w:r>
            <w:r w:rsidRPr="00B16B93">
              <w:rPr>
                <w:rFonts w:asciiTheme="minorHAnsi" w:hAnsiTheme="minorHAnsi"/>
                <w:b/>
                <w:sz w:val="24"/>
                <w:szCs w:val="24"/>
              </w:rPr>
              <w:t xml:space="preserve"> (1.</w:t>
            </w:r>
            <w:r>
              <w:rPr>
                <w:rFonts w:asciiTheme="minorHAnsi" w:hAnsiTheme="minorHAnsi"/>
                <w:b/>
                <w:sz w:val="24"/>
                <w:szCs w:val="24"/>
              </w:rPr>
              <w:t>06</w:t>
            </w:r>
            <w:r w:rsidRPr="00B16B93">
              <w:rPr>
                <w:rFonts w:asciiTheme="minorHAnsi" w:hAnsiTheme="minorHAnsi"/>
                <w:b/>
                <w:sz w:val="24"/>
                <w:szCs w:val="24"/>
              </w:rPr>
              <w:t>-6</w:t>
            </w:r>
            <w:r>
              <w:rPr>
                <w:rFonts w:asciiTheme="minorHAnsi" w:hAnsiTheme="minorHAnsi"/>
                <w:b/>
                <w:sz w:val="24"/>
                <w:szCs w:val="24"/>
              </w:rPr>
              <w:t>.56</w:t>
            </w:r>
            <w:r w:rsidRPr="00B16B93">
              <w:rPr>
                <w:rFonts w:asciiTheme="minorHAnsi" w:hAnsiTheme="minorHAnsi"/>
                <w:b/>
                <w:sz w:val="24"/>
                <w:szCs w:val="24"/>
              </w:rPr>
              <w:t>)</w:t>
            </w:r>
          </w:p>
          <w:p w14:paraId="7545B611"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2.18</w:t>
            </w:r>
            <w:r w:rsidRPr="00B16B93">
              <w:rPr>
                <w:rFonts w:asciiTheme="minorHAnsi" w:hAnsiTheme="minorHAnsi"/>
                <w:sz w:val="24"/>
                <w:szCs w:val="24"/>
              </w:rPr>
              <w:t xml:space="preserve"> (0.</w:t>
            </w:r>
            <w:r>
              <w:rPr>
                <w:rFonts w:asciiTheme="minorHAnsi" w:hAnsiTheme="minorHAnsi"/>
                <w:sz w:val="24"/>
                <w:szCs w:val="24"/>
              </w:rPr>
              <w:t>53</w:t>
            </w:r>
            <w:r w:rsidRPr="00B16B93">
              <w:rPr>
                <w:rFonts w:asciiTheme="minorHAnsi" w:hAnsiTheme="minorHAnsi"/>
                <w:sz w:val="24"/>
                <w:szCs w:val="24"/>
              </w:rPr>
              <w:t>-</w:t>
            </w:r>
            <w:r>
              <w:rPr>
                <w:rFonts w:asciiTheme="minorHAnsi" w:hAnsiTheme="minorHAnsi"/>
                <w:sz w:val="24"/>
                <w:szCs w:val="24"/>
              </w:rPr>
              <w:t>8.91</w:t>
            </w:r>
            <w:r w:rsidRPr="00B16B93">
              <w:rPr>
                <w:rFonts w:asciiTheme="minorHAnsi" w:hAnsiTheme="minorHAnsi"/>
                <w:sz w:val="24"/>
                <w:szCs w:val="24"/>
              </w:rPr>
              <w:t>)</w:t>
            </w:r>
          </w:p>
        </w:tc>
        <w:tc>
          <w:tcPr>
            <w:tcW w:w="693" w:type="pct"/>
          </w:tcPr>
          <w:p w14:paraId="0E6699F9" w14:textId="77777777" w:rsidR="003967F1" w:rsidRPr="00B16B93" w:rsidRDefault="003967F1" w:rsidP="0081090E">
            <w:pPr>
              <w:jc w:val="center"/>
              <w:rPr>
                <w:rFonts w:asciiTheme="minorHAnsi" w:hAnsiTheme="minorHAnsi"/>
                <w:sz w:val="24"/>
                <w:szCs w:val="24"/>
              </w:rPr>
            </w:pPr>
          </w:p>
          <w:p w14:paraId="112D993C"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1D5C59FB" w14:textId="77777777" w:rsidR="003967F1" w:rsidRPr="00B16B93" w:rsidRDefault="003967F1" w:rsidP="0081090E">
            <w:pPr>
              <w:jc w:val="center"/>
              <w:rPr>
                <w:rFonts w:asciiTheme="minorHAnsi" w:hAnsiTheme="minorHAnsi"/>
                <w:b/>
                <w:sz w:val="24"/>
                <w:szCs w:val="24"/>
              </w:rPr>
            </w:pPr>
            <w:r w:rsidRPr="00B16B93">
              <w:rPr>
                <w:rFonts w:asciiTheme="minorHAnsi" w:hAnsiTheme="minorHAnsi"/>
                <w:sz w:val="24"/>
                <w:szCs w:val="24"/>
              </w:rPr>
              <w:t>0.213</w:t>
            </w:r>
          </w:p>
          <w:p w14:paraId="7AF4BB16" w14:textId="77777777" w:rsidR="003967F1" w:rsidRPr="00B16B93" w:rsidRDefault="003967F1" w:rsidP="0081090E">
            <w:pPr>
              <w:jc w:val="center"/>
              <w:rPr>
                <w:rFonts w:asciiTheme="minorHAnsi" w:hAnsiTheme="minorHAnsi"/>
                <w:b/>
                <w:sz w:val="24"/>
                <w:szCs w:val="24"/>
              </w:rPr>
            </w:pPr>
            <w:r>
              <w:rPr>
                <w:rFonts w:asciiTheme="minorHAnsi" w:hAnsiTheme="minorHAnsi"/>
                <w:b/>
                <w:sz w:val="24"/>
                <w:szCs w:val="24"/>
              </w:rPr>
              <w:t>&lt;0.05</w:t>
            </w:r>
          </w:p>
          <w:p w14:paraId="19BA3115"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278</w:t>
            </w:r>
          </w:p>
        </w:tc>
      </w:tr>
      <w:tr w:rsidR="003967F1" w:rsidRPr="00965BA9" w14:paraId="2E467ECF" w14:textId="77777777" w:rsidTr="0081090E">
        <w:trPr>
          <w:trHeight w:val="57"/>
        </w:trPr>
        <w:tc>
          <w:tcPr>
            <w:tcW w:w="824" w:type="pct"/>
          </w:tcPr>
          <w:p w14:paraId="03ED19E5" w14:textId="5EF08A24"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Co-infection</w:t>
            </w:r>
            <w:r w:rsidR="00DF533E">
              <w:rPr>
                <w:rFonts w:asciiTheme="minorHAnsi" w:hAnsiTheme="minorHAnsi"/>
                <w:sz w:val="24"/>
                <w:szCs w:val="24"/>
              </w:rPr>
              <w:t>*</w:t>
            </w:r>
          </w:p>
          <w:p w14:paraId="3A072834" w14:textId="77777777"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No</w:t>
            </w:r>
          </w:p>
          <w:p w14:paraId="3F9E2DB4" w14:textId="77777777" w:rsidR="003967F1" w:rsidRPr="00965BA9" w:rsidRDefault="003967F1" w:rsidP="0081090E">
            <w:pPr>
              <w:jc w:val="center"/>
              <w:rPr>
                <w:rFonts w:asciiTheme="minorHAnsi" w:hAnsiTheme="minorHAnsi"/>
                <w:b/>
                <w:sz w:val="24"/>
                <w:szCs w:val="24"/>
              </w:rPr>
            </w:pPr>
            <w:r w:rsidRPr="00965BA9">
              <w:rPr>
                <w:rFonts w:asciiTheme="minorHAnsi" w:hAnsiTheme="minorHAnsi"/>
                <w:b/>
                <w:sz w:val="24"/>
                <w:szCs w:val="24"/>
              </w:rPr>
              <w:lastRenderedPageBreak/>
              <w:t>Yes</w:t>
            </w:r>
          </w:p>
        </w:tc>
        <w:tc>
          <w:tcPr>
            <w:tcW w:w="679" w:type="pct"/>
          </w:tcPr>
          <w:p w14:paraId="324C31ED" w14:textId="77777777" w:rsidR="003967F1" w:rsidRPr="00965BA9" w:rsidRDefault="003967F1" w:rsidP="0081090E">
            <w:pPr>
              <w:jc w:val="center"/>
              <w:rPr>
                <w:rFonts w:asciiTheme="minorHAnsi" w:hAnsiTheme="minorHAnsi"/>
                <w:sz w:val="24"/>
                <w:szCs w:val="24"/>
              </w:rPr>
            </w:pPr>
          </w:p>
          <w:p w14:paraId="30241B47" w14:textId="77777777" w:rsidR="003967F1" w:rsidRPr="00965BA9" w:rsidRDefault="003967F1" w:rsidP="0081090E">
            <w:pPr>
              <w:jc w:val="center"/>
              <w:rPr>
                <w:rFonts w:asciiTheme="minorHAnsi" w:hAnsiTheme="minorHAnsi"/>
                <w:sz w:val="24"/>
                <w:szCs w:val="24"/>
              </w:rPr>
            </w:pPr>
            <w:r>
              <w:rPr>
                <w:rFonts w:asciiTheme="minorHAnsi" w:hAnsiTheme="minorHAnsi"/>
                <w:sz w:val="24"/>
                <w:szCs w:val="24"/>
              </w:rPr>
              <w:t>4.7</w:t>
            </w:r>
          </w:p>
          <w:p w14:paraId="743745E3" w14:textId="77777777" w:rsidR="003967F1" w:rsidRPr="00965BA9" w:rsidRDefault="003967F1" w:rsidP="0081090E">
            <w:pPr>
              <w:jc w:val="center"/>
              <w:rPr>
                <w:rFonts w:asciiTheme="minorHAnsi" w:hAnsiTheme="minorHAnsi"/>
                <w:b/>
                <w:sz w:val="24"/>
                <w:szCs w:val="24"/>
              </w:rPr>
            </w:pPr>
            <w:r>
              <w:rPr>
                <w:rFonts w:asciiTheme="minorHAnsi" w:hAnsiTheme="minorHAnsi"/>
                <w:b/>
                <w:sz w:val="24"/>
                <w:szCs w:val="24"/>
              </w:rPr>
              <w:lastRenderedPageBreak/>
              <w:t>32.0</w:t>
            </w:r>
          </w:p>
        </w:tc>
        <w:tc>
          <w:tcPr>
            <w:tcW w:w="1074" w:type="pct"/>
          </w:tcPr>
          <w:p w14:paraId="0781002B" w14:textId="77777777" w:rsidR="003967F1" w:rsidRPr="00965BA9" w:rsidRDefault="003967F1" w:rsidP="0081090E">
            <w:pPr>
              <w:jc w:val="center"/>
              <w:rPr>
                <w:rFonts w:asciiTheme="minorHAnsi" w:hAnsiTheme="minorHAnsi"/>
                <w:sz w:val="24"/>
                <w:szCs w:val="24"/>
              </w:rPr>
            </w:pPr>
          </w:p>
          <w:p w14:paraId="7AF017E8" w14:textId="77777777"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1</w:t>
            </w:r>
          </w:p>
          <w:p w14:paraId="67D21883" w14:textId="77777777" w:rsidR="003967F1" w:rsidRPr="00965BA9" w:rsidRDefault="003967F1" w:rsidP="0081090E">
            <w:pPr>
              <w:jc w:val="center"/>
              <w:rPr>
                <w:rFonts w:asciiTheme="minorHAnsi" w:hAnsiTheme="minorHAnsi"/>
                <w:b/>
                <w:sz w:val="24"/>
                <w:szCs w:val="24"/>
              </w:rPr>
            </w:pPr>
            <w:r>
              <w:rPr>
                <w:rFonts w:asciiTheme="minorHAnsi" w:hAnsiTheme="minorHAnsi"/>
                <w:b/>
                <w:sz w:val="24"/>
                <w:szCs w:val="24"/>
              </w:rPr>
              <w:lastRenderedPageBreak/>
              <w:t>9.03 (3.39-24.05)</w:t>
            </w:r>
          </w:p>
        </w:tc>
        <w:tc>
          <w:tcPr>
            <w:tcW w:w="694" w:type="pct"/>
          </w:tcPr>
          <w:p w14:paraId="020355E6" w14:textId="77777777" w:rsidR="003967F1" w:rsidRPr="00965BA9" w:rsidRDefault="003967F1" w:rsidP="0081090E">
            <w:pPr>
              <w:jc w:val="center"/>
              <w:rPr>
                <w:rFonts w:asciiTheme="minorHAnsi" w:hAnsiTheme="minorHAnsi"/>
                <w:sz w:val="24"/>
                <w:szCs w:val="24"/>
              </w:rPr>
            </w:pPr>
          </w:p>
          <w:p w14:paraId="55031924" w14:textId="77777777"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w:t>
            </w:r>
          </w:p>
          <w:p w14:paraId="72E869F2" w14:textId="77777777" w:rsidR="003967F1" w:rsidRPr="00965BA9" w:rsidRDefault="003967F1" w:rsidP="0081090E">
            <w:pPr>
              <w:jc w:val="center"/>
              <w:rPr>
                <w:rFonts w:asciiTheme="minorHAnsi" w:hAnsiTheme="minorHAnsi"/>
                <w:b/>
                <w:sz w:val="24"/>
                <w:szCs w:val="24"/>
              </w:rPr>
            </w:pPr>
            <w:r w:rsidRPr="00965BA9">
              <w:rPr>
                <w:rFonts w:asciiTheme="minorHAnsi" w:hAnsiTheme="minorHAnsi"/>
                <w:b/>
                <w:sz w:val="24"/>
                <w:szCs w:val="24"/>
              </w:rPr>
              <w:lastRenderedPageBreak/>
              <w:t>&lt;0.001</w:t>
            </w:r>
          </w:p>
        </w:tc>
        <w:tc>
          <w:tcPr>
            <w:tcW w:w="1036" w:type="pct"/>
          </w:tcPr>
          <w:p w14:paraId="59356106" w14:textId="77777777" w:rsidR="003967F1" w:rsidRPr="00965BA9" w:rsidRDefault="003967F1" w:rsidP="0081090E">
            <w:pPr>
              <w:jc w:val="center"/>
              <w:rPr>
                <w:rFonts w:asciiTheme="minorHAnsi" w:hAnsiTheme="minorHAnsi"/>
                <w:sz w:val="24"/>
                <w:szCs w:val="24"/>
              </w:rPr>
            </w:pPr>
          </w:p>
          <w:p w14:paraId="6FD8039C" w14:textId="77777777"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1</w:t>
            </w:r>
          </w:p>
          <w:p w14:paraId="4D0F6F1B" w14:textId="77777777" w:rsidR="003967F1" w:rsidRPr="00965BA9" w:rsidRDefault="003967F1" w:rsidP="0081090E">
            <w:pPr>
              <w:jc w:val="center"/>
              <w:rPr>
                <w:rFonts w:asciiTheme="minorHAnsi" w:hAnsiTheme="minorHAnsi"/>
                <w:b/>
                <w:sz w:val="24"/>
                <w:szCs w:val="24"/>
              </w:rPr>
            </w:pPr>
            <w:r>
              <w:rPr>
                <w:rFonts w:asciiTheme="minorHAnsi" w:hAnsiTheme="minorHAnsi"/>
                <w:b/>
                <w:sz w:val="24"/>
                <w:szCs w:val="24"/>
              </w:rPr>
              <w:lastRenderedPageBreak/>
              <w:t xml:space="preserve">7.19 </w:t>
            </w:r>
            <w:r w:rsidRPr="00965BA9">
              <w:rPr>
                <w:rFonts w:asciiTheme="minorHAnsi" w:hAnsiTheme="minorHAnsi"/>
                <w:b/>
                <w:sz w:val="24"/>
                <w:szCs w:val="24"/>
              </w:rPr>
              <w:t>(</w:t>
            </w:r>
            <w:r>
              <w:rPr>
                <w:rFonts w:asciiTheme="minorHAnsi" w:hAnsiTheme="minorHAnsi"/>
                <w:b/>
                <w:sz w:val="24"/>
                <w:szCs w:val="24"/>
              </w:rPr>
              <w:t>2.41</w:t>
            </w:r>
            <w:r w:rsidRPr="00965BA9">
              <w:rPr>
                <w:rFonts w:asciiTheme="minorHAnsi" w:hAnsiTheme="minorHAnsi"/>
                <w:b/>
                <w:sz w:val="24"/>
                <w:szCs w:val="24"/>
              </w:rPr>
              <w:t>-</w:t>
            </w:r>
            <w:r>
              <w:rPr>
                <w:rFonts w:asciiTheme="minorHAnsi" w:hAnsiTheme="minorHAnsi"/>
                <w:b/>
                <w:sz w:val="24"/>
                <w:szCs w:val="24"/>
              </w:rPr>
              <w:t>21.46</w:t>
            </w:r>
            <w:r w:rsidRPr="00965BA9">
              <w:rPr>
                <w:rFonts w:asciiTheme="minorHAnsi" w:hAnsiTheme="minorHAnsi"/>
                <w:b/>
                <w:sz w:val="24"/>
                <w:szCs w:val="24"/>
              </w:rPr>
              <w:t>)</w:t>
            </w:r>
          </w:p>
        </w:tc>
        <w:tc>
          <w:tcPr>
            <w:tcW w:w="693" w:type="pct"/>
          </w:tcPr>
          <w:p w14:paraId="64264D53" w14:textId="77777777" w:rsidR="003967F1" w:rsidRPr="00965BA9" w:rsidRDefault="003967F1" w:rsidP="0081090E">
            <w:pPr>
              <w:jc w:val="center"/>
              <w:rPr>
                <w:rFonts w:asciiTheme="minorHAnsi" w:hAnsiTheme="minorHAnsi"/>
                <w:sz w:val="24"/>
                <w:szCs w:val="24"/>
              </w:rPr>
            </w:pPr>
          </w:p>
          <w:p w14:paraId="2C716649" w14:textId="77777777"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w:t>
            </w:r>
          </w:p>
          <w:p w14:paraId="156DBF09" w14:textId="77777777" w:rsidR="003967F1" w:rsidRPr="00965BA9" w:rsidRDefault="003967F1" w:rsidP="0081090E">
            <w:pPr>
              <w:jc w:val="center"/>
              <w:rPr>
                <w:rFonts w:asciiTheme="minorHAnsi" w:hAnsiTheme="minorHAnsi"/>
                <w:b/>
                <w:sz w:val="24"/>
                <w:szCs w:val="24"/>
              </w:rPr>
            </w:pPr>
            <w:r w:rsidRPr="00965BA9">
              <w:rPr>
                <w:rFonts w:asciiTheme="minorHAnsi" w:hAnsiTheme="minorHAnsi"/>
                <w:b/>
                <w:sz w:val="24"/>
                <w:szCs w:val="24"/>
              </w:rPr>
              <w:lastRenderedPageBreak/>
              <w:t>&lt;0.001</w:t>
            </w:r>
          </w:p>
        </w:tc>
      </w:tr>
      <w:tr w:rsidR="003967F1" w:rsidRPr="00D2233F" w14:paraId="5981CECE" w14:textId="77777777" w:rsidTr="0081090E">
        <w:trPr>
          <w:trHeight w:val="57"/>
        </w:trPr>
        <w:tc>
          <w:tcPr>
            <w:tcW w:w="824" w:type="pct"/>
          </w:tcPr>
          <w:p w14:paraId="617B8A10"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lastRenderedPageBreak/>
              <w:t>Recent STI</w:t>
            </w:r>
          </w:p>
          <w:p w14:paraId="5B6C70DC"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No</w:t>
            </w:r>
          </w:p>
          <w:p w14:paraId="6A329B16"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Yes</w:t>
            </w:r>
          </w:p>
        </w:tc>
        <w:tc>
          <w:tcPr>
            <w:tcW w:w="679" w:type="pct"/>
          </w:tcPr>
          <w:p w14:paraId="32747BCD" w14:textId="77777777" w:rsidR="003967F1" w:rsidRPr="00B16B93" w:rsidRDefault="003967F1" w:rsidP="0081090E">
            <w:pPr>
              <w:jc w:val="center"/>
              <w:rPr>
                <w:rFonts w:asciiTheme="minorHAnsi" w:hAnsiTheme="minorHAnsi"/>
                <w:sz w:val="24"/>
                <w:szCs w:val="24"/>
              </w:rPr>
            </w:pPr>
          </w:p>
          <w:p w14:paraId="39BE3506"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4.9</w:t>
            </w:r>
          </w:p>
          <w:p w14:paraId="510500F1"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9.6</w:t>
            </w:r>
          </w:p>
        </w:tc>
        <w:tc>
          <w:tcPr>
            <w:tcW w:w="1074" w:type="pct"/>
          </w:tcPr>
          <w:p w14:paraId="48020E9E" w14:textId="77777777" w:rsidR="003967F1" w:rsidRPr="00B16B93" w:rsidRDefault="003967F1" w:rsidP="0081090E">
            <w:pPr>
              <w:jc w:val="center"/>
              <w:rPr>
                <w:rFonts w:asciiTheme="minorHAnsi" w:hAnsiTheme="minorHAnsi"/>
                <w:sz w:val="24"/>
                <w:szCs w:val="24"/>
              </w:rPr>
            </w:pPr>
          </w:p>
          <w:p w14:paraId="11F7A0E9"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w:t>
            </w:r>
          </w:p>
          <w:p w14:paraId="63E4D87E"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2.03 (0.91-4.57)</w:t>
            </w:r>
          </w:p>
        </w:tc>
        <w:tc>
          <w:tcPr>
            <w:tcW w:w="694" w:type="pct"/>
          </w:tcPr>
          <w:p w14:paraId="5D524F69" w14:textId="77777777" w:rsidR="003967F1" w:rsidRPr="00B16B93" w:rsidRDefault="003967F1" w:rsidP="0081090E">
            <w:pPr>
              <w:jc w:val="center"/>
              <w:rPr>
                <w:rFonts w:asciiTheme="minorHAnsi" w:hAnsiTheme="minorHAnsi"/>
                <w:sz w:val="24"/>
                <w:szCs w:val="24"/>
              </w:rPr>
            </w:pPr>
          </w:p>
          <w:p w14:paraId="39BD4FBA"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2EA87195"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0.080</w:t>
            </w:r>
          </w:p>
        </w:tc>
        <w:tc>
          <w:tcPr>
            <w:tcW w:w="1036" w:type="pct"/>
          </w:tcPr>
          <w:p w14:paraId="0F1A20E5" w14:textId="77777777" w:rsidR="003967F1" w:rsidRPr="00B16B93" w:rsidRDefault="003967F1" w:rsidP="0081090E">
            <w:pPr>
              <w:jc w:val="center"/>
              <w:rPr>
                <w:rFonts w:asciiTheme="minorHAnsi" w:hAnsiTheme="minorHAnsi"/>
                <w:sz w:val="24"/>
                <w:szCs w:val="24"/>
              </w:rPr>
            </w:pPr>
          </w:p>
          <w:p w14:paraId="786CBAC5"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w:t>
            </w:r>
          </w:p>
          <w:p w14:paraId="7E45FFA3"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1.62</w:t>
            </w:r>
            <w:r w:rsidRPr="00B16B93">
              <w:rPr>
                <w:rFonts w:asciiTheme="minorHAnsi" w:hAnsiTheme="minorHAnsi"/>
                <w:sz w:val="24"/>
                <w:szCs w:val="24"/>
              </w:rPr>
              <w:t xml:space="preserve"> (0.</w:t>
            </w:r>
            <w:r>
              <w:rPr>
                <w:rFonts w:asciiTheme="minorHAnsi" w:hAnsiTheme="minorHAnsi"/>
                <w:sz w:val="24"/>
                <w:szCs w:val="24"/>
              </w:rPr>
              <w:t>64</w:t>
            </w:r>
            <w:r w:rsidRPr="00B16B93">
              <w:rPr>
                <w:rFonts w:asciiTheme="minorHAnsi" w:hAnsiTheme="minorHAnsi"/>
                <w:sz w:val="24"/>
                <w:szCs w:val="24"/>
              </w:rPr>
              <w:t>-4.</w:t>
            </w:r>
            <w:r>
              <w:rPr>
                <w:rFonts w:asciiTheme="minorHAnsi" w:hAnsiTheme="minorHAnsi"/>
                <w:sz w:val="24"/>
                <w:szCs w:val="24"/>
              </w:rPr>
              <w:t>11</w:t>
            </w:r>
            <w:r w:rsidRPr="00B16B93">
              <w:rPr>
                <w:rFonts w:asciiTheme="minorHAnsi" w:hAnsiTheme="minorHAnsi"/>
                <w:sz w:val="24"/>
                <w:szCs w:val="24"/>
              </w:rPr>
              <w:t>)</w:t>
            </w:r>
          </w:p>
        </w:tc>
        <w:tc>
          <w:tcPr>
            <w:tcW w:w="693" w:type="pct"/>
          </w:tcPr>
          <w:p w14:paraId="5E6D1BF4" w14:textId="77777777" w:rsidR="003967F1" w:rsidRPr="00B16B93" w:rsidRDefault="003967F1" w:rsidP="0081090E">
            <w:pPr>
              <w:jc w:val="center"/>
              <w:rPr>
                <w:rFonts w:asciiTheme="minorHAnsi" w:hAnsiTheme="minorHAnsi"/>
                <w:sz w:val="24"/>
                <w:szCs w:val="24"/>
              </w:rPr>
            </w:pPr>
          </w:p>
          <w:p w14:paraId="1AD656B4"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2BC902EB"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305</w:t>
            </w:r>
          </w:p>
        </w:tc>
      </w:tr>
      <w:tr w:rsidR="003967F1" w:rsidRPr="00965BA9" w14:paraId="4214E896" w14:textId="77777777" w:rsidTr="0081090E">
        <w:trPr>
          <w:trHeight w:val="57"/>
        </w:trPr>
        <w:tc>
          <w:tcPr>
            <w:tcW w:w="824" w:type="pct"/>
          </w:tcPr>
          <w:p w14:paraId="63E7A214" w14:textId="19D1012A" w:rsidR="003967F1" w:rsidRPr="00965BA9" w:rsidRDefault="0099374A" w:rsidP="0081090E">
            <w:pPr>
              <w:jc w:val="center"/>
              <w:rPr>
                <w:rFonts w:asciiTheme="minorHAnsi" w:hAnsiTheme="minorHAnsi"/>
                <w:sz w:val="24"/>
                <w:szCs w:val="24"/>
              </w:rPr>
            </w:pPr>
            <w:bookmarkStart w:id="18" w:name="_Hlk30660737"/>
            <w:r>
              <w:rPr>
                <w:rFonts w:asciiTheme="minorHAnsi" w:hAnsiTheme="minorHAnsi"/>
                <w:sz w:val="24"/>
                <w:szCs w:val="24"/>
              </w:rPr>
              <w:t>Sexual c</w:t>
            </w:r>
            <w:r w:rsidR="003967F1" w:rsidRPr="00965BA9">
              <w:rPr>
                <w:rFonts w:asciiTheme="minorHAnsi" w:hAnsiTheme="minorHAnsi"/>
                <w:sz w:val="24"/>
                <w:szCs w:val="24"/>
              </w:rPr>
              <w:t>ontact</w:t>
            </w:r>
            <w:r w:rsidR="00632056">
              <w:rPr>
                <w:rFonts w:asciiTheme="minorHAnsi" w:hAnsiTheme="minorHAnsi"/>
                <w:sz w:val="24"/>
                <w:szCs w:val="24"/>
              </w:rPr>
              <w:t xml:space="preserve"> of </w:t>
            </w:r>
            <w:r>
              <w:rPr>
                <w:rFonts w:asciiTheme="minorHAnsi" w:hAnsiTheme="minorHAnsi"/>
                <w:sz w:val="24"/>
                <w:szCs w:val="24"/>
              </w:rPr>
              <w:t xml:space="preserve">individual with </w:t>
            </w:r>
            <w:r w:rsidR="00632056">
              <w:rPr>
                <w:rFonts w:asciiTheme="minorHAnsi" w:hAnsiTheme="minorHAnsi"/>
                <w:sz w:val="24"/>
                <w:szCs w:val="24"/>
              </w:rPr>
              <w:t>an STI</w:t>
            </w:r>
          </w:p>
          <w:bookmarkEnd w:id="18"/>
          <w:p w14:paraId="4841D306" w14:textId="77777777"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No</w:t>
            </w:r>
          </w:p>
          <w:p w14:paraId="20496D64" w14:textId="77777777"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Yes</w:t>
            </w:r>
          </w:p>
        </w:tc>
        <w:tc>
          <w:tcPr>
            <w:tcW w:w="679" w:type="pct"/>
          </w:tcPr>
          <w:p w14:paraId="3BF6517F" w14:textId="77777777" w:rsidR="003967F1" w:rsidRPr="00965BA9" w:rsidRDefault="003967F1" w:rsidP="0081090E">
            <w:pPr>
              <w:jc w:val="center"/>
              <w:rPr>
                <w:rFonts w:asciiTheme="minorHAnsi" w:hAnsiTheme="minorHAnsi"/>
                <w:sz w:val="24"/>
                <w:szCs w:val="24"/>
              </w:rPr>
            </w:pPr>
          </w:p>
          <w:p w14:paraId="2A299C9C" w14:textId="77777777" w:rsidR="00754CF1" w:rsidRDefault="00754CF1" w:rsidP="0081090E">
            <w:pPr>
              <w:jc w:val="center"/>
              <w:rPr>
                <w:rFonts w:asciiTheme="minorHAnsi" w:hAnsiTheme="minorHAnsi"/>
                <w:sz w:val="24"/>
                <w:szCs w:val="24"/>
              </w:rPr>
            </w:pPr>
          </w:p>
          <w:p w14:paraId="55F0B578" w14:textId="77777777" w:rsidR="0099374A" w:rsidRDefault="0099374A" w:rsidP="0081090E">
            <w:pPr>
              <w:jc w:val="center"/>
              <w:rPr>
                <w:rFonts w:asciiTheme="minorHAnsi" w:hAnsiTheme="minorHAnsi"/>
                <w:sz w:val="24"/>
                <w:szCs w:val="24"/>
              </w:rPr>
            </w:pPr>
          </w:p>
          <w:p w14:paraId="73A14981" w14:textId="02266328" w:rsidR="003967F1" w:rsidRPr="00965BA9" w:rsidRDefault="00E01487" w:rsidP="0081090E">
            <w:pPr>
              <w:jc w:val="center"/>
              <w:rPr>
                <w:rFonts w:asciiTheme="minorHAnsi" w:hAnsiTheme="minorHAnsi"/>
                <w:sz w:val="24"/>
                <w:szCs w:val="24"/>
              </w:rPr>
            </w:pPr>
            <w:r>
              <w:rPr>
                <w:rFonts w:asciiTheme="minorHAnsi" w:hAnsiTheme="minorHAnsi"/>
                <w:sz w:val="24"/>
                <w:szCs w:val="24"/>
              </w:rPr>
              <w:t>6.3</w:t>
            </w:r>
          </w:p>
          <w:p w14:paraId="0D8DC7F0" w14:textId="222A02F1"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4</w:t>
            </w:r>
            <w:r w:rsidR="00E01487">
              <w:rPr>
                <w:rFonts w:asciiTheme="minorHAnsi" w:hAnsiTheme="minorHAnsi"/>
                <w:sz w:val="24"/>
                <w:szCs w:val="24"/>
              </w:rPr>
              <w:t>.2</w:t>
            </w:r>
          </w:p>
        </w:tc>
        <w:tc>
          <w:tcPr>
            <w:tcW w:w="1074" w:type="pct"/>
          </w:tcPr>
          <w:p w14:paraId="133BEF39" w14:textId="77777777" w:rsidR="003967F1" w:rsidRPr="00965BA9" w:rsidRDefault="003967F1" w:rsidP="0081090E">
            <w:pPr>
              <w:jc w:val="center"/>
              <w:rPr>
                <w:rFonts w:asciiTheme="minorHAnsi" w:hAnsiTheme="minorHAnsi"/>
                <w:sz w:val="24"/>
                <w:szCs w:val="24"/>
              </w:rPr>
            </w:pPr>
          </w:p>
          <w:p w14:paraId="0C0B204E" w14:textId="77777777" w:rsidR="00754CF1" w:rsidRDefault="00754CF1" w:rsidP="0081090E">
            <w:pPr>
              <w:jc w:val="center"/>
              <w:rPr>
                <w:rFonts w:asciiTheme="minorHAnsi" w:hAnsiTheme="minorHAnsi"/>
                <w:sz w:val="24"/>
                <w:szCs w:val="24"/>
              </w:rPr>
            </w:pPr>
          </w:p>
          <w:p w14:paraId="768993F7" w14:textId="77777777" w:rsidR="0099374A" w:rsidRDefault="0099374A" w:rsidP="0081090E">
            <w:pPr>
              <w:jc w:val="center"/>
              <w:rPr>
                <w:rFonts w:asciiTheme="minorHAnsi" w:hAnsiTheme="minorHAnsi"/>
                <w:sz w:val="24"/>
                <w:szCs w:val="24"/>
              </w:rPr>
            </w:pPr>
          </w:p>
          <w:p w14:paraId="7D55178C" w14:textId="446BCC4E"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1</w:t>
            </w:r>
          </w:p>
          <w:p w14:paraId="44755EC1" w14:textId="77777777" w:rsidR="003967F1" w:rsidRPr="00965BA9" w:rsidRDefault="003967F1" w:rsidP="0081090E">
            <w:pPr>
              <w:jc w:val="center"/>
              <w:rPr>
                <w:rFonts w:asciiTheme="minorHAnsi" w:hAnsiTheme="minorHAnsi"/>
                <w:sz w:val="24"/>
                <w:szCs w:val="24"/>
              </w:rPr>
            </w:pPr>
            <w:r>
              <w:rPr>
                <w:rFonts w:asciiTheme="minorHAnsi" w:hAnsiTheme="minorHAnsi"/>
                <w:sz w:val="24"/>
                <w:szCs w:val="24"/>
              </w:rPr>
              <w:t>0.64</w:t>
            </w:r>
            <w:r w:rsidRPr="00965BA9">
              <w:rPr>
                <w:rFonts w:asciiTheme="minorHAnsi" w:hAnsiTheme="minorHAnsi"/>
                <w:sz w:val="24"/>
                <w:szCs w:val="24"/>
              </w:rPr>
              <w:t xml:space="preserve"> (0.</w:t>
            </w:r>
            <w:r>
              <w:rPr>
                <w:rFonts w:asciiTheme="minorHAnsi" w:hAnsiTheme="minorHAnsi"/>
                <w:sz w:val="24"/>
                <w:szCs w:val="24"/>
              </w:rPr>
              <w:t>19-2.17</w:t>
            </w:r>
            <w:r w:rsidRPr="00965BA9">
              <w:rPr>
                <w:rFonts w:asciiTheme="minorHAnsi" w:hAnsiTheme="minorHAnsi"/>
                <w:sz w:val="24"/>
                <w:szCs w:val="24"/>
              </w:rPr>
              <w:t>)</w:t>
            </w:r>
          </w:p>
        </w:tc>
        <w:tc>
          <w:tcPr>
            <w:tcW w:w="694" w:type="pct"/>
          </w:tcPr>
          <w:p w14:paraId="65C0E68E" w14:textId="77777777" w:rsidR="003967F1" w:rsidRPr="00965BA9" w:rsidRDefault="003967F1" w:rsidP="0081090E">
            <w:pPr>
              <w:jc w:val="center"/>
              <w:rPr>
                <w:rFonts w:asciiTheme="minorHAnsi" w:hAnsiTheme="minorHAnsi"/>
                <w:sz w:val="24"/>
                <w:szCs w:val="24"/>
              </w:rPr>
            </w:pPr>
          </w:p>
          <w:p w14:paraId="1BC2E37F" w14:textId="77777777" w:rsidR="00754CF1" w:rsidRDefault="00754CF1" w:rsidP="0081090E">
            <w:pPr>
              <w:jc w:val="center"/>
              <w:rPr>
                <w:rFonts w:asciiTheme="minorHAnsi" w:hAnsiTheme="minorHAnsi"/>
                <w:sz w:val="24"/>
                <w:szCs w:val="24"/>
              </w:rPr>
            </w:pPr>
          </w:p>
          <w:p w14:paraId="225A6114" w14:textId="77777777" w:rsidR="0099374A" w:rsidRDefault="0099374A" w:rsidP="0081090E">
            <w:pPr>
              <w:jc w:val="center"/>
              <w:rPr>
                <w:rFonts w:asciiTheme="minorHAnsi" w:hAnsiTheme="minorHAnsi"/>
                <w:sz w:val="24"/>
                <w:szCs w:val="24"/>
              </w:rPr>
            </w:pPr>
          </w:p>
          <w:p w14:paraId="3459CAA0" w14:textId="3753BBDA"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w:t>
            </w:r>
          </w:p>
          <w:p w14:paraId="73BF2B52" w14:textId="77777777"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0.</w:t>
            </w:r>
            <w:r>
              <w:rPr>
                <w:rFonts w:asciiTheme="minorHAnsi" w:hAnsiTheme="minorHAnsi"/>
                <w:sz w:val="24"/>
                <w:szCs w:val="24"/>
              </w:rPr>
              <w:t>479</w:t>
            </w:r>
          </w:p>
        </w:tc>
        <w:tc>
          <w:tcPr>
            <w:tcW w:w="1036" w:type="pct"/>
          </w:tcPr>
          <w:p w14:paraId="07EDE8C5" w14:textId="77777777" w:rsidR="003967F1" w:rsidRPr="00965BA9" w:rsidRDefault="003967F1" w:rsidP="0081090E">
            <w:pPr>
              <w:jc w:val="center"/>
              <w:rPr>
                <w:rFonts w:asciiTheme="minorHAnsi" w:hAnsiTheme="minorHAnsi"/>
                <w:sz w:val="24"/>
                <w:szCs w:val="24"/>
              </w:rPr>
            </w:pPr>
          </w:p>
          <w:p w14:paraId="39D9D6BD" w14:textId="77777777" w:rsidR="00754CF1" w:rsidRDefault="00754CF1" w:rsidP="0081090E">
            <w:pPr>
              <w:jc w:val="center"/>
              <w:rPr>
                <w:rFonts w:asciiTheme="minorHAnsi" w:hAnsiTheme="minorHAnsi"/>
                <w:sz w:val="24"/>
                <w:szCs w:val="24"/>
              </w:rPr>
            </w:pPr>
          </w:p>
          <w:p w14:paraId="79984479" w14:textId="77777777" w:rsidR="0099374A" w:rsidRDefault="0099374A" w:rsidP="0081090E">
            <w:pPr>
              <w:jc w:val="center"/>
              <w:rPr>
                <w:rFonts w:asciiTheme="minorHAnsi" w:hAnsiTheme="minorHAnsi"/>
                <w:sz w:val="24"/>
                <w:szCs w:val="24"/>
              </w:rPr>
            </w:pPr>
          </w:p>
          <w:p w14:paraId="4D078A55" w14:textId="5AA4A69A"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w:t>
            </w:r>
          </w:p>
          <w:p w14:paraId="3552C4A2" w14:textId="77777777"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w:t>
            </w:r>
          </w:p>
        </w:tc>
        <w:tc>
          <w:tcPr>
            <w:tcW w:w="693" w:type="pct"/>
          </w:tcPr>
          <w:p w14:paraId="434E47F4" w14:textId="77777777" w:rsidR="003967F1" w:rsidRPr="00965BA9" w:rsidRDefault="003967F1" w:rsidP="0081090E">
            <w:pPr>
              <w:jc w:val="center"/>
              <w:rPr>
                <w:rFonts w:asciiTheme="minorHAnsi" w:hAnsiTheme="minorHAnsi"/>
                <w:sz w:val="24"/>
                <w:szCs w:val="24"/>
              </w:rPr>
            </w:pPr>
          </w:p>
          <w:p w14:paraId="7B90659B" w14:textId="77777777" w:rsidR="00754CF1" w:rsidRDefault="00754CF1" w:rsidP="0081090E">
            <w:pPr>
              <w:jc w:val="center"/>
              <w:rPr>
                <w:rFonts w:asciiTheme="minorHAnsi" w:hAnsiTheme="minorHAnsi"/>
                <w:sz w:val="24"/>
                <w:szCs w:val="24"/>
              </w:rPr>
            </w:pPr>
          </w:p>
          <w:p w14:paraId="0AEFF0CD" w14:textId="77777777" w:rsidR="0099374A" w:rsidRDefault="0099374A" w:rsidP="0081090E">
            <w:pPr>
              <w:jc w:val="center"/>
              <w:rPr>
                <w:rFonts w:asciiTheme="minorHAnsi" w:hAnsiTheme="minorHAnsi"/>
                <w:sz w:val="24"/>
                <w:szCs w:val="24"/>
              </w:rPr>
            </w:pPr>
          </w:p>
          <w:p w14:paraId="2D2B31F6" w14:textId="3485C554"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w:t>
            </w:r>
          </w:p>
          <w:p w14:paraId="6D28676E" w14:textId="77777777" w:rsidR="003967F1" w:rsidRPr="00965BA9" w:rsidRDefault="003967F1" w:rsidP="0081090E">
            <w:pPr>
              <w:jc w:val="center"/>
              <w:rPr>
                <w:rFonts w:asciiTheme="minorHAnsi" w:hAnsiTheme="minorHAnsi"/>
                <w:sz w:val="24"/>
                <w:szCs w:val="24"/>
              </w:rPr>
            </w:pPr>
            <w:r w:rsidRPr="00965BA9">
              <w:rPr>
                <w:rFonts w:asciiTheme="minorHAnsi" w:hAnsiTheme="minorHAnsi"/>
                <w:sz w:val="24"/>
                <w:szCs w:val="24"/>
              </w:rPr>
              <w:t>-</w:t>
            </w:r>
          </w:p>
        </w:tc>
      </w:tr>
      <w:tr w:rsidR="003967F1" w:rsidRPr="00D2233F" w14:paraId="08D01224" w14:textId="77777777" w:rsidTr="0081090E">
        <w:trPr>
          <w:trHeight w:val="57"/>
        </w:trPr>
        <w:tc>
          <w:tcPr>
            <w:tcW w:w="824" w:type="pct"/>
          </w:tcPr>
          <w:p w14:paraId="372BA5A0" w14:textId="50A21B98"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Sex Abroad</w:t>
            </w:r>
            <w:r w:rsidR="00F702A6">
              <w:rPr>
                <w:rFonts w:asciiTheme="minorHAnsi" w:hAnsiTheme="minorHAnsi"/>
                <w:sz w:val="24"/>
                <w:szCs w:val="24"/>
              </w:rPr>
              <w:t xml:space="preserve"> </w:t>
            </w:r>
            <w:bookmarkStart w:id="19" w:name="_Hlk30660776"/>
            <w:r w:rsidR="00F702A6">
              <w:rPr>
                <w:rFonts w:asciiTheme="minorHAnsi" w:hAnsiTheme="minorHAnsi"/>
                <w:sz w:val="24"/>
                <w:szCs w:val="24"/>
              </w:rPr>
              <w:t>(within the past 3 months)</w:t>
            </w:r>
            <w:bookmarkEnd w:id="19"/>
          </w:p>
          <w:p w14:paraId="207DAA84"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No</w:t>
            </w:r>
          </w:p>
          <w:p w14:paraId="1003570F"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Yes</w:t>
            </w:r>
          </w:p>
        </w:tc>
        <w:tc>
          <w:tcPr>
            <w:tcW w:w="679" w:type="pct"/>
          </w:tcPr>
          <w:p w14:paraId="6B2F8A67" w14:textId="77777777" w:rsidR="003967F1" w:rsidRPr="00B16B93" w:rsidRDefault="003967F1" w:rsidP="0081090E">
            <w:pPr>
              <w:jc w:val="center"/>
              <w:rPr>
                <w:rFonts w:asciiTheme="minorHAnsi" w:hAnsiTheme="minorHAnsi"/>
                <w:sz w:val="24"/>
                <w:szCs w:val="24"/>
              </w:rPr>
            </w:pPr>
          </w:p>
          <w:p w14:paraId="4E82F89E" w14:textId="77777777" w:rsidR="00754CF1" w:rsidRDefault="00754CF1" w:rsidP="0081090E">
            <w:pPr>
              <w:jc w:val="center"/>
              <w:rPr>
                <w:rFonts w:asciiTheme="minorHAnsi" w:hAnsiTheme="minorHAnsi"/>
                <w:sz w:val="24"/>
                <w:szCs w:val="24"/>
              </w:rPr>
            </w:pPr>
          </w:p>
          <w:p w14:paraId="4123BAE7" w14:textId="77777777" w:rsidR="00754CF1" w:rsidRDefault="00754CF1" w:rsidP="0081090E">
            <w:pPr>
              <w:jc w:val="center"/>
              <w:rPr>
                <w:rFonts w:asciiTheme="minorHAnsi" w:hAnsiTheme="minorHAnsi"/>
                <w:sz w:val="24"/>
                <w:szCs w:val="24"/>
              </w:rPr>
            </w:pPr>
          </w:p>
          <w:p w14:paraId="19DD74DA" w14:textId="15B6A02B" w:rsidR="003967F1" w:rsidRPr="00B16B93" w:rsidRDefault="00E01487" w:rsidP="0081090E">
            <w:pPr>
              <w:jc w:val="center"/>
              <w:rPr>
                <w:rFonts w:asciiTheme="minorHAnsi" w:hAnsiTheme="minorHAnsi"/>
                <w:sz w:val="24"/>
                <w:szCs w:val="24"/>
              </w:rPr>
            </w:pPr>
            <w:r>
              <w:rPr>
                <w:rFonts w:asciiTheme="minorHAnsi" w:hAnsiTheme="minorHAnsi"/>
                <w:sz w:val="24"/>
                <w:szCs w:val="24"/>
              </w:rPr>
              <w:t>5.5</w:t>
            </w:r>
          </w:p>
          <w:p w14:paraId="5FD8842B" w14:textId="1A2B52AA" w:rsidR="003967F1" w:rsidRPr="00B16B93" w:rsidRDefault="00E01487" w:rsidP="0081090E">
            <w:pPr>
              <w:jc w:val="center"/>
              <w:rPr>
                <w:rFonts w:asciiTheme="minorHAnsi" w:hAnsiTheme="minorHAnsi"/>
                <w:sz w:val="24"/>
                <w:szCs w:val="24"/>
              </w:rPr>
            </w:pPr>
            <w:r>
              <w:rPr>
                <w:rFonts w:asciiTheme="minorHAnsi" w:hAnsiTheme="minorHAnsi"/>
                <w:sz w:val="24"/>
                <w:szCs w:val="24"/>
              </w:rPr>
              <w:t>4.9</w:t>
            </w:r>
          </w:p>
        </w:tc>
        <w:tc>
          <w:tcPr>
            <w:tcW w:w="1074" w:type="pct"/>
          </w:tcPr>
          <w:p w14:paraId="10534F93" w14:textId="77777777" w:rsidR="003967F1" w:rsidRPr="00B16B93" w:rsidRDefault="003967F1" w:rsidP="0081090E">
            <w:pPr>
              <w:jc w:val="center"/>
              <w:rPr>
                <w:rFonts w:asciiTheme="minorHAnsi" w:hAnsiTheme="minorHAnsi"/>
                <w:sz w:val="24"/>
                <w:szCs w:val="24"/>
              </w:rPr>
            </w:pPr>
          </w:p>
          <w:p w14:paraId="50C1FC8C" w14:textId="77777777" w:rsidR="00754CF1" w:rsidRDefault="00754CF1" w:rsidP="0081090E">
            <w:pPr>
              <w:jc w:val="center"/>
              <w:rPr>
                <w:rFonts w:asciiTheme="minorHAnsi" w:hAnsiTheme="minorHAnsi"/>
                <w:sz w:val="24"/>
                <w:szCs w:val="24"/>
              </w:rPr>
            </w:pPr>
          </w:p>
          <w:p w14:paraId="1FD9FDFA" w14:textId="77777777" w:rsidR="00754CF1" w:rsidRDefault="00754CF1" w:rsidP="0081090E">
            <w:pPr>
              <w:jc w:val="center"/>
              <w:rPr>
                <w:rFonts w:asciiTheme="minorHAnsi" w:hAnsiTheme="minorHAnsi"/>
                <w:sz w:val="24"/>
                <w:szCs w:val="24"/>
              </w:rPr>
            </w:pPr>
          </w:p>
          <w:p w14:paraId="672067BB" w14:textId="3D026498"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w:t>
            </w:r>
          </w:p>
          <w:p w14:paraId="61386D03"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0.89</w:t>
            </w:r>
            <w:r w:rsidRPr="00B16B93">
              <w:rPr>
                <w:rFonts w:asciiTheme="minorHAnsi" w:hAnsiTheme="minorHAnsi"/>
                <w:sz w:val="24"/>
                <w:szCs w:val="24"/>
              </w:rPr>
              <w:t xml:space="preserve"> (0.</w:t>
            </w:r>
            <w:r>
              <w:rPr>
                <w:rFonts w:asciiTheme="minorHAnsi" w:hAnsiTheme="minorHAnsi"/>
                <w:sz w:val="24"/>
                <w:szCs w:val="24"/>
              </w:rPr>
              <w:t>20-</w:t>
            </w:r>
            <w:r w:rsidRPr="00B16B93">
              <w:rPr>
                <w:rFonts w:asciiTheme="minorHAnsi" w:hAnsiTheme="minorHAnsi"/>
                <w:sz w:val="24"/>
                <w:szCs w:val="24"/>
              </w:rPr>
              <w:t>3.</w:t>
            </w:r>
            <w:r>
              <w:rPr>
                <w:rFonts w:asciiTheme="minorHAnsi" w:hAnsiTheme="minorHAnsi"/>
                <w:sz w:val="24"/>
                <w:szCs w:val="24"/>
              </w:rPr>
              <w:t>91</w:t>
            </w:r>
            <w:r w:rsidRPr="00B16B93">
              <w:rPr>
                <w:rFonts w:asciiTheme="minorHAnsi" w:hAnsiTheme="minorHAnsi"/>
                <w:sz w:val="24"/>
                <w:szCs w:val="24"/>
              </w:rPr>
              <w:t>)</w:t>
            </w:r>
          </w:p>
        </w:tc>
        <w:tc>
          <w:tcPr>
            <w:tcW w:w="694" w:type="pct"/>
          </w:tcPr>
          <w:p w14:paraId="4CBB0480" w14:textId="77777777" w:rsidR="003967F1" w:rsidRPr="00B16B93" w:rsidRDefault="003967F1" w:rsidP="0081090E">
            <w:pPr>
              <w:jc w:val="center"/>
              <w:rPr>
                <w:rFonts w:asciiTheme="minorHAnsi" w:hAnsiTheme="minorHAnsi"/>
                <w:sz w:val="24"/>
                <w:szCs w:val="24"/>
              </w:rPr>
            </w:pPr>
          </w:p>
          <w:p w14:paraId="25CE41A4" w14:textId="77777777" w:rsidR="00754CF1" w:rsidRDefault="00754CF1" w:rsidP="0081090E">
            <w:pPr>
              <w:jc w:val="center"/>
              <w:rPr>
                <w:rFonts w:asciiTheme="minorHAnsi" w:hAnsiTheme="minorHAnsi"/>
                <w:sz w:val="24"/>
                <w:szCs w:val="24"/>
              </w:rPr>
            </w:pPr>
          </w:p>
          <w:p w14:paraId="790285DA" w14:textId="77777777" w:rsidR="00754CF1" w:rsidRDefault="00754CF1" w:rsidP="0081090E">
            <w:pPr>
              <w:jc w:val="center"/>
              <w:rPr>
                <w:rFonts w:asciiTheme="minorHAnsi" w:hAnsiTheme="minorHAnsi"/>
                <w:sz w:val="24"/>
                <w:szCs w:val="24"/>
              </w:rPr>
            </w:pPr>
          </w:p>
          <w:p w14:paraId="3DA8785E" w14:textId="74B90505"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031E8E23"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0.873</w:t>
            </w:r>
          </w:p>
        </w:tc>
        <w:tc>
          <w:tcPr>
            <w:tcW w:w="1036" w:type="pct"/>
          </w:tcPr>
          <w:p w14:paraId="463F7BFA" w14:textId="77777777" w:rsidR="003967F1" w:rsidRPr="00B16B93" w:rsidRDefault="003967F1" w:rsidP="0081090E">
            <w:pPr>
              <w:jc w:val="center"/>
              <w:rPr>
                <w:rFonts w:asciiTheme="minorHAnsi" w:hAnsiTheme="minorHAnsi"/>
                <w:sz w:val="24"/>
                <w:szCs w:val="24"/>
              </w:rPr>
            </w:pPr>
          </w:p>
          <w:p w14:paraId="5AAE38E8" w14:textId="77777777" w:rsidR="00754CF1" w:rsidRDefault="00754CF1" w:rsidP="0081090E">
            <w:pPr>
              <w:jc w:val="center"/>
              <w:rPr>
                <w:rFonts w:asciiTheme="minorHAnsi" w:hAnsiTheme="minorHAnsi"/>
                <w:sz w:val="24"/>
                <w:szCs w:val="24"/>
              </w:rPr>
            </w:pPr>
          </w:p>
          <w:p w14:paraId="282A46F8" w14:textId="77777777" w:rsidR="00754CF1" w:rsidRDefault="00754CF1" w:rsidP="0081090E">
            <w:pPr>
              <w:jc w:val="center"/>
              <w:rPr>
                <w:rFonts w:asciiTheme="minorHAnsi" w:hAnsiTheme="minorHAnsi"/>
                <w:sz w:val="24"/>
                <w:szCs w:val="24"/>
              </w:rPr>
            </w:pPr>
          </w:p>
          <w:p w14:paraId="0C84068F" w14:textId="68C9FE36"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3FFC532C"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tc>
        <w:tc>
          <w:tcPr>
            <w:tcW w:w="693" w:type="pct"/>
          </w:tcPr>
          <w:p w14:paraId="4E0F93CD" w14:textId="77777777" w:rsidR="003967F1" w:rsidRPr="00B16B93" w:rsidRDefault="003967F1" w:rsidP="0081090E">
            <w:pPr>
              <w:jc w:val="center"/>
              <w:rPr>
                <w:rFonts w:asciiTheme="minorHAnsi" w:hAnsiTheme="minorHAnsi"/>
                <w:sz w:val="24"/>
                <w:szCs w:val="24"/>
              </w:rPr>
            </w:pPr>
          </w:p>
          <w:p w14:paraId="5E26181A" w14:textId="77777777" w:rsidR="00754CF1" w:rsidRDefault="00754CF1" w:rsidP="0081090E">
            <w:pPr>
              <w:jc w:val="center"/>
              <w:rPr>
                <w:rFonts w:asciiTheme="minorHAnsi" w:hAnsiTheme="minorHAnsi"/>
                <w:sz w:val="24"/>
                <w:szCs w:val="24"/>
              </w:rPr>
            </w:pPr>
          </w:p>
          <w:p w14:paraId="6449CD99" w14:textId="77777777" w:rsidR="00754CF1" w:rsidRDefault="00754CF1" w:rsidP="0081090E">
            <w:pPr>
              <w:jc w:val="center"/>
              <w:rPr>
                <w:rFonts w:asciiTheme="minorHAnsi" w:hAnsiTheme="minorHAnsi"/>
                <w:sz w:val="24"/>
                <w:szCs w:val="24"/>
              </w:rPr>
            </w:pPr>
          </w:p>
          <w:p w14:paraId="46A610FD" w14:textId="767792DB"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6BE69ADD"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tc>
      </w:tr>
      <w:tr w:rsidR="003967F1" w:rsidRPr="00D2233F" w14:paraId="427D628D" w14:textId="77777777" w:rsidTr="0081090E">
        <w:trPr>
          <w:trHeight w:val="57"/>
        </w:trPr>
        <w:tc>
          <w:tcPr>
            <w:tcW w:w="824" w:type="pct"/>
          </w:tcPr>
          <w:p w14:paraId="7010329B" w14:textId="604951DD" w:rsidR="00632056" w:rsidRDefault="003967F1" w:rsidP="0081090E">
            <w:pPr>
              <w:jc w:val="center"/>
              <w:rPr>
                <w:rFonts w:asciiTheme="minorHAnsi" w:hAnsiTheme="minorHAnsi"/>
                <w:sz w:val="24"/>
                <w:szCs w:val="24"/>
              </w:rPr>
            </w:pPr>
            <w:r w:rsidRPr="00B16B93">
              <w:rPr>
                <w:rFonts w:asciiTheme="minorHAnsi" w:hAnsiTheme="minorHAnsi"/>
                <w:sz w:val="24"/>
                <w:szCs w:val="24"/>
              </w:rPr>
              <w:t>Sex with someone from outside the</w:t>
            </w:r>
            <w:r w:rsidR="00632056">
              <w:rPr>
                <w:rFonts w:asciiTheme="minorHAnsi" w:hAnsiTheme="minorHAnsi"/>
                <w:sz w:val="24"/>
                <w:szCs w:val="24"/>
              </w:rPr>
              <w:t xml:space="preserve"> UK</w:t>
            </w:r>
            <w:r w:rsidR="00F702A6">
              <w:rPr>
                <w:rFonts w:asciiTheme="minorHAnsi" w:hAnsiTheme="minorHAnsi"/>
                <w:sz w:val="24"/>
                <w:szCs w:val="24"/>
              </w:rPr>
              <w:t xml:space="preserve"> (within the past 3 months)</w:t>
            </w:r>
          </w:p>
          <w:p w14:paraId="31549A50" w14:textId="6BC1420F"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 xml:space="preserve"> </w:t>
            </w:r>
            <w:r>
              <w:rPr>
                <w:rFonts w:asciiTheme="minorHAnsi" w:hAnsiTheme="minorHAnsi"/>
                <w:sz w:val="24"/>
                <w:szCs w:val="24"/>
              </w:rPr>
              <w:t>No</w:t>
            </w:r>
          </w:p>
          <w:p w14:paraId="15B0C17D"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Yes</w:t>
            </w:r>
          </w:p>
        </w:tc>
        <w:tc>
          <w:tcPr>
            <w:tcW w:w="679" w:type="pct"/>
          </w:tcPr>
          <w:p w14:paraId="38FB8465" w14:textId="77777777" w:rsidR="003967F1" w:rsidRPr="00B16B93" w:rsidRDefault="003967F1" w:rsidP="0081090E">
            <w:pPr>
              <w:jc w:val="center"/>
              <w:rPr>
                <w:rFonts w:asciiTheme="minorHAnsi" w:hAnsiTheme="minorHAnsi"/>
                <w:sz w:val="24"/>
                <w:szCs w:val="24"/>
              </w:rPr>
            </w:pPr>
          </w:p>
          <w:p w14:paraId="7A76ACF4" w14:textId="77777777" w:rsidR="00754CF1" w:rsidRDefault="00754CF1" w:rsidP="0081090E">
            <w:pPr>
              <w:jc w:val="center"/>
              <w:rPr>
                <w:rFonts w:asciiTheme="minorHAnsi" w:hAnsiTheme="minorHAnsi"/>
                <w:sz w:val="24"/>
                <w:szCs w:val="24"/>
              </w:rPr>
            </w:pPr>
          </w:p>
          <w:p w14:paraId="150147DC" w14:textId="77777777" w:rsidR="00754CF1" w:rsidRDefault="00754CF1" w:rsidP="0081090E">
            <w:pPr>
              <w:jc w:val="center"/>
              <w:rPr>
                <w:rFonts w:asciiTheme="minorHAnsi" w:hAnsiTheme="minorHAnsi"/>
                <w:sz w:val="24"/>
                <w:szCs w:val="24"/>
              </w:rPr>
            </w:pPr>
          </w:p>
          <w:p w14:paraId="10EF32CF" w14:textId="77777777" w:rsidR="00754CF1" w:rsidRDefault="00754CF1" w:rsidP="0081090E">
            <w:pPr>
              <w:jc w:val="center"/>
              <w:rPr>
                <w:rFonts w:asciiTheme="minorHAnsi" w:hAnsiTheme="minorHAnsi"/>
                <w:sz w:val="24"/>
                <w:szCs w:val="24"/>
              </w:rPr>
            </w:pPr>
          </w:p>
          <w:p w14:paraId="27BC6AC1" w14:textId="77777777" w:rsidR="00754CF1" w:rsidRDefault="00754CF1" w:rsidP="0081090E">
            <w:pPr>
              <w:jc w:val="center"/>
              <w:rPr>
                <w:rFonts w:asciiTheme="minorHAnsi" w:hAnsiTheme="minorHAnsi"/>
                <w:sz w:val="24"/>
                <w:szCs w:val="24"/>
              </w:rPr>
            </w:pPr>
          </w:p>
          <w:p w14:paraId="2412E212" w14:textId="0B0F015A" w:rsidR="003967F1" w:rsidRPr="00B16B93" w:rsidRDefault="00E01487" w:rsidP="0081090E">
            <w:pPr>
              <w:jc w:val="center"/>
              <w:rPr>
                <w:rFonts w:asciiTheme="minorHAnsi" w:hAnsiTheme="minorHAnsi"/>
                <w:sz w:val="24"/>
                <w:szCs w:val="24"/>
              </w:rPr>
            </w:pPr>
            <w:r>
              <w:rPr>
                <w:rFonts w:asciiTheme="minorHAnsi" w:hAnsiTheme="minorHAnsi"/>
                <w:sz w:val="24"/>
                <w:szCs w:val="24"/>
              </w:rPr>
              <w:t>6.3</w:t>
            </w:r>
          </w:p>
          <w:p w14:paraId="03779C0B" w14:textId="4D5367E4" w:rsidR="003967F1" w:rsidRPr="00B16B93" w:rsidRDefault="00E01487" w:rsidP="0081090E">
            <w:pPr>
              <w:jc w:val="center"/>
              <w:rPr>
                <w:rFonts w:asciiTheme="minorHAnsi" w:hAnsiTheme="minorHAnsi"/>
                <w:sz w:val="24"/>
                <w:szCs w:val="24"/>
              </w:rPr>
            </w:pPr>
            <w:r>
              <w:rPr>
                <w:rFonts w:asciiTheme="minorHAnsi" w:hAnsiTheme="minorHAnsi"/>
                <w:sz w:val="24"/>
                <w:szCs w:val="24"/>
              </w:rPr>
              <w:t>3.</w:t>
            </w:r>
            <w:r w:rsidR="003967F1" w:rsidRPr="00B16B93">
              <w:rPr>
                <w:rFonts w:asciiTheme="minorHAnsi" w:hAnsiTheme="minorHAnsi"/>
                <w:sz w:val="24"/>
                <w:szCs w:val="24"/>
              </w:rPr>
              <w:t>4</w:t>
            </w:r>
          </w:p>
        </w:tc>
        <w:tc>
          <w:tcPr>
            <w:tcW w:w="1074" w:type="pct"/>
          </w:tcPr>
          <w:p w14:paraId="1EA9FAC2" w14:textId="77777777" w:rsidR="003967F1" w:rsidRPr="00B16B93" w:rsidRDefault="003967F1" w:rsidP="0081090E">
            <w:pPr>
              <w:jc w:val="center"/>
              <w:rPr>
                <w:rFonts w:asciiTheme="minorHAnsi" w:hAnsiTheme="minorHAnsi"/>
                <w:sz w:val="24"/>
                <w:szCs w:val="24"/>
              </w:rPr>
            </w:pPr>
          </w:p>
          <w:p w14:paraId="49917A3C" w14:textId="77777777" w:rsidR="00754CF1" w:rsidRDefault="00754CF1" w:rsidP="0081090E">
            <w:pPr>
              <w:jc w:val="center"/>
              <w:rPr>
                <w:rFonts w:asciiTheme="minorHAnsi" w:hAnsiTheme="minorHAnsi"/>
                <w:sz w:val="24"/>
                <w:szCs w:val="24"/>
              </w:rPr>
            </w:pPr>
          </w:p>
          <w:p w14:paraId="6D24CCE0" w14:textId="77777777" w:rsidR="00754CF1" w:rsidRDefault="00754CF1" w:rsidP="0081090E">
            <w:pPr>
              <w:jc w:val="center"/>
              <w:rPr>
                <w:rFonts w:asciiTheme="minorHAnsi" w:hAnsiTheme="minorHAnsi"/>
                <w:sz w:val="24"/>
                <w:szCs w:val="24"/>
              </w:rPr>
            </w:pPr>
          </w:p>
          <w:p w14:paraId="5CEAC3CA" w14:textId="77777777" w:rsidR="00754CF1" w:rsidRDefault="00754CF1" w:rsidP="0081090E">
            <w:pPr>
              <w:jc w:val="center"/>
              <w:rPr>
                <w:rFonts w:asciiTheme="minorHAnsi" w:hAnsiTheme="minorHAnsi"/>
                <w:sz w:val="24"/>
                <w:szCs w:val="24"/>
              </w:rPr>
            </w:pPr>
          </w:p>
          <w:p w14:paraId="29B3DD52" w14:textId="77777777" w:rsidR="00754CF1" w:rsidRDefault="00754CF1" w:rsidP="0081090E">
            <w:pPr>
              <w:jc w:val="center"/>
              <w:rPr>
                <w:rFonts w:asciiTheme="minorHAnsi" w:hAnsiTheme="minorHAnsi"/>
                <w:sz w:val="24"/>
                <w:szCs w:val="24"/>
              </w:rPr>
            </w:pPr>
          </w:p>
          <w:p w14:paraId="7A05B71F" w14:textId="25362846"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w:t>
            </w:r>
          </w:p>
          <w:p w14:paraId="484F0783"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0.53</w:t>
            </w:r>
            <w:r w:rsidRPr="00B16B93">
              <w:rPr>
                <w:rFonts w:asciiTheme="minorHAnsi" w:hAnsiTheme="minorHAnsi"/>
                <w:sz w:val="24"/>
                <w:szCs w:val="24"/>
              </w:rPr>
              <w:t xml:space="preserve"> (0.1</w:t>
            </w:r>
            <w:r>
              <w:rPr>
                <w:rFonts w:asciiTheme="minorHAnsi" w:hAnsiTheme="minorHAnsi"/>
                <w:sz w:val="24"/>
                <w:szCs w:val="24"/>
              </w:rPr>
              <w:t>8</w:t>
            </w:r>
            <w:r w:rsidRPr="00B16B93">
              <w:rPr>
                <w:rFonts w:asciiTheme="minorHAnsi" w:hAnsiTheme="minorHAnsi"/>
                <w:sz w:val="24"/>
                <w:szCs w:val="24"/>
              </w:rPr>
              <w:t>-1.</w:t>
            </w:r>
            <w:r>
              <w:rPr>
                <w:rFonts w:asciiTheme="minorHAnsi" w:hAnsiTheme="minorHAnsi"/>
                <w:sz w:val="24"/>
                <w:szCs w:val="24"/>
              </w:rPr>
              <w:t>58</w:t>
            </w:r>
            <w:r w:rsidRPr="00B16B93">
              <w:rPr>
                <w:rFonts w:asciiTheme="minorHAnsi" w:hAnsiTheme="minorHAnsi"/>
                <w:sz w:val="24"/>
                <w:szCs w:val="24"/>
              </w:rPr>
              <w:t>)</w:t>
            </w:r>
          </w:p>
        </w:tc>
        <w:tc>
          <w:tcPr>
            <w:tcW w:w="694" w:type="pct"/>
          </w:tcPr>
          <w:p w14:paraId="1AE0121F" w14:textId="77777777" w:rsidR="003967F1" w:rsidRPr="00B16B93" w:rsidRDefault="003967F1" w:rsidP="0081090E">
            <w:pPr>
              <w:jc w:val="center"/>
              <w:rPr>
                <w:rFonts w:asciiTheme="minorHAnsi" w:hAnsiTheme="minorHAnsi"/>
                <w:sz w:val="24"/>
                <w:szCs w:val="24"/>
              </w:rPr>
            </w:pPr>
          </w:p>
          <w:p w14:paraId="193D5AC1" w14:textId="77777777" w:rsidR="00754CF1" w:rsidRDefault="00754CF1" w:rsidP="0081090E">
            <w:pPr>
              <w:jc w:val="center"/>
              <w:rPr>
                <w:rFonts w:asciiTheme="minorHAnsi" w:hAnsiTheme="minorHAnsi"/>
                <w:sz w:val="24"/>
                <w:szCs w:val="24"/>
              </w:rPr>
            </w:pPr>
          </w:p>
          <w:p w14:paraId="61D5B22B" w14:textId="77777777" w:rsidR="00754CF1" w:rsidRDefault="00754CF1" w:rsidP="0081090E">
            <w:pPr>
              <w:jc w:val="center"/>
              <w:rPr>
                <w:rFonts w:asciiTheme="minorHAnsi" w:hAnsiTheme="minorHAnsi"/>
                <w:sz w:val="24"/>
                <w:szCs w:val="24"/>
              </w:rPr>
            </w:pPr>
          </w:p>
          <w:p w14:paraId="16FC4D2A" w14:textId="77777777" w:rsidR="00754CF1" w:rsidRDefault="00754CF1" w:rsidP="0081090E">
            <w:pPr>
              <w:jc w:val="center"/>
              <w:rPr>
                <w:rFonts w:asciiTheme="minorHAnsi" w:hAnsiTheme="minorHAnsi"/>
                <w:sz w:val="24"/>
                <w:szCs w:val="24"/>
              </w:rPr>
            </w:pPr>
          </w:p>
          <w:p w14:paraId="5223F191" w14:textId="77777777" w:rsidR="00754CF1" w:rsidRDefault="00754CF1" w:rsidP="0081090E">
            <w:pPr>
              <w:jc w:val="center"/>
              <w:rPr>
                <w:rFonts w:asciiTheme="minorHAnsi" w:hAnsiTheme="minorHAnsi"/>
                <w:sz w:val="24"/>
                <w:szCs w:val="24"/>
              </w:rPr>
            </w:pPr>
          </w:p>
          <w:p w14:paraId="2123E776" w14:textId="07EE0AE0"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7973562E"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252</w:t>
            </w:r>
          </w:p>
        </w:tc>
        <w:tc>
          <w:tcPr>
            <w:tcW w:w="1036" w:type="pct"/>
          </w:tcPr>
          <w:p w14:paraId="58BE2B61" w14:textId="77777777" w:rsidR="003967F1" w:rsidRPr="00B16B93" w:rsidRDefault="003967F1" w:rsidP="0081090E">
            <w:pPr>
              <w:jc w:val="center"/>
              <w:rPr>
                <w:rFonts w:asciiTheme="minorHAnsi" w:hAnsiTheme="minorHAnsi"/>
                <w:sz w:val="24"/>
                <w:szCs w:val="24"/>
              </w:rPr>
            </w:pPr>
          </w:p>
          <w:p w14:paraId="5289DADA" w14:textId="77777777" w:rsidR="00754CF1" w:rsidRDefault="00754CF1" w:rsidP="0081090E">
            <w:pPr>
              <w:jc w:val="center"/>
              <w:rPr>
                <w:rFonts w:asciiTheme="minorHAnsi" w:hAnsiTheme="minorHAnsi"/>
                <w:sz w:val="24"/>
                <w:szCs w:val="24"/>
              </w:rPr>
            </w:pPr>
          </w:p>
          <w:p w14:paraId="33057384" w14:textId="77777777" w:rsidR="00754CF1" w:rsidRDefault="00754CF1" w:rsidP="0081090E">
            <w:pPr>
              <w:jc w:val="center"/>
              <w:rPr>
                <w:rFonts w:asciiTheme="minorHAnsi" w:hAnsiTheme="minorHAnsi"/>
                <w:sz w:val="24"/>
                <w:szCs w:val="24"/>
              </w:rPr>
            </w:pPr>
          </w:p>
          <w:p w14:paraId="720961E6" w14:textId="77777777" w:rsidR="00754CF1" w:rsidRDefault="00754CF1" w:rsidP="0081090E">
            <w:pPr>
              <w:jc w:val="center"/>
              <w:rPr>
                <w:rFonts w:asciiTheme="minorHAnsi" w:hAnsiTheme="minorHAnsi"/>
                <w:sz w:val="24"/>
                <w:szCs w:val="24"/>
              </w:rPr>
            </w:pPr>
          </w:p>
          <w:p w14:paraId="5090DF3E" w14:textId="77777777" w:rsidR="00754CF1" w:rsidRDefault="00754CF1" w:rsidP="0081090E">
            <w:pPr>
              <w:jc w:val="center"/>
              <w:rPr>
                <w:rFonts w:asciiTheme="minorHAnsi" w:hAnsiTheme="minorHAnsi"/>
                <w:sz w:val="24"/>
                <w:szCs w:val="24"/>
              </w:rPr>
            </w:pPr>
          </w:p>
          <w:p w14:paraId="12930E12" w14:textId="5B686FAB"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2E8F763F"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tc>
        <w:tc>
          <w:tcPr>
            <w:tcW w:w="693" w:type="pct"/>
          </w:tcPr>
          <w:p w14:paraId="50B82115" w14:textId="77777777" w:rsidR="003967F1" w:rsidRPr="00B16B93" w:rsidRDefault="003967F1" w:rsidP="0081090E">
            <w:pPr>
              <w:jc w:val="center"/>
              <w:rPr>
                <w:rFonts w:asciiTheme="minorHAnsi" w:hAnsiTheme="minorHAnsi"/>
                <w:sz w:val="24"/>
                <w:szCs w:val="24"/>
              </w:rPr>
            </w:pPr>
          </w:p>
          <w:p w14:paraId="249FDDE2" w14:textId="77777777" w:rsidR="00754CF1" w:rsidRDefault="00754CF1" w:rsidP="0081090E">
            <w:pPr>
              <w:jc w:val="center"/>
              <w:rPr>
                <w:rFonts w:asciiTheme="minorHAnsi" w:hAnsiTheme="minorHAnsi"/>
                <w:sz w:val="24"/>
                <w:szCs w:val="24"/>
              </w:rPr>
            </w:pPr>
          </w:p>
          <w:p w14:paraId="041411F6" w14:textId="77777777" w:rsidR="00754CF1" w:rsidRDefault="00754CF1" w:rsidP="0081090E">
            <w:pPr>
              <w:jc w:val="center"/>
              <w:rPr>
                <w:rFonts w:asciiTheme="minorHAnsi" w:hAnsiTheme="minorHAnsi"/>
                <w:sz w:val="24"/>
                <w:szCs w:val="24"/>
              </w:rPr>
            </w:pPr>
          </w:p>
          <w:p w14:paraId="79155CCA" w14:textId="77777777" w:rsidR="00754CF1" w:rsidRDefault="00754CF1" w:rsidP="0081090E">
            <w:pPr>
              <w:jc w:val="center"/>
              <w:rPr>
                <w:rFonts w:asciiTheme="minorHAnsi" w:hAnsiTheme="minorHAnsi"/>
                <w:sz w:val="24"/>
                <w:szCs w:val="24"/>
              </w:rPr>
            </w:pPr>
          </w:p>
          <w:p w14:paraId="5172B31D" w14:textId="77777777" w:rsidR="00754CF1" w:rsidRDefault="00754CF1" w:rsidP="0081090E">
            <w:pPr>
              <w:jc w:val="center"/>
              <w:rPr>
                <w:rFonts w:asciiTheme="minorHAnsi" w:hAnsiTheme="minorHAnsi"/>
                <w:sz w:val="24"/>
                <w:szCs w:val="24"/>
              </w:rPr>
            </w:pPr>
          </w:p>
          <w:p w14:paraId="42DA066F" w14:textId="6109D664"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4135A811"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tc>
      </w:tr>
      <w:tr w:rsidR="003967F1" w:rsidRPr="00D2233F" w14:paraId="74EB2283" w14:textId="77777777" w:rsidTr="0081090E">
        <w:trPr>
          <w:trHeight w:val="57"/>
        </w:trPr>
        <w:tc>
          <w:tcPr>
            <w:tcW w:w="824" w:type="pct"/>
          </w:tcPr>
          <w:p w14:paraId="5F3A94E9"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Regular partner</w:t>
            </w:r>
          </w:p>
          <w:p w14:paraId="656F98BE"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No</w:t>
            </w:r>
          </w:p>
          <w:p w14:paraId="054392A9"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Yes</w:t>
            </w:r>
          </w:p>
        </w:tc>
        <w:tc>
          <w:tcPr>
            <w:tcW w:w="679" w:type="pct"/>
          </w:tcPr>
          <w:p w14:paraId="0C5E0483" w14:textId="77777777" w:rsidR="003967F1" w:rsidRPr="00B16B93" w:rsidRDefault="003967F1" w:rsidP="0081090E">
            <w:pPr>
              <w:jc w:val="center"/>
              <w:rPr>
                <w:rFonts w:asciiTheme="minorHAnsi" w:hAnsiTheme="minorHAnsi"/>
                <w:sz w:val="24"/>
                <w:szCs w:val="24"/>
              </w:rPr>
            </w:pPr>
          </w:p>
          <w:p w14:paraId="5E84829C" w14:textId="77777777" w:rsidR="0041227F" w:rsidRDefault="0041227F" w:rsidP="0081090E">
            <w:pPr>
              <w:jc w:val="center"/>
              <w:rPr>
                <w:rFonts w:asciiTheme="minorHAnsi" w:hAnsiTheme="minorHAnsi"/>
                <w:sz w:val="24"/>
                <w:szCs w:val="24"/>
              </w:rPr>
            </w:pPr>
          </w:p>
          <w:p w14:paraId="0DDFC207" w14:textId="172352C3"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3</w:t>
            </w:r>
            <w:r w:rsidR="00E01487">
              <w:rPr>
                <w:rFonts w:asciiTheme="minorHAnsi" w:hAnsiTheme="minorHAnsi"/>
                <w:sz w:val="24"/>
                <w:szCs w:val="24"/>
              </w:rPr>
              <w:t>.4</w:t>
            </w:r>
          </w:p>
          <w:p w14:paraId="5C232F01" w14:textId="59B39902" w:rsidR="003967F1" w:rsidRPr="00B16B93" w:rsidRDefault="00E01487" w:rsidP="0081090E">
            <w:pPr>
              <w:jc w:val="center"/>
              <w:rPr>
                <w:rFonts w:asciiTheme="minorHAnsi" w:hAnsiTheme="minorHAnsi"/>
                <w:sz w:val="24"/>
                <w:szCs w:val="24"/>
              </w:rPr>
            </w:pPr>
            <w:r>
              <w:rPr>
                <w:rFonts w:asciiTheme="minorHAnsi" w:hAnsiTheme="minorHAnsi"/>
                <w:sz w:val="24"/>
                <w:szCs w:val="24"/>
              </w:rPr>
              <w:t>5.9</w:t>
            </w:r>
          </w:p>
        </w:tc>
        <w:tc>
          <w:tcPr>
            <w:tcW w:w="1074" w:type="pct"/>
          </w:tcPr>
          <w:p w14:paraId="4CCF1680" w14:textId="77777777" w:rsidR="003967F1" w:rsidRPr="00B16B93" w:rsidRDefault="003967F1" w:rsidP="0081090E">
            <w:pPr>
              <w:jc w:val="center"/>
              <w:rPr>
                <w:rFonts w:asciiTheme="minorHAnsi" w:hAnsiTheme="minorHAnsi"/>
                <w:sz w:val="24"/>
                <w:szCs w:val="24"/>
              </w:rPr>
            </w:pPr>
          </w:p>
          <w:p w14:paraId="1D0887CD" w14:textId="77777777" w:rsidR="0041227F" w:rsidRDefault="0041227F" w:rsidP="0081090E">
            <w:pPr>
              <w:jc w:val="center"/>
              <w:rPr>
                <w:rFonts w:asciiTheme="minorHAnsi" w:hAnsiTheme="minorHAnsi"/>
                <w:sz w:val="24"/>
                <w:szCs w:val="24"/>
              </w:rPr>
            </w:pPr>
          </w:p>
          <w:p w14:paraId="3F9EFDDF" w14:textId="597C9FBA"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1</w:t>
            </w:r>
          </w:p>
          <w:p w14:paraId="517E37E4" w14:textId="77777777" w:rsidR="003967F1" w:rsidRPr="00B16B93" w:rsidRDefault="003967F1" w:rsidP="0081090E">
            <w:pPr>
              <w:jc w:val="center"/>
              <w:rPr>
                <w:rFonts w:asciiTheme="minorHAnsi" w:hAnsiTheme="minorHAnsi"/>
                <w:sz w:val="24"/>
                <w:szCs w:val="24"/>
              </w:rPr>
            </w:pPr>
            <w:r>
              <w:rPr>
                <w:rFonts w:asciiTheme="minorHAnsi" w:hAnsiTheme="minorHAnsi"/>
                <w:sz w:val="24"/>
                <w:szCs w:val="24"/>
              </w:rPr>
              <w:t>1.76</w:t>
            </w:r>
            <w:r w:rsidRPr="00B16B93">
              <w:rPr>
                <w:rFonts w:asciiTheme="minorHAnsi" w:hAnsiTheme="minorHAnsi"/>
                <w:sz w:val="24"/>
                <w:szCs w:val="24"/>
              </w:rPr>
              <w:t xml:space="preserve"> (0.5</w:t>
            </w:r>
            <w:r>
              <w:rPr>
                <w:rFonts w:asciiTheme="minorHAnsi" w:hAnsiTheme="minorHAnsi"/>
                <w:sz w:val="24"/>
                <w:szCs w:val="24"/>
              </w:rPr>
              <w:t>1</w:t>
            </w:r>
            <w:r w:rsidRPr="00B16B93">
              <w:rPr>
                <w:rFonts w:asciiTheme="minorHAnsi" w:hAnsiTheme="minorHAnsi"/>
                <w:sz w:val="24"/>
                <w:szCs w:val="24"/>
              </w:rPr>
              <w:t>-6.</w:t>
            </w:r>
            <w:r>
              <w:rPr>
                <w:rFonts w:asciiTheme="minorHAnsi" w:hAnsiTheme="minorHAnsi"/>
                <w:sz w:val="24"/>
                <w:szCs w:val="24"/>
              </w:rPr>
              <w:t>08</w:t>
            </w:r>
            <w:r w:rsidRPr="00B16B93">
              <w:rPr>
                <w:rFonts w:asciiTheme="minorHAnsi" w:hAnsiTheme="minorHAnsi"/>
                <w:sz w:val="24"/>
                <w:szCs w:val="24"/>
              </w:rPr>
              <w:t>)</w:t>
            </w:r>
          </w:p>
        </w:tc>
        <w:tc>
          <w:tcPr>
            <w:tcW w:w="694" w:type="pct"/>
          </w:tcPr>
          <w:p w14:paraId="72330489" w14:textId="77777777" w:rsidR="003967F1" w:rsidRPr="00B16B93" w:rsidRDefault="003967F1" w:rsidP="0081090E">
            <w:pPr>
              <w:jc w:val="center"/>
              <w:rPr>
                <w:rFonts w:asciiTheme="minorHAnsi" w:hAnsiTheme="minorHAnsi"/>
                <w:sz w:val="24"/>
                <w:szCs w:val="24"/>
              </w:rPr>
            </w:pPr>
          </w:p>
          <w:p w14:paraId="7464508B" w14:textId="77777777" w:rsidR="0041227F" w:rsidRDefault="0041227F" w:rsidP="0081090E">
            <w:pPr>
              <w:jc w:val="center"/>
              <w:rPr>
                <w:rFonts w:asciiTheme="minorHAnsi" w:hAnsiTheme="minorHAnsi"/>
                <w:sz w:val="24"/>
                <w:szCs w:val="24"/>
              </w:rPr>
            </w:pPr>
          </w:p>
          <w:p w14:paraId="2A41EC63" w14:textId="3E7D9FB2"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3E166C1B"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0.</w:t>
            </w:r>
            <w:r>
              <w:rPr>
                <w:rFonts w:asciiTheme="minorHAnsi" w:hAnsiTheme="minorHAnsi"/>
                <w:sz w:val="24"/>
                <w:szCs w:val="24"/>
              </w:rPr>
              <w:t>368</w:t>
            </w:r>
          </w:p>
        </w:tc>
        <w:tc>
          <w:tcPr>
            <w:tcW w:w="1036" w:type="pct"/>
          </w:tcPr>
          <w:p w14:paraId="7D3E0EFD" w14:textId="77777777" w:rsidR="003967F1" w:rsidRPr="00B16B93" w:rsidRDefault="003967F1" w:rsidP="0081090E">
            <w:pPr>
              <w:jc w:val="center"/>
              <w:rPr>
                <w:rFonts w:asciiTheme="minorHAnsi" w:hAnsiTheme="minorHAnsi"/>
                <w:sz w:val="24"/>
                <w:szCs w:val="24"/>
              </w:rPr>
            </w:pPr>
          </w:p>
          <w:p w14:paraId="4CE7E62E" w14:textId="77777777" w:rsidR="0041227F" w:rsidRDefault="0041227F" w:rsidP="0081090E">
            <w:pPr>
              <w:jc w:val="center"/>
              <w:rPr>
                <w:rFonts w:asciiTheme="minorHAnsi" w:hAnsiTheme="minorHAnsi"/>
                <w:sz w:val="24"/>
                <w:szCs w:val="24"/>
              </w:rPr>
            </w:pPr>
          </w:p>
          <w:p w14:paraId="50D1EF2E" w14:textId="1CF061E2"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20D18783"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tc>
        <w:tc>
          <w:tcPr>
            <w:tcW w:w="693" w:type="pct"/>
          </w:tcPr>
          <w:p w14:paraId="2148713A" w14:textId="77777777" w:rsidR="003967F1" w:rsidRPr="00B16B93" w:rsidRDefault="003967F1" w:rsidP="0081090E">
            <w:pPr>
              <w:jc w:val="center"/>
              <w:rPr>
                <w:rFonts w:asciiTheme="minorHAnsi" w:hAnsiTheme="minorHAnsi"/>
                <w:sz w:val="24"/>
                <w:szCs w:val="24"/>
              </w:rPr>
            </w:pPr>
          </w:p>
          <w:p w14:paraId="32FA945D" w14:textId="77777777" w:rsidR="0041227F" w:rsidRDefault="0041227F" w:rsidP="0081090E">
            <w:pPr>
              <w:jc w:val="center"/>
              <w:rPr>
                <w:rFonts w:asciiTheme="minorHAnsi" w:hAnsiTheme="minorHAnsi"/>
                <w:sz w:val="24"/>
                <w:szCs w:val="24"/>
              </w:rPr>
            </w:pPr>
          </w:p>
          <w:p w14:paraId="732C803B" w14:textId="10694EA4"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p w14:paraId="0D404030" w14:textId="77777777" w:rsidR="003967F1" w:rsidRPr="00B16B93" w:rsidRDefault="003967F1" w:rsidP="0081090E">
            <w:pPr>
              <w:jc w:val="center"/>
              <w:rPr>
                <w:rFonts w:asciiTheme="minorHAnsi" w:hAnsiTheme="minorHAnsi"/>
                <w:sz w:val="24"/>
                <w:szCs w:val="24"/>
              </w:rPr>
            </w:pPr>
            <w:r w:rsidRPr="00B16B93">
              <w:rPr>
                <w:rFonts w:asciiTheme="minorHAnsi" w:hAnsiTheme="minorHAnsi"/>
                <w:sz w:val="24"/>
                <w:szCs w:val="24"/>
              </w:rPr>
              <w:t>-</w:t>
            </w:r>
          </w:p>
        </w:tc>
      </w:tr>
    </w:tbl>
    <w:p w14:paraId="21EB98C8" w14:textId="73BA316B" w:rsidR="003967F1" w:rsidRDefault="00612E91" w:rsidP="003967F1">
      <w:pPr>
        <w:rPr>
          <w:i/>
        </w:rPr>
      </w:pPr>
      <w:r>
        <w:rPr>
          <w:i/>
        </w:rPr>
        <w:t xml:space="preserve">MRAM: </w:t>
      </w:r>
      <w:r w:rsidRPr="00612E91">
        <w:rPr>
          <w:i/>
        </w:rPr>
        <w:t>MG macrolide resistance</w:t>
      </w:r>
      <w:r>
        <w:rPr>
          <w:i/>
        </w:rPr>
        <w:t xml:space="preserve">; MSW: Men who have sex with women; MSM: men who have sex with men; </w:t>
      </w:r>
      <w:r w:rsidR="00D6451D">
        <w:rPr>
          <w:i/>
        </w:rPr>
        <w:t xml:space="preserve">STI: sexually transmitted infection; </w:t>
      </w:r>
      <w:r>
        <w:rPr>
          <w:i/>
        </w:rPr>
        <w:t>AOR: adjusted odds ratio</w:t>
      </w:r>
    </w:p>
    <w:p w14:paraId="4906D2DA" w14:textId="42291227" w:rsidR="00DF533E" w:rsidRDefault="00DF533E" w:rsidP="003967F1">
      <w:pPr>
        <w:rPr>
          <w:i/>
        </w:rPr>
      </w:pPr>
      <w:r>
        <w:rPr>
          <w:i/>
        </w:rPr>
        <w:t>*C</w:t>
      </w:r>
      <w:r w:rsidRPr="00DF533E">
        <w:rPr>
          <w:i/>
        </w:rPr>
        <w:t>o-infection</w:t>
      </w:r>
      <w:r>
        <w:rPr>
          <w:i/>
        </w:rPr>
        <w:t xml:space="preserve">: </w:t>
      </w:r>
      <w:r w:rsidRPr="00DF533E">
        <w:rPr>
          <w:i/>
        </w:rPr>
        <w:t>≥1 CT, MG or NG within a sample</w:t>
      </w:r>
    </w:p>
    <w:p w14:paraId="3CAA309E" w14:textId="055257C9" w:rsidR="004D62C8" w:rsidRDefault="004D62C8" w:rsidP="003967F1">
      <w:pPr>
        <w:rPr>
          <w:i/>
        </w:rPr>
      </w:pPr>
    </w:p>
    <w:p w14:paraId="42FE6028" w14:textId="77777777" w:rsidR="004D62C8" w:rsidRDefault="004D62C8" w:rsidP="003967F1">
      <w:pPr>
        <w:rPr>
          <w:i/>
        </w:rPr>
      </w:pPr>
    </w:p>
    <w:p w14:paraId="72F19B47" w14:textId="359CC8E6" w:rsidR="00ED14A5" w:rsidRDefault="00ED14A5" w:rsidP="00720644">
      <w:pPr>
        <w:spacing w:line="480" w:lineRule="auto"/>
        <w:rPr>
          <w:b/>
        </w:rPr>
      </w:pPr>
      <w:r w:rsidRPr="00F02C13">
        <w:rPr>
          <w:b/>
        </w:rPr>
        <w:lastRenderedPageBreak/>
        <w:t>Discussion</w:t>
      </w:r>
      <w:r w:rsidR="00547EA6">
        <w:rPr>
          <w:b/>
        </w:rPr>
        <w:t xml:space="preserve"> </w:t>
      </w:r>
    </w:p>
    <w:p w14:paraId="1C7F329A" w14:textId="13E80FDE" w:rsidR="00664D83" w:rsidRDefault="005D0FFB" w:rsidP="00720644">
      <w:pPr>
        <w:spacing w:line="480" w:lineRule="auto"/>
      </w:pPr>
      <w:r>
        <w:t>T</w:t>
      </w:r>
      <w:r w:rsidR="00314886">
        <w:t>his study confirm</w:t>
      </w:r>
      <w:r w:rsidR="00664D83">
        <w:t>s</w:t>
      </w:r>
      <w:r w:rsidR="00314886">
        <w:t xml:space="preserve"> that in an inner London </w:t>
      </w:r>
      <w:r w:rsidR="007E349A">
        <w:t xml:space="preserve">sexual health </w:t>
      </w:r>
      <w:r w:rsidR="00314886">
        <w:t>clinical setting among</w:t>
      </w:r>
      <w:r w:rsidR="00882A07">
        <w:t xml:space="preserve"> </w:t>
      </w:r>
      <w:r w:rsidR="00C941A7">
        <w:t>STI-</w:t>
      </w:r>
      <w:r w:rsidR="00882A07">
        <w:t>contacts and</w:t>
      </w:r>
      <w:r w:rsidR="00314886">
        <w:t xml:space="preserve"> symptomatic patients,</w:t>
      </w:r>
      <w:r w:rsidR="00BC7E0B">
        <w:t xml:space="preserve"> </w:t>
      </w:r>
      <w:r w:rsidR="006E3FA5">
        <w:t>MG</w:t>
      </w:r>
      <w:r w:rsidR="00314886">
        <w:t xml:space="preserve"> prevalence</w:t>
      </w:r>
      <w:r w:rsidR="00E85752">
        <w:t xml:space="preserve"> </w:t>
      </w:r>
      <w:r w:rsidR="006E3FA5">
        <w:t>is high</w:t>
      </w:r>
      <w:r w:rsidR="00BC7E0B">
        <w:t xml:space="preserve"> overall, and </w:t>
      </w:r>
      <w:r w:rsidR="006778C3">
        <w:t xml:space="preserve">in our sample set </w:t>
      </w:r>
      <w:r w:rsidR="00BC7E0B">
        <w:t xml:space="preserve">particularly those </w:t>
      </w:r>
      <w:r w:rsidR="00664D83">
        <w:t xml:space="preserve">diagnosed </w:t>
      </w:r>
      <w:r w:rsidR="00010878">
        <w:t>with</w:t>
      </w:r>
      <w:r w:rsidR="00BC7E0B">
        <w:t xml:space="preserve"> CT </w:t>
      </w:r>
      <w:r w:rsidR="00B53C15">
        <w:t>infection</w:t>
      </w:r>
      <w:r w:rsidR="00BC7E0B">
        <w:t xml:space="preserve">. </w:t>
      </w:r>
      <w:r w:rsidR="00664D83">
        <w:t>MG</w:t>
      </w:r>
      <w:r w:rsidR="002B5A68">
        <w:t>-</w:t>
      </w:r>
      <w:r w:rsidR="00F702A6">
        <w:t xml:space="preserve">MRAM </w:t>
      </w:r>
      <w:r w:rsidR="00664D83">
        <w:t xml:space="preserve">infections </w:t>
      </w:r>
      <w:r w:rsidR="00314886">
        <w:t>were present in nearly 40% of</w:t>
      </w:r>
      <w:r w:rsidR="00C50586">
        <w:t xml:space="preserve"> MG</w:t>
      </w:r>
      <w:r w:rsidR="002B5A68">
        <w:t>-</w:t>
      </w:r>
      <w:r w:rsidR="00C50586">
        <w:t>positive</w:t>
      </w:r>
      <w:r w:rsidR="004B2B88">
        <w:t xml:space="preserve"> samples from</w:t>
      </w:r>
      <w:r w:rsidR="00314886">
        <w:t xml:space="preserve"> women</w:t>
      </w:r>
      <w:r w:rsidR="00010878">
        <w:t xml:space="preserve">, </w:t>
      </w:r>
      <w:r w:rsidR="002B5A68">
        <w:t xml:space="preserve">two-thirds </w:t>
      </w:r>
      <w:r w:rsidR="00314886">
        <w:t xml:space="preserve">of </w:t>
      </w:r>
      <w:r w:rsidR="00B224C8">
        <w:t xml:space="preserve">MSW </w:t>
      </w:r>
      <w:r w:rsidR="002B5A68">
        <w:t xml:space="preserve">MG-positive </w:t>
      </w:r>
      <w:r w:rsidR="00B224C8">
        <w:t>samples</w:t>
      </w:r>
      <w:r w:rsidR="002B5A68">
        <w:t>,</w:t>
      </w:r>
      <w:r w:rsidR="00B224C8">
        <w:t xml:space="preserve"> </w:t>
      </w:r>
      <w:r w:rsidR="00010878">
        <w:t xml:space="preserve">and </w:t>
      </w:r>
      <w:r w:rsidR="002B5A68">
        <w:t xml:space="preserve">were </w:t>
      </w:r>
      <w:r w:rsidR="00010878">
        <w:t xml:space="preserve">more likely to be </w:t>
      </w:r>
      <w:r w:rsidR="00314886">
        <w:t>found in those with a co-infection than in those with a mono-infection</w:t>
      </w:r>
      <w:r w:rsidR="00E85752">
        <w:t xml:space="preserve">. </w:t>
      </w:r>
    </w:p>
    <w:p w14:paraId="615E165B" w14:textId="700B1F2D" w:rsidR="002A6E18" w:rsidRDefault="00E85752" w:rsidP="00720644">
      <w:pPr>
        <w:spacing w:line="480" w:lineRule="auto"/>
      </w:pPr>
      <w:r>
        <w:t>These</w:t>
      </w:r>
      <w:r w:rsidR="00614FC4">
        <w:t xml:space="preserve"> findings have implications </w:t>
      </w:r>
      <w:r w:rsidR="00D774F8">
        <w:t xml:space="preserve">for </w:t>
      </w:r>
      <w:r w:rsidR="00614FC4">
        <w:t xml:space="preserve">clinical management of </w:t>
      </w:r>
      <w:r w:rsidR="00C941A7">
        <w:t xml:space="preserve">STI-contacts and </w:t>
      </w:r>
      <w:r w:rsidR="00614FC4">
        <w:t>symptomatic patients in SHCs.</w:t>
      </w:r>
      <w:r w:rsidR="00FA54D7">
        <w:t xml:space="preserve"> </w:t>
      </w:r>
      <w:r w:rsidR="00235453">
        <w:t>Although</w:t>
      </w:r>
      <w:r w:rsidR="007E349A">
        <w:t xml:space="preserve"> the UK</w:t>
      </w:r>
      <w:r w:rsidR="00235453">
        <w:t xml:space="preserve"> f</w:t>
      </w:r>
      <w:r w:rsidR="00A4686E">
        <w:t>irst line treatment for CT, doxycycline, is</w:t>
      </w:r>
      <w:r w:rsidR="006A337C">
        <w:t xml:space="preserve"> a</w:t>
      </w:r>
      <w:r w:rsidR="00A4686E">
        <w:t xml:space="preserve"> poorly effective </w:t>
      </w:r>
      <w:r w:rsidR="006A337C">
        <w:t xml:space="preserve">monotherapy </w:t>
      </w:r>
      <w:r w:rsidR="00A4686E">
        <w:t>for MG infection</w:t>
      </w:r>
      <w:r w:rsidR="00C70F96">
        <w:fldChar w:fldCharType="begin" w:fldLock="1"/>
      </w:r>
      <w:r w:rsidR="00E01487">
        <w:instrText>ADDIN CSL_CITATION { "citationItems" : [ { "id" : "ITEM-1", "itemData" : { "DOI" : "10.1371/journal.pone.0061481", "ISSN" : "1932-6203", "PMID" : "23593483", "abstract" : "OBJECTIVES To evaluate therapy for Mycoplasma genitalium infection with doxycycline or azithromycin 1 g compared to five days of azithromycin (total dose 1.5 g). METHODS A retrospective case study was performed among patients attending the STD-clinic in Falun, Sweden 1998-2005. All patients with a positive PCR test for M. genitalium were routinely offered a test of cure (toc). Response to doxycycline for 9 days, azithromycin 1 g single dose and extended azithromycin (500 mg on day 1 followed by 250 mg o.d. for 4 days) was determined. In patients with treatment failure after azithromycin, macrolide resistance was monitored before and after treatment. Furthermore, the rate of macrolide resistance was monitored for positive specimens available from 2006-2011. RESULTS The eradication rate after doxycycline was 43% (48% for women and 38% for men), for azithromycin 1 g 91% (96% for women and 88% for men) and for extended azithromycin 99% (100% for women and 93% for men). Macrolide resistance developed in 7/7 examined (100%) of those testing positive after azithromycin 1 g, but in none of those treated with extended azithromycin. Macrolide resistance before treatment increased from 0% in 2006 and 2007 to 18% in 2011. CONCLUSIONS These findings confirm the results from other studies showing that doxycycline is inefficient in eradicating M. genitalium. Although azithromycin 1 g was not significantly less efficient than extended dosage, it was associated with selection of macrolide resistant M. genitalium strains and should not be used as first line therapy for M. genitalium. Monitoring of M. genitalium macrolide resistance should be encouraged.", "author" : [ { "dropping-particle" : "", "family" : "Anagrius", "given" : "Carin", "non-dropping-particle" : "", "parse-names" : false, "suffix" : "" }, { "dropping-particle" : "", "family" : "Lor\u00e9", "given" : "Britta", "non-dropping-particle" : "", "parse-names" : false, "suffix" : "" }, { "dropping-particle" : "", "family" : "Jensen", "given" : "J\u00f8rgen Skov", "non-dropping-particle" : "", "parse-names" : false, "suffix" : "" } ], "container-title" : "PLoS ONE", "editor" : [ { "dropping-particle" : "", "family" : "Coenye", "given" : "Tom", "non-dropping-particle" : "", "parse-names" : false, "suffix" : "" } ], "id" : "ITEM-1", "issue" : "4", "issued" : { "date-parts" : [ [ "2013", "4", "8" ] ] }, "page" : "e61481", "title" : "Treatment of Mycoplasma genitalium. Observations from a Swedish STD Clinic", "type" : "article-journal", "volume" : "8" }, "uris" : [ "http://www.mendeley.com/documents/?uuid=cabc9272-7e17-3e6e-afa5-5b84b1477d01" ] }, { "id" : "ITEM-2", "itemData" : { "DOI" : "10.1186/s12879-015-1041-6", "ISSN" : "1471-2334", "PMID" : "26286546", "abstract" : "Mycoplasma genitalium is an etiological agent of sexually transmitted infections, but due to its fastidious growth requirements, only a few M. genitalium strains are available for determination of the activity of currently used and new antimicrobial agents.Recent clinical trials have demonstrated that treatment with azithromycin has decreasing efficacy due to an increasing prevalence of macrolide resistance, which is likely to be attributed to the widespread use of 1 g single dose azithromycin. Second line treatment with moxifloxacin is similarly under pressure from emerging resistance. The era of single dose monotherapy for uncomplicated STIs such as M. genitalium and N. gonorrhoeae, while convenient for patients and physicians, has been associated with escalating resistance and treatment failure and is now drawing to a close. There is a critical need for trials of combinations of existing registered drugs and new antimicrobial compounds, implementation of diagnostic testing combined with molecular detection of resistance, and antimicrobial surveillance.", "author" : [ { "dropping-particle" : "", "family" : "Jensen", "given" : "J\u00f8rgen Skov", "non-dropping-particle" : "", "parse-names" : false, "suffix" : "" }, { "dropping-particle" : "", "family" : "Bradshaw", "given" : "Catriona", "non-dropping-particle" : "", "parse-names" : false, "suffix" : "" } ], "container-title" : "BMC infectious diseases", "id" : "ITEM-2", "issued" : { "date-parts" : [ [ "2015", "8", "19" ] ] }, "page" : "343", "publisher" : "BioMed Central", "title" : "Management of Mycoplasma genitalium infections - can we hit a moving target?", "type" : "article-journal", "volume" : "15" }, "uris" : [ "http://www.mendeley.com/documents/?uuid=790d83d5-fe23-3601-97dc-d0f7b976af11" ] } ], "mendeley" : { "formattedCitation" : "(18,19)", "plainTextFormattedCitation" : "(18,19)", "previouslyFormattedCitation" : "(18,19)" }, "properties" : {  }, "schema" : "https://github.com/citation-style-language/schema/raw/master/csl-citation.json" }</w:instrText>
      </w:r>
      <w:r w:rsidR="00C70F96">
        <w:fldChar w:fldCharType="separate"/>
      </w:r>
      <w:r w:rsidR="00E01487" w:rsidRPr="00E01487">
        <w:rPr>
          <w:noProof/>
        </w:rPr>
        <w:t>(</w:t>
      </w:r>
      <w:r w:rsidR="00C74CE5">
        <w:rPr>
          <w:noProof/>
        </w:rPr>
        <w:t xml:space="preserve">7, 10, </w:t>
      </w:r>
      <w:r w:rsidR="00E01487" w:rsidRPr="00E01487">
        <w:rPr>
          <w:noProof/>
        </w:rPr>
        <w:t>18,19)</w:t>
      </w:r>
      <w:r w:rsidR="00C70F96">
        <w:fldChar w:fldCharType="end"/>
      </w:r>
      <w:r w:rsidR="006778C3">
        <w:t xml:space="preserve">, recent evidence suggests pre-treatment with doxycycline can </w:t>
      </w:r>
      <w:r w:rsidR="00F063B1">
        <w:t xml:space="preserve">significantly </w:t>
      </w:r>
      <w:r w:rsidR="006778C3">
        <w:t>reduce bacterial load</w:t>
      </w:r>
      <w:r w:rsidR="00F063B1">
        <w:t xml:space="preserve"> (p&lt;0.001) </w:t>
      </w:r>
      <w:r w:rsidR="00C70F96">
        <w:fldChar w:fldCharType="begin" w:fldLock="1"/>
      </w:r>
      <w:r w:rsidR="00E01487">
        <w:instrText>ADDIN CSL_CITATION { "citationItems" : [ { "id" : "ITEM-1", "itemData" : { "DOI" : "10.1093/cid/ciy477", "ISSN" : "1058-4838", "PMID" : "29873691", "abstract" : "Background Rising macrolide and quinolone resistance in Mycoplasma genitalium necessitate new treatment approaches. We evaluated outcomes of sequential antimicrobial therapy for M.genitalium guided by a macrolide-resistance assay. Methods In mid-2016 Melbourne Sexual Health Centre switched from azithromycin to doxycycline (100mg twice daily,7 days) for non-gonococcal urethritis/cervicitis/proctitis. Cases were tested for M. genitalium and macrolide-resistance mutations (MRM) by polymerase chain reaction (PCR). Directly after doxycycline, MRM-negative infections received 2.5g azithromycin (1g then 500mg daily for 3 days), and MRM-positive infections received sitafloxacin (100mg twice daily, 7 days). Assessment of test-of-cure and reinfection risk, occurred 14-90 days after the second antibiotic. Those reporting condomless sex with incompletely treated partners were excluded. Results Of 244 evaluable M. genitalium infections (52 women, 68 heterosexual men, 124 men who have sex with men) diagnosed from 20 June 2016 to 15 May 2017, MRM were detected in 167 [68.4% (95%confidence interval(CI):62.2%, 74.2%)]. Treatment with doxycycline decreased bacterial load by a mean 2.60 log10 (n=56, p&lt;0.0001). Microbiologic cure occurred in: 73/77 MRM-negative infections [94.8% (95%CI:87.2%, 98.6%)] and in 154/167 MRM-positive infections [92.2% (95%CI:87.1%, 95.8%)]. Selection of macrolide-resistance occurred in only 2 [2.6% (95%CI: 0.3%, 9.2%)] of 76 macrolide-susceptible infections. Proportions reporting no missed doses and no adverse events, respectively, were: doxycycline 89.9% and 86.6%, sitafloxacin 90.8% and 80.5%, azithromycin 100% and 91.4%. Conclusions In the context of high levels of antimicrobial resistance, switching from azithromycin to doxycycline for presumptive treatment of M. genitalium, followed by resistance-guided therapy, cured \u226592% of infections, with infrequent selection of macrolide resistance.", "author" : [ { "dropping-particle" : "", "family" : "Read", "given" : "Tim R H", "non-dropping-particle" : "", "parse-names" : false, "suffix" : "" }, { "dropping-particle" : "", "family" : "Fairley", "given" : "Christopher K", "non-dropping-particle" : "", "parse-names" : false, "suffix" : "" }, { "dropping-particle" : "", "family" : "Murray", "given" : "Gerald L", "non-dropping-particle" : "", "parse-names" : false, "suffix" : "" }, { "dropping-particle" : "", "family" : "Jensen", "given" : "Jorgen S", "non-dropping-particle" : "", "parse-names" : false, "suffix" : "" }, { "dropping-particle" : "", "family" : "Danielewski", "given" : "Jennifer", "non-dropping-particle" : "", "parse-names" : false, "suffix" : "" }, { "dropping-particle" : "", "family" : "Worthington", "given" : "Karen", "non-dropping-particle" : "", "parse-names" : false, "suffix" : "" }, { "dropping-particle" : "", "family" : "Doyle", "given" : "Michelle", "non-dropping-particle" : "", "parse-names" : false, "suffix" : "" }, { "dropping-particle" : "", "family" : "Mokany", "given" : "Elisa", "non-dropping-particle" : "", "parse-names" : false, "suffix" : "" }, { "dropping-particle" : "", "family" : "Tan", "given" : "Litty", "non-dropping-particle" : "", "parse-names" : false, "suffix" : "" }, { "dropping-particle" : "", "family" : "Chow", "given" : "Eric P F", "non-dropping-particle" : "", "parse-names" : false, "suffix" : "" }, { "dropping-particle" : "", "family" : "Garland", "given" : "Suzanne M", "non-dropping-particle" : "", "parse-names" : false, "suffix" : "" }, { "dropping-particle" : "", "family" : "Bradshaw", "given" : "Catriona S", "non-dropping-particle" : "", "parse-names" : false, "suffix" : "" } ], "container-title" : "Clinical Infectious Diseases", "id" : "ITEM-1", "issued" : { "date-parts" : [ [ "2018", "6" ] ] }, "title" : "Outcomes of Resistance-guided Sequential Treatment of Mycoplasma genitalium Infections: A Prospective Evaluation", "type" : "article-journal" }, "uris" : [ "http://www.mendeley.com/documents/?uuid=51aa818e-c835-4d84-ad51-28c974bfbd98" ] } ], "mendeley" : { "formattedCitation" : "(10)", "plainTextFormattedCitation" : "(10)", "previouslyFormattedCitation" : "(10)" }, "properties" : {  }, "schema" : "https://github.com/citation-style-language/schema/raw/master/csl-citation.json" }</w:instrText>
      </w:r>
      <w:r w:rsidR="00C70F96">
        <w:fldChar w:fldCharType="separate"/>
      </w:r>
      <w:r w:rsidR="00E01487" w:rsidRPr="00E01487">
        <w:rPr>
          <w:noProof/>
        </w:rPr>
        <w:t>(1</w:t>
      </w:r>
      <w:r w:rsidR="00C74CE5">
        <w:rPr>
          <w:noProof/>
        </w:rPr>
        <w:t>1</w:t>
      </w:r>
      <w:r w:rsidR="00E01487" w:rsidRPr="00E01487">
        <w:rPr>
          <w:noProof/>
        </w:rPr>
        <w:t>)</w:t>
      </w:r>
      <w:r w:rsidR="00C70F96">
        <w:fldChar w:fldCharType="end"/>
      </w:r>
      <w:r w:rsidR="00C70F96">
        <w:t xml:space="preserve">. </w:t>
      </w:r>
      <w:r w:rsidR="00080EBD">
        <w:t xml:space="preserve"> </w:t>
      </w:r>
      <w:r w:rsidR="00E00061">
        <w:t>Additionally, i</w:t>
      </w:r>
      <w:r w:rsidR="00A4686E">
        <w:t>ncreasing evidence</w:t>
      </w:r>
      <w:r w:rsidR="00130A96">
        <w:t xml:space="preserve"> suggests</w:t>
      </w:r>
      <w:r w:rsidR="00A4686E">
        <w:t xml:space="preserve"> </w:t>
      </w:r>
      <w:r w:rsidR="00745398">
        <w:t xml:space="preserve">1g </w:t>
      </w:r>
      <w:r w:rsidR="00A4686E">
        <w:t>azithromycin,</w:t>
      </w:r>
      <w:r w:rsidR="007E349A">
        <w:t xml:space="preserve"> the UK’s</w:t>
      </w:r>
      <w:r w:rsidR="00A4686E">
        <w:t xml:space="preserve"> second line CT therapy, may not be as effective for CT treatment as previously thought</w:t>
      </w:r>
      <w:r w:rsidR="00C70F96">
        <w:fldChar w:fldCharType="begin" w:fldLock="1"/>
      </w:r>
      <w:r w:rsidR="00E01487">
        <w:instrText>ADDIN CSL_CITATION { "citationItems" : [ { "id" : "ITEM-1", "itemData" : { "DOI" : "10.1186/s12879-016-2125-7", "ISSN" : "1471-2334", "PMID" : "28061753", "abstract" : "BACKGROUND Rectal infection with Chlamydia trachomatis is one of the most common bacterial sexually transmissible infections among men who have sex with men (MSM) with diagnosis rates continuing to rise. Current treatment guidelines recommend either azithromycin 1\u00a0g single dose or doxycycline 100\u00a0mg twice daily for 7\u00a0days. However, there are increasing concerns about treatment failure with azithromycin. We are conducting the first randomised controlled trial (RCT) to compare treatment efficacy of azithromycin versus doxycycline for the treatment of rectal chlamydia in MSM. METHODS/DESIGN The Rectal Treatment Study will recruit 700 MSM attending Australian sexual health clinics for the treatment of rectal chlamydia. Participants will be asked to provide rectal swabs and will be randomised to either azithromycin 1\u00a0g single dose or doxycycline 100\u00a0mg twice daily for 7\u00a0days. Participants will be asked to complete questionnaires about adverse drug reactions, sexual behaviour and drug adherence via short message service and online survey. The primary outcome is the treatment efficacy as determined by a negative chlamydia nucleic acid amplification test at 4\u00a0weeks post treatment. Secondary outcomes will utilise whole genome sequencing and mRNA assay to differentiate between treatment failure, reinfection or false positive results. DISCUSSION Rectal chlamydia is an increasing public health concern as use of pre-exposure prophylaxis against HIV becomes commonplace. Optimal, evidence-based treatment is critical to halting ongoing transmission. This study will provide the first RCT evidence comparing azithromycin and doxycycline for the treatment of rectal chlamydia. The results of this trial will establish which treatment is more efficacious and inform international management guidelines. TRIAL REGISTRATION Australian New Zealand Clinical Trials Registry ACTRN12614001125617.", "author" : [ { "dropping-particle" : "", "family" : "Lau", "given" : "Andrew", "non-dropping-particle" : "", "parse-names" : false, "suffix" : "" }, { "dropping-particle" : "", "family" : "Kong", "given" : "Fabian", "non-dropping-particle" : "", "parse-names" : false, "suffix" : "" }, { "dropping-particle" : "", "family" : "Fairley", "given" : "Christopher K", "non-dropping-particle" : "", "parse-names" : false, "suffix" : "" }, { "dropping-particle" : "", "family" : "Donovan", "given" : "Basil", "non-dropping-particle" : "", "parse-names" : false, "suffix" : "" }, { "dropping-particle" : "", "family" : "Chen", "given" : "Marcus", "non-dropping-particle" : "", "parse-names" : false, "suffix" : "" }, { "dropping-particle" : "", "family" : "Bradshaw", "given" : "Catriona", "non-dropping-particle" : "", "parse-names" : false, "suffix" : "" }, { "dropping-particle" : "", "family" : "Boyd", "given" : "Mark", "non-dropping-particle" : "", "parse-names" : false, "suffix" : "" }, { "dropping-particle" : "", "family" : "Amin", "given" : "Janaki", "non-dropping-particle" : "", "parse-names" : false, "suffix" : "" }, { "dropping-particle" : "", "family" : "Timms", "given" : "Peter", "non-dropping-particle" : "", "parse-names" : false, "suffix" : "" }, { "dropping-particle" : "", "family" : "Tabrizi", "given" : "Sepehr", "non-dropping-particle" : "", "parse-names" : false, "suffix" : "" }, { "dropping-particle" : "", "family" : "Regan", "given" : "David G", "non-dropping-particle" : "", "parse-names" : false, "suffix" : "" }, { "dropping-particle" : "", "family" : "Lewis", "given" : "David A", "non-dropping-particle" : "", "parse-names" : false, "suffix" : "" }, { "dropping-particle" : "", "family" : "McNulty", "given" : "Anna", "non-dropping-particle" : "", "parse-names" : false, "suffix" : "" }, { "dropping-particle" : "", "family" : "Hocking", "given" : "Jane S", "non-dropping-particle" : "", "parse-names" : false, "suffix" : "" } ], "container-title" : "BMC infectious diseases", "id" : "ITEM-1", "issue" : "1", "issued" : { "date-parts" : [ [ "2017" ] ] }, "page" : "35", "publisher" : "BioMed Central", "title" : "Treatment efficacy of azithromycin 1\u00a0g single dose versus doxycycline 100\u00a0mg twice daily for 7\u00a0days for the treatment of rectal chlamydia among men who have sex with men - a double-blind randomised controlled trial protocol.", "type" : "article-journal", "volume" : "17" }, "uris" : [ "http://www.mendeley.com/documents/?uuid=69fb4d35-9d82-4cbf-b071-361aaee06f7d" ] }, { "id" : "ITEM-2", "itemData" : { "DOI" : "10.1136/sextrans-2017-053161", "ISSN" : "1368-4973", "PMID" : "29431148", "abstract" : "OBJECTIVES Chlamydia trachomatis is the most commonly diagnosed bacterial STI. Lack of prevalence and risk factor data for rectal chlamydia in women has testing and treatment implications, as azithromycin (a first-line urogenital chlamydia treatment) may be less effective for rectal chlamydia. We conducted a systematic review of studies on women in high-income countries to estimate rectal chlamydia prevalence, concurrency with urogenital chlamydia and associations with reported anal intercourse (AI). DESIGN Systematic review and four meta-analyses conducted using random-effects modelling. DATA SOURCES Medline, Embase, Cumulative Index to Nursing and Allied Health Literature, PsycINFO and the Cochrane Database were searched for articles published between January 1997 and October 2017. ELIGIBILITY CRITERIA Studies reporting rectal chlamydia positivity in heterosexual women aged \u226515\u2009years old in high-income countries were included. Studies must have used nucleic acid amplification tests and reported both the total number of women tested for rectal chlamydia and the number of rectal chlamydia infections detected. Conference abstracts, case reports and studies with self-reported diagnoses were excluded. Data extracted included setting, rectal and urogenital chlamydia testing results, AI history, and demographics. RESULTS Fourteen eligible studies were identified, all among diverse populations attending sexual health services. Among routine clinic-attending women, summary rectal chlamydia positivity was 6.0% (95% CI 3.2% to 8.9%); summary concurrent rectal chlamydia infection was 68.1% in those who tested positive for urogenital chlamydia (95%\u2009CI 56.6% to 79.6%); and of those who tested negative for urogenital chlamydia, 2.2% (95% CI 0% to 5.2%) were positive for rectal chlamydia. Reported AI was not associated with rectal chlamydia (summary risk ratio 0.90; 95%\u2009CI 0.75 to 1.10). CONCLUSIONS High levels of rectal chlamydia infection have been shown in women with urogenital chlamydia infection. The absence of association between reported AI and rectal chlamydia suggests AI is not an adequate indicator for rectal testing. Further work is needed to determine policy and practice for routine rectal testing in women.", "author" : [ { "dropping-particle" : "", "family" : "Chandra", "given" : "Nastassya L", "non-dropping-particle" : "", "parse-names" : false, "suffix" : "" }, { "dropping-particle" : "", "family" : "Broad", "given" : "Claire", "non-dropping-particle" : "", "parse-names" : false, "suffix" : "" }, { "dropping-particle" : "", "family" : "Folkard", "given" : "Kate", "non-dropping-particle" : "", "parse-names" : false, "suffix" : "" }, { "dropping-particle" : "", "family" : "Town", "given" : "Katy", "non-dropping-particle" : "", "parse-names" : false, "suffix" : "" }, { "dropping-particle" : "", "family" : "Harding-Esch", "given" : "Emma M", "non-dropping-particle" : "", "parse-names" : false, "suffix" : "" }, { "dropping-particle" : "", "family" : "Woodhall", "given" : "Sarah C", "non-dropping-particle" : "", "parse-names" : false, "suffix" : "" }, { "dropping-particle" : "", "family" : "Saunders", "given" : "John M", "non-dropping-particle" : "", "parse-names" : false, "suffix" : "" }, { "dropping-particle" : "", "family" : "Sadiq", "given" : "S Tariq", "non-dropping-particle" : "", "parse-names" : false, "suffix" : "" }, { "dropping-particle" : "", "family" : "Dunbar", "given" : "J Kevin", "non-dropping-particle" : "", "parse-names" : false, "suffix" : "" } ], "container-title" : "Sexually Transmitted Infections", "id" : "ITEM-2", "issue" : "5", "issued" : { "date-parts" : [ [ "2018", "8" ] ] }, "page" : "320-326", "title" : "Detection of &lt;i&gt;Chlamydia trachomatis&lt;/i&gt; in rectal specimens in women and its association with anal intercourse: a systematic review and meta-analysis", "type" : "article-journal", "volume" : "94" }, "uris" : [ "http://www.mendeley.com/documents/?uuid=39a4da51-eaa0-4a91-a49d-9ed3a57bbdee" ] } ], "mendeley" : { "formattedCitation" : "(20,21)", "plainTextFormattedCitation" : "(20,21)", "previouslyFormattedCitation" : "(20,21)" }, "properties" : {  }, "schema" : "https://github.com/citation-style-language/schema/raw/master/csl-citation.json" }</w:instrText>
      </w:r>
      <w:r w:rsidR="00C70F96">
        <w:fldChar w:fldCharType="separate"/>
      </w:r>
      <w:r w:rsidR="00E01487" w:rsidRPr="00E01487">
        <w:rPr>
          <w:noProof/>
        </w:rPr>
        <w:t>(20)</w:t>
      </w:r>
      <w:r w:rsidR="00C70F96">
        <w:fldChar w:fldCharType="end"/>
      </w:r>
      <w:r w:rsidR="00E00061">
        <w:t xml:space="preserve"> </w:t>
      </w:r>
      <w:r w:rsidR="00A73479">
        <w:t>and</w:t>
      </w:r>
      <w:r w:rsidR="00E00061">
        <w:t xml:space="preserve"> is associated with a hig</w:t>
      </w:r>
      <w:r w:rsidR="00A4686E">
        <w:t>h rate of MG treatment failure</w:t>
      </w:r>
      <w:r w:rsidR="00E00061">
        <w:t>,</w:t>
      </w:r>
      <w:r w:rsidR="00A4686E">
        <w:t xml:space="preserve"> co</w:t>
      </w:r>
      <w:r w:rsidR="00745398">
        <w:t>m</w:t>
      </w:r>
      <w:r w:rsidR="00A4686E">
        <w:t>monly due to selection or presence of 23S rRNA mutations</w:t>
      </w:r>
      <w:r w:rsidR="00D26C9B">
        <w:t xml:space="preserve"> </w:t>
      </w:r>
      <w:r w:rsidR="00D26C9B" w:rsidRPr="009579D9">
        <w:fldChar w:fldCharType="begin" w:fldLock="1"/>
      </w:r>
      <w:r w:rsidR="00E01487" w:rsidRPr="00080EF0">
        <w:instrText>ADDIN CSL_CITATION { "citationItems" : [ { "id" : "ITEM-1", "itemData" : { "DOI" : "10.1186/s12879-015-1041-6", "ISSN" : "1471-2334", "PMID" : "26286546", "abstract" : "Mycoplasma genitalium is an etiological agent of sexually transmitted infections, but due to its fastidious growth requirements, only a few M. genitalium strains are available for determination of the activity of currently used and new antimicrobial agents.Recent clinical trials have demonstrated that treatment with azithromycin has decreasing efficacy due to an increasing prevalence of macrolide resistance, which is likely to be attributed to the widespread use of 1 g single dose azithromycin. Second line treatment with moxifloxacin is similarly under pressure from emerging resistance. The era of single dose monotherapy for uncomplicated STIs such as M. genitalium and N. gonorrhoeae, while convenient for patients and physicians, has been associated with escalating resistance and treatment failure and is now drawing to a close. There is a critical need for trials of combinations of existing registered drugs and new antimicrobial compounds, implementation of diagnostic testing combined with molecular detection of resistance, and antimicrobial surveillance.", "author" : [ { "dropping-particle" : "", "family" : "Jensen", "given" : "J\u00f8rgen Skov", "non-dropping-particle" : "", "parse-names" : false, "suffix" : "" }, { "dropping-particle" : "", "family" : "Bradshaw", "given" : "Catriona", "non-dropping-particle" : "", "parse-names" : false, "suffix" : "" } ], "container-title" : "BMC infectious diseases", "id" : "ITEM-1", "issued" : { "date-parts" : [ [ "2015", "8", "19" ] ] }, "page" : "343", "publisher" : "BioMed Central", "title" : "Management of Mycoplasma genitalium infections - can we hit a moving target?", "type" : "article-journal", "volume" : "15" }, "uris" : [ "http://www.mendeley.com/documents/?uuid=790d83d5-fe23-3601-97dc-d0f7b976af11" ] }, { "id" : "ITEM-2", "itemData" : { "author" : [ { "dropping-particle" : "", "family" : "Shimada", "given" : "Yasushi", "non-dropping-particle" : "", "parse-names" : false, "suffix" : "" }, { "dropping-particle" : "", "family" : "Deguchi", "given" : "Takashi", "non-dropping-particle" : "", "parse-names" : false, "suffix" : "" }, { "dropping-particle" : "", "family" : "Nakane", "given" : "Keita", "non-dropping-particle" : "", "parse-names" : false, "suffix" : "" }, { "dropping-particle" : "", "family" : "Yasuda", "given" : "Mitsuru", "non-dropping-particle" : "", "parse-names" : false, "suffix" : "" }, { "dropping-particle" : "", "family" : "Yokoi", "given" : "Shigeaki", "non-dropping-particle" : "", "parse-names" : false, "suffix" : "" }, { "dropping-particle" : "", "family" : "Ito", "given" : "Shin-ichi", "non-dropping-particle" : "", "parse-names" : false, "suffix" : "" }, { "dropping-particle" : "", "family" : "Nakano", "given" : "Masahiro", "non-dropping-particle" : "", "parse-names" : false, "suffix" : "" }, { "dropping-particle" : "", "family" : "Ito", "given" : "Shin", "non-dropping-particle" : "", "parse-names" : false, "suffix" : "" }, { "dropping-particle" : "", "family" : "Ishiko", "given" : "Hiroaki", "non-dropping-particle" : "", "parse-names" : false, "suffix" : "" } ], "container-title" : "Emerging Infectious Diseases", "id" : "ITEM-2", "issue" : "6", "issued" : { "date-parts" : [ [ "2011" ] ] }, "number-of-pages" : "1148-1150", "title" : "Macrolide Resistance\u2013associated 23S rRNA Mutation in Mycoplasma genitalium, Japan", "type" : "report", "volume" : "17" }, "uris" : [ "http://www.mendeley.com/documents/?uuid=eabf897f-04d4-4515-9c82-bc8d9ccf027d" ] } ], "mendeley" : { "formattedCitation" : "(19,22)", "plainTextFormattedCitation" : "(19,22)", "previouslyFormattedCitation" : "(19,22)" }, "properties" : {  }, "schema" : "https://github.com/citation-style-language/schema/raw/master/csl-citation.json" }</w:instrText>
      </w:r>
      <w:r w:rsidR="00D26C9B" w:rsidRPr="009579D9">
        <w:fldChar w:fldCharType="separate"/>
      </w:r>
      <w:r w:rsidR="00E01487" w:rsidRPr="009579D9">
        <w:rPr>
          <w:noProof/>
        </w:rPr>
        <w:t>(19,2</w:t>
      </w:r>
      <w:r w:rsidR="00C74CE5" w:rsidRPr="009579D9">
        <w:rPr>
          <w:noProof/>
        </w:rPr>
        <w:t>1</w:t>
      </w:r>
      <w:r w:rsidR="00E01487" w:rsidRPr="009579D9">
        <w:rPr>
          <w:noProof/>
        </w:rPr>
        <w:t>)</w:t>
      </w:r>
      <w:r w:rsidR="00D26C9B" w:rsidRPr="009579D9">
        <w:fldChar w:fldCharType="end"/>
      </w:r>
      <w:r w:rsidR="00A4686E" w:rsidRPr="009579D9">
        <w:t>.</w:t>
      </w:r>
      <w:r w:rsidR="00E00061" w:rsidRPr="009579D9">
        <w:t xml:space="preserve"> </w:t>
      </w:r>
      <w:r w:rsidR="00A73479" w:rsidRPr="009579D9">
        <w:t>Importantly</w:t>
      </w:r>
      <w:r w:rsidR="007E349A" w:rsidRPr="009579D9">
        <w:t>,</w:t>
      </w:r>
      <w:r w:rsidR="00BE2966" w:rsidRPr="009579D9">
        <w:t xml:space="preserve"> high rate</w:t>
      </w:r>
      <w:r w:rsidR="0005356B" w:rsidRPr="009579D9">
        <w:t>s</w:t>
      </w:r>
      <w:r w:rsidR="00BE2966" w:rsidRPr="009579D9">
        <w:t xml:space="preserve"> of </w:t>
      </w:r>
      <w:r w:rsidR="003000AD" w:rsidRPr="00080EF0">
        <w:t>MRAMs</w:t>
      </w:r>
      <w:r w:rsidR="00A73479" w:rsidRPr="00080EF0">
        <w:t xml:space="preserve"> in our study data and </w:t>
      </w:r>
      <w:r w:rsidR="003000AD" w:rsidRPr="00080EF0">
        <w:t xml:space="preserve">macrolide resistance </w:t>
      </w:r>
      <w:r w:rsidR="00A73479" w:rsidRPr="00080EF0">
        <w:t>worldwide (30-80%)</w:t>
      </w:r>
      <w:r w:rsidR="00EE1F76" w:rsidRPr="009579D9">
        <w:fldChar w:fldCharType="begin" w:fldLock="1"/>
      </w:r>
      <w:r w:rsidR="00E01487" w:rsidRPr="00080EF0">
        <w:instrText>ADDIN CSL_CITATION { "citationItems" : [ { "id" : "ITEM-1", "itemData" : { "DOI" : "10.1128/JCM.01053-16", "ISSN" : "1098-660X", "PMID" : "27307460", "abstract" : "The prevalence rates of Mycoplasma genitalium infections and coinfections with other sexually transmitted organisms and the frequency of a macrolide antibiotic resistance phenotype were determined in urogenital specimens collected from female and male subjects enrolled in a multicenter clinical study in the United States. Specimens from 946 subjects seeking care from seven geographically diverse clinical sites were tested for M. genitalium and for Chlamydia trachomatis, Neisseria gonorrhoeae, and Trichomonas vaginalis Sequencing was used to assess macrolide antibiotic resistance among M. genitalium-positive subjects. M. genitalium prevalence rates were 16.1% for females and 17.2% for males. Significant risk factors for M. genitalium infections were black race, younger age, non-Hispanic ethnicity, and female symptomatic status. Female M. genitalium infections were significantly more prevalent than C. trachomatis and N. gonorrhoeae infections, while the M. genitalium infection rate in males was significantly higher than the N. gonorrhoeae and T. vaginalis infection rates. The macrolide-resistant phenotype was found in 50.8% of females and 42% of males. These results show a high prevalence of M. genitalium single infections, a lower prevalence of coinfections with other sexually transmitted organisms, and high rates of macrolide antibiotic resistance in a diverse sample of subjects seeking care across a wide geographic area of the United States.", "author" : [ { "dropping-particle" : "", "family" : "Getman", "given" : "Damon", "non-dropping-particle" : "", "parse-names" : false, "suffix" : "" }, { "dropping-particle" : "", "family" : "Jiang", "given" : "Alice", "non-dropping-particle" : "", "parse-names" : false, "suffix" : "" }, { "dropping-particle" : "", "family" : "O'Donnell", "given" : "Meghan", "non-dropping-particle" : "", "parse-names" : false, "suffix" : "" }, { "dropping-particle" : "", "family" : "Cohen", "given" : "Seth", "non-dropping-particle" : "", "parse-names" : false, "suffix" : "" } ], "container-title" : "Journal of clinical microbiology", "id" : "ITEM-1", "issue" : "9", "issued" : { "date-parts" : [ [ "2016", "9" ] ] }, "page" : "2278-83", "publisher" : "American Society for Microbiology", "title" : "Mycoplasma genitalium Prevalence, Coinfection, and Macrolide Antibiotic Resistance Frequency in a Multicenter Clinical Study Cohort in the United States.", "type" : "article-journal", "volume" : "54" }, "uris" : [ "http://www.mendeley.com/documents/?uuid=47ab16c7-3d10-4735-ad13-e4ebbc67ac22" ] }, { "id" : "ITEM-2", "itemData" : { "DOI" : "10.3201/eid2507.181556", "ISSN" : "1080-6040", "author" : [ { "dropping-particle" : "", "family" : "Martens", "given" : "Liesbeth", "non-dropping-particle" : "", "parse-names" : false, "suffix" : "" }, { "dropping-particle" : "", "family" : "Kuster", "given" : "Sharon", "non-dropping-particle" : "", "parse-names" : false, "suffix" : "" }, { "dropping-particle" : "", "family" : "Vos", "given" : "Wilco", "non-dropping-particle" : "de", "parse-names" : false, "suffix" : "" }, { "dropping-particle" : "", "family" : "Kersten", "given" : "Maikel", "non-dropping-particle" : "", "parse-names" : false, "suffix" : "" }, { "dropping-particle" : "", "family" : "Berkhout", "given" : "Hanneke", "non-dropping-particle" : "", "parse-names" : false, "suffix" : "" }, { "dropping-particle" : "", "family" : "Hagen", "given" : "Ferry", "non-dropping-particle" : "", "parse-names" : false, "suffix" : "" } ], "container-title" : "Emerging Infectious Diseases", "id" : "ITEM-2", "issue" : "7", "issued" : { "date-parts" : [ [ "2019", "7" ] ] }, "page" : "1297-1303", "title" : "Macrolide-Resistant &lt;i&gt;Mycoplasma genitalium&lt;/i&gt; in Southeastern Region of the Netherlands, 2014\u20132017", "type" : "article-journal", "volume" : "25" }, "uris" : [ "http://www.mendeley.com/documents/?uuid=1c1a5590-6eb1-34f5-ac98-224b6ca2ba88" ] }, { "id" : "ITEM-3", "itemData" : { "DOI" : "10.1016/j.jiac.2018.08.009", "ISSN" : "1341321X", "PMID" : "30190106", "abstract" : "To clarify the status of macrolide and fluoroquinolone resistance of clinical strains of Mycoplasma genitalium in Japan, we amplified portions of the gyrA, parC, and 23S rRNA genes from DNAs in 627 first-voided urine specimens collected from men with M.\u00a0genitalium-positive urethritis who visited clinics mainly in Sendai, Tokyo, and Osaka, Japan, from 2013 to 2017, by PCR and sequenced. The incidence of single amino acid changes at Met95 or Asp99 in GyrA increased chronologically and was approximately 10% from 2015 onward. The incidence of amino acid changes at Ser83 or Asp87 in ParC was approximately 50% in 2013 but increased to 60-70% from 2014 to 2017. The incidence of mutations at A2071 or A2072 in the 23S rRNA gene increased chronologically and reached over 70% in 2017. The prevalence of M.\u00a0genitalium harboring alterations in ParC and mutations in the 23S rRNA gene increased and was approximately 50% in 2016 and 2017. The prevalence of M.\u00a0genitalium with alterations in both GyrA and ParC and mutations in the 23S rRNA gene, which could be associated with treatment failures with the sitafloxacin and azithromycin regimens, were approximately 15% and 10% in 2016 and 2017, respectively. The prevalence of M.\u00a0genitalium with genetic alterations associated with resistance to fluoroquinolones and/or macrolides is increasing rapidly in Japan. We must prevent the further selection of multi-drug-resistant M.\u00a0genitalium so that M.\u00a0genitalium infections will not become untreatable.", "author" : [ { "dropping-particle" : "", "family" : "Deguchi", "given" : "Takashi", "non-dropping-particle" : "", "parse-names" : false, "suffix" : "" }, { "dropping-particle" : "", "family" : "Ito", "given" : "Shin", "non-dropping-particle" : "", "parse-names" : false, "suffix" : "" }, { "dropping-particle" : "", "family" : "Yasuda", "given" : "Mitsuru", "non-dropping-particle" : "", "parse-names" : false, "suffix" : "" }, { "dropping-particle" : "", "family" : "Sato", "given" : "Yuko", "non-dropping-particle" : "", "parse-names" : false, "suffix" : "" }, { "dropping-particle" : "", "family" : "Uchida", "given" : "Chiaki", "non-dropping-particle" : "", "parse-names" : false, "suffix" : "" }, { "dropping-particle" : "", "family" : "Sawamura", "given" : "Masayuki", "non-dropping-particle" : "", "parse-names" : false, "suffix" : "" }, { "dropping-particle" : "", "family" : "Manda", "given" : "Kazushi", "non-dropping-particle" : "", "parse-names" : false, "suffix" : "" }, { "dropping-particle" : "", "family" : "Takanashi", "given" : "Masaki", "non-dropping-particle" : "", "parse-names" : false, "suffix" : "" }, { "dropping-particle" : "", "family" : "Kiyota", "given" : "Hiroshi", "non-dropping-particle" : "", "parse-names" : false, "suffix" : "" } ], "container-title" : "Journal of Infection and Chemotherapy", "id" : "ITEM-3", "issued" : { "date-parts" : [ [ "2018", "9" ] ] }, "title" : "Surveillance of the prevalence of macrolide and/or fluoroquinolone resistance-associated mutations in Mycoplasma genitalium in Japan", "type" : "article-journal" }, "uris" : [ "http://www.mendeley.com/documents/?uuid=41b5542d-296c-4eab-afdf-1414b1643970" ] } ], "mendeley" : { "formattedCitation" : "(14,23,24)", "plainTextFormattedCitation" : "(14,23,24)", "previouslyFormattedCitation" : "(14,23,24)" }, "properties" : {  }, "schema" : "https://github.com/citation-style-language/schema/raw/master/csl-citation.json" }</w:instrText>
      </w:r>
      <w:r w:rsidR="00EE1F76" w:rsidRPr="009579D9">
        <w:fldChar w:fldCharType="separate"/>
      </w:r>
      <w:r w:rsidR="00E01487" w:rsidRPr="009579D9">
        <w:rPr>
          <w:noProof/>
        </w:rPr>
        <w:t>(1</w:t>
      </w:r>
      <w:r w:rsidR="00C74CE5" w:rsidRPr="009579D9">
        <w:rPr>
          <w:noProof/>
        </w:rPr>
        <w:t>0, 21, 22</w:t>
      </w:r>
      <w:r w:rsidR="00E01487" w:rsidRPr="009579D9">
        <w:rPr>
          <w:noProof/>
        </w:rPr>
        <w:t>)</w:t>
      </w:r>
      <w:r w:rsidR="00EE1F76" w:rsidRPr="009579D9">
        <w:fldChar w:fldCharType="end"/>
      </w:r>
      <w:r w:rsidR="00BE2966" w:rsidRPr="009579D9">
        <w:t xml:space="preserve"> </w:t>
      </w:r>
      <w:r w:rsidR="00A066E4" w:rsidRPr="00080EF0">
        <w:t xml:space="preserve">may </w:t>
      </w:r>
      <w:r w:rsidR="00BE2966" w:rsidRPr="009579D9">
        <w:t>suggest azithromycin</w:t>
      </w:r>
      <w:r w:rsidR="00A73479" w:rsidRPr="009579D9">
        <w:t xml:space="preserve"> monotherapy</w:t>
      </w:r>
      <w:r w:rsidR="00FA54D7" w:rsidRPr="009579D9">
        <w:t xml:space="preserve"> should not be used</w:t>
      </w:r>
      <w:r w:rsidR="00010878" w:rsidRPr="009579D9">
        <w:t>, at any dose,</w:t>
      </w:r>
      <w:r w:rsidR="00BE2966" w:rsidRPr="009579D9">
        <w:t xml:space="preserve"> without appropriate resistance testing</w:t>
      </w:r>
      <w:r w:rsidR="00BE2966" w:rsidRPr="00080EF0">
        <w:t>.</w:t>
      </w:r>
      <w:r w:rsidR="00BE2966">
        <w:t xml:space="preserve"> </w:t>
      </w:r>
    </w:p>
    <w:p w14:paraId="76DAA053" w14:textId="0F43216D" w:rsidR="002F0330" w:rsidRDefault="00010878" w:rsidP="00720644">
      <w:pPr>
        <w:spacing w:line="480" w:lineRule="auto"/>
      </w:pPr>
      <w:r>
        <w:t xml:space="preserve">Our study </w:t>
      </w:r>
      <w:r w:rsidR="002A6E18">
        <w:t xml:space="preserve">also </w:t>
      </w:r>
      <w:r>
        <w:t>highlight</w:t>
      </w:r>
      <w:r w:rsidR="002A6E18">
        <w:t>s</w:t>
      </w:r>
      <w:r>
        <w:t xml:space="preserve"> the</w:t>
      </w:r>
      <w:r w:rsidR="00882A07">
        <w:t xml:space="preserve"> potential</w:t>
      </w:r>
      <w:r>
        <w:t xml:space="preserve"> need for MG testing</w:t>
      </w:r>
      <w:r w:rsidR="00882A07">
        <w:t xml:space="preserve"> </w:t>
      </w:r>
      <w:r w:rsidR="006778C3">
        <w:t>in those clinically indicated</w:t>
      </w:r>
      <w:r>
        <w:t xml:space="preserve">, as </w:t>
      </w:r>
      <w:r w:rsidR="001C345B">
        <w:t>already recommended in a number of treatment guidelines</w:t>
      </w:r>
      <w:r w:rsidR="00907DBF">
        <w:t xml:space="preserve"> </w:t>
      </w:r>
      <w:r w:rsidR="00907DBF">
        <w:fldChar w:fldCharType="begin" w:fldLock="1"/>
      </w:r>
      <w:r w:rsidR="00E01487">
        <w:instrText>ADDIN CSL_CITATION { "citationItems" : [ { "id" : "ITEM-1", "itemData" : { "author" : [ { "dropping-particle" : "", "family" : "et al.", "given" : "", "non-dropping-particle" : "", "parse-names" : false, "suffix" : "" } ], "container-title" : "Guidelines", "id" : "ITEM-1", "issued" : { "date-parts" : [ [ "2018" ] ] }, "title" : "Mycoplasma genitalium - Australian STI Management Guidelines", "type" : "webpage" }, "uris" : [ "http://www.mendeley.com/documents/?uuid=4d3254ec-d57d-4d17-9891-e0c8ff82c5d8" ] }, { "id" : "ITEM-2", "itemData" : { "author" : [ { "dropping-particle" : "", "family" : "Soni", "given" : "Suneeta", "non-dropping-particle" : "", "parse-names" : false, "suffix" : "" }, { "dropping-particle" : "", "family" : "Horner", "given" : "Paddy", "non-dropping-particle" : "", "parse-names" : false, "suffix" : "" }, { "dropping-particle" : "", "family" : "Rayment", "given" : "Michael", "non-dropping-particle" : "", "parse-names" : false, "suffix" : "" }, { "dropping-particle" : "", "family" : "Pinto-sander", "given" : "Nicolas", "non-dropping-particle" : "", "parse-names" : false, "suffix" : "" }, { "dropping-particle" : "", "family" : "Naous", "given" : "Nadia", "non-dropping-particle" : "", "parse-names" : false, "suffix" : "" }, { "dropping-particle" : "", "family" : "Parkhouse", "given" : "Andy", "non-dropping-particle" : "", "parse-names" : false, "suffix" : "" }, { "dropping-particle" : "", "family" : "Bancroft", "given" : "Darren", "non-dropping-particle" : "", "parse-names" : false, "suffix" : "" }, { "dropping-particle" : "", "family" : "Patterson", "given" : "Carl", "non-dropping-particle" : "", "parse-names" : false, "suffix" : "" }, { "dropping-particle" : "", "family" : "Fifer", "given" : "Helen", "non-dropping-particle" : "", "parse-names" : false, "suffix" : "" } ], "id" : "ITEM-2", "issued" : { "date-parts" : [ [ "2018" ] ] }, "page" : "1-27", "title" : "2018 BASHH UK national guideline for the", "type" : "article-journal" }, "uris" : [ "http://www.mendeley.com/documents/?uuid=109418c7-03e8-407a-b6a8-ca48d75beae5" ] }, { "id" : "ITEM-3", "itemData" : { "DOI" : "10.1111/jdv.13849", "ISBN" : "1468-3083 (Electronic)\r0926-9959 (Linking)", "ISSN" : "14683083", "PMID" : "27605499", "abstract" : "M. genitalium infection contributes to 10-35% of non-chlamydial non-gonococcal urethritis in men. In women, M. genitalium is associated with cervicitis and pelvic inflammatory disease (PID). Transmission of M. genitalium occurs through direct mucosal contact.", "author" : [ { "dropping-particle" : "", "family" : "Jensen", "given" : "J. S.", "non-dropping-particle" : "", "parse-names" : false, "suffix" : "" }, { "dropping-particle" : "", "family" : "Cusini", "given" : "M.", "non-dropping-particle" : "", "parse-names" : false, "suffix" : "" }, { "dropping-particle" : "", "family" : "Gomberg", "given" : "M.", "non-dropping-particle" : "", "parse-names" : false, "suffix" : "" }, { "dropping-particle" : "", "family" : "Moi", "given" : "H.", "non-dropping-particle" : "", "parse-names" : false, "suffix" : "" } ], "container-title" : "Journal of the European Academy of Dermatology and Venereology", "id" : "ITEM-3", "issue" : "10", "issued" : { "date-parts" : [ [ "2016" ] ] }, "page" : "1650-1656", "title" : "2016 European guideline on Mycoplasma genitalium infections", "type" : "article-journal", "volume" : "30" }, "uris" : [ "http://www.mendeley.com/documents/?uuid=a0d23cb3-1437-4b3e-b657-d672402e7b9d" ] } ], "mendeley" : { "formattedCitation" : "(11,25,26)", "plainTextFormattedCitation" : "(11,25,26)", "previouslyFormattedCitation" : "(11,25,26)" }, "properties" : {  }, "schema" : "https://github.com/citation-style-language/schema/raw/master/csl-citation.json" }</w:instrText>
      </w:r>
      <w:r w:rsidR="00907DBF">
        <w:fldChar w:fldCharType="separate"/>
      </w:r>
      <w:r w:rsidR="00E01487" w:rsidRPr="00E01487">
        <w:rPr>
          <w:noProof/>
        </w:rPr>
        <w:t>(1</w:t>
      </w:r>
      <w:r w:rsidR="00C74CE5">
        <w:rPr>
          <w:noProof/>
        </w:rPr>
        <w:t>2</w:t>
      </w:r>
      <w:r w:rsidR="00E01487" w:rsidRPr="00E01487">
        <w:rPr>
          <w:noProof/>
        </w:rPr>
        <w:t>,</w:t>
      </w:r>
      <w:r w:rsidR="00C74CE5">
        <w:rPr>
          <w:noProof/>
        </w:rPr>
        <w:t xml:space="preserve">24, </w:t>
      </w:r>
      <w:r w:rsidR="00E01487" w:rsidRPr="00E01487">
        <w:rPr>
          <w:noProof/>
        </w:rPr>
        <w:t>25)</w:t>
      </w:r>
      <w:r w:rsidR="00907DBF">
        <w:fldChar w:fldCharType="end"/>
      </w:r>
      <w:r w:rsidR="00F07670">
        <w:t>.</w:t>
      </w:r>
      <w:r w:rsidR="00130A96">
        <w:t xml:space="preserve"> Despite</w:t>
      </w:r>
      <w:r w:rsidR="00D774F8">
        <w:t xml:space="preserve"> MG testing </w:t>
      </w:r>
      <w:r w:rsidR="00130A96">
        <w:t>being</w:t>
      </w:r>
      <w:r w:rsidR="00D774F8">
        <w:t xml:space="preserve"> adopted in some </w:t>
      </w:r>
      <w:r w:rsidR="002A6E18">
        <w:t>UK SHCs</w:t>
      </w:r>
      <w:r w:rsidR="00D774F8">
        <w:t xml:space="preserve">, it is still far from universally implemented. </w:t>
      </w:r>
      <w:r w:rsidR="001C345B">
        <w:t>Implications of our findings</w:t>
      </w:r>
      <w:r w:rsidR="00D774F8">
        <w:t xml:space="preserve"> on clinical management</w:t>
      </w:r>
      <w:r w:rsidR="001C345B">
        <w:t xml:space="preserve"> would very much depend on availability of both MG a</w:t>
      </w:r>
      <w:r w:rsidR="00D774F8">
        <w:t>nd macrolide resistance tests</w:t>
      </w:r>
      <w:r w:rsidR="00614FC4">
        <w:t>.</w:t>
      </w:r>
      <w:r w:rsidR="00D774F8">
        <w:t xml:space="preserve"> </w:t>
      </w:r>
      <w:r w:rsidR="00664D83">
        <w:t>Such tests are now commercially availabl</w:t>
      </w:r>
      <w:r w:rsidR="00907DBF">
        <w:t xml:space="preserve">e </w:t>
      </w:r>
      <w:r w:rsidR="00907DBF">
        <w:fldChar w:fldCharType="begin" w:fldLock="1"/>
      </w:r>
      <w:r w:rsidR="00E01487">
        <w:instrText>ADDIN CSL_CITATION { "citationItems" : [ { "id" : "ITEM-1", "itemData" : { "DOI" : "10.1136/sextrans-2016-052988", "ISSN" : "1472-3263", "PMID" : "28159916", "abstract" : "OBJECTIVES To assess clinical service value of STI point-of-care test (POCT) use in a 'sample first' clinical pathway (patients providing samples on arrival at clinic, before clinician consultation). Specific outcomes were: patient acceptability; whether a rapid nucleic acid amplification test (NAAT) for Chlamydia trachomatis/Neisseria gonorrhoeae (CT/NG) could be used as a POCT in practice; feasibility of non-NAAT POCT implementation for Trichomonas vaginalis (TV) and bacterial vaginosis (BV); impact on patient diagnosis and treatment. METHODS Service evaluation in a south London sexual health clinic. Symptomatic female and male patients and sexual contacts of CT/NG-positive individuals provided samples for diagnostic testing on clinic arrival, prior to clinical consultation. Tests included routine culture and microscopy; CT/NG (GeneXpert) NAAT; non-NAAT POCTs for TV and BV. RESULTS All 70 (35 males, 35 females) patients approached participated. The 'sample first' pathway was acceptable, with &gt;90% reporting they were happy to give samples on arrival and receive results in the same visit. Non-NAAT POCT results were available for all patients prior to leaving clinic; rapid CT/NG results were available for only 21.4% (15/70; 5 males, 10 females) of patients prior to leaving clinic. Known negative CT/NG results led to two females avoiding presumptive treatment, and one male receiving treatment directed at possible Mycoplasma genitalium infection causing non-gonococcal urethritis. Non-NAAT POCTs detected more positives than routine microscopy (TV 3 vs 2; BV 24 vs 7), resulting in more patients receiving treatment. CONCLUSIONS A 'sample first' clinical pathway to enable multiple POCT use was acceptable to patients and feasible in a busy sexual health clinic, but rapid CT/NG processing time was too long to enable POCT use. There is need for further development to improve test processing times to enable POC use of rapid NAATs.", "author" : [ { "dropping-particle" : "", "family" : "Harding-Esch", "given" : "Emma M", "non-dropping-particle" : "", "parse-names" : false, "suffix" : "" }, { "dropping-particle" : "V", "family" : "Nori", "given" : "Achyuta", "non-dropping-particle" : "", "parse-names" : false, "suffix" : "" }, { "dropping-particle" : "", "family" : "Hegazi", "given" : "Aseel", "non-dropping-particle" : "", "parse-names" : false, "suffix" : "" }, { "dropping-particle" : "", "family" : "Pond", "given" : "Marcus J", "non-dropping-particle" : "", "parse-names" : false, "suffix" : "" }, { "dropping-particle" : "", "family" : "Okolo", "given" : "Olanike", "non-dropping-particle" : "", "parse-names" : false, "suffix" : "" }, { "dropping-particle" : "", "family" : "Nardone", "given" : "Anthony", "non-dropping-particle" : "", "parse-names" : false, "suffix" : "" }, { "dropping-particle" : "", "family" : "Lowndes", "given" : "Catherine M", "non-dropping-particle" : "", "parse-names" : false, "suffix" : "" }, { "dropping-particle" : "", "family" : "Hay", "given" : "Phillip", "non-dropping-particle" : "", "parse-names" : false, "suffix" : "" }, { "dropping-particle" : "", "family" : "Sadiq", "given" : "S Tariq", "non-dropping-particle" : "", "parse-names" : false, "suffix" : "" } ], "container-title" : "Sexually transmitted infections", "id" : "ITEM-1", "issue" : "6", "issued" : { "date-parts" : [ [ "2017", "9" ] ] }, "page" : "424-429", "publisher" : "BMJ Publishing Group Ltd", "title" : "Impact of deploying multiple point-of-care tests with a 'sample first' approach on a sexual health clinical care pathway. A service evaluation.", "type" : "article-journal", "volume" : "93" }, "uris" : [ "http://www.mendeley.com/documents/?uuid=063b4fd4-a7af-425f-be35-2154701fa73a" ] } ], "mendeley" : { "formattedCitation" : "(27)", "plainTextFormattedCitation" : "(27)", "previouslyFormattedCitation" : "(27)" }, "properties" : {  }, "schema" : "https://github.com/citation-style-language/schema/raw/master/csl-citation.json" }</w:instrText>
      </w:r>
      <w:r w:rsidR="00907DBF">
        <w:fldChar w:fldCharType="separate"/>
      </w:r>
      <w:r w:rsidR="00E01487" w:rsidRPr="00E01487">
        <w:rPr>
          <w:noProof/>
        </w:rPr>
        <w:t>(2</w:t>
      </w:r>
      <w:r w:rsidR="00C74CE5">
        <w:rPr>
          <w:noProof/>
        </w:rPr>
        <w:t>6</w:t>
      </w:r>
      <w:r w:rsidR="00E01487" w:rsidRPr="00E01487">
        <w:rPr>
          <w:noProof/>
        </w:rPr>
        <w:t>)</w:t>
      </w:r>
      <w:r w:rsidR="00907DBF">
        <w:fldChar w:fldCharType="end"/>
      </w:r>
      <w:r w:rsidR="00F07670">
        <w:t xml:space="preserve">. </w:t>
      </w:r>
      <w:r w:rsidR="008C3C75">
        <w:t>In situations w</w:t>
      </w:r>
      <w:r w:rsidR="00D774F8">
        <w:t xml:space="preserve">here </w:t>
      </w:r>
      <w:r w:rsidR="00664D83">
        <w:t xml:space="preserve">it </w:t>
      </w:r>
      <w:r w:rsidR="00D64C87">
        <w:t>i</w:t>
      </w:r>
      <w:r w:rsidR="00664D83">
        <w:t xml:space="preserve">s not feasible to use </w:t>
      </w:r>
      <w:r w:rsidR="00D774F8">
        <w:t xml:space="preserve">such tests </w:t>
      </w:r>
      <w:r w:rsidR="00664D83">
        <w:t xml:space="preserve">on all </w:t>
      </w:r>
      <w:r w:rsidR="00882A07">
        <w:t xml:space="preserve">indicated </w:t>
      </w:r>
      <w:r w:rsidR="00664D83">
        <w:t>patients</w:t>
      </w:r>
      <w:r w:rsidR="00D774F8">
        <w:t xml:space="preserve">, </w:t>
      </w:r>
      <w:r w:rsidR="00664D83">
        <w:t>our finding</w:t>
      </w:r>
      <w:r w:rsidR="00190F72">
        <w:t>s</w:t>
      </w:r>
      <w:r w:rsidR="00664D83">
        <w:t xml:space="preserve"> suggest </w:t>
      </w:r>
      <w:r w:rsidR="00BE2966">
        <w:t xml:space="preserve">testing </w:t>
      </w:r>
      <w:r w:rsidR="00BB1F38">
        <w:t xml:space="preserve">could </w:t>
      </w:r>
      <w:r w:rsidR="00BE2966">
        <w:t xml:space="preserve">be directed </w:t>
      </w:r>
      <w:r w:rsidR="00664D83">
        <w:t>at</w:t>
      </w:r>
      <w:r w:rsidR="00BE2966">
        <w:t xml:space="preserve"> </w:t>
      </w:r>
      <w:r w:rsidR="006778C3">
        <w:t xml:space="preserve">symptomatic </w:t>
      </w:r>
      <w:r w:rsidR="00C941A7">
        <w:t xml:space="preserve">and STI-contact </w:t>
      </w:r>
      <w:r w:rsidR="006778C3">
        <w:t>patients</w:t>
      </w:r>
      <w:r w:rsidR="00BE2966">
        <w:t xml:space="preserve"> with </w:t>
      </w:r>
      <w:r w:rsidR="00664D83">
        <w:t xml:space="preserve">CT infection; others have demonstrated utility </w:t>
      </w:r>
      <w:r w:rsidR="000B3141">
        <w:t>targeting</w:t>
      </w:r>
      <w:r w:rsidR="00664D83">
        <w:t xml:space="preserve"> testing </w:t>
      </w:r>
      <w:r w:rsidR="000B3141">
        <w:t xml:space="preserve">at </w:t>
      </w:r>
      <w:r w:rsidR="00190F72">
        <w:t xml:space="preserve">those diagnosed with </w:t>
      </w:r>
      <w:r w:rsidR="00BE2966">
        <w:t>NGU</w:t>
      </w:r>
      <w:r w:rsidR="00907DBF">
        <w:t xml:space="preserve"> </w:t>
      </w:r>
      <w:r w:rsidR="00907DBF">
        <w:fldChar w:fldCharType="begin" w:fldLock="1"/>
      </w:r>
      <w:r w:rsidR="00E01487">
        <w:instrText>ADDIN CSL_CITATION { "citationItems" : [ { "id" : "ITEM-1", "itemData" : { "author" : [ { "dropping-particle" : "", "family" : "et al.", "given" : "", "non-dropping-particle" : "", "parse-names" : false, "suffix" : "" } ], "container-title" : "Guidelines", "id" : "ITEM-1", "issued" : { "date-parts" : [ [ "2018" ] ] }, "title" : "Mycoplasma genitalium - Australian STI Management Guidelines", "type" : "webpage" }, "uris" : [ "http://www.mendeley.com/documents/?uuid=4d3254ec-d57d-4d17-9891-e0c8ff82c5d8" ] }, { "id" : "ITEM-2", "itemData" : { "DOI" : "10.1111/jdv.13849", "ISBN" : "1468-3083 (Electronic)\r0926-9959 (Linking)", "ISSN" : "14683083", "PMID" : "27605499", "abstract" : "M. genitalium infection contributes to 10-35% of non-chlamydial non-gonococcal urethritis in men. In women, M. genitalium is associated with cervicitis and pelvic inflammatory disease (PID). Transmission of M. genitalium occurs through direct mucosal contact.", "author" : [ { "dropping-particle" : "", "family" : "Jensen", "given" : "J. S.", "non-dropping-particle" : "", "parse-names" : false, "suffix" : "" }, { "dropping-particle" : "", "family" : "Cusini", "given" : "M.", "non-dropping-particle" : "", "parse-names" : false, "suffix" : "" }, { "dropping-particle" : "", "family" : "Gomberg", "given" : "M.", "non-dropping-particle" : "", "parse-names" : false, "suffix" : "" }, { "dropping-particle" : "", "family" : "Moi", "given" : "H.", "non-dropping-particle" : "", "parse-names" : false, "suffix" : "" } ], "container-title" : "Journal of the European Academy of Dermatology and Venereology", "id" : "ITEM-2", "issue" : "10", "issued" : { "date-parts" : [ [ "2016" ] ] }, "page" : "1650-1656", "title" : "2016 European guideline on Mycoplasma genitalium infections", "type" : "article-journal", "volume" : "30" }, "uris" : [ "http://www.mendeley.com/documents/?uuid=a0d23cb3-1437-4b3e-b657-d672402e7b9d" ] } ], "mendeley" : { "formattedCitation" : "(11,26)", "plainTextFormattedCitation" : "(11,26)", "previouslyFormattedCitation" : "(11,26)" }, "properties" : {  }, "schema" : "https://github.com/citation-style-language/schema/raw/master/csl-citation.json" }</w:instrText>
      </w:r>
      <w:r w:rsidR="00907DBF">
        <w:fldChar w:fldCharType="separate"/>
      </w:r>
      <w:r w:rsidR="00E01487" w:rsidRPr="00E01487">
        <w:rPr>
          <w:noProof/>
        </w:rPr>
        <w:t>(</w:t>
      </w:r>
      <w:r w:rsidR="00C74CE5">
        <w:rPr>
          <w:noProof/>
        </w:rPr>
        <w:t xml:space="preserve">1, </w:t>
      </w:r>
      <w:r w:rsidR="00E01487" w:rsidRPr="00E01487">
        <w:rPr>
          <w:noProof/>
        </w:rPr>
        <w:t>1</w:t>
      </w:r>
      <w:r w:rsidR="00C74CE5">
        <w:rPr>
          <w:noProof/>
        </w:rPr>
        <w:t>2</w:t>
      </w:r>
      <w:r w:rsidR="00E01487" w:rsidRPr="00E01487">
        <w:rPr>
          <w:noProof/>
        </w:rPr>
        <w:t>,2</w:t>
      </w:r>
      <w:r w:rsidR="00C74CE5">
        <w:rPr>
          <w:noProof/>
        </w:rPr>
        <w:t>2</w:t>
      </w:r>
      <w:r w:rsidR="00E01487" w:rsidRPr="00E01487">
        <w:rPr>
          <w:noProof/>
        </w:rPr>
        <w:t>)</w:t>
      </w:r>
      <w:r w:rsidR="00907DBF">
        <w:fldChar w:fldCharType="end"/>
      </w:r>
      <w:r w:rsidR="00BE2966">
        <w:t xml:space="preserve">. </w:t>
      </w:r>
      <w:r w:rsidR="000B3141">
        <w:t>Thus, i</w:t>
      </w:r>
      <w:r w:rsidR="00BE2966">
        <w:t xml:space="preserve">n </w:t>
      </w:r>
      <w:r w:rsidR="00995DA1">
        <w:t xml:space="preserve">all </w:t>
      </w:r>
      <w:r w:rsidR="00BE2966">
        <w:t>scenarios</w:t>
      </w:r>
      <w:r w:rsidR="000B3141">
        <w:t xml:space="preserve"> where </w:t>
      </w:r>
      <w:r w:rsidR="006778C3">
        <w:t xml:space="preserve">symptoms may suggest a </w:t>
      </w:r>
      <w:r w:rsidR="000B3141">
        <w:t xml:space="preserve">CT or MG infection </w:t>
      </w:r>
      <w:r w:rsidR="00D64C87">
        <w:t>(with or without access to</w:t>
      </w:r>
      <w:r w:rsidR="000B3141">
        <w:t xml:space="preserve"> a routine MG test</w:t>
      </w:r>
      <w:r w:rsidR="00D64C87">
        <w:t>)</w:t>
      </w:r>
      <w:r w:rsidR="00B50F95">
        <w:t>,</w:t>
      </w:r>
      <w:r w:rsidR="00BE2966">
        <w:t xml:space="preserve"> treating with doxycycline at baseline followed by either test of cure (TOC) or further treatment </w:t>
      </w:r>
      <w:r w:rsidR="00B50F95">
        <w:t xml:space="preserve">directed at </w:t>
      </w:r>
      <w:r w:rsidR="00BE2966">
        <w:t>MG</w:t>
      </w:r>
      <w:r w:rsidR="007707AF">
        <w:t xml:space="preserve"> </w:t>
      </w:r>
      <w:r w:rsidR="00B50F95">
        <w:t xml:space="preserve">infection </w:t>
      </w:r>
      <w:r w:rsidR="00190F72">
        <w:t xml:space="preserve">may be sensible </w:t>
      </w:r>
      <w:r w:rsidR="00190F72">
        <w:lastRenderedPageBreak/>
        <w:t>approaches to management</w:t>
      </w:r>
      <w:r w:rsidR="007E349A">
        <w:t>,</w:t>
      </w:r>
      <w:r w:rsidR="00A73479">
        <w:t xml:space="preserve"> and reduce </w:t>
      </w:r>
      <w:r w:rsidR="00AD6511">
        <w:t>potential</w:t>
      </w:r>
      <w:r w:rsidR="00A73479">
        <w:t xml:space="preserve"> macrolide</w:t>
      </w:r>
      <w:r w:rsidR="00AD6511">
        <w:t xml:space="preserve"> resistance</w:t>
      </w:r>
      <w:r w:rsidR="00A73479">
        <w:t xml:space="preserve"> selection pressure</w:t>
      </w:r>
      <w:r w:rsidR="00716FCF">
        <w:t xml:space="preserve"> </w:t>
      </w:r>
      <w:r w:rsidR="00907DBF">
        <w:fldChar w:fldCharType="begin" w:fldLock="1"/>
      </w:r>
      <w:r w:rsidR="00E01487">
        <w:instrText>ADDIN CSL_CITATION { "citationItems" : [ { "id" : "ITEM-1", "itemData" : { "DOI" : "10.1093/cid/civ785", "ISSN" : "1058-4838", "author" : [ { "dropping-particle" : "", "family" : "Manhart", "given" : "Lisa E.", "non-dropping-particle" : "", "parse-names" : false, "suffix" : "" }, { "dropping-particle" : "", "family" : "Jensen", "given" : "J\u00f8rgen Skov", "non-dropping-particle" : "", "parse-names" : false, "suffix" : "" }, { "dropping-particle" : "", "family" : "Bradshaw", "given" : "Catriona S.", "non-dropping-particle" : "", "parse-names" : false, "suffix" : "" }, { "dropping-particle" : "", "family" : "Golden", "given" : "Matthew R.", "non-dropping-particle" : "", "parse-names" : false, "suffix" : "" }, { "dropping-particle" : "", "family" : "Martin", "given" : "David H.", "non-dropping-particle" : "", "parse-names" : false, "suffix" : "" } ], "container-title" : "Clinical Infectious Diseases", "id" : "ITEM-1", "issue" : "suppl 8", "issued" : { "date-parts" : [ [ "2015", "12" ] ] }, "page" : "S802-S817", "publisher" : "Oxford University Press", "title" : "Efficacy of Antimicrobial Therapy for &lt;i&gt;Mycoplasma genitalium&lt;/i&gt; Infections", "type" : "article-journal", "volume" : "61" }, "uris" : [ "http://www.mendeley.com/documents/?uuid=26feedc5-9bcd-4a96-b512-d7c5bdcc4838" ] }, { "id" : "ITEM-2", "itemData" : { "author" : [ { "dropping-particle" : "", "family" : "Jensen", "given" : "J\u00f8rgen Skov", "non-dropping-particle" : "", "parse-names" : false, "suffix" : "" }, { "dropping-particle" : "", "family" : "Bradshaw", "given" : "Catriona S.", "non-dropping-particle" : "", "parse-names" : false, "suffix" : "" }, { "dropping-particle" : "", "family" : "Tabrizi", "given" : "Sepehr N.", "non-dropping-particle" : "", "parse-names" : false, "suffix" : "" }, { "dropping-particle" : "", "family" : "Fairley", "given" : "Christopher K.", "non-dropping-particle" : "", "parse-names" : false, "suffix" : "" }, { "dropping-particle" : "", "family" : "Hamasuna", "given" : "Ryoichi", "non-dropping-particle" : "", "parse-names" : false, "suffix" : "" } ], "container-title" : "Clinical Infectious Diseases", "id" : "ITEM-2", "issue" : "12", "issued" : { "date-parts" : [ [ "2008" ] ] }, "page" : "1546-53", "title" : "Azithromycin treatment failure in Mycoplasma genitalium-positive patients with nongonococcal urethritis is associated with induced macrolide resistance.", "type" : "article-journal", "volume" : "47" }, "uris" : [ "http://www.mendeley.com/documents/?uuid=d76145a6-1c82-444a-b384-20cbaf95bca2" ] } ], "mendeley" : { "formattedCitation" : "(7,28)", "plainTextFormattedCitation" : "(7,28)", "previouslyFormattedCitation" : "(7,28)" }, "properties" : {  }, "schema" : "https://github.com/citation-style-language/schema/raw/master/csl-citation.json" }</w:instrText>
      </w:r>
      <w:r w:rsidR="00907DBF">
        <w:fldChar w:fldCharType="separate"/>
      </w:r>
      <w:r w:rsidR="00E01487" w:rsidRPr="00E01487">
        <w:rPr>
          <w:noProof/>
        </w:rPr>
        <w:t>(</w:t>
      </w:r>
      <w:r w:rsidR="00C74CE5">
        <w:rPr>
          <w:noProof/>
        </w:rPr>
        <w:t>11, 25)</w:t>
      </w:r>
      <w:r w:rsidR="00907DBF">
        <w:fldChar w:fldCharType="end"/>
      </w:r>
      <w:r w:rsidR="00BE2966">
        <w:t>. However,</w:t>
      </w:r>
      <w:r w:rsidR="00AD6511">
        <w:t xml:space="preserve"> based on our dataset,</w:t>
      </w:r>
      <w:r w:rsidR="00F97A7B">
        <w:t xml:space="preserve"> </w:t>
      </w:r>
      <w:r w:rsidR="00834E6A">
        <w:t>t</w:t>
      </w:r>
      <w:r w:rsidR="00016A32">
        <w:t xml:space="preserve">esting </w:t>
      </w:r>
      <w:r w:rsidR="00BC7E0B">
        <w:t>only</w:t>
      </w:r>
      <w:r w:rsidR="00834E6A">
        <w:t xml:space="preserve"> </w:t>
      </w:r>
      <w:r w:rsidR="00016A32">
        <w:t xml:space="preserve">CT positives </w:t>
      </w:r>
      <w:r w:rsidR="00C941A7">
        <w:t xml:space="preserve">who are STI-contacts or symptomatic </w:t>
      </w:r>
      <w:r w:rsidR="007F07E0">
        <w:t xml:space="preserve">would </w:t>
      </w:r>
      <w:r w:rsidR="00834E6A">
        <w:t>still miss high</w:t>
      </w:r>
      <w:r w:rsidR="00016A32">
        <w:t xml:space="preserve"> numbers of MG infections</w:t>
      </w:r>
      <w:r w:rsidR="00B50F95">
        <w:t xml:space="preserve"> (</w:t>
      </w:r>
      <w:r w:rsidR="007F07E0">
        <w:t>7</w:t>
      </w:r>
      <w:r w:rsidR="00080067">
        <w:t>2</w:t>
      </w:r>
      <w:r w:rsidR="00080CA2">
        <w:t>%</w:t>
      </w:r>
      <w:r w:rsidR="00B50F95">
        <w:t xml:space="preserve"> in our study)</w:t>
      </w:r>
      <w:r w:rsidR="00190F72">
        <w:t xml:space="preserve">, and </w:t>
      </w:r>
      <w:r w:rsidR="007F07E0">
        <w:t xml:space="preserve">would </w:t>
      </w:r>
      <w:r w:rsidR="00190F72">
        <w:t>not be adequate</w:t>
      </w:r>
      <w:r w:rsidR="00016A32">
        <w:t xml:space="preserve">. </w:t>
      </w:r>
      <w:r w:rsidR="00190F72">
        <w:t xml:space="preserve">Cost-effectiveness of deploying </w:t>
      </w:r>
      <w:r w:rsidR="00BE2966">
        <w:t>macrolide resistance test</w:t>
      </w:r>
      <w:r w:rsidR="00190F72">
        <w:t xml:space="preserve">s would depend in-part on there being sufficient numbers of susceptible strains circulating and effective </w:t>
      </w:r>
      <w:r w:rsidR="00BE2966">
        <w:t xml:space="preserve">alternative treatment </w:t>
      </w:r>
      <w:r w:rsidR="007707AF">
        <w:t>option</w:t>
      </w:r>
      <w:r w:rsidR="00190F72">
        <w:t>s</w:t>
      </w:r>
      <w:r w:rsidR="007707AF">
        <w:t xml:space="preserve"> available. </w:t>
      </w:r>
      <w:r>
        <w:t>Given</w:t>
      </w:r>
      <w:r w:rsidR="00BC7E0B">
        <w:t xml:space="preserve"> the high rate of macrolide resistance</w:t>
      </w:r>
      <w:r w:rsidR="00190F72">
        <w:t>, and emerging fluoroquinolone resistance</w:t>
      </w:r>
      <w:r w:rsidR="00080CA2">
        <w:t xml:space="preserve"> worldwide</w:t>
      </w:r>
      <w:r w:rsidR="00907DBF">
        <w:t xml:space="preserve"> </w:t>
      </w:r>
      <w:r w:rsidR="00907DBF">
        <w:fldChar w:fldCharType="begin" w:fldLock="1"/>
      </w:r>
      <w:r w:rsidR="00E01487">
        <w:instrText>ADDIN CSL_CITATION { "citationItems" : [ { "id" : "ITEM-1", "itemData" : { "DOI" : "10.1093/cid/civ785", "ISSN" : "1058-4838", "author" : [ { "dropping-particle" : "", "family" : "Manhart", "given" : "Lisa E.", "non-dropping-particle" : "", "parse-names" : false, "suffix" : "" }, { "dropping-particle" : "", "family" : "Jensen", "given" : "J\u00f8rgen Skov", "non-dropping-particle" : "", "parse-names" : false, "suffix" : "" }, { "dropping-particle" : "", "family" : "Bradshaw", "given" : "Catriona S.", "non-dropping-particle" : "", "parse-names" : false, "suffix" : "" }, { "dropping-particle" : "", "family" : "Golden", "given" : "Matthew R.", "non-dropping-particle" : "", "parse-names" : false, "suffix" : "" }, { "dropping-particle" : "", "family" : "Martin", "given" : "David H.", "non-dropping-particle" : "", "parse-names" : false, "suffix" : "" } ], "container-title" : "Clinical Infectious Diseases", "id" : "ITEM-1", "issue" : "suppl 8", "issued" : { "date-parts" : [ [ "2015", "12" ] ] }, "page" : "S802-S817", "publisher" : "Oxford University Press", "title" : "Efficacy of Antimicrobial Therapy for &lt;i&gt;Mycoplasma genitalium&lt;/i&gt; Infections", "type" : "article-journal", "volume" : "61" }, "uris" : [ "http://www.mendeley.com/documents/?uuid=26feedc5-9bcd-4a96-b512-d7c5bdcc4838" ] }, { "id" : "ITEM-2", "itemData" : { "DOI" : "10.1093/jac/dku164", "ISSN" : "0305-7453", "PMID" : "24894419", "abstract" : "OBJECTIVES We determined the prevalence of macrolide and fluoroquinolone resistance-associated mutations in Mycoplasma genitalium DNA specimens from men with non-gonococcal urethritis (NGU) and analysed their effects on antibiotic treatments of M. genitalium infections. METHODS In this retrospective study, we examined antibiotic resistance-associated mutations in the 23S rRNA, gyrA and parC genes of M. genitalium and the association of the mutations with microbiological outcomes of antibiotic treatments in men with M. genitalium-positive NGU. RESULTS No macrolide resistance-associated mutations in the 23S rRNA gene were observed in 27 M. genitalium DNA specimens in 2011 and in 24 in 2012. However, 5 of 17 in 2013 had 23S rRNA mutations. Three of 15 in 2011, 6 of 19 in 2012 and 8 of 17 in 2013 had fluoroquinolone resistance-associated alterations in ParC. Three in 2013 had both the antibiotic resistance-associated alterations coincidentally. In two men with M. genitalium harbouring 23S rRNA mutations, the mycoplasma persisted after treatment with a regimen of 2 g of extended-release azithromycin (AZM-SR) once daily for 1 day. All nine men with mycoplasma harbouring ParC alterations were microbiologically cured with a regimen of 100 mg of sitafloxacin twice daily for 7 days. CONCLUSIONS Macrolide- or fluoroquinolone-resistant M. genitalium appears to be increasing, and the increase in fluoroquinolone-resistant mycoplasmas is especially remarkable in Japan. Mycoplasmas harbouring 23S rRNA mutations would be resistant to the AZM-SR regimen, but those harbouring ParC alterations would still be susceptible to the sitafloxacin regimen.", "author" : [ { "dropping-particle" : "", "family" : "Kikuchi", "given" : "M.", "non-dropping-particle" : "", "parse-names" : false, "suffix" : "" }, { "dropping-particle" : "", "family" : "Ito", "given" : "S.", "non-dropping-particle" : "", "parse-names" : false, "suffix" : "" }, { "dropping-particle" : "", "family" : "Yasuda", "given" : "M.", "non-dropping-particle" : "", "parse-names" : false, "suffix" : "" }, { "dropping-particle" : "", "family" : "Tsuchiya", "given" : "T.", "non-dropping-particle" : "", "parse-names" : false, "suffix" : "" }, { "dropping-particle" : "", "family" : "Hatazaki", "given" : "K.", "non-dropping-particle" : "", "parse-names" : false, "suffix" : "" }, { "dropping-particle" : "", "family" : "Takanashi", "given" : "M.", "non-dropping-particle" : "", "parse-names" : false, "suffix" : "" }, { "dropping-particle" : "", "family" : "Ezaki", "given" : "T.", "non-dropping-particle" : "", "parse-names" : false, "suffix" : "" }, { "dropping-particle" : "", "family" : "Deguchi", "given" : "T.", "non-dropping-particle" : "", "parse-names" : false, "suffix" : "" } ], "container-title" : "Journal of Antimicrobial Chemotherapy", "id" : "ITEM-2", "issue" : "9", "issued" : { "date-parts" : [ [ "2014", "9", "1" ] ] }, "page" : "2376-2382", "title" : "Remarkable increase in fluoroquinolone-resistant Mycoplasma genitalium in Japan", "type" : "article-journal", "volume" : "69" }, "uris" : [ "http://www.mendeley.com/documents/?uuid=f610788d-366b-3e4b-9714-87e076e6e93f" ] }, { "id" : "ITEM-3", "itemData" : { "DOI" : "10.1016/j.jiac.2018.08.009", "ISSN" : "1341321X", "PMID" : "30190106", "abstract" : "To clarify the status of macrolide and fluoroquinolone resistance of clinical strains of Mycoplasma genitalium in Japan, we amplified portions of the gyrA, parC, and 23S rRNA genes from DNAs in 627 first-voided urine specimens collected from men with M.\u00a0genitalium-positive urethritis who visited clinics mainly in Sendai, Tokyo, and Osaka, Japan, from 2013 to 2017, by PCR and sequenced. The incidence of single amino acid changes at Met95 or Asp99 in GyrA increased chronologically and was approximately 10% from 2015 onward. The incidence of amino acid changes at Ser83 or Asp87 in ParC was approximately 50% in 2013 but increased to 60-70% from 2014 to 2017. The incidence of mutations at A2071 or A2072 in the 23S rRNA gene increased chronologically and reached over 70% in 2017. The prevalence of M.\u00a0genitalium harboring alterations in ParC and mutations in the 23S rRNA gene increased and was approximately 50% in 2016 and 2017. The prevalence of M.\u00a0genitalium with alterations in both GyrA and ParC and mutations in the 23S rRNA gene, which could be associated with treatment failures with the sitafloxacin and azithromycin regimens, were approximately 15% and 10% in 2016 and 2017, respectively. The prevalence of M.\u00a0genitalium with genetic alterations associated with resistance to fluoroquinolones and/or macrolides is increasing rapidly in Japan. We must prevent the further selection of multi-drug-resistant M.\u00a0genitalium so that M.\u00a0genitalium infections will not become untreatable.", "author" : [ { "dropping-particle" : "", "family" : "Deguchi", "given" : "Takashi", "non-dropping-particle" : "", "parse-names" : false, "suffix" : "" }, { "dropping-particle" : "", "family" : "Ito", "given" : "Shin", "non-dropping-particle" : "", "parse-names" : false, "suffix" : "" }, { "dropping-particle" : "", "family" : "Yasuda", "given" : "Mitsuru", "non-dropping-particle" : "", "parse-names" : false, "suffix" : "" }, { "dropping-particle" : "", "family" : "Sato", "given" : "Yuko", "non-dropping-particle" : "", "parse-names" : false, "suffix" : "" }, { "dropping-particle" : "", "family" : "Uchida", "given" : "Chiaki", "non-dropping-particle" : "", "parse-names" : false, "suffix" : "" }, { "dropping-particle" : "", "family" : "Sawamura", "given" : "Masayuki", "non-dropping-particle" : "", "parse-names" : false, "suffix" : "" }, { "dropping-particle" : "", "family" : "Manda", "given" : "Kazushi", "non-dropping-particle" : "", "parse-names" : false, "suffix" : "" }, { "dropping-particle" : "", "family" : "Takanashi", "given" : "Masaki", "non-dropping-particle" : "", "parse-names" : false, "suffix" : "" }, { "dropping-particle" : "", "family" : "Kiyota", "given" : "Hiroshi", "non-dropping-particle" : "", "parse-names" : false, "suffix" : "" } ], "container-title" : "Journal of Infection and Chemotherapy", "id" : "ITEM-3", "issued" : { "date-parts" : [ [ "2018", "9" ] ] }, "title" : "Surveillance of the prevalence of macrolide and/or fluoroquinolone resistance-associated mutations in Mycoplasma genitalium in Japan", "type" : "article-journal" }, "uris" : [ "http://www.mendeley.com/documents/?uuid=41b5542d-296c-4eab-afdf-1414b1643970" ] }, { "id" : "ITEM-4", "itemData" : { "DOI" : "10.3201/eid2305.161745", "ISSN" : "1080-6059", "PMID" : "28418319", "abstract" : "Escalating resistance to azithromycin and moxifloxacin is being reported for Mycoplasma genitalium in the Asia-Pacific region. Analyzing 140 infections, we found pretreatment fluoroquinolone-resistance mutations in parC (13.6%) and gyrA (5%). ParC S83 changes were associated with moxifloxacin failure. Combined macrolide/fluoroquinolone-resistance mutations were in 8.6% of specimens, for which recommended therapies would be ineffective.", "author" : [ { "dropping-particle" : "", "family" : "Murray", "given" : "Gerald L", "non-dropping-particle" : "", "parse-names" : false, "suffix" : "" }, { "dropping-particle" : "", "family" : "Bradshaw", "given" : "Catriona S", "non-dropping-particle" : "", "parse-names" : false, "suffix" : "" }, { "dropping-particle" : "", "family" : "Bissessor", "given" : "Melanie", "non-dropping-particle" : "", "parse-names" : false, "suffix" : "" }, { "dropping-particle" : "", "family" : "Danielewski", "given" : "Jennifer", "non-dropping-particle" : "", "parse-names" : false, "suffix" : "" }, { "dropping-particle" : "", "family" : "Garland", "given" : "Suzanne M", "non-dropping-particle" : "", "parse-names" : false, "suffix" : "" }, { "dropping-particle" : "", "family" : "Jensen", "given" : "J\u00f8rgen S", "non-dropping-particle" : "", "parse-names" : false, "suffix" : "" }, { "dropping-particle" : "", "family" : "Fairley", "given" : "Christopher K", "non-dropping-particle" : "", "parse-names" : false, "suffix" : "" }, { "dropping-particle" : "", "family" : "Tabrizi", "given" : "Sepehr N", "non-dropping-particle" : "", "parse-names" : false, "suffix" : "" } ], "container-title" : "Emerging infectious diseases", "id" : "ITEM-4", "issue" : "5", "issued" : { "date-parts" : [ [ "2017" ] ] }, "page" : "809-812", "publisher" : "Centers for Disease Control and Prevention", "title" : "Increasing Macrolide and Fluoroquinolone Resistance in Mycoplasma genitalium.", "type" : "article-journal", "volume" : "23" }, "uris" : [ "http://www.mendeley.com/documents/?uuid=80c54de6-503b-3b02-9122-0f24dae3f5ee" ] } ], "mendeley" : { "formattedCitation" : "(7,24,29,30)", "plainTextFormattedCitation" : "(7,24,29,30)", "previouslyFormattedCitation" : "(7,24,29,30)" }, "properties" : {  }, "schema" : "https://github.com/citation-style-language/schema/raw/master/csl-citation.json" }</w:instrText>
      </w:r>
      <w:r w:rsidR="00907DBF">
        <w:fldChar w:fldCharType="separate"/>
      </w:r>
      <w:r w:rsidR="00E01487" w:rsidRPr="00E01487">
        <w:rPr>
          <w:noProof/>
        </w:rPr>
        <w:t>(</w:t>
      </w:r>
      <w:r w:rsidR="00C74CE5">
        <w:rPr>
          <w:noProof/>
        </w:rPr>
        <w:t>28, 29</w:t>
      </w:r>
      <w:r w:rsidR="00E01487" w:rsidRPr="00E01487">
        <w:rPr>
          <w:noProof/>
        </w:rPr>
        <w:t>)</w:t>
      </w:r>
      <w:r w:rsidR="00907DBF">
        <w:fldChar w:fldCharType="end"/>
      </w:r>
      <w:r w:rsidR="00F05DC9">
        <w:t>,</w:t>
      </w:r>
      <w:r w:rsidR="00BD06F9">
        <w:t xml:space="preserve"> </w:t>
      </w:r>
      <w:r w:rsidR="00BC7E0B">
        <w:t>investigat</w:t>
      </w:r>
      <w:r w:rsidR="00190F72">
        <w:t>ing</w:t>
      </w:r>
      <w:r w:rsidR="00B50F95">
        <w:t xml:space="preserve"> the</w:t>
      </w:r>
      <w:r w:rsidR="00190F72">
        <w:t xml:space="preserve"> </w:t>
      </w:r>
      <w:r w:rsidR="00C645D5">
        <w:t>public health impact and cost</w:t>
      </w:r>
      <w:r w:rsidR="00B50F95">
        <w:t>-</w:t>
      </w:r>
      <w:r w:rsidR="00C645D5">
        <w:t xml:space="preserve">effectiveness </w:t>
      </w:r>
      <w:r w:rsidR="00190F72">
        <w:t xml:space="preserve">of these tests </w:t>
      </w:r>
      <w:r w:rsidR="00130A96">
        <w:t>is</w:t>
      </w:r>
      <w:r w:rsidR="00190F72">
        <w:t xml:space="preserve"> important</w:t>
      </w:r>
      <w:r w:rsidR="00BC7E0B">
        <w:t xml:space="preserve">.  </w:t>
      </w:r>
    </w:p>
    <w:p w14:paraId="71CD2510" w14:textId="4AABE67E" w:rsidR="00452801" w:rsidRDefault="003A2758" w:rsidP="00720644">
      <w:pPr>
        <w:spacing w:line="480" w:lineRule="auto"/>
      </w:pPr>
      <w:r>
        <w:t xml:space="preserve">Our study included results from </w:t>
      </w:r>
      <w:r w:rsidR="00B50F95">
        <w:t>three population</w:t>
      </w:r>
      <w:r>
        <w:t xml:space="preserve"> groups</w:t>
      </w:r>
      <w:r w:rsidR="002255E3">
        <w:t xml:space="preserve"> </w:t>
      </w:r>
      <w:r w:rsidR="00B50F95">
        <w:t>(</w:t>
      </w:r>
      <w:r>
        <w:t>females, MSW and MSM</w:t>
      </w:r>
      <w:r w:rsidR="00B50F95">
        <w:t>)</w:t>
      </w:r>
      <w:r w:rsidR="00644250">
        <w:t>. R</w:t>
      </w:r>
      <w:r w:rsidR="007E349A">
        <w:t xml:space="preserve">ecruitment was </w:t>
      </w:r>
      <w:r>
        <w:t>restrict</w:t>
      </w:r>
      <w:r w:rsidR="007E349A">
        <w:t>ed to those with</w:t>
      </w:r>
      <w:r w:rsidR="00130A96">
        <w:t xml:space="preserve"> </w:t>
      </w:r>
      <w:r>
        <w:t>symptoms</w:t>
      </w:r>
      <w:r w:rsidR="00B50F95">
        <w:t xml:space="preserve"> or </w:t>
      </w:r>
      <w:r w:rsidR="007E349A">
        <w:t xml:space="preserve">who were </w:t>
      </w:r>
      <w:r w:rsidR="00B50F95">
        <w:t>sexual contact</w:t>
      </w:r>
      <w:r w:rsidR="00C941A7">
        <w:t>s</w:t>
      </w:r>
      <w:r w:rsidR="00B50F95">
        <w:t xml:space="preserve"> of an individual with</w:t>
      </w:r>
      <w:r w:rsidR="00B50F95" w:rsidRPr="00B50F95">
        <w:t xml:space="preserve"> CT, NG, </w:t>
      </w:r>
      <w:r w:rsidR="00B50F95">
        <w:t xml:space="preserve">TV, </w:t>
      </w:r>
      <w:r w:rsidR="00B50F95" w:rsidRPr="00B50F95">
        <w:t xml:space="preserve">or </w:t>
      </w:r>
      <w:r w:rsidR="00B50F95">
        <w:t>NGU</w:t>
      </w:r>
      <w:r w:rsidR="00644250">
        <w:t>, to inform management of this patient group, in-line with evidence that MG testing should not be expanded to asymptomatic individuals</w:t>
      </w:r>
      <w:r w:rsidR="00662707">
        <w:fldChar w:fldCharType="begin" w:fldLock="1"/>
      </w:r>
      <w:r w:rsidR="00E01487">
        <w:instrText>ADDIN CSL_CITATION { "citationItems" : [ { "id" : "ITEM-1", "itemData" : { "author" : [ { "dropping-particle" : "", "family" : "Baumann", "given" : "Lukas", "non-dropping-particle" : "", "parse-names" : false, "suffix" : "" }, { "dropping-particle" : "", "family" : "Cina", "given" : "Manuel", "non-dropping-particle" : "", "parse-names" : false, "suffix" : "" }, { "dropping-particle" : "", "family" : "Egli-Gany", "given" : "Dianne", "non-dropping-particle" : "", "parse-names" : false, "suffix" : "" }, { "dropping-particle" : "", "family" : "Goutaki", "given" : "Myrofora", "non-dropping-particle" : "", "parse-names" : false, "suffix" : "" }, { "dropping-particle" : "", "family" : "Halbeisen", "given" : "Florian S", "non-dropping-particle" : "", "parse-names" : false, "suffix" : "" }, { "dropping-particle" : "", "family" : "Lohrer", "given" : "Gian-Reto", "non-dropping-particle" : "", "parse-names" : false, "suffix" : "" }, { "dropping-particle" : "", "family" : "Ali", "given" : "Hammad", "non-dropping-particle" : "", "parse-names" : false, "suffix" : "" }, { "dropping-particle" : "", "family" : "Scott", "given" : "Pippa", "non-dropping-particle" : "", "parse-names" : false, "suffix" : "" }, { "dropping-particle" : "", "family" : "Low", "given" : "Nicola", "non-dropping-particle" : "", "parse-names" : false, "suffix" : "" } ], "container-title" : "Sexually Transmitted Infections", "id" : "ITEM-1", "issue" : "4", "issued" : { "date-parts" : [ [ "2018" ] ] }, "title" : "Prevalence of Mycoplasma genitalium in different population groups: systematic review andmeta-analysis", "type" : "article-journal", "volume" : "94" }, "uris" : [ "http://www.mendeley.com/documents/?uuid=6b9a47b0-0c3a-45d5-a048-c3e39297f67a" ] } ], "mendeley" : { "formattedCitation" : "(31)", "plainTextFormattedCitation" : "(31)", "previouslyFormattedCitation" : "(31)" }, "properties" : {  }, "schema" : "https://github.com/citation-style-language/schema/raw/master/csl-citation.json" }</w:instrText>
      </w:r>
      <w:r w:rsidR="00662707">
        <w:fldChar w:fldCharType="separate"/>
      </w:r>
      <w:r w:rsidR="00E01487" w:rsidRPr="00E01487">
        <w:rPr>
          <w:noProof/>
        </w:rPr>
        <w:t>(</w:t>
      </w:r>
      <w:r w:rsidR="008D426E">
        <w:rPr>
          <w:noProof/>
        </w:rPr>
        <w:t>30</w:t>
      </w:r>
      <w:r w:rsidR="00E01487" w:rsidRPr="00E01487">
        <w:rPr>
          <w:noProof/>
        </w:rPr>
        <w:t>)</w:t>
      </w:r>
      <w:r w:rsidR="00662707">
        <w:fldChar w:fldCharType="end"/>
      </w:r>
      <w:r>
        <w:t xml:space="preserve">. For MSM, </w:t>
      </w:r>
      <w:r w:rsidR="00902AB7">
        <w:t xml:space="preserve">participants </w:t>
      </w:r>
      <w:r>
        <w:t>were sampled from three anatomical sites and from three London</w:t>
      </w:r>
      <w:r w:rsidR="00130A96">
        <w:t xml:space="preserve"> locations</w:t>
      </w:r>
      <w:r>
        <w:t xml:space="preserve">, providing a better overall </w:t>
      </w:r>
      <w:r w:rsidR="00B50F95">
        <w:t xml:space="preserve">representation of individual </w:t>
      </w:r>
      <w:r>
        <w:t xml:space="preserve">infection status. Finally, testing was performed in a robust manner </w:t>
      </w:r>
      <w:r w:rsidR="00B50F95">
        <w:t xml:space="preserve">with all three clinics using the same CT/NG </w:t>
      </w:r>
      <w:r w:rsidR="007122F2">
        <w:t xml:space="preserve">routine </w:t>
      </w:r>
      <w:r w:rsidR="00B50F95">
        <w:t>NAAT</w:t>
      </w:r>
      <w:r w:rsidR="00F60EEB">
        <w:t>.</w:t>
      </w:r>
      <w:r w:rsidR="006C2D99">
        <w:t xml:space="preserve"> </w:t>
      </w:r>
    </w:p>
    <w:p w14:paraId="2A622C89" w14:textId="7F8773CA" w:rsidR="003B6C2A" w:rsidRDefault="008C33B7" w:rsidP="00720644">
      <w:pPr>
        <w:spacing w:line="480" w:lineRule="auto"/>
      </w:pPr>
      <w:r>
        <w:t xml:space="preserve">There </w:t>
      </w:r>
      <w:r w:rsidR="002D1722">
        <w:t>are</w:t>
      </w:r>
      <w:r>
        <w:t xml:space="preserve"> some limitations to this study. </w:t>
      </w:r>
      <w:r w:rsidR="0043316E">
        <w:t>Firstly,</w:t>
      </w:r>
      <w:r w:rsidR="00C50586">
        <w:t xml:space="preserve"> these data were collected as part of a larger study</w:t>
      </w:r>
      <w:r w:rsidR="003B6C2A">
        <w:t xml:space="preserve"> (the “Precise Study”)</w:t>
      </w:r>
      <w:r w:rsidR="00C50586">
        <w:t>,</w:t>
      </w:r>
      <w:r w:rsidR="003B6C2A">
        <w:t xml:space="preserve"> the aim of which was the development and evaluation of a NAAT-based POCT for NG and MG infection and resistance. Consequently,</w:t>
      </w:r>
      <w:r w:rsidR="00C50586">
        <w:t xml:space="preserve"> </w:t>
      </w:r>
      <w:r w:rsidR="003B6C2A">
        <w:t xml:space="preserve">symptomatic patients and sexual contacts of individuals with </w:t>
      </w:r>
      <w:r w:rsidR="003B6C2A" w:rsidRPr="003B6C2A">
        <w:t>CT, NG, TV or NGU were targeted for recruitment</w:t>
      </w:r>
      <w:r w:rsidR="003B6C2A">
        <w:t xml:space="preserve"> in order to increase the likelihood of STI-positive individuals</w:t>
      </w:r>
      <w:r w:rsidR="003B6C2A" w:rsidRPr="003B6C2A">
        <w:t>.</w:t>
      </w:r>
      <w:r w:rsidR="003B6C2A">
        <w:t xml:space="preserve"> This however means we are unable to comment on the prevalence of MG infection or resistance in asymptomatic patients</w:t>
      </w:r>
      <w:r w:rsidR="0067405C">
        <w:t xml:space="preserve">, and the consequent importance of testing (and treating) these individuals for MG. </w:t>
      </w:r>
    </w:p>
    <w:p w14:paraId="538183C9" w14:textId="0D6C47B0" w:rsidR="0043316E" w:rsidRDefault="00262151" w:rsidP="00720644">
      <w:pPr>
        <w:spacing w:line="480" w:lineRule="auto"/>
      </w:pPr>
      <w:r>
        <w:t>Secondly,</w:t>
      </w:r>
      <w:r w:rsidR="0043316E">
        <w:t xml:space="preserve"> </w:t>
      </w:r>
      <w:r w:rsidR="00902AB7">
        <w:t xml:space="preserve">participants </w:t>
      </w:r>
      <w:r w:rsidR="008C33B7">
        <w:t>were recruited on the basis of self-reported symptoms, which may var</w:t>
      </w:r>
      <w:r w:rsidR="00190F72">
        <w:t xml:space="preserve">y </w:t>
      </w:r>
      <w:r w:rsidR="008C33B7">
        <w:t>between female</w:t>
      </w:r>
      <w:r w:rsidR="00190F72">
        <w:t>s</w:t>
      </w:r>
      <w:r w:rsidR="008C33B7">
        <w:t xml:space="preserve"> and male</w:t>
      </w:r>
      <w:r w:rsidR="00190F72">
        <w:t>s</w:t>
      </w:r>
      <w:r w:rsidR="008C33B7">
        <w:t xml:space="preserve">. </w:t>
      </w:r>
      <w:r w:rsidR="00190F72">
        <w:t xml:space="preserve">For </w:t>
      </w:r>
      <w:r w:rsidR="0043316E">
        <w:t>example</w:t>
      </w:r>
      <w:r w:rsidR="00190F72">
        <w:t xml:space="preserve">, </w:t>
      </w:r>
      <w:r w:rsidR="003900ED">
        <w:t>physiological vaginal discharge is not uncommonly reported as a symptom i</w:t>
      </w:r>
      <w:r w:rsidR="0043316E">
        <w:t>n females</w:t>
      </w:r>
      <w:r w:rsidR="003900ED">
        <w:t>, and pathological discharge often includes non-STIs such as candidiasis and bacterial vaginosis.</w:t>
      </w:r>
      <w:r w:rsidR="008C33B7">
        <w:t xml:space="preserve"> </w:t>
      </w:r>
      <w:r>
        <w:t>Another limitation is that</w:t>
      </w:r>
      <w:r w:rsidR="008C33B7">
        <w:t xml:space="preserve">, </w:t>
      </w:r>
      <w:r w:rsidR="0043316E">
        <w:t xml:space="preserve">common to many studies with </w:t>
      </w:r>
      <w:r w:rsidR="0043316E">
        <w:lastRenderedPageBreak/>
        <w:t xml:space="preserve">heterosexual women, </w:t>
      </w:r>
      <w:r w:rsidR="008C33B7">
        <w:t xml:space="preserve">extra-genital testing </w:t>
      </w:r>
      <w:r w:rsidR="0043316E">
        <w:t>was</w:t>
      </w:r>
      <w:r w:rsidR="008C33B7">
        <w:t xml:space="preserve"> not offered despite recent </w:t>
      </w:r>
      <w:r w:rsidR="003900ED">
        <w:t xml:space="preserve">evidence </w:t>
      </w:r>
      <w:r w:rsidR="008C33B7">
        <w:t xml:space="preserve">detailing high rates of </w:t>
      </w:r>
      <w:r w:rsidR="00B72FF3">
        <w:t>rectal CT infection</w:t>
      </w:r>
      <w:r>
        <w:t xml:space="preserve"> in this population group</w:t>
      </w:r>
      <w:r w:rsidR="00907DBF">
        <w:t xml:space="preserve"> </w:t>
      </w:r>
      <w:r w:rsidR="00907DBF">
        <w:fldChar w:fldCharType="begin" w:fldLock="1"/>
      </w:r>
      <w:r w:rsidR="00E01487">
        <w:instrText>ADDIN CSL_CITATION { "citationItems" : [ { "id" : "ITEM-1", "itemData" : { "DOI" : "10.1136/sextrans-2017-053161", "ISSN" : "1368-4973", "PMID" : "29431148", "abstract" : "OBJECTIVES Chlamydia trachomatis is the most commonly diagnosed bacterial STI. Lack of prevalence and risk factor data for rectal chlamydia in women has testing and treatment implications, as azithromycin (a first-line urogenital chlamydia treatment) may be less effective for rectal chlamydia. We conducted a systematic review of studies on women in high-income countries to estimate rectal chlamydia prevalence, concurrency with urogenital chlamydia and associations with reported anal intercourse (AI). DESIGN Systematic review and four meta-analyses conducted using random-effects modelling. DATA SOURCES Medline, Embase, Cumulative Index to Nursing and Allied Health Literature, PsycINFO and the Cochrane Database were searched for articles published between January 1997 and October 2017. ELIGIBILITY CRITERIA Studies reporting rectal chlamydia positivity in heterosexual women aged \u226515\u2009years old in high-income countries were included. Studies must have used nucleic acid amplification tests and reported both the total number of women tested for rectal chlamydia and the number of rectal chlamydia infections detected. Conference abstracts, case reports and studies with self-reported diagnoses were excluded. Data extracted included setting, rectal and urogenital chlamydia testing results, AI history, and demographics. RESULTS Fourteen eligible studies were identified, all among diverse populations attending sexual health services. Among routine clinic-attending women, summary rectal chlamydia positivity was 6.0% (95% CI 3.2% to 8.9%); summary concurrent rectal chlamydia infection was 68.1% in those who tested positive for urogenital chlamydia (95%\u2009CI 56.6% to 79.6%); and of those who tested negative for urogenital chlamydia, 2.2% (95% CI 0% to 5.2%) were positive for rectal chlamydia. Reported AI was not associated with rectal chlamydia (summary risk ratio 0.90; 95%\u2009CI 0.75 to 1.10). CONCLUSIONS High levels of rectal chlamydia infection have been shown in women with urogenital chlamydia infection. The absence of association between reported AI and rectal chlamydia suggests AI is not an adequate indicator for rectal testing. Further work is needed to determine policy and practice for routine rectal testing in women.", "author" : [ { "dropping-particle" : "", "family" : "Chandra", "given" : "Nastassya L", "non-dropping-particle" : "", "parse-names" : false, "suffix" : "" }, { "dropping-particle" : "", "family" : "Broad", "given" : "Claire", "non-dropping-particle" : "", "parse-names" : false, "suffix" : "" }, { "dropping-particle" : "", "family" : "Folkard", "given" : "Kate", "non-dropping-particle" : "", "parse-names" : false, "suffix" : "" }, { "dropping-particle" : "", "family" : "Town", "given" : "Katy", "non-dropping-particle" : "", "parse-names" : false, "suffix" : "" }, { "dropping-particle" : "", "family" : "Harding-Esch", "given" : "Emma M", "non-dropping-particle" : "", "parse-names" : false, "suffix" : "" }, { "dropping-particle" : "", "family" : "Woodhall", "given" : "Sarah C", "non-dropping-particle" : "", "parse-names" : false, "suffix" : "" }, { "dropping-particle" : "", "family" : "Saunders", "given" : "John M", "non-dropping-particle" : "", "parse-names" : false, "suffix" : "" }, { "dropping-particle" : "", "family" : "Sadiq", "given" : "S Tariq", "non-dropping-particle" : "", "parse-names" : false, "suffix" : "" }, { "dropping-particle" : "", "family" : "Dunbar", "given" : "J Kevin", "non-dropping-particle" : "", "parse-names" : false, "suffix" : "" } ], "container-title" : "Sexually Transmitted Infections", "id" : "ITEM-1", "issue" : "5", "issued" : { "date-parts" : [ [ "2018", "8" ] ] }, "page" : "320-326", "title" : "Detection of &lt;i&gt;Chlamydia trachomatis&lt;/i&gt; in rectal specimens in women and its association with anal intercourse: a systematic review and meta-analysis", "type" : "article-journal", "volume" : "94" }, "uris" : [ "http://www.mendeley.com/documents/?uuid=39a4da51-eaa0-4a91-a49d-9ed3a57bbdee" ] }, { "id" : "ITEM-2", "itemData" : { "DOI" : "10.1186/1471-2334-14-274", "ISSN" : "1471-2334", "PMID" : "24885306", "abstract" : "BACKGROUND Symptom- and sexual history-based testing i.e., testing on indication, for anorectal sexually transmitted infections (STIs) in women is common. Yet, it is unknown whether this strategy is effective. Moreover, little is known about alternative transmission routes i.e. by fingers/toys. This study assesses anorectal STI prevalence and infections missed by current testing practice, thereby informing the optimal control strategy for anorectal STIs in women. METHODS Women (n\u2009=\u2009663) attending our STI-clinic between May 2012-July 2013 were offered routine testing for anorectal and urogenital Chlamydia trachomatis and Neisseria gonorrhoeae. Data were collected on demographics, sexual behaviour and symptoms. Women were assigned to one of the categories: indication (reported anal sex/symptoms), fingers/toys (only reported use of fingers/toys), or without indication. RESULTS Of women, 92% (n\u2009=\u2009654) participated. There were 203 reports (31.0%) of anal sex and/or symptoms (indication), 48 reports (7.3%) of only using fingers/toys (fingers/toys), and 403 reports (61.6%) of no anal symptoms, no anal sex and no anal use of fingers/toys (without indication). The overall prevalence was 11.2% (73/654) for urogenital chlamydia and 8.4% (55/654) for anorectal chlamydia. Gonorrhoea infections were not observed. Prevalence of anorectal chlamydia was 7.9% (16/203) for women with indication and 8.6% (39/451) for all other women (P\u2009=\u20090.74). Two-thirds (39/55) of anorectal infections were diagnosed in women without indication. Isolated anorectal chlamydia was rare (n\u2009=\u20093): of all women with an anorectal infection, 94.5% (52/55) also had co-occurrence of urogenital chlamydia. Of all women with urogenital chlamydia, 71.2% (52/73) also had anorectal chlamydia. CONCLUSIONS Current selective testing on indication of symptoms and sexual history is not an appropriate control strategy for anorectal chlamydia in women visiting an STI clinic. Routine universal anorectal testing is feasible and may be a possible control strategy in women. Yet costs may be a problem. When more restricted control measures are preferred, possible alternatives include (1) anorectal testing only in women with urogenital chlamydia (problem: treatment delay or loss to follow up), and (2) direct treatment for urogenital chlamydia that is effective for anorectal chlamydia as well.", "author" : [ { "dropping-particle" : "", "family" : "Liere", "given" : "Genevi\u00e8ve AFS", "non-dropping-particle" : "van", "parse-names" : false, "suffix" : "" }, { "dropping-particle" : "", "family" : "Hoebe", "given" : "Christian JPA", "non-dropping-particle" : "", "parse-names" : false, "suffix" : "" }, { "dropping-particle" : "", "family" : "Wolffs", "given" : "Petra FG", "non-dropping-particle" : "", "parse-names" : false, "suffix" : "" }, { "dropping-particle" : "", "family" : "Dukers-Muijrers", "given" : "Nicole HTM", "non-dropping-particle" : "", "parse-names" : false, "suffix" : "" } ], "container-title" : "BMC Infectious Diseases", "id" : "ITEM-2", "issue" : "1", "issued" : { "date-parts" : [ [ "2014", "12" ] ] }, "page" : "274", "title" : "High co-occurrence of anorectal chlamydia with urogenital chlamydia in women visiting an STI clinic revealed by routine universal testing in an observational study; a recommendation towards a better anorectal chlamydia control in women", "type" : "article-journal", "volume" : "14" }, "uris" : [ "http://www.mendeley.com/documents/?uuid=abf3426e-4ed5-41de-be86-a30a070ac4e3" ] }, { "id" : "ITEM-3", "itemData" : { "DOI" : "10.1093/cid/cix857", "ISSN" : "1058-4838", "author" : [ { "dropping-particle" : "", "family" : "Tao", "given" : "Guoyu", "non-dropping-particle" : "", "parse-names" : false, "suffix" : "" }, { "dropping-particle" : "", "family" : "Hoover", "given" : "Karen W", "non-dropping-particle" : "", "parse-names" : false, "suffix" : "" }, { "dropping-particle" : "", "family" : "Nye", "given" : "Melinda B", "non-dropping-particle" : "", "parse-names" : false, "suffix" : "" }, { "dropping-particle" : "", "family" : "Peters", "given" : "Philip J", "non-dropping-particle" : "", "parse-names" : false, "suffix" : "" }, { "dropping-particle" : "", "family" : "Gift", "given" : "Thomas L", "non-dropping-particle" : "", "parse-names" : false, "suffix" : "" }, { "dropping-particle" : "", "family" : "Body", "given" : "Barbara A", "non-dropping-particle" : "", "parse-names" : false, "suffix" : "" } ], "container-title" : "Clinical Infectious Diseases", "id" : "ITEM-3", "issue" : "4", "issued" : { "date-parts" : [ [ "2018", "2" ] ] }, "page" : "570-575", "publisher" : "Oxford University Press", "title" : "Infrequent Testing of Women for Rectal Chlamydia and Gonorrhea in the United States", "type" : "article-journal", "volume" : "66" }, "uris" : [ "http://www.mendeley.com/documents/?uuid=abafd3de-908c-47ee-86c4-683677eb5050" ] } ], "mendeley" : { "formattedCitation" : "(21,32,33)", "plainTextFormattedCitation" : "(21,32,33)", "previouslyFormattedCitation" : "(21,32,33)" }, "properties" : {  }, "schema" : "https://github.com/citation-style-language/schema/raw/master/csl-citation.json" }</w:instrText>
      </w:r>
      <w:r w:rsidR="00907DBF">
        <w:fldChar w:fldCharType="separate"/>
      </w:r>
      <w:r w:rsidR="00E01487" w:rsidRPr="00E01487">
        <w:rPr>
          <w:noProof/>
        </w:rPr>
        <w:t>(</w:t>
      </w:r>
      <w:r w:rsidR="008D426E">
        <w:rPr>
          <w:noProof/>
        </w:rPr>
        <w:t>W1, W2</w:t>
      </w:r>
      <w:r w:rsidR="00E01487" w:rsidRPr="00E01487">
        <w:rPr>
          <w:noProof/>
        </w:rPr>
        <w:t>)</w:t>
      </w:r>
      <w:r w:rsidR="00907DBF">
        <w:fldChar w:fldCharType="end"/>
      </w:r>
      <w:r w:rsidR="00907DBF">
        <w:t xml:space="preserve"> </w:t>
      </w:r>
      <w:r w:rsidR="00BE59F5">
        <w:t xml:space="preserve">. </w:t>
      </w:r>
      <w:r w:rsidR="003967F1">
        <w:t>Therefore,</w:t>
      </w:r>
      <w:r w:rsidR="0043316E">
        <w:t xml:space="preserve"> it is </w:t>
      </w:r>
      <w:r w:rsidR="003900ED">
        <w:t xml:space="preserve">possible prevalence and </w:t>
      </w:r>
      <w:r w:rsidR="0043316E">
        <w:t xml:space="preserve">co-infections in </w:t>
      </w:r>
      <w:r w:rsidR="004C282A">
        <w:t xml:space="preserve">female </w:t>
      </w:r>
      <w:r w:rsidR="0043316E">
        <w:t xml:space="preserve">participants </w:t>
      </w:r>
      <w:r w:rsidR="003900ED">
        <w:t xml:space="preserve">may </w:t>
      </w:r>
      <w:r w:rsidR="00D21873">
        <w:t xml:space="preserve">have </w:t>
      </w:r>
      <w:r w:rsidR="003900ED">
        <w:t>be</w:t>
      </w:r>
      <w:r w:rsidR="00D21873">
        <w:t>en</w:t>
      </w:r>
      <w:r w:rsidR="003900ED">
        <w:t xml:space="preserve"> underestimated</w:t>
      </w:r>
      <w:r w:rsidR="0043316E">
        <w:t>.</w:t>
      </w:r>
      <w:r w:rsidR="004E1825">
        <w:t xml:space="preserve"> Additionally, the</w:t>
      </w:r>
      <w:r w:rsidR="006F3D31">
        <w:t xml:space="preserve"> absence of</w:t>
      </w:r>
      <w:r w:rsidR="00D60E09">
        <w:t xml:space="preserve"> </w:t>
      </w:r>
      <w:r w:rsidR="004E1825">
        <w:t>NG-MG co-infections warrants further investigation as this could be related to the relatively small sample size of the MSM participants.</w:t>
      </w:r>
      <w:r w:rsidR="0043316E">
        <w:t xml:space="preserve"> </w:t>
      </w:r>
      <w:r w:rsidR="00D21873">
        <w:t>S</w:t>
      </w:r>
      <w:r w:rsidR="00B72FF3">
        <w:t>amples were only collected from patients attending London clinics and data collected from MSW and females</w:t>
      </w:r>
      <w:r w:rsidR="00D21873">
        <w:t xml:space="preserve"> </w:t>
      </w:r>
      <w:r w:rsidR="00B72FF3">
        <w:t xml:space="preserve">from one clinic, so may not be representative of the wider symptomatic population. </w:t>
      </w:r>
      <w:r w:rsidR="004E1825">
        <w:t xml:space="preserve">Finally, although low numbers, TV results were excluded from this analysis </w:t>
      </w:r>
      <w:r w:rsidR="00A164E7">
        <w:t>due to testing</w:t>
      </w:r>
      <w:r w:rsidR="004E1825">
        <w:t xml:space="preserve"> </w:t>
      </w:r>
      <w:r w:rsidR="000D7A83">
        <w:t>only with the</w:t>
      </w:r>
      <w:r w:rsidR="004E1825">
        <w:t xml:space="preserve"> laboratory test</w:t>
      </w:r>
      <w:r w:rsidR="00743445">
        <w:t xml:space="preserve"> without confirmatory testing</w:t>
      </w:r>
      <w:r w:rsidR="00A164E7">
        <w:t>,</w:t>
      </w:r>
      <w:r w:rsidR="004E1825">
        <w:t xml:space="preserve"> and </w:t>
      </w:r>
      <w:r w:rsidR="00A164E7">
        <w:t>for</w:t>
      </w:r>
      <w:r w:rsidR="004E1825">
        <w:t xml:space="preserve"> the original</w:t>
      </w:r>
      <w:r w:rsidR="00B72FF3">
        <w:t xml:space="preserve"> purpose of this evaluation </w:t>
      </w:r>
      <w:r w:rsidR="00743445">
        <w:t xml:space="preserve">within the “Precise Study”, </w:t>
      </w:r>
      <w:r w:rsidR="00B72FF3">
        <w:t>CT, MG and NG were tested using a discrepant analysis approach</w:t>
      </w:r>
      <w:r w:rsidR="004E1825">
        <w:t>.</w:t>
      </w:r>
    </w:p>
    <w:p w14:paraId="018C02EF" w14:textId="34ED541C" w:rsidR="002C1424" w:rsidRDefault="00282B1F" w:rsidP="00720644">
      <w:pPr>
        <w:spacing w:line="480" w:lineRule="auto"/>
      </w:pPr>
      <w:r>
        <w:t>Our</w:t>
      </w:r>
      <w:r w:rsidR="002C1424">
        <w:t xml:space="preserve"> risk factor an</w:t>
      </w:r>
      <w:r>
        <w:t>al</w:t>
      </w:r>
      <w:r w:rsidR="002C1424">
        <w:t xml:space="preserve">ysis </w:t>
      </w:r>
      <w:r>
        <w:t>demonstrated that men, co-infect</w:t>
      </w:r>
      <w:r w:rsidR="00A164E7">
        <w:t>ion</w:t>
      </w:r>
      <w:r>
        <w:t xml:space="preserve"> with another STI and black ethnicity were all independent risk factors </w:t>
      </w:r>
      <w:r w:rsidR="00E50BE2">
        <w:t>associated with</w:t>
      </w:r>
      <w:r>
        <w:t xml:space="preserve"> macrolide re</w:t>
      </w:r>
      <w:r w:rsidR="004336E4">
        <w:t>s</w:t>
      </w:r>
      <w:r>
        <w:t>istant MG.</w:t>
      </w:r>
      <w:r w:rsidR="002C1424">
        <w:t xml:space="preserve"> </w:t>
      </w:r>
      <w:r w:rsidR="004C375E">
        <w:t xml:space="preserve">Having a co-infection was the strongest independent risk factor, </w:t>
      </w:r>
      <w:r w:rsidR="009D5660">
        <w:t>perhaps indicating</w:t>
      </w:r>
      <w:r w:rsidR="004C375E">
        <w:t xml:space="preserve"> these participants were at</w:t>
      </w:r>
      <w:r w:rsidR="00D60E09">
        <w:t xml:space="preserve"> a higher risk of previous STIs</w:t>
      </w:r>
      <w:r w:rsidR="009D5660">
        <w:t xml:space="preserve"> or,</w:t>
      </w:r>
      <w:r w:rsidR="004C375E">
        <w:t xml:space="preserve"> as</w:t>
      </w:r>
      <w:r w:rsidR="009D5660">
        <w:t xml:space="preserve"> MG is not routinely tested for</w:t>
      </w:r>
      <w:r w:rsidR="00D60E09">
        <w:t>,</w:t>
      </w:r>
      <w:r w:rsidR="009D5660">
        <w:t xml:space="preserve"> </w:t>
      </w:r>
      <w:r w:rsidR="004C375E">
        <w:t xml:space="preserve">could be </w:t>
      </w:r>
      <w:r w:rsidR="00EA2D1C">
        <w:t xml:space="preserve">due to </w:t>
      </w:r>
      <w:r w:rsidR="004C375E">
        <w:t xml:space="preserve">historic missed infection. </w:t>
      </w:r>
      <w:r w:rsidR="009D5660">
        <w:t>Alternatively,</w:t>
      </w:r>
      <w:r w:rsidR="00D60E09">
        <w:t xml:space="preserve"> these data may</w:t>
      </w:r>
      <w:r w:rsidR="004C375E">
        <w:t xml:space="preserve"> be a surrogate for previous</w:t>
      </w:r>
      <w:r w:rsidR="009D5660">
        <w:t xml:space="preserve"> </w:t>
      </w:r>
      <w:r w:rsidR="004C375E">
        <w:t>azithromycin</w:t>
      </w:r>
      <w:r w:rsidR="009D5660">
        <w:t xml:space="preserve"> </w:t>
      </w:r>
      <w:r w:rsidR="00A164E7">
        <w:t xml:space="preserve">exposure </w:t>
      </w:r>
      <w:r w:rsidR="009D5660">
        <w:t xml:space="preserve">and may represent </w:t>
      </w:r>
      <w:r w:rsidR="00D60E09">
        <w:t xml:space="preserve">and emphasise a need for vigilance in clinical history taking, particularly </w:t>
      </w:r>
      <w:r w:rsidR="009D5660">
        <w:t xml:space="preserve">for </w:t>
      </w:r>
      <w:r w:rsidR="00EA2D1C">
        <w:t xml:space="preserve">subjective factors such as </w:t>
      </w:r>
      <w:r w:rsidR="00115779">
        <w:t xml:space="preserve">patient recall of </w:t>
      </w:r>
      <w:r w:rsidR="00EA2D1C">
        <w:t xml:space="preserve">previous antibiotic use or </w:t>
      </w:r>
      <w:r w:rsidR="008D61BB">
        <w:t xml:space="preserve">an </w:t>
      </w:r>
      <w:r w:rsidR="009D5660">
        <w:t>STI</w:t>
      </w:r>
      <w:r w:rsidR="00115779">
        <w:t xml:space="preserve"> diagnosi</w:t>
      </w:r>
      <w:r w:rsidR="009D5660">
        <w:t>s.</w:t>
      </w:r>
      <w:r w:rsidR="00A45170">
        <w:t xml:space="preserve"> </w:t>
      </w:r>
      <w:r w:rsidR="002C1424">
        <w:t xml:space="preserve">We did not have data on previous exposure to </w:t>
      </w:r>
      <w:r w:rsidR="00112DCF" w:rsidRPr="00B16B93">
        <w:t xml:space="preserve">azithromycin or </w:t>
      </w:r>
      <w:r w:rsidR="004336E4">
        <w:t>prevalence</w:t>
      </w:r>
      <w:r>
        <w:t xml:space="preserve"> of </w:t>
      </w:r>
      <w:r w:rsidR="002C1424">
        <w:t xml:space="preserve">recent </w:t>
      </w:r>
      <w:r w:rsidR="00112DCF" w:rsidRPr="00B16B93">
        <w:t>diagnos</w:t>
      </w:r>
      <w:r>
        <w:t>e</w:t>
      </w:r>
      <w:r w:rsidR="00112DCF" w:rsidRPr="00B16B93">
        <w:t xml:space="preserve">s of </w:t>
      </w:r>
      <w:r>
        <w:t xml:space="preserve">non-specific genital infection. </w:t>
      </w:r>
      <w:r w:rsidR="008C3C75">
        <w:t xml:space="preserve">History of </w:t>
      </w:r>
      <w:r w:rsidR="002C1424">
        <w:t xml:space="preserve">azithromycin </w:t>
      </w:r>
      <w:r w:rsidR="008C3C75">
        <w:t xml:space="preserve">therapy </w:t>
      </w:r>
      <w:r>
        <w:t xml:space="preserve">around </w:t>
      </w:r>
      <w:r w:rsidR="002C1424">
        <w:t xml:space="preserve">the time of the study may </w:t>
      </w:r>
      <w:r w:rsidR="004336E4">
        <w:t xml:space="preserve">have helped </w:t>
      </w:r>
      <w:r w:rsidR="002C1424">
        <w:t>explain these findings.</w:t>
      </w:r>
      <w:r w:rsidR="004336E4">
        <w:t xml:space="preserve"> </w:t>
      </w:r>
      <w:r w:rsidR="00EA2D36">
        <w:t xml:space="preserve">This further emphasises the need for MG testing, suggesting that in the presence of CT or NG infection, use of azithromycin to treat any MG co-infection should be avoided unless specifically testing for MG resistance. </w:t>
      </w:r>
    </w:p>
    <w:p w14:paraId="53A1E6CA" w14:textId="11C5E156" w:rsidR="0060588A" w:rsidRDefault="00DF317B" w:rsidP="00720644">
      <w:pPr>
        <w:spacing w:line="480" w:lineRule="auto"/>
      </w:pPr>
      <w:r w:rsidRPr="00112DCF">
        <w:t>We</w:t>
      </w:r>
      <w:r>
        <w:t xml:space="preserve"> found </w:t>
      </w:r>
      <w:r w:rsidR="008C3C75">
        <w:t>a low prevalence of genotypic</w:t>
      </w:r>
      <w:r w:rsidR="00E50BE2">
        <w:t xml:space="preserve"> </w:t>
      </w:r>
      <w:r>
        <w:t>fluoroquinolone resistance</w:t>
      </w:r>
      <w:r w:rsidR="008C3C75">
        <w:t xml:space="preserve"> in our sample set</w:t>
      </w:r>
      <w:r w:rsidR="00F60EEB">
        <w:t xml:space="preserve"> (0.18%)</w:t>
      </w:r>
      <w:r w:rsidR="00E50BE2">
        <w:t xml:space="preserve"> </w:t>
      </w:r>
      <w:r w:rsidR="0077645F">
        <w:t>c</w:t>
      </w:r>
      <w:r>
        <w:t xml:space="preserve">ompared to </w:t>
      </w:r>
      <w:r w:rsidR="00F05DC9">
        <w:t xml:space="preserve">other </w:t>
      </w:r>
      <w:r w:rsidR="00A164E7">
        <w:t xml:space="preserve">prevalence </w:t>
      </w:r>
      <w:r w:rsidR="00F60EEB">
        <w:t xml:space="preserve">studies reporting  </w:t>
      </w:r>
      <w:r w:rsidR="002307C9">
        <w:t>8</w:t>
      </w:r>
      <w:r w:rsidR="00F60EEB">
        <w:t>.</w:t>
      </w:r>
      <w:r w:rsidR="002307C9">
        <w:t>6</w:t>
      </w:r>
      <w:r w:rsidR="00F60EEB">
        <w:t xml:space="preserve">-53.1% </w:t>
      </w:r>
      <w:r w:rsidR="000E4112">
        <w:fldChar w:fldCharType="begin" w:fldLock="1"/>
      </w:r>
      <w:r w:rsidR="00E01487">
        <w:instrText>ADDIN CSL_CITATION { "citationItems" : [ { "id" : "ITEM-1", "itemData" : { "DOI" : "10.3201/eid2305.161745", "ISSN" : "1080-6059", "PMID" : "28418319", "abstract" : "Escalating resistance to azithromycin and moxifloxacin is being reported for Mycoplasma genitalium in the Asia-Pacific region. Analyzing 140 infections, we found pretreatment fluoroquinolone-resistance mutations in parC (13.6%) and gyrA (5%). ParC S83 changes were associated with moxifloxacin failure. Combined macrolide/fluoroquinolone-resistance mutations were in 8.6% of specimens, for which recommended therapies would be ineffective.", "author" : [ { "dropping-particle" : "", "family" : "Murray", "given" : "Gerald L", "non-dropping-particle" : "", "parse-names" : false, "suffix" : "" }, { "dropping-particle" : "", "family" : "Bradshaw", "given" : "Catriona S", "non-dropping-particle" : "", "parse-names" : false, "suffix" : "" }, { "dropping-particle" : "", "family" : "Bissessor", "given" : "Melanie", "non-dropping-particle" : "", "parse-names" : false, "suffix" : "" }, { "dropping-particle" : "", "family" : "Danielewski", "given" : "Jennifer", "non-dropping-particle" : "", "parse-names" : false, "suffix" : "" }, { "dropping-particle" : "", "family" : "Garland", "given" : "Suzanne M", "non-dropping-particle" : "", "parse-names" : false, "suffix" : "" }, { "dropping-particle" : "", "family" : "Jensen", "given" : "J\u00f8rgen S", "non-dropping-particle" : "", "parse-names" : false, "suffix" : "" }, { "dropping-particle" : "", "family" : "Fairley", "given" : "Christopher K", "non-dropping-particle" : "", "parse-names" : false, "suffix" : "" }, { "dropping-particle" : "", "family" : "Tabrizi", "given" : "Sepehr N", "non-dropping-particle" : "", "parse-names" : false, "suffix" : "" } ], "container-title" : "Emerging infectious diseases", "id" : "ITEM-1", "issue" : "5", "issued" : { "date-parts" : [ [ "2017" ] ] }, "page" : "809-812", "publisher" : "Centers for Disease Control and Prevention", "title" : "Increasing Macrolide and Fluoroquinolone Resistance in Mycoplasma genitalium.", "type" : "article-journal", "volume" : "23" }, "uris" : [ "http://www.mendeley.com/documents/?uuid=82deb3c5-72bb-4858-a311-cf782c1ca3fd" ] }, { "id" : "ITEM-2", "itemData" : { "DOI" : "10.1016/j.jiac.2018.08.009", "ISSN" : "1341321X", "PMID" : "30190106", "abstract" : "To clarify the status of macrolide and fluoroquinolone resistance of clinical strains of Mycoplasma genitalium in Japan, we amplified portions of the gyrA, parC, and 23S rRNA genes from DNAs in 627 first-voided urine specimens collected from men with M.\u00a0genitalium-positive urethritis who visited clinics mainly in Sendai, Tokyo, and Osaka, Japan, from 2013 to 2017, by PCR and sequenced. The incidence of single amino acid changes at Met95 or Asp99 in GyrA increased chronologically and was approximately 10% from 2015 onward. The incidence of amino acid changes at Ser83 or Asp87 in ParC was approximately 50% in 2013 but increased to 60-70% from 2014 to 2017. The incidence of mutations at A2071 or A2072 in the 23S rRNA gene increased chronologically and reached over 70% in 2017. The prevalence of M.\u00a0genitalium harboring alterations in ParC and mutations in the 23S rRNA gene increased and was approximately 50% in 2016 and 2017. The prevalence of M.\u00a0genitalium with alterations in both GyrA and ParC and mutations in the 23S rRNA gene, which could be associated with treatment failures with the sitafloxacin and azithromycin regimens, were approximately 15% and 10% in 2016 and 2017, respectively. The prevalence of M.\u00a0genitalium with genetic alterations associated with resistance to fluoroquinolones and/or macrolides is increasing rapidly in Japan. We must prevent the further selection of multi-drug-resistant M.\u00a0genitalium so that M.\u00a0genitalium infections will not become untreatable.", "author" : [ { "dropping-particle" : "", "family" : "Deguchi", "given" : "Takashi", "non-dropping-particle" : "", "parse-names" : false, "suffix" : "" }, { "dropping-particle" : "", "family" : "Ito", "given" : "Shin", "non-dropping-particle" : "", "parse-names" : false, "suffix" : "" }, { "dropping-particle" : "", "family" : "Yasuda", "given" : "Mitsuru", "non-dropping-particle" : "", "parse-names" : false, "suffix" : "" }, { "dropping-particle" : "", "family" : "Sato", "given" : "Yuko", "non-dropping-particle" : "", "parse-names" : false, "suffix" : "" }, { "dropping-particle" : "", "family" : "Uchida", "given" : "Chiaki", "non-dropping-particle" : "", "parse-names" : false, "suffix" : "" }, { "dropping-particle" : "", "family" : "Sawamura", "given" : "Masayuki", "non-dropping-particle" : "", "parse-names" : false, "suffix" : "" }, { "dropping-particle" : "", "family" : "Manda", "given" : "Kazushi", "non-dropping-particle" : "", "parse-names" : false, "suffix" : "" }, { "dropping-particle" : "", "family" : "Takanashi", "given" : "Masaki", "non-dropping-particle" : "", "parse-names" : false, "suffix" : "" }, { "dropping-particle" : "", "family" : "Kiyota", "given" : "Hiroshi", "non-dropping-particle" : "", "parse-names" : false, "suffix" : "" } ], "container-title" : "Journal of Infection and Chemotherapy", "id" : "ITEM-2", "issued" : { "date-parts" : [ [ "2018", "9" ] ] }, "title" : "Surveillance of the prevalence of macrolide and/or fluoroquinolone resistance-associated mutations in Mycoplasma genitalium in Japan", "type" : "article-journal" }, "uris" : [ "http://www.mendeley.com/documents/?uuid=41b5542d-296c-4eab-afdf-1414b1643970" ] } ], "mendeley" : { "formattedCitation" : "(24,34)", "plainTextFormattedCitation" : "(24,34)", "previouslyFormattedCitation" : "(24,34)" }, "properties" : {  }, "schema" : "https://github.com/citation-style-language/schema/raw/master/csl-citation.json" }</w:instrText>
      </w:r>
      <w:r w:rsidR="000E4112">
        <w:fldChar w:fldCharType="separate"/>
      </w:r>
      <w:r w:rsidR="00E01487" w:rsidRPr="00E01487">
        <w:rPr>
          <w:noProof/>
        </w:rPr>
        <w:t>(</w:t>
      </w:r>
      <w:r w:rsidR="008D426E">
        <w:rPr>
          <w:noProof/>
        </w:rPr>
        <w:t>28, 29</w:t>
      </w:r>
      <w:r w:rsidR="00E01487" w:rsidRPr="00E01487">
        <w:rPr>
          <w:noProof/>
        </w:rPr>
        <w:t>)</w:t>
      </w:r>
      <w:r w:rsidR="000E4112">
        <w:fldChar w:fldCharType="end"/>
      </w:r>
      <w:r w:rsidR="005E41F9">
        <w:t xml:space="preserve"> </w:t>
      </w:r>
      <w:r>
        <w:t>support</w:t>
      </w:r>
      <w:r w:rsidR="00976883">
        <w:t>ing the development o</w:t>
      </w:r>
      <w:r>
        <w:t xml:space="preserve">f new diagnostic </w:t>
      </w:r>
      <w:r w:rsidR="00976883">
        <w:t>fluoroquinolone resistance tests</w:t>
      </w:r>
      <w:r w:rsidR="000D7A83">
        <w:t xml:space="preserve"> to help with resistance-guided therapy</w:t>
      </w:r>
      <w:r w:rsidR="00FF322D">
        <w:t xml:space="preserve">. </w:t>
      </w:r>
    </w:p>
    <w:p w14:paraId="3880E06A" w14:textId="02CC5209" w:rsidR="00A066E4" w:rsidRDefault="00BF6EA6" w:rsidP="00720644">
      <w:pPr>
        <w:spacing w:line="480" w:lineRule="auto"/>
      </w:pPr>
      <w:r>
        <w:lastRenderedPageBreak/>
        <w:t xml:space="preserve">In </w:t>
      </w:r>
      <w:r w:rsidR="00D83AB0">
        <w:t>summary</w:t>
      </w:r>
      <w:r>
        <w:t xml:space="preserve">, </w:t>
      </w:r>
      <w:r w:rsidR="00EB5EBA">
        <w:t xml:space="preserve">our </w:t>
      </w:r>
      <w:r w:rsidR="00942FA1">
        <w:t xml:space="preserve">data </w:t>
      </w:r>
      <w:r w:rsidR="00FF322D">
        <w:t>show high prevalence of co-infection of M</w:t>
      </w:r>
      <w:r w:rsidR="00766343">
        <w:t>G</w:t>
      </w:r>
      <w:r w:rsidR="00FF322D">
        <w:t xml:space="preserve"> </w:t>
      </w:r>
      <w:r w:rsidR="0055393C">
        <w:t>with CT</w:t>
      </w:r>
      <w:r w:rsidR="000D7A83">
        <w:t>,</w:t>
      </w:r>
      <w:r w:rsidR="0055393C">
        <w:t xml:space="preserve"> </w:t>
      </w:r>
      <w:r w:rsidR="00766343">
        <w:t>and high prevalence of macrolide resistan</w:t>
      </w:r>
      <w:r w:rsidR="000C6938">
        <w:t>t MG</w:t>
      </w:r>
      <w:r w:rsidR="00766343">
        <w:t xml:space="preserve">, particularly in </w:t>
      </w:r>
      <w:r w:rsidR="00A164E7">
        <w:t xml:space="preserve">CT </w:t>
      </w:r>
      <w:r w:rsidR="00766343">
        <w:t>co-</w:t>
      </w:r>
      <w:r w:rsidR="00D5372C">
        <w:t>infect</w:t>
      </w:r>
      <w:r w:rsidR="00A164E7">
        <w:t>ions</w:t>
      </w:r>
      <w:r w:rsidR="006778C3">
        <w:t>, amongst symptomatic patients and contacts of STIs</w:t>
      </w:r>
      <w:r w:rsidR="00766343">
        <w:t xml:space="preserve">. </w:t>
      </w:r>
      <w:r w:rsidR="00112DCF">
        <w:t>The</w:t>
      </w:r>
      <w:r w:rsidR="000C6938">
        <w:t xml:space="preserve"> findings </w:t>
      </w:r>
      <w:r w:rsidR="00112DCF">
        <w:t>suggest</w:t>
      </w:r>
      <w:r w:rsidR="000C6938">
        <w:t xml:space="preserve"> the need for </w:t>
      </w:r>
      <w:r w:rsidR="00976883">
        <w:t xml:space="preserve">MG </w:t>
      </w:r>
      <w:r w:rsidR="00112DCF">
        <w:t xml:space="preserve">testing, in particular for </w:t>
      </w:r>
      <w:r w:rsidR="00766343">
        <w:t xml:space="preserve">the management of </w:t>
      </w:r>
      <w:r w:rsidR="000D7A83">
        <w:t>ST</w:t>
      </w:r>
      <w:r w:rsidR="00743445">
        <w:t>I</w:t>
      </w:r>
      <w:r w:rsidR="000D7A83">
        <w:t xml:space="preserve">-contact and </w:t>
      </w:r>
      <w:r w:rsidR="00112DCF">
        <w:t>symptomatic females</w:t>
      </w:r>
      <w:r w:rsidR="00A964F8">
        <w:t xml:space="preserve"> and</w:t>
      </w:r>
      <w:r w:rsidR="00976883">
        <w:t xml:space="preserve"> </w:t>
      </w:r>
      <w:r w:rsidR="00112DCF">
        <w:t>MSW</w:t>
      </w:r>
      <w:r w:rsidR="00A964F8">
        <w:t>,</w:t>
      </w:r>
      <w:r w:rsidR="00976883">
        <w:t xml:space="preserve"> and </w:t>
      </w:r>
      <w:r w:rsidR="006778C3">
        <w:t xml:space="preserve">possibly in </w:t>
      </w:r>
      <w:r w:rsidR="00976883">
        <w:t xml:space="preserve">those </w:t>
      </w:r>
      <w:r w:rsidR="000C6938">
        <w:t>with CT</w:t>
      </w:r>
      <w:r w:rsidR="00112DCF">
        <w:t xml:space="preserve">. </w:t>
      </w:r>
      <w:r w:rsidR="00A964F8">
        <w:t xml:space="preserve">Our MSM dataset had few MG </w:t>
      </w:r>
      <w:r w:rsidR="00743445">
        <w:t xml:space="preserve">positives </w:t>
      </w:r>
      <w:r w:rsidR="00A964F8">
        <w:t xml:space="preserve">with MRAMs, which combined with the current </w:t>
      </w:r>
      <w:r w:rsidR="00A964F8" w:rsidRPr="009F6AA7">
        <w:rPr>
          <w:rFonts w:asciiTheme="minorHAnsi" w:hAnsiTheme="minorHAnsi" w:cstheme="minorHAnsi"/>
        </w:rPr>
        <w:t>lack of evidence for the role of MG in MSM</w:t>
      </w:r>
      <w:r w:rsidR="00743445">
        <w:rPr>
          <w:rFonts w:asciiTheme="minorHAnsi" w:hAnsiTheme="minorHAnsi" w:cstheme="minorHAnsi"/>
        </w:rPr>
        <w:t xml:space="preserve"> sexual health</w:t>
      </w:r>
      <w:r w:rsidR="00A964F8">
        <w:rPr>
          <w:rFonts w:asciiTheme="minorHAnsi" w:hAnsiTheme="minorHAnsi" w:cstheme="minorHAnsi"/>
        </w:rPr>
        <w:t xml:space="preserve">, means recommendations for this population cannot be made. </w:t>
      </w:r>
      <w:r w:rsidR="00976883">
        <w:t>F</w:t>
      </w:r>
      <w:r w:rsidR="008507F2">
        <w:t xml:space="preserve">or </w:t>
      </w:r>
      <w:r w:rsidR="00766343">
        <w:t xml:space="preserve">management </w:t>
      </w:r>
      <w:r w:rsidR="000C6938">
        <w:t xml:space="preserve">of </w:t>
      </w:r>
      <w:r w:rsidR="008507F2">
        <w:t xml:space="preserve">CT infections, </w:t>
      </w:r>
      <w:r w:rsidR="00976883">
        <w:t xml:space="preserve">data support an approach of </w:t>
      </w:r>
      <w:r w:rsidR="002D1722">
        <w:t>doxycycline as first</w:t>
      </w:r>
      <w:r w:rsidR="00976883">
        <w:t>-</w:t>
      </w:r>
      <w:r w:rsidR="002D1722">
        <w:t>li</w:t>
      </w:r>
      <w:r w:rsidR="00976883">
        <w:t>n</w:t>
      </w:r>
      <w:r w:rsidR="002D1722">
        <w:t>e therapy</w:t>
      </w:r>
      <w:r w:rsidR="00976883">
        <w:t xml:space="preserve"> </w:t>
      </w:r>
      <w:r w:rsidR="0055393C">
        <w:t xml:space="preserve">to avoid </w:t>
      </w:r>
      <w:r w:rsidR="008507F2">
        <w:t>azithromycin for patients whose MG status and resistance profile are</w:t>
      </w:r>
      <w:r w:rsidR="000C6938">
        <w:t xml:space="preserve"> unknown</w:t>
      </w:r>
      <w:r w:rsidR="008507F2">
        <w:t xml:space="preserve">. </w:t>
      </w:r>
      <w:r w:rsidR="00A066E4">
        <w:t>In those subsequently testing positive for MG, it may be appropriate to limit azithromycin, unless there is demonstration that the infection strain is genotypically sensitive.</w:t>
      </w:r>
    </w:p>
    <w:p w14:paraId="01789CE5" w14:textId="27EC8A42" w:rsidR="00D60E09" w:rsidRPr="003C0D1C" w:rsidRDefault="00D60E09" w:rsidP="00720644">
      <w:pPr>
        <w:spacing w:line="480" w:lineRule="auto"/>
        <w:rPr>
          <w:b/>
        </w:rPr>
      </w:pPr>
      <w:r w:rsidRPr="003C0D1C">
        <w:rPr>
          <w:b/>
        </w:rPr>
        <w:t>Fundin</w:t>
      </w:r>
      <w:r w:rsidR="003C0D1C" w:rsidRPr="003C0D1C">
        <w:rPr>
          <w:b/>
        </w:rPr>
        <w:t>g</w:t>
      </w:r>
    </w:p>
    <w:p w14:paraId="026ABA83" w14:textId="6A8162E6" w:rsidR="00E8770E" w:rsidRDefault="000F2B3D" w:rsidP="00720644">
      <w:pPr>
        <w:spacing w:line="480" w:lineRule="auto"/>
      </w:pPr>
      <w:r>
        <w:t xml:space="preserve">This work was supported by </w:t>
      </w:r>
      <w:r w:rsidR="00720644">
        <w:t xml:space="preserve">the </w:t>
      </w:r>
      <w:bookmarkStart w:id="20" w:name="_Hlk17376922"/>
      <w:r w:rsidR="00720644">
        <w:t xml:space="preserve">National Institute for Health </w:t>
      </w:r>
      <w:r w:rsidRPr="000F2B3D">
        <w:t>R</w:t>
      </w:r>
      <w:r w:rsidR="00720644">
        <w:t>esearch, Invention for Innovation</w:t>
      </w:r>
      <w:r w:rsidRPr="000F2B3D">
        <w:t xml:space="preserve"> </w:t>
      </w:r>
      <w:r w:rsidR="00720644">
        <w:t>(</w:t>
      </w:r>
      <w:r w:rsidRPr="000F2B3D">
        <w:t>i4i</w:t>
      </w:r>
      <w:r w:rsidR="00720644">
        <w:t>)</w:t>
      </w:r>
      <w:r w:rsidRPr="000F2B3D">
        <w:t xml:space="preserve"> grant: “A Point of Care Antimicrobial Resistance test for </w:t>
      </w:r>
      <w:r w:rsidRPr="00CC2381">
        <w:rPr>
          <w:i/>
        </w:rPr>
        <w:t>Neisseria gonorrhoeae</w:t>
      </w:r>
      <w:r w:rsidRPr="000F2B3D">
        <w:t xml:space="preserve"> </w:t>
      </w:r>
      <w:r w:rsidRPr="00CC2381">
        <w:rPr>
          <w:i/>
        </w:rPr>
        <w:t xml:space="preserve">and Mycoplasma </w:t>
      </w:r>
      <w:proofErr w:type="spellStart"/>
      <w:r w:rsidRPr="00CC2381">
        <w:rPr>
          <w:i/>
        </w:rPr>
        <w:t>genitalium</w:t>
      </w:r>
      <w:proofErr w:type="spellEnd"/>
      <w:r w:rsidRPr="000F2B3D">
        <w:t xml:space="preserve"> infection - Ensuring accurate therapy and antibiotic stewardship in sexual health medicine” (II-LB-0214-20005).</w:t>
      </w:r>
      <w:bookmarkEnd w:id="20"/>
    </w:p>
    <w:p w14:paraId="36C249EE" w14:textId="5381DA2D" w:rsidR="009A1917" w:rsidRPr="003C0D1C" w:rsidRDefault="009A1917" w:rsidP="00720644">
      <w:pPr>
        <w:spacing w:line="480" w:lineRule="auto"/>
        <w:rPr>
          <w:b/>
        </w:rPr>
      </w:pPr>
      <w:r w:rsidRPr="003C0D1C">
        <w:rPr>
          <w:b/>
        </w:rPr>
        <w:t>Author contributions</w:t>
      </w:r>
    </w:p>
    <w:p w14:paraId="67CC7634" w14:textId="4387AC57" w:rsidR="00745398" w:rsidRDefault="009A1917" w:rsidP="00720644">
      <w:pPr>
        <w:spacing w:line="480" w:lineRule="auto"/>
      </w:pPr>
      <w:r>
        <w:t>E</w:t>
      </w:r>
      <w:r w:rsidR="006E666B">
        <w:t>.</w:t>
      </w:r>
      <w:r>
        <w:t>H</w:t>
      </w:r>
      <w:r w:rsidR="006E666B">
        <w:t>.</w:t>
      </w:r>
      <w:r>
        <w:t>E and S</w:t>
      </w:r>
      <w:r w:rsidR="006E666B">
        <w:t>.</w:t>
      </w:r>
      <w:r>
        <w:t>T</w:t>
      </w:r>
      <w:r w:rsidR="006E666B">
        <w:t>.</w:t>
      </w:r>
      <w:r w:rsidR="0077645F">
        <w:t>S conceived the study</w:t>
      </w:r>
      <w:r w:rsidR="00A27262">
        <w:t>, and S.S.F contributed to</w:t>
      </w:r>
      <w:r w:rsidR="00CB4EBC">
        <w:t xml:space="preserve"> overall study concept. </w:t>
      </w:r>
      <w:r w:rsidR="006E666B">
        <w:t xml:space="preserve">M.H, M.J.P and N.K.T planned </w:t>
      </w:r>
      <w:r w:rsidR="00A27262">
        <w:t>and performed</w:t>
      </w:r>
      <w:r w:rsidR="0077645F">
        <w:t xml:space="preserve"> laboratory work. Data</w:t>
      </w:r>
      <w:r w:rsidR="00745398">
        <w:t xml:space="preserve"> collection,</w:t>
      </w:r>
      <w:r w:rsidR="0077645F">
        <w:t xml:space="preserve"> extraction and analysis was performed by </w:t>
      </w:r>
      <w:r w:rsidR="00745398">
        <w:t xml:space="preserve">C.E.B., S.O., </w:t>
      </w:r>
      <w:r w:rsidR="0077645F">
        <w:t>M.F.</w:t>
      </w:r>
      <w:r w:rsidR="00745398">
        <w:t xml:space="preserve"> and</w:t>
      </w:r>
      <w:r w:rsidR="0077645F">
        <w:t xml:space="preserve"> E.H.E</w:t>
      </w:r>
      <w:r w:rsidR="00745398">
        <w:t>. Manus</w:t>
      </w:r>
      <w:r w:rsidR="00EA2D1C">
        <w:t xml:space="preserve">cript was prepared by C.E.B, </w:t>
      </w:r>
      <w:r w:rsidR="00745398">
        <w:t>M.F</w:t>
      </w:r>
      <w:r w:rsidR="00EA2D1C">
        <w:t xml:space="preserve"> and S.T.S</w:t>
      </w:r>
      <w:r w:rsidR="00745398">
        <w:t xml:space="preserve">. </w:t>
      </w:r>
    </w:p>
    <w:p w14:paraId="256BE37D" w14:textId="77777777" w:rsidR="009A1917" w:rsidRPr="003C0D1C" w:rsidRDefault="009A1917" w:rsidP="00720644">
      <w:pPr>
        <w:spacing w:line="480" w:lineRule="auto"/>
        <w:rPr>
          <w:b/>
        </w:rPr>
      </w:pPr>
      <w:r w:rsidRPr="003C0D1C">
        <w:rPr>
          <w:b/>
        </w:rPr>
        <w:t xml:space="preserve">Acknowledgments </w:t>
      </w:r>
    </w:p>
    <w:p w14:paraId="6061FE62" w14:textId="77777777" w:rsidR="00724BDD" w:rsidRDefault="009A1917" w:rsidP="00720644">
      <w:pPr>
        <w:spacing w:line="480" w:lineRule="auto"/>
      </w:pPr>
      <w:r>
        <w:t xml:space="preserve">We thank the </w:t>
      </w:r>
      <w:r w:rsidR="00533A91">
        <w:t xml:space="preserve">principle investigators, </w:t>
      </w:r>
      <w:r>
        <w:t>staff and patients of Courtyard Clinic, St George’s Healthcare NHS Trust</w:t>
      </w:r>
      <w:r w:rsidR="00745398">
        <w:t>;</w:t>
      </w:r>
      <w:r>
        <w:t xml:space="preserve"> Mortimer Market Centre, North West London NHS Foundation Trust and John Hunter Clinic</w:t>
      </w:r>
      <w:r w:rsidR="00745398">
        <w:t>,</w:t>
      </w:r>
      <w:r>
        <w:t xml:space="preserve"> Chelsea and Westminster NHS Foundation Trust. </w:t>
      </w:r>
      <w:r w:rsidR="000F2B3D">
        <w:t>Additionally</w:t>
      </w:r>
      <w:r w:rsidR="00D60E09">
        <w:t>, w</w:t>
      </w:r>
      <w:r>
        <w:t>e thank the support of the</w:t>
      </w:r>
      <w:r w:rsidR="00D60E09">
        <w:t xml:space="preserve"> ‘Precise Study’</w:t>
      </w:r>
      <w:r>
        <w:t xml:space="preserve"> </w:t>
      </w:r>
      <w:r w:rsidR="00D60E09">
        <w:t>s</w:t>
      </w:r>
      <w:r>
        <w:t xml:space="preserve">cientific </w:t>
      </w:r>
      <w:r w:rsidR="00D60E09">
        <w:t>s</w:t>
      </w:r>
      <w:r>
        <w:t xml:space="preserve">teering </w:t>
      </w:r>
      <w:r w:rsidR="00D60E09">
        <w:t>c</w:t>
      </w:r>
      <w:r>
        <w:t>ommittee for their contributions</w:t>
      </w:r>
      <w:r w:rsidR="00D60E09">
        <w:t xml:space="preserve"> throughout the study</w:t>
      </w:r>
      <w:r w:rsidR="00533A91">
        <w:t xml:space="preserve"> and</w:t>
      </w:r>
      <w:r w:rsidR="006E666B">
        <w:t xml:space="preserve"> Clare </w:t>
      </w:r>
      <w:r w:rsidR="006E666B">
        <w:lastRenderedPageBreak/>
        <w:t xml:space="preserve">Soares for supporting some of the laboratory work. </w:t>
      </w:r>
      <w:r>
        <w:t>This study was conducted with approval from London Bridge Research Ethics Committee (</w:t>
      </w:r>
      <w:r w:rsidR="006E666B">
        <w:t xml:space="preserve">reference 13/LO/0691). </w:t>
      </w:r>
    </w:p>
    <w:p w14:paraId="2AE635CB" w14:textId="77777777" w:rsidR="00724BDD" w:rsidRPr="00CF4EF4" w:rsidRDefault="00724BDD" w:rsidP="00720644">
      <w:pPr>
        <w:spacing w:line="480" w:lineRule="auto"/>
        <w:rPr>
          <w:rFonts w:asciiTheme="minorHAnsi" w:hAnsiTheme="minorHAnsi"/>
          <w:b/>
        </w:rPr>
      </w:pPr>
      <w:r w:rsidRPr="00CF4EF4">
        <w:rPr>
          <w:rFonts w:asciiTheme="minorHAnsi" w:hAnsiTheme="minorHAnsi"/>
          <w:b/>
        </w:rPr>
        <w:t>Transparency declaration</w:t>
      </w:r>
    </w:p>
    <w:p w14:paraId="6117D70E" w14:textId="7373D5B2" w:rsidR="00E10CD3" w:rsidRPr="00A47A6B" w:rsidRDefault="00A47A6B" w:rsidP="00720644">
      <w:pPr>
        <w:spacing w:line="480" w:lineRule="auto"/>
        <w:rPr>
          <w:rFonts w:ascii="Myriad Pro" w:hAnsi="Myriad Pro" w:cs="Myriad Pro"/>
          <w:sz w:val="20"/>
          <w:szCs w:val="20"/>
          <w:lang w:eastAsia="en-GB"/>
        </w:rPr>
      </w:pPr>
      <w:r w:rsidRPr="00CF4EF4">
        <w:rPr>
          <w:rFonts w:asciiTheme="minorHAnsi" w:hAnsiTheme="minorHAnsi" w:cs="Myriad Pro"/>
          <w:lang w:eastAsia="en-GB"/>
        </w:rPr>
        <w:t xml:space="preserve">STS reports on behalf of himself and colleagues of the SGUL ADREU grants from </w:t>
      </w:r>
      <w:r w:rsidR="00724BDD" w:rsidRPr="00CF4EF4">
        <w:rPr>
          <w:rFonts w:asciiTheme="minorHAnsi" w:hAnsiTheme="minorHAnsi" w:cs="Myriad Pro"/>
          <w:lang w:eastAsia="en-GB"/>
        </w:rPr>
        <w:t xml:space="preserve">National </w:t>
      </w:r>
      <w:r w:rsidRPr="00CF4EF4">
        <w:rPr>
          <w:rFonts w:asciiTheme="minorHAnsi" w:hAnsiTheme="minorHAnsi" w:cs="Myriad Pro"/>
          <w:lang w:eastAsia="en-GB"/>
        </w:rPr>
        <w:t xml:space="preserve">Institute for Health Research, </w:t>
      </w:r>
      <w:r w:rsidR="00724BDD" w:rsidRPr="00CF4EF4">
        <w:rPr>
          <w:rFonts w:asciiTheme="minorHAnsi" w:hAnsiTheme="minorHAnsi" w:cs="Myriad Pro"/>
          <w:lang w:eastAsia="en-GB"/>
        </w:rPr>
        <w:t xml:space="preserve">during the conduct of the study; other from </w:t>
      </w:r>
      <w:proofErr w:type="spellStart"/>
      <w:r w:rsidR="00724BDD" w:rsidRPr="00CF4EF4">
        <w:rPr>
          <w:rFonts w:asciiTheme="minorHAnsi" w:hAnsiTheme="minorHAnsi" w:cs="Myriad Pro"/>
          <w:lang w:eastAsia="en-GB"/>
        </w:rPr>
        <w:t>Binx</w:t>
      </w:r>
      <w:proofErr w:type="spellEnd"/>
      <w:r w:rsidR="00724BDD" w:rsidRPr="00CF4EF4">
        <w:rPr>
          <w:rFonts w:asciiTheme="minorHAnsi" w:hAnsiTheme="minorHAnsi" w:cs="Myriad Pro"/>
          <w:lang w:eastAsia="en-GB"/>
        </w:rPr>
        <w:t xml:space="preserve"> Health Limited, non-financial support from Oxford Nanopore Technology, non-financial support from Cepheid, other from Alere, other from </w:t>
      </w:r>
      <w:proofErr w:type="spellStart"/>
      <w:r w:rsidR="00724BDD" w:rsidRPr="00CF4EF4">
        <w:rPr>
          <w:rFonts w:asciiTheme="minorHAnsi" w:hAnsiTheme="minorHAnsi" w:cs="Myriad Pro"/>
          <w:lang w:eastAsia="en-GB"/>
        </w:rPr>
        <w:t>SpeeDx</w:t>
      </w:r>
      <w:proofErr w:type="spellEnd"/>
      <w:r w:rsidR="00724BDD" w:rsidRPr="00CF4EF4">
        <w:rPr>
          <w:rFonts w:asciiTheme="minorHAnsi" w:hAnsiTheme="minorHAnsi" w:cs="Myriad Pro"/>
          <w:lang w:eastAsia="en-GB"/>
        </w:rPr>
        <w:t>, grants from Innovate</w:t>
      </w:r>
      <w:r w:rsidRPr="00CF4EF4">
        <w:rPr>
          <w:rFonts w:asciiTheme="minorHAnsi" w:hAnsiTheme="minorHAnsi" w:cs="Myriad Pro"/>
          <w:lang w:eastAsia="en-GB"/>
        </w:rPr>
        <w:t xml:space="preserve"> UK, outside the submitted work</w:t>
      </w:r>
      <w:r w:rsidR="00724BDD" w:rsidRPr="00CF4EF4">
        <w:rPr>
          <w:rFonts w:asciiTheme="minorHAnsi" w:hAnsiTheme="minorHAnsi" w:cs="Myriad Pro"/>
          <w:lang w:eastAsia="en-GB"/>
        </w:rPr>
        <w:t xml:space="preserve">. </w:t>
      </w:r>
      <w:r w:rsidRPr="00CF4EF4">
        <w:rPr>
          <w:rFonts w:asciiTheme="minorHAnsi" w:hAnsiTheme="minorHAnsi" w:cs="Myriad Pro"/>
          <w:lang w:eastAsia="en-GB"/>
        </w:rPr>
        <w:t xml:space="preserve">EHE also </w:t>
      </w:r>
      <w:r w:rsidR="00724BDD" w:rsidRPr="00CF4EF4">
        <w:rPr>
          <w:rFonts w:asciiTheme="minorHAnsi" w:hAnsiTheme="minorHAnsi" w:cs="Myriad Pro"/>
          <w:lang w:eastAsia="en-GB"/>
        </w:rPr>
        <w:t xml:space="preserve">reports grants from </w:t>
      </w:r>
      <w:r w:rsidRPr="00CF4EF4">
        <w:rPr>
          <w:rFonts w:asciiTheme="minorHAnsi" w:hAnsiTheme="minorHAnsi" w:cs="Myriad Pro"/>
          <w:lang w:eastAsia="en-GB"/>
        </w:rPr>
        <w:t>Becton Dickinson,</w:t>
      </w:r>
      <w:r w:rsidR="00724BDD" w:rsidRPr="00CF4EF4">
        <w:rPr>
          <w:rFonts w:asciiTheme="minorHAnsi" w:hAnsiTheme="minorHAnsi" w:cs="Myriad Pro"/>
          <w:lang w:eastAsia="en-GB"/>
        </w:rPr>
        <w:t xml:space="preserve"> grants from UKC</w:t>
      </w:r>
      <w:r w:rsidRPr="00CF4EF4">
        <w:rPr>
          <w:rFonts w:asciiTheme="minorHAnsi" w:hAnsiTheme="minorHAnsi" w:cs="Myriad Pro"/>
          <w:lang w:eastAsia="en-GB"/>
        </w:rPr>
        <w:t>RC, outside the submitted work</w:t>
      </w:r>
      <w:r w:rsidR="00724BDD" w:rsidRPr="00CF4EF4">
        <w:rPr>
          <w:rFonts w:asciiTheme="minorHAnsi" w:hAnsiTheme="minorHAnsi" w:cs="Myriad Pro"/>
          <w:lang w:eastAsia="en-GB"/>
        </w:rPr>
        <w:t xml:space="preserve">. </w:t>
      </w:r>
      <w:r w:rsidRPr="00CF4EF4">
        <w:rPr>
          <w:rFonts w:asciiTheme="minorHAnsi" w:hAnsiTheme="minorHAnsi" w:cs="Myriad Pro"/>
          <w:lang w:eastAsia="en-GB"/>
        </w:rPr>
        <w:t xml:space="preserve">SSF </w:t>
      </w:r>
      <w:r w:rsidR="004957B8">
        <w:rPr>
          <w:rFonts w:asciiTheme="minorHAnsi" w:hAnsiTheme="minorHAnsi" w:cs="Myriad Pro"/>
          <w:lang w:eastAsia="en-GB"/>
        </w:rPr>
        <w:t xml:space="preserve">also </w:t>
      </w:r>
      <w:r w:rsidR="00724BDD" w:rsidRPr="00CF4EF4">
        <w:rPr>
          <w:rFonts w:asciiTheme="minorHAnsi" w:hAnsiTheme="minorHAnsi" w:cs="Myriad Pro"/>
          <w:lang w:eastAsia="en-GB"/>
        </w:rPr>
        <w:t>reports grants from National Instit</w:t>
      </w:r>
      <w:r w:rsidRPr="00CF4EF4">
        <w:rPr>
          <w:rFonts w:asciiTheme="minorHAnsi" w:hAnsiTheme="minorHAnsi" w:cs="Myriad Pro"/>
          <w:lang w:eastAsia="en-GB"/>
        </w:rPr>
        <w:t xml:space="preserve">ute of Health Research (NIHR), </w:t>
      </w:r>
      <w:r w:rsidR="00724BDD" w:rsidRPr="00CF4EF4">
        <w:rPr>
          <w:rFonts w:asciiTheme="minorHAnsi" w:hAnsiTheme="minorHAnsi" w:cs="Myriad Pro"/>
          <w:lang w:eastAsia="en-GB"/>
        </w:rPr>
        <w:t xml:space="preserve">during the conduct of the study; grants from Innovate UK, </w:t>
      </w:r>
      <w:r w:rsidRPr="00CF4EF4">
        <w:rPr>
          <w:rFonts w:asciiTheme="minorHAnsi" w:hAnsiTheme="minorHAnsi" w:cs="Myriad Pro"/>
          <w:lang w:eastAsia="en-GB"/>
        </w:rPr>
        <w:t xml:space="preserve">grants from European Commission, outside the submitted work. The other authors report no conflict of interest relevant to this article. </w:t>
      </w:r>
      <w:r w:rsidR="00E10CD3">
        <w:br w:type="page"/>
      </w:r>
    </w:p>
    <w:p w14:paraId="6583CEA2" w14:textId="6A4BDC99" w:rsidR="005F4CE9" w:rsidRPr="00B16B93" w:rsidRDefault="005F4CE9" w:rsidP="00F52200">
      <w:pPr>
        <w:spacing w:line="360" w:lineRule="auto"/>
        <w:rPr>
          <w:b/>
        </w:rPr>
      </w:pPr>
      <w:r w:rsidRPr="00B16B93">
        <w:rPr>
          <w:b/>
        </w:rPr>
        <w:lastRenderedPageBreak/>
        <w:t xml:space="preserve">References </w:t>
      </w:r>
    </w:p>
    <w:p w14:paraId="6E39E7D4" w14:textId="20F65F1F" w:rsidR="00CC04BD" w:rsidRPr="00E01487" w:rsidRDefault="00CC04BD" w:rsidP="00CC04BD">
      <w:pPr>
        <w:widowControl w:val="0"/>
        <w:autoSpaceDE w:val="0"/>
        <w:autoSpaceDN w:val="0"/>
        <w:adjustRightInd w:val="0"/>
        <w:spacing w:line="360" w:lineRule="auto"/>
        <w:ind w:left="640" w:hanging="640"/>
        <w:rPr>
          <w:rFonts w:cs="Calibri"/>
          <w:noProof/>
          <w:szCs w:val="24"/>
        </w:rPr>
      </w:pPr>
      <w:bookmarkStart w:id="21" w:name="_Hlk30603703"/>
      <w:r>
        <w:rPr>
          <w:rFonts w:cs="Calibri"/>
          <w:b/>
          <w:noProof/>
          <w:szCs w:val="24"/>
        </w:rPr>
        <w:t>1</w:t>
      </w:r>
      <w:bookmarkStart w:id="22" w:name="_Hlk31721266"/>
      <w:r>
        <w:rPr>
          <w:rFonts w:cs="Calibri"/>
          <w:b/>
          <w:noProof/>
          <w:szCs w:val="24"/>
        </w:rPr>
        <w:t xml:space="preserve">.         </w:t>
      </w:r>
      <w:r w:rsidRPr="00CD61CA">
        <w:rPr>
          <w:rFonts w:cs="Calibri"/>
          <w:b/>
          <w:noProof/>
          <w:szCs w:val="24"/>
        </w:rPr>
        <w:t>Horner PJ</w:t>
      </w:r>
      <w:r w:rsidRPr="00E01487">
        <w:rPr>
          <w:rFonts w:cs="Calibri"/>
          <w:noProof/>
          <w:szCs w:val="24"/>
        </w:rPr>
        <w:t xml:space="preserve">, Martin DH. Mycoplasma genitalium Infection in Men. J Infect Dis. 2017 Jul;216(suppl_2):S396–405. </w:t>
      </w:r>
    </w:p>
    <w:p w14:paraId="3E7FB1F1" w14:textId="77777777"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 xml:space="preserve">2. </w:t>
      </w:r>
      <w:r w:rsidRPr="00E01487">
        <w:rPr>
          <w:rFonts w:cs="Calibri"/>
          <w:noProof/>
          <w:szCs w:val="24"/>
        </w:rPr>
        <w:tab/>
      </w:r>
      <w:r w:rsidRPr="00CD61CA">
        <w:rPr>
          <w:rFonts w:cs="Calibri"/>
          <w:b/>
          <w:noProof/>
          <w:szCs w:val="24"/>
        </w:rPr>
        <w:t>Taylor-Robinson D</w:t>
      </w:r>
      <w:r w:rsidRPr="00E01487">
        <w:rPr>
          <w:rFonts w:cs="Calibri"/>
          <w:noProof/>
          <w:szCs w:val="24"/>
        </w:rPr>
        <w:t xml:space="preserve">, Horner PJ. The role of Mycoplasma genitalium in non-gonococcal urethritis. Sex Transm Infect. 2001 Aug;77(4):229–31. </w:t>
      </w:r>
    </w:p>
    <w:p w14:paraId="43DA4331" w14:textId="77777777"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 xml:space="preserve">3. </w:t>
      </w:r>
      <w:r w:rsidRPr="00E01487">
        <w:rPr>
          <w:rFonts w:cs="Calibri"/>
          <w:noProof/>
          <w:szCs w:val="24"/>
        </w:rPr>
        <w:tab/>
      </w:r>
      <w:r w:rsidRPr="00CD61CA">
        <w:rPr>
          <w:rFonts w:cs="Calibri"/>
          <w:b/>
          <w:noProof/>
          <w:szCs w:val="24"/>
        </w:rPr>
        <w:t>Bradshaw CS</w:t>
      </w:r>
      <w:r w:rsidRPr="00E01487">
        <w:rPr>
          <w:rFonts w:cs="Calibri"/>
          <w:noProof/>
          <w:szCs w:val="24"/>
        </w:rPr>
        <w:t xml:space="preserve">, Tabrizi SN, Read TRH, Garland SM, Hopkins CA, Moss LM, et al. Etiologies of Nongonococcal Urethritis: Bacteria, Viruses, and the Association with Orogenital Exposure. J Infect Dis. 2006 Feb;193(3):336–45. </w:t>
      </w:r>
    </w:p>
    <w:p w14:paraId="27508412" w14:textId="77777777"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 xml:space="preserve">4. </w:t>
      </w:r>
      <w:r w:rsidRPr="00E01487">
        <w:rPr>
          <w:rFonts w:cs="Calibri"/>
          <w:noProof/>
          <w:szCs w:val="24"/>
        </w:rPr>
        <w:tab/>
      </w:r>
      <w:r w:rsidRPr="00CD61CA">
        <w:rPr>
          <w:rFonts w:cs="Calibri"/>
          <w:b/>
          <w:noProof/>
          <w:szCs w:val="24"/>
        </w:rPr>
        <w:t>Wiesenfeld HC</w:t>
      </w:r>
      <w:r w:rsidRPr="00E01487">
        <w:rPr>
          <w:rFonts w:cs="Calibri"/>
          <w:noProof/>
          <w:szCs w:val="24"/>
        </w:rPr>
        <w:t xml:space="preserve">, Manhart LE. Mycoplasma genitalium in Women: Current Knowledge and Research Priorities for This Recently Emerged Pathogen. J Infect Dis. 2017 Jul;216(suppl_2):S389–95. </w:t>
      </w:r>
    </w:p>
    <w:p w14:paraId="56E77523" w14:textId="77777777"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 xml:space="preserve">5. </w:t>
      </w:r>
      <w:r w:rsidRPr="00E01487">
        <w:rPr>
          <w:rFonts w:cs="Calibri"/>
          <w:noProof/>
          <w:szCs w:val="24"/>
        </w:rPr>
        <w:tab/>
      </w:r>
      <w:r w:rsidRPr="00CD61CA">
        <w:rPr>
          <w:rFonts w:cs="Calibri"/>
          <w:b/>
          <w:noProof/>
          <w:szCs w:val="24"/>
        </w:rPr>
        <w:t>Edlund M</w:t>
      </w:r>
      <w:r w:rsidRPr="00E01487">
        <w:rPr>
          <w:rFonts w:cs="Calibri"/>
          <w:noProof/>
          <w:szCs w:val="24"/>
        </w:rPr>
        <w:t xml:space="preserve">, Blaxhult A, Phd M, Bratt G. The spread of Mycoplasma genitalium among men who have sex with men. </w:t>
      </w:r>
      <w:r>
        <w:t xml:space="preserve">Int J STD AIDS. 2012 Jun;23(6):455-6. </w:t>
      </w:r>
      <w:proofErr w:type="spellStart"/>
      <w:r>
        <w:t>doi</w:t>
      </w:r>
      <w:proofErr w:type="spellEnd"/>
      <w:r>
        <w:t>: 10.1258/ijsa.2009.009411.</w:t>
      </w:r>
    </w:p>
    <w:p w14:paraId="0885AE50" w14:textId="77777777"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 xml:space="preserve">6. </w:t>
      </w:r>
      <w:r w:rsidRPr="00E01487">
        <w:rPr>
          <w:rFonts w:cs="Calibri"/>
          <w:noProof/>
          <w:szCs w:val="24"/>
        </w:rPr>
        <w:tab/>
      </w:r>
      <w:r w:rsidRPr="00CD61CA">
        <w:rPr>
          <w:rFonts w:cs="Calibri"/>
          <w:b/>
          <w:noProof/>
          <w:szCs w:val="24"/>
        </w:rPr>
        <w:t>Read TRH</w:t>
      </w:r>
      <w:r w:rsidRPr="00E01487">
        <w:rPr>
          <w:rFonts w:cs="Calibri"/>
          <w:noProof/>
          <w:szCs w:val="24"/>
        </w:rPr>
        <w:t xml:space="preserve">, Fairley CK, Tabrizi SN, Bissessor M, Vodstrcil L, Chow EPF, et al. Azithromycin 1.5g Over 5 Days Compared to 1g Single Dose in Urethral </w:t>
      </w:r>
      <w:r w:rsidRPr="00E01487">
        <w:rPr>
          <w:rFonts w:cs="Calibri"/>
          <w:i/>
          <w:iCs/>
          <w:noProof/>
          <w:szCs w:val="24"/>
        </w:rPr>
        <w:t>Mycoplasma genitalium</w:t>
      </w:r>
      <w:r w:rsidRPr="00E01487">
        <w:rPr>
          <w:rFonts w:cs="Calibri"/>
          <w:noProof/>
          <w:szCs w:val="24"/>
        </w:rPr>
        <w:t xml:space="preserve"> : Impact on Treatment Outcome and Resistance. </w:t>
      </w:r>
      <w:r>
        <w:rPr>
          <w:noProof/>
          <w:szCs w:val="24"/>
        </w:rPr>
        <w:t>Clin Infect Dis . 2017 Feb 1;64(3):250–6.</w:t>
      </w:r>
    </w:p>
    <w:p w14:paraId="0B7CEA70" w14:textId="77777777"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 xml:space="preserve">7. </w:t>
      </w:r>
      <w:r w:rsidRPr="00E01487">
        <w:rPr>
          <w:rFonts w:cs="Calibri"/>
          <w:noProof/>
          <w:szCs w:val="24"/>
        </w:rPr>
        <w:tab/>
      </w:r>
      <w:r w:rsidRPr="00CD61CA">
        <w:rPr>
          <w:rFonts w:cs="Calibri"/>
          <w:b/>
          <w:noProof/>
          <w:szCs w:val="24"/>
        </w:rPr>
        <w:t>Manhart LE</w:t>
      </w:r>
      <w:r w:rsidRPr="00E01487">
        <w:rPr>
          <w:rFonts w:cs="Calibri"/>
          <w:noProof/>
          <w:szCs w:val="24"/>
        </w:rPr>
        <w:t xml:space="preserve">, Jensen JS, Bradshaw CS, Golden MR, Martin DH. Efficacy of Antimicrobial Therapy for </w:t>
      </w:r>
      <w:r w:rsidRPr="00E01487">
        <w:rPr>
          <w:rFonts w:cs="Calibri"/>
          <w:i/>
          <w:iCs/>
          <w:noProof/>
          <w:szCs w:val="24"/>
        </w:rPr>
        <w:t>Mycoplasma genitalium</w:t>
      </w:r>
      <w:r w:rsidRPr="00E01487">
        <w:rPr>
          <w:rFonts w:cs="Calibri"/>
          <w:noProof/>
          <w:szCs w:val="24"/>
        </w:rPr>
        <w:t xml:space="preserve"> Infections. Clin Infect Dis. 2015 Dec;61(suppl 8):S802–17. </w:t>
      </w:r>
    </w:p>
    <w:p w14:paraId="523A8714" w14:textId="77777777"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 xml:space="preserve">8. </w:t>
      </w:r>
      <w:r w:rsidRPr="00E01487">
        <w:rPr>
          <w:rFonts w:cs="Calibri"/>
          <w:noProof/>
          <w:szCs w:val="24"/>
        </w:rPr>
        <w:tab/>
      </w:r>
      <w:r w:rsidRPr="00CD61CA">
        <w:rPr>
          <w:rFonts w:cs="Calibri"/>
          <w:b/>
          <w:noProof/>
          <w:szCs w:val="24"/>
        </w:rPr>
        <w:t>Kikuchi M</w:t>
      </w:r>
      <w:r w:rsidRPr="00E01487">
        <w:rPr>
          <w:rFonts w:cs="Calibri"/>
          <w:noProof/>
          <w:szCs w:val="24"/>
        </w:rPr>
        <w:t xml:space="preserve">, Ito S, Yasuda M, Tsuchiya T, Hatazaki K, Takanashi M, et al. Remarkable increase in fluoroquinolone-resistant Mycoplasma genitalium in Japan. J Antimicrob Chemother. 2014 Sep;69(9):2376–82. </w:t>
      </w:r>
    </w:p>
    <w:p w14:paraId="2A5CF38B" w14:textId="040A4B66" w:rsidR="00CC04BD"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 xml:space="preserve">9. </w:t>
      </w:r>
      <w:r w:rsidRPr="00E01487">
        <w:rPr>
          <w:rFonts w:cs="Calibri"/>
          <w:noProof/>
          <w:szCs w:val="24"/>
        </w:rPr>
        <w:tab/>
      </w:r>
      <w:r w:rsidRPr="00CD61CA">
        <w:rPr>
          <w:rFonts w:cs="Calibri"/>
          <w:b/>
          <w:noProof/>
          <w:szCs w:val="24"/>
        </w:rPr>
        <w:t>Tagg KA</w:t>
      </w:r>
      <w:r w:rsidRPr="00E01487">
        <w:rPr>
          <w:rFonts w:cs="Calibri"/>
          <w:noProof/>
          <w:szCs w:val="24"/>
        </w:rPr>
        <w:t xml:space="preserve">, Jeoffreys NJ, Couldwell DL, Donald JA, Gilbert GL. Fluoroquinolone and macrolide resistance-associated mutations in Mycoplasma genitalium. J Clin Microbiol. 2013 Jul;51(7):2245–9. </w:t>
      </w:r>
    </w:p>
    <w:p w14:paraId="0864D9F3" w14:textId="54A5F07F" w:rsidR="00436291" w:rsidRPr="00E01487" w:rsidRDefault="00436291" w:rsidP="009C73F3">
      <w:pPr>
        <w:widowControl w:val="0"/>
        <w:autoSpaceDE w:val="0"/>
        <w:autoSpaceDN w:val="0"/>
        <w:adjustRightInd w:val="0"/>
        <w:spacing w:line="360" w:lineRule="auto"/>
        <w:ind w:left="640" w:hanging="640"/>
        <w:rPr>
          <w:rFonts w:cs="Calibri"/>
          <w:noProof/>
          <w:szCs w:val="24"/>
        </w:rPr>
      </w:pPr>
      <w:r w:rsidRPr="00080EF0">
        <w:rPr>
          <w:rFonts w:cs="Calibri"/>
          <w:noProof/>
          <w:szCs w:val="24"/>
        </w:rPr>
        <w:t>10.</w:t>
      </w:r>
      <w:r>
        <w:rPr>
          <w:rFonts w:cs="Calibri"/>
          <w:b/>
          <w:noProof/>
          <w:szCs w:val="24"/>
        </w:rPr>
        <w:t xml:space="preserve">       </w:t>
      </w:r>
      <w:r w:rsidRPr="00CD61CA">
        <w:rPr>
          <w:rFonts w:cs="Calibri"/>
          <w:b/>
          <w:noProof/>
          <w:szCs w:val="24"/>
        </w:rPr>
        <w:t>Anagrius C</w:t>
      </w:r>
      <w:r w:rsidRPr="00E01487">
        <w:rPr>
          <w:rFonts w:cs="Calibri"/>
          <w:noProof/>
          <w:szCs w:val="24"/>
        </w:rPr>
        <w:t xml:space="preserve">, Loré B, Jensen JS. Treatment of Mycoplasma genitalium. Observations from a Swedish STD Clinic. Coenye T, editor. </w:t>
      </w:r>
      <w:r>
        <w:rPr>
          <w:noProof/>
          <w:szCs w:val="24"/>
        </w:rPr>
        <w:t>PLoS One. 2013 Apr 8;8(4):e61481.</w:t>
      </w:r>
    </w:p>
    <w:p w14:paraId="4AF7D6D7" w14:textId="00B82025"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1</w:t>
      </w:r>
      <w:r w:rsidR="00436291">
        <w:rPr>
          <w:rFonts w:cs="Calibri"/>
          <w:noProof/>
          <w:szCs w:val="24"/>
        </w:rPr>
        <w:t>1</w:t>
      </w:r>
      <w:r w:rsidRPr="00E01487">
        <w:rPr>
          <w:rFonts w:cs="Calibri"/>
          <w:noProof/>
          <w:szCs w:val="24"/>
        </w:rPr>
        <w:t xml:space="preserve">. </w:t>
      </w:r>
      <w:r w:rsidRPr="00E01487">
        <w:rPr>
          <w:rFonts w:cs="Calibri"/>
          <w:noProof/>
          <w:szCs w:val="24"/>
        </w:rPr>
        <w:tab/>
      </w:r>
      <w:r w:rsidRPr="00CD61CA">
        <w:rPr>
          <w:rFonts w:cs="Calibri"/>
          <w:b/>
          <w:noProof/>
          <w:szCs w:val="24"/>
        </w:rPr>
        <w:t>Read TRH</w:t>
      </w:r>
      <w:r w:rsidRPr="00E01487">
        <w:rPr>
          <w:rFonts w:cs="Calibri"/>
          <w:noProof/>
          <w:szCs w:val="24"/>
        </w:rPr>
        <w:t xml:space="preserve">, Fairley CK, Murray GL, Jensen JS, Danielewski J, Worthington K, et al. Outcomes of Resistance-guided Sequential Treatment of Mycoplasma genitalium Infections: A Prospective Evaluation. </w:t>
      </w:r>
      <w:r>
        <w:t xml:space="preserve">Clin Infect Dis. 2019 Feb 1;68(4):554-560. </w:t>
      </w:r>
      <w:proofErr w:type="spellStart"/>
      <w:r>
        <w:t>doi</w:t>
      </w:r>
      <w:proofErr w:type="spellEnd"/>
      <w:r>
        <w:t>: 10.1093/</w:t>
      </w:r>
      <w:proofErr w:type="spellStart"/>
      <w:r>
        <w:t>cid</w:t>
      </w:r>
      <w:proofErr w:type="spellEnd"/>
      <w:r>
        <w:t>/ciy477.</w:t>
      </w:r>
      <w:r w:rsidRPr="00E01487">
        <w:rPr>
          <w:rFonts w:cs="Calibri"/>
          <w:noProof/>
          <w:szCs w:val="24"/>
        </w:rPr>
        <w:t xml:space="preserve"> </w:t>
      </w:r>
    </w:p>
    <w:p w14:paraId="20F9CA8D" w14:textId="502AF6D2"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1</w:t>
      </w:r>
      <w:r w:rsidR="00506175">
        <w:rPr>
          <w:rFonts w:cs="Calibri"/>
          <w:noProof/>
          <w:szCs w:val="24"/>
        </w:rPr>
        <w:t>2</w:t>
      </w:r>
      <w:r w:rsidRPr="00E01487">
        <w:rPr>
          <w:rFonts w:cs="Calibri"/>
          <w:noProof/>
          <w:szCs w:val="24"/>
        </w:rPr>
        <w:t xml:space="preserve">. </w:t>
      </w:r>
      <w:r w:rsidRPr="00E01487">
        <w:rPr>
          <w:rFonts w:cs="Calibri"/>
          <w:noProof/>
          <w:szCs w:val="24"/>
        </w:rPr>
        <w:tab/>
      </w:r>
      <w:r w:rsidRPr="00CD61CA">
        <w:rPr>
          <w:b/>
          <w:noProof/>
          <w:szCs w:val="24"/>
        </w:rPr>
        <w:t>Australian Sexual Health Alliance</w:t>
      </w:r>
      <w:r>
        <w:rPr>
          <w:noProof/>
          <w:szCs w:val="24"/>
        </w:rPr>
        <w:t xml:space="preserve">. Mycoplasma genitalium - Australian STI Management </w:t>
      </w:r>
      <w:r>
        <w:rPr>
          <w:noProof/>
          <w:szCs w:val="24"/>
        </w:rPr>
        <w:lastRenderedPageBreak/>
        <w:t>Guidelines. 2018. Available from: http://www.sti.guidelines.org.au/sexually-transmissible-infections/mycoplasma-genitalium</w:t>
      </w:r>
      <w:r w:rsidRPr="00E01487">
        <w:rPr>
          <w:rFonts w:cs="Calibri"/>
          <w:noProof/>
          <w:szCs w:val="24"/>
        </w:rPr>
        <w:t xml:space="preserve">. </w:t>
      </w:r>
    </w:p>
    <w:p w14:paraId="29DC51E6" w14:textId="55A82F12"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1</w:t>
      </w:r>
      <w:r w:rsidR="00506175">
        <w:rPr>
          <w:rFonts w:cs="Calibri"/>
          <w:noProof/>
          <w:szCs w:val="24"/>
        </w:rPr>
        <w:t>3</w:t>
      </w:r>
      <w:r w:rsidRPr="00E01487">
        <w:rPr>
          <w:rFonts w:cs="Calibri"/>
          <w:noProof/>
          <w:szCs w:val="24"/>
        </w:rPr>
        <w:t xml:space="preserve">. </w:t>
      </w:r>
      <w:r w:rsidRPr="00E01487">
        <w:rPr>
          <w:rFonts w:cs="Calibri"/>
          <w:noProof/>
          <w:szCs w:val="24"/>
        </w:rPr>
        <w:tab/>
      </w:r>
      <w:r w:rsidRPr="00CD61CA">
        <w:rPr>
          <w:rFonts w:cs="Calibri"/>
          <w:b/>
          <w:noProof/>
          <w:szCs w:val="24"/>
        </w:rPr>
        <w:t>Sonnenberg P</w:t>
      </w:r>
      <w:r w:rsidRPr="00E01487">
        <w:rPr>
          <w:rFonts w:cs="Calibri"/>
          <w:noProof/>
          <w:szCs w:val="24"/>
        </w:rPr>
        <w:t>, Ison CA, Clifton S, Field N, Tanton C, Soldan K, et al. Epidemiology of Mycoplasma genitalium in  British men and women aged 16–44 years:  evidence from the third National Survey of  Sexual Attitudes and Lifestyles (Natsal-3).</w:t>
      </w:r>
      <w:r>
        <w:rPr>
          <w:rFonts w:cs="Calibri"/>
          <w:noProof/>
          <w:szCs w:val="24"/>
        </w:rPr>
        <w:t xml:space="preserve"> Int J Epidemiol. 2015 Dec;44(6):1982–94. </w:t>
      </w:r>
    </w:p>
    <w:p w14:paraId="043EB3C2" w14:textId="36EECA72"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1</w:t>
      </w:r>
      <w:r w:rsidR="00506175">
        <w:rPr>
          <w:rFonts w:cs="Calibri"/>
          <w:noProof/>
          <w:szCs w:val="24"/>
        </w:rPr>
        <w:t>4</w:t>
      </w:r>
      <w:r w:rsidRPr="00E01487">
        <w:rPr>
          <w:rFonts w:cs="Calibri"/>
          <w:noProof/>
          <w:szCs w:val="24"/>
        </w:rPr>
        <w:t xml:space="preserve">. </w:t>
      </w:r>
      <w:r w:rsidRPr="00E01487">
        <w:rPr>
          <w:rFonts w:cs="Calibri"/>
          <w:noProof/>
          <w:szCs w:val="24"/>
        </w:rPr>
        <w:tab/>
      </w:r>
      <w:r w:rsidRPr="00CD61CA">
        <w:rPr>
          <w:rFonts w:cs="Calibri"/>
          <w:b/>
          <w:noProof/>
          <w:szCs w:val="24"/>
        </w:rPr>
        <w:t>Pond MJ</w:t>
      </w:r>
      <w:r w:rsidRPr="00E01487">
        <w:rPr>
          <w:rFonts w:cs="Calibri"/>
          <w:noProof/>
          <w:szCs w:val="24"/>
        </w:rPr>
        <w:t xml:space="preserve">, Nori A V., Witney AA, Lopeman RC, Butcher PD, Sadiq ST. High Prevalence of Antibiotic-Resistant Mycoplasma genitalium in Nongonococcal Urethritis: The Need for Routine Testing and the Inadequacy of Current Treatment Options. Clin Infect Dis. 2014 Mar;58(5):631–7. </w:t>
      </w:r>
    </w:p>
    <w:p w14:paraId="7482CCBA" w14:textId="3108DFBE"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1</w:t>
      </w:r>
      <w:r w:rsidR="00506175">
        <w:rPr>
          <w:rFonts w:cs="Calibri"/>
          <w:noProof/>
          <w:szCs w:val="24"/>
        </w:rPr>
        <w:t>5</w:t>
      </w:r>
      <w:r w:rsidRPr="00E01487">
        <w:rPr>
          <w:rFonts w:cs="Calibri"/>
          <w:noProof/>
          <w:szCs w:val="24"/>
        </w:rPr>
        <w:t xml:space="preserve">. </w:t>
      </w:r>
      <w:r w:rsidRPr="00E01487">
        <w:rPr>
          <w:rFonts w:cs="Calibri"/>
          <w:noProof/>
          <w:szCs w:val="24"/>
        </w:rPr>
        <w:tab/>
      </w:r>
      <w:r w:rsidRPr="00CD61CA">
        <w:rPr>
          <w:rFonts w:cs="Calibri"/>
          <w:b/>
          <w:noProof/>
          <w:szCs w:val="24"/>
        </w:rPr>
        <w:t>Getman D</w:t>
      </w:r>
      <w:r w:rsidRPr="00E01487">
        <w:rPr>
          <w:rFonts w:cs="Calibri"/>
          <w:noProof/>
          <w:szCs w:val="24"/>
        </w:rPr>
        <w:t xml:space="preserve">, Jiang A, O’Donnell M, Cohen S. Mycoplasma genitalium Prevalence, Coinfection, and Macrolide Antibiotic Resistance Frequency in a Multicenter Clinical Study Cohort in the United States. J Clin Microbiol. 2016 Sep;54(9):2278–83. </w:t>
      </w:r>
    </w:p>
    <w:p w14:paraId="58F4DEB3" w14:textId="49105FCF"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1</w:t>
      </w:r>
      <w:r w:rsidR="008E7D2D">
        <w:rPr>
          <w:rFonts w:cs="Calibri"/>
          <w:noProof/>
          <w:szCs w:val="24"/>
        </w:rPr>
        <w:t>6</w:t>
      </w:r>
      <w:r w:rsidRPr="00E01487">
        <w:rPr>
          <w:rFonts w:cs="Calibri"/>
          <w:noProof/>
          <w:szCs w:val="24"/>
        </w:rPr>
        <w:t xml:space="preserve">. </w:t>
      </w:r>
      <w:r w:rsidRPr="00E01487">
        <w:rPr>
          <w:rFonts w:cs="Calibri"/>
          <w:noProof/>
          <w:szCs w:val="24"/>
        </w:rPr>
        <w:tab/>
      </w:r>
      <w:r w:rsidR="008E7D2D">
        <w:rPr>
          <w:rFonts w:cs="Calibri"/>
          <w:b/>
          <w:noProof/>
          <w:szCs w:val="24"/>
        </w:rPr>
        <w:t>Fernandez-Huerta M</w:t>
      </w:r>
      <w:r w:rsidRPr="00E01487">
        <w:rPr>
          <w:rFonts w:cs="Calibri"/>
          <w:noProof/>
          <w:szCs w:val="24"/>
        </w:rPr>
        <w:t xml:space="preserve">, </w:t>
      </w:r>
      <w:r w:rsidR="008E7D2D">
        <w:rPr>
          <w:rFonts w:cs="Calibri"/>
          <w:noProof/>
          <w:szCs w:val="24"/>
        </w:rPr>
        <w:t>Espasa M</w:t>
      </w:r>
      <w:r w:rsidRPr="00E01487">
        <w:rPr>
          <w:rFonts w:cs="Calibri"/>
          <w:noProof/>
          <w:szCs w:val="24"/>
        </w:rPr>
        <w:t xml:space="preserve">. </w:t>
      </w:r>
      <w:r w:rsidR="008E7D2D" w:rsidRPr="008E7D2D">
        <w:rPr>
          <w:rFonts w:cs="Calibri"/>
          <w:noProof/>
          <w:szCs w:val="24"/>
        </w:rPr>
        <w:t>Mycoplasma genitalium co-infection with</w:t>
      </w:r>
      <w:r w:rsidR="008E7D2D" w:rsidRPr="00080EF0">
        <w:rPr>
          <w:rFonts w:cs="Calibri"/>
          <w:i/>
          <w:noProof/>
          <w:szCs w:val="24"/>
        </w:rPr>
        <w:t xml:space="preserve"> Chlamydia trachomatis</w:t>
      </w:r>
      <w:r w:rsidR="008E7D2D" w:rsidRPr="008E7D2D">
        <w:rPr>
          <w:rFonts w:cs="Calibri"/>
          <w:noProof/>
          <w:szCs w:val="24"/>
        </w:rPr>
        <w:t xml:space="preserve"> and </w:t>
      </w:r>
      <w:r w:rsidR="008E7D2D" w:rsidRPr="00080EF0">
        <w:rPr>
          <w:rFonts w:cs="Calibri"/>
          <w:i/>
          <w:noProof/>
          <w:szCs w:val="24"/>
        </w:rPr>
        <w:t>Neisseria gonorrhoeae</w:t>
      </w:r>
      <w:r w:rsidR="008E7D2D" w:rsidRPr="008E7D2D">
        <w:rPr>
          <w:rFonts w:cs="Calibri"/>
          <w:noProof/>
          <w:szCs w:val="24"/>
        </w:rPr>
        <w:t xml:space="preserve"> among asymptomatic patients: the silent wick for macrolide resistance spread</w:t>
      </w:r>
      <w:r w:rsidRPr="00E01487">
        <w:rPr>
          <w:rFonts w:cs="Calibri"/>
          <w:noProof/>
          <w:szCs w:val="24"/>
        </w:rPr>
        <w:t xml:space="preserve">. </w:t>
      </w:r>
      <w:r w:rsidR="008E7D2D" w:rsidRPr="008E7D2D">
        <w:rPr>
          <w:rFonts w:cs="Calibri"/>
          <w:noProof/>
          <w:szCs w:val="24"/>
        </w:rPr>
        <w:t>Sexually Transmitted Infections 2019;95:391.</w:t>
      </w:r>
    </w:p>
    <w:p w14:paraId="45105EDB" w14:textId="283254DF"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1</w:t>
      </w:r>
      <w:r w:rsidR="008E7D2D">
        <w:rPr>
          <w:rFonts w:cs="Calibri"/>
          <w:noProof/>
          <w:szCs w:val="24"/>
        </w:rPr>
        <w:t>7</w:t>
      </w:r>
      <w:r w:rsidRPr="00E01487">
        <w:rPr>
          <w:rFonts w:cs="Calibri"/>
          <w:noProof/>
          <w:szCs w:val="24"/>
        </w:rPr>
        <w:t xml:space="preserve">. </w:t>
      </w:r>
      <w:r w:rsidRPr="00E01487">
        <w:rPr>
          <w:rFonts w:cs="Calibri"/>
          <w:noProof/>
          <w:szCs w:val="24"/>
        </w:rPr>
        <w:tab/>
      </w:r>
      <w:r w:rsidRPr="00CD61CA">
        <w:rPr>
          <w:rFonts w:cs="Calibri"/>
          <w:b/>
          <w:noProof/>
          <w:szCs w:val="24"/>
        </w:rPr>
        <w:t>Nwokolo NC</w:t>
      </w:r>
      <w:r w:rsidRPr="00E01487">
        <w:rPr>
          <w:rFonts w:cs="Calibri"/>
          <w:noProof/>
          <w:szCs w:val="24"/>
        </w:rPr>
        <w:t xml:space="preserve">, Dragovic B, Patel S, Tong CW, Barker G, Radcliffe K. 2015 UK national guideline for the management of infection with </w:t>
      </w:r>
      <w:r w:rsidRPr="00E01487">
        <w:rPr>
          <w:rFonts w:cs="Calibri"/>
          <w:i/>
          <w:iCs/>
          <w:noProof/>
          <w:szCs w:val="24"/>
        </w:rPr>
        <w:t>Chlamydia trachomatis</w:t>
      </w:r>
      <w:r w:rsidRPr="00E01487">
        <w:rPr>
          <w:rFonts w:cs="Calibri"/>
          <w:noProof/>
          <w:szCs w:val="24"/>
        </w:rPr>
        <w:t xml:space="preserve">. Int J STD AIDS. 2016 Mar 4;27(4):251–67. </w:t>
      </w:r>
    </w:p>
    <w:p w14:paraId="3277B1B0" w14:textId="6D257843" w:rsidR="00CC04BD" w:rsidRPr="00E01487" w:rsidRDefault="00CC04BD" w:rsidP="008E7D2D">
      <w:pPr>
        <w:widowControl w:val="0"/>
        <w:autoSpaceDE w:val="0"/>
        <w:autoSpaceDN w:val="0"/>
        <w:adjustRightInd w:val="0"/>
        <w:spacing w:line="360" w:lineRule="auto"/>
        <w:ind w:left="640" w:hanging="640"/>
        <w:rPr>
          <w:rFonts w:cs="Calibri"/>
          <w:noProof/>
          <w:szCs w:val="24"/>
        </w:rPr>
      </w:pPr>
      <w:r w:rsidRPr="00E01487">
        <w:rPr>
          <w:rFonts w:cs="Calibri"/>
          <w:noProof/>
          <w:szCs w:val="24"/>
        </w:rPr>
        <w:t>1</w:t>
      </w:r>
      <w:r w:rsidR="008E7D2D">
        <w:rPr>
          <w:rFonts w:cs="Calibri"/>
          <w:noProof/>
          <w:szCs w:val="24"/>
        </w:rPr>
        <w:t>8</w:t>
      </w:r>
      <w:r w:rsidRPr="00E01487">
        <w:rPr>
          <w:rFonts w:cs="Calibri"/>
          <w:noProof/>
          <w:szCs w:val="24"/>
        </w:rPr>
        <w:t xml:space="preserve">. </w:t>
      </w:r>
      <w:r w:rsidRPr="00E01487">
        <w:rPr>
          <w:rFonts w:cs="Calibri"/>
          <w:noProof/>
          <w:szCs w:val="24"/>
        </w:rPr>
        <w:tab/>
      </w:r>
      <w:r w:rsidRPr="00CD61CA">
        <w:rPr>
          <w:rFonts w:cs="Calibri"/>
          <w:b/>
          <w:noProof/>
          <w:szCs w:val="24"/>
        </w:rPr>
        <w:t>Wikstrom A</w:t>
      </w:r>
      <w:r w:rsidRPr="00E01487">
        <w:rPr>
          <w:rFonts w:cs="Calibri"/>
          <w:noProof/>
          <w:szCs w:val="24"/>
        </w:rPr>
        <w:t xml:space="preserve">, Jensen JS. Mycoplasma genitalium: a common cause of persistent urethritis among men treated with doxycycline. Sex Transm Infect. 2006 Aug;82(4):276–9. </w:t>
      </w:r>
    </w:p>
    <w:p w14:paraId="34E86A61" w14:textId="77777777"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 xml:space="preserve">19. </w:t>
      </w:r>
      <w:r w:rsidRPr="00E01487">
        <w:rPr>
          <w:rFonts w:cs="Calibri"/>
          <w:noProof/>
          <w:szCs w:val="24"/>
        </w:rPr>
        <w:tab/>
      </w:r>
      <w:r w:rsidRPr="00CD61CA">
        <w:rPr>
          <w:rFonts w:cs="Calibri"/>
          <w:b/>
          <w:noProof/>
          <w:szCs w:val="24"/>
        </w:rPr>
        <w:t>Jensen JS</w:t>
      </w:r>
      <w:r w:rsidRPr="00E01487">
        <w:rPr>
          <w:rFonts w:cs="Calibri"/>
          <w:noProof/>
          <w:szCs w:val="24"/>
        </w:rPr>
        <w:t xml:space="preserve">, Bradshaw C. Management of Mycoplasma genitalium infections - can we hit a moving target? </w:t>
      </w:r>
      <w:r>
        <w:rPr>
          <w:noProof/>
          <w:szCs w:val="24"/>
        </w:rPr>
        <w:t>BMC Infect Dis. 2015 Aug 19;15:343. 6</w:t>
      </w:r>
    </w:p>
    <w:p w14:paraId="3B21858F" w14:textId="7430B15A" w:rsidR="00CC04BD" w:rsidRPr="00E01487" w:rsidRDefault="00CC04BD" w:rsidP="00207D5C">
      <w:pPr>
        <w:widowControl w:val="0"/>
        <w:autoSpaceDE w:val="0"/>
        <w:autoSpaceDN w:val="0"/>
        <w:adjustRightInd w:val="0"/>
        <w:spacing w:line="360" w:lineRule="auto"/>
        <w:ind w:left="640" w:hanging="640"/>
        <w:rPr>
          <w:rFonts w:cs="Calibri"/>
          <w:noProof/>
          <w:szCs w:val="24"/>
        </w:rPr>
      </w:pPr>
      <w:r w:rsidRPr="00E01487">
        <w:rPr>
          <w:rFonts w:cs="Calibri"/>
          <w:noProof/>
          <w:szCs w:val="24"/>
        </w:rPr>
        <w:t xml:space="preserve">20. </w:t>
      </w:r>
      <w:r w:rsidRPr="00E01487">
        <w:rPr>
          <w:rFonts w:cs="Calibri"/>
          <w:noProof/>
          <w:szCs w:val="24"/>
        </w:rPr>
        <w:tab/>
      </w:r>
      <w:r w:rsidRPr="00CD61CA">
        <w:rPr>
          <w:rFonts w:cs="Calibri"/>
          <w:b/>
          <w:noProof/>
          <w:szCs w:val="24"/>
        </w:rPr>
        <w:t>Lau A</w:t>
      </w:r>
      <w:r w:rsidRPr="00E01487">
        <w:rPr>
          <w:rFonts w:cs="Calibri"/>
          <w:noProof/>
          <w:szCs w:val="24"/>
        </w:rPr>
        <w:t xml:space="preserve">, Kong F, Fairley CK, Donovan B, Chen M, Bradshaw C, et al. Treatment efficacy of azithromycin 1 g single dose versus doxycycline 100 mg twice daily for 7 days for the treatment of rectal chlamydia among men who have sex with men - a double-blind randomised controlled trial protocol. BMC Infect Dis. 2017;17(1):35. </w:t>
      </w:r>
    </w:p>
    <w:p w14:paraId="100D98A4" w14:textId="23156CAF"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2</w:t>
      </w:r>
      <w:r w:rsidR="00207D5C">
        <w:rPr>
          <w:rFonts w:cs="Calibri"/>
          <w:noProof/>
          <w:szCs w:val="24"/>
        </w:rPr>
        <w:t>1</w:t>
      </w:r>
      <w:r w:rsidRPr="00E01487">
        <w:rPr>
          <w:rFonts w:cs="Calibri"/>
          <w:noProof/>
          <w:szCs w:val="24"/>
        </w:rPr>
        <w:t xml:space="preserve">. </w:t>
      </w:r>
      <w:r w:rsidRPr="00E01487">
        <w:rPr>
          <w:rFonts w:cs="Calibri"/>
          <w:noProof/>
          <w:szCs w:val="24"/>
        </w:rPr>
        <w:tab/>
      </w:r>
      <w:r w:rsidRPr="00CD61CA">
        <w:rPr>
          <w:rFonts w:cs="Calibri"/>
          <w:b/>
          <w:noProof/>
          <w:szCs w:val="24"/>
        </w:rPr>
        <w:t>Shimada Y</w:t>
      </w:r>
      <w:r w:rsidRPr="00E01487">
        <w:rPr>
          <w:rFonts w:cs="Calibri"/>
          <w:noProof/>
          <w:szCs w:val="24"/>
        </w:rPr>
        <w:t xml:space="preserve">, Deguchi T, Nakane K, Yasuda M, Yokoi S, Ito S, et al. Macrolide Resistance–associated 23S rRNA Mutation in Mycoplasma genitalium, Japan. </w:t>
      </w:r>
      <w:r>
        <w:rPr>
          <w:noProof/>
          <w:szCs w:val="24"/>
        </w:rPr>
        <w:t>Emerg Infect Dis. 2011 Jun; 17(6): 1148–1150. doi: 10.3201/eid1706.101055</w:t>
      </w:r>
    </w:p>
    <w:p w14:paraId="74A58F4F" w14:textId="1CD913D8"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2</w:t>
      </w:r>
      <w:r w:rsidR="00207D5C">
        <w:rPr>
          <w:rFonts w:cs="Calibri"/>
          <w:noProof/>
          <w:szCs w:val="24"/>
        </w:rPr>
        <w:t>2</w:t>
      </w:r>
      <w:r w:rsidRPr="00E01487">
        <w:rPr>
          <w:rFonts w:cs="Calibri"/>
          <w:noProof/>
          <w:szCs w:val="24"/>
        </w:rPr>
        <w:t xml:space="preserve">. </w:t>
      </w:r>
      <w:r w:rsidRPr="00E01487">
        <w:rPr>
          <w:rFonts w:cs="Calibri"/>
          <w:noProof/>
          <w:szCs w:val="24"/>
        </w:rPr>
        <w:tab/>
      </w:r>
      <w:r w:rsidRPr="00CD61CA">
        <w:rPr>
          <w:rFonts w:cs="Calibri"/>
          <w:b/>
          <w:noProof/>
          <w:szCs w:val="24"/>
        </w:rPr>
        <w:t>Martens L</w:t>
      </w:r>
      <w:r w:rsidRPr="00E01487">
        <w:rPr>
          <w:rFonts w:cs="Calibri"/>
          <w:noProof/>
          <w:szCs w:val="24"/>
        </w:rPr>
        <w:t xml:space="preserve">, Kuster S, de Vos W, Kersten M, Berkhout H, Hagen F. Macrolide-Resistant </w:t>
      </w:r>
      <w:r w:rsidRPr="00E01487">
        <w:rPr>
          <w:rFonts w:cs="Calibri"/>
          <w:i/>
          <w:iCs/>
          <w:noProof/>
          <w:szCs w:val="24"/>
        </w:rPr>
        <w:lastRenderedPageBreak/>
        <w:t>Mycoplasma genitalium</w:t>
      </w:r>
      <w:r w:rsidRPr="00E01487">
        <w:rPr>
          <w:rFonts w:cs="Calibri"/>
          <w:noProof/>
          <w:szCs w:val="24"/>
        </w:rPr>
        <w:t xml:space="preserve"> in Southeastern Region of the Netherlands, 2014–2017. Emerg Infect Dis . 2019 Jul;25(7):1297–303.</w:t>
      </w:r>
    </w:p>
    <w:p w14:paraId="0E77D1B3" w14:textId="35F5E9A9"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2</w:t>
      </w:r>
      <w:r w:rsidR="00207D5C">
        <w:rPr>
          <w:rFonts w:cs="Calibri"/>
          <w:noProof/>
          <w:szCs w:val="24"/>
        </w:rPr>
        <w:t>3</w:t>
      </w:r>
      <w:r w:rsidRPr="00E01487">
        <w:rPr>
          <w:rFonts w:cs="Calibri"/>
          <w:noProof/>
          <w:szCs w:val="24"/>
        </w:rPr>
        <w:t xml:space="preserve">. </w:t>
      </w:r>
      <w:r w:rsidRPr="00E01487">
        <w:rPr>
          <w:rFonts w:cs="Calibri"/>
          <w:noProof/>
          <w:szCs w:val="24"/>
        </w:rPr>
        <w:tab/>
      </w:r>
      <w:r w:rsidRPr="00080EF0">
        <w:rPr>
          <w:rFonts w:cs="Calibri"/>
          <w:b/>
          <w:noProof/>
          <w:szCs w:val="24"/>
          <w:lang w:val="fr-FR"/>
        </w:rPr>
        <w:t>Deguchi T</w:t>
      </w:r>
      <w:r w:rsidRPr="00080EF0">
        <w:rPr>
          <w:rFonts w:cs="Calibri"/>
          <w:noProof/>
          <w:szCs w:val="24"/>
          <w:lang w:val="fr-FR"/>
        </w:rPr>
        <w:t xml:space="preserve">, Ito S, Yasuda M, Sato Y, Uchida C, Sawamura M, et al. </w:t>
      </w:r>
      <w:r w:rsidRPr="00E01487">
        <w:rPr>
          <w:rFonts w:cs="Calibri"/>
          <w:noProof/>
          <w:szCs w:val="24"/>
        </w:rPr>
        <w:t xml:space="preserve">Surveillance of the prevalence of macrolide and/or fluoroquinolone resistance-associated mutations in Mycoplasma genitalium in Japan. </w:t>
      </w:r>
      <w:r>
        <w:t xml:space="preserve">J Infect Chemother. 2018 Nov;24(11):861-867. </w:t>
      </w:r>
      <w:proofErr w:type="spellStart"/>
      <w:r>
        <w:t>doi</w:t>
      </w:r>
      <w:proofErr w:type="spellEnd"/>
      <w:r>
        <w:t>: 10.1016/j.jiac.2018.08.009</w:t>
      </w:r>
    </w:p>
    <w:p w14:paraId="25B46737" w14:textId="79F4A8EE"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2</w:t>
      </w:r>
      <w:r w:rsidR="0069757D">
        <w:rPr>
          <w:rFonts w:cs="Calibri"/>
          <w:noProof/>
          <w:szCs w:val="24"/>
        </w:rPr>
        <w:t>4</w:t>
      </w:r>
      <w:r w:rsidRPr="00E01487">
        <w:rPr>
          <w:rFonts w:cs="Calibri"/>
          <w:noProof/>
          <w:szCs w:val="24"/>
        </w:rPr>
        <w:t xml:space="preserve">. </w:t>
      </w:r>
      <w:r w:rsidRPr="00E01487">
        <w:rPr>
          <w:rFonts w:cs="Calibri"/>
          <w:noProof/>
          <w:szCs w:val="24"/>
        </w:rPr>
        <w:tab/>
      </w:r>
      <w:r w:rsidRPr="00CD61CA">
        <w:rPr>
          <w:rFonts w:cs="Calibri"/>
          <w:b/>
          <w:noProof/>
          <w:szCs w:val="24"/>
        </w:rPr>
        <w:t>Soni S</w:t>
      </w:r>
      <w:r w:rsidRPr="00E01487">
        <w:rPr>
          <w:rFonts w:cs="Calibri"/>
          <w:noProof/>
          <w:szCs w:val="24"/>
        </w:rPr>
        <w:t>, Horner P, Rayment M, Pinto-sander N, Naous N, Parkhouse A, et al. 2018 BASHH UK national guideline for the</w:t>
      </w:r>
      <w:r>
        <w:rPr>
          <w:rFonts w:cs="Calibri"/>
          <w:noProof/>
          <w:szCs w:val="24"/>
        </w:rPr>
        <w:t xml:space="preserve"> management of infection with </w:t>
      </w:r>
      <w:r w:rsidRPr="00E2388D">
        <w:rPr>
          <w:rFonts w:cs="Calibri"/>
          <w:i/>
          <w:noProof/>
          <w:szCs w:val="24"/>
        </w:rPr>
        <w:t>Mycoplasma genitalium</w:t>
      </w:r>
      <w:r w:rsidRPr="00E01487">
        <w:rPr>
          <w:rFonts w:cs="Calibri"/>
          <w:noProof/>
          <w:szCs w:val="24"/>
        </w:rPr>
        <w:t>.</w:t>
      </w:r>
      <w:r>
        <w:rPr>
          <w:noProof/>
          <w:szCs w:val="24"/>
        </w:rPr>
        <w:t xml:space="preserve"> International Journal of STD and AIDS. 2019; 30(10) 983-950</w:t>
      </w:r>
      <w:r w:rsidRPr="00E01487">
        <w:rPr>
          <w:rFonts w:cs="Calibri"/>
          <w:noProof/>
          <w:szCs w:val="24"/>
        </w:rPr>
        <w:t xml:space="preserve">. </w:t>
      </w:r>
    </w:p>
    <w:p w14:paraId="14E882BF" w14:textId="63ED91F5"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2</w:t>
      </w:r>
      <w:r w:rsidR="0069757D">
        <w:rPr>
          <w:rFonts w:cs="Calibri"/>
          <w:noProof/>
          <w:szCs w:val="24"/>
        </w:rPr>
        <w:t>5</w:t>
      </w:r>
      <w:r w:rsidRPr="00E01487">
        <w:rPr>
          <w:rFonts w:cs="Calibri"/>
          <w:noProof/>
          <w:szCs w:val="24"/>
        </w:rPr>
        <w:t xml:space="preserve">. </w:t>
      </w:r>
      <w:r w:rsidRPr="00E01487">
        <w:rPr>
          <w:rFonts w:cs="Calibri"/>
          <w:noProof/>
          <w:szCs w:val="24"/>
        </w:rPr>
        <w:tab/>
      </w:r>
      <w:r w:rsidRPr="00CD61CA">
        <w:rPr>
          <w:rFonts w:cs="Calibri"/>
          <w:b/>
          <w:noProof/>
          <w:szCs w:val="24"/>
        </w:rPr>
        <w:t>Jensen JS</w:t>
      </w:r>
      <w:r w:rsidRPr="00E01487">
        <w:rPr>
          <w:rFonts w:cs="Calibri"/>
          <w:noProof/>
          <w:szCs w:val="24"/>
        </w:rPr>
        <w:t xml:space="preserve">, Cusini M, Gomberg M, Moi H. 2016 European guideline on Mycoplasma genitalium infections. J Eur Acad Dermatology Venereol. 2016;30(10):1650–6. </w:t>
      </w:r>
    </w:p>
    <w:p w14:paraId="36ECA417" w14:textId="7487FB8C"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2</w:t>
      </w:r>
      <w:r w:rsidR="0069757D">
        <w:rPr>
          <w:rFonts w:cs="Calibri"/>
          <w:noProof/>
          <w:szCs w:val="24"/>
        </w:rPr>
        <w:t>6</w:t>
      </w:r>
      <w:r w:rsidRPr="00E01487">
        <w:rPr>
          <w:rFonts w:cs="Calibri"/>
          <w:noProof/>
          <w:szCs w:val="24"/>
        </w:rPr>
        <w:t xml:space="preserve">. </w:t>
      </w:r>
      <w:r w:rsidRPr="00E01487">
        <w:rPr>
          <w:rFonts w:cs="Calibri"/>
          <w:noProof/>
          <w:szCs w:val="24"/>
        </w:rPr>
        <w:tab/>
      </w:r>
      <w:r w:rsidRPr="00CD61CA">
        <w:rPr>
          <w:rFonts w:cs="Calibri"/>
          <w:b/>
          <w:noProof/>
          <w:szCs w:val="24"/>
        </w:rPr>
        <w:t>Harding-Esch EM</w:t>
      </w:r>
      <w:r w:rsidRPr="00E01487">
        <w:rPr>
          <w:rFonts w:cs="Calibri"/>
          <w:noProof/>
          <w:szCs w:val="24"/>
        </w:rPr>
        <w:t xml:space="preserve">, Nori A V, Hegazi A, Pond MJ, Okolo O, Nardone A, et al. Impact of deploying multiple point-of-care tests with a “sample first” approach on a sexual health clinical care pathway. A service evaluation. Sex Transm Infect. 2017 Sep;93(6):424–9. </w:t>
      </w:r>
    </w:p>
    <w:p w14:paraId="2F5FE3DE" w14:textId="2379868E"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2</w:t>
      </w:r>
      <w:r w:rsidR="0069757D">
        <w:rPr>
          <w:rFonts w:cs="Calibri"/>
          <w:noProof/>
          <w:szCs w:val="24"/>
        </w:rPr>
        <w:t>7</w:t>
      </w:r>
      <w:r w:rsidRPr="00E01487">
        <w:rPr>
          <w:rFonts w:cs="Calibri"/>
          <w:noProof/>
          <w:szCs w:val="24"/>
        </w:rPr>
        <w:t xml:space="preserve">. </w:t>
      </w:r>
      <w:r w:rsidRPr="00E01487">
        <w:rPr>
          <w:rFonts w:cs="Calibri"/>
          <w:noProof/>
          <w:szCs w:val="24"/>
        </w:rPr>
        <w:tab/>
      </w:r>
      <w:r w:rsidRPr="00CD61CA">
        <w:rPr>
          <w:rFonts w:cs="Calibri"/>
          <w:b/>
          <w:noProof/>
          <w:szCs w:val="24"/>
        </w:rPr>
        <w:t>Jensen JS</w:t>
      </w:r>
      <w:r w:rsidRPr="00E01487">
        <w:rPr>
          <w:rFonts w:cs="Calibri"/>
          <w:noProof/>
          <w:szCs w:val="24"/>
        </w:rPr>
        <w:t xml:space="preserve">, Bradshaw CS, Tabrizi SN, Fairley CK, Hamasuna R. Azithromycin treatment failure in Mycoplasma genitalium-positive patients with nongonococcal urethritis is associated with induced macrolide resistance. Clin Infect Dis. 2008;47(12):1546–53. </w:t>
      </w:r>
    </w:p>
    <w:p w14:paraId="0CB58981" w14:textId="48493C58" w:rsidR="00CC04BD" w:rsidRPr="00E01487" w:rsidRDefault="00CC04BD" w:rsidP="00CC04BD">
      <w:pPr>
        <w:widowControl w:val="0"/>
        <w:autoSpaceDE w:val="0"/>
        <w:autoSpaceDN w:val="0"/>
        <w:adjustRightInd w:val="0"/>
        <w:spacing w:line="360" w:lineRule="auto"/>
        <w:ind w:left="640" w:hanging="640"/>
        <w:rPr>
          <w:rFonts w:cs="Calibri"/>
          <w:noProof/>
          <w:szCs w:val="24"/>
        </w:rPr>
      </w:pPr>
      <w:r w:rsidRPr="00E01487">
        <w:rPr>
          <w:rFonts w:cs="Calibri"/>
          <w:noProof/>
          <w:szCs w:val="24"/>
        </w:rPr>
        <w:t>2</w:t>
      </w:r>
      <w:r w:rsidR="0069757D">
        <w:rPr>
          <w:rFonts w:cs="Calibri"/>
          <w:noProof/>
          <w:szCs w:val="24"/>
        </w:rPr>
        <w:t>8</w:t>
      </w:r>
      <w:r w:rsidRPr="00E01487">
        <w:rPr>
          <w:rFonts w:cs="Calibri"/>
          <w:noProof/>
          <w:szCs w:val="24"/>
        </w:rPr>
        <w:t xml:space="preserve">. </w:t>
      </w:r>
      <w:r w:rsidRPr="00E01487">
        <w:rPr>
          <w:rFonts w:cs="Calibri"/>
          <w:noProof/>
          <w:szCs w:val="24"/>
        </w:rPr>
        <w:tab/>
      </w:r>
      <w:r w:rsidRPr="00CD61CA">
        <w:rPr>
          <w:rFonts w:cs="Calibri"/>
          <w:b/>
          <w:noProof/>
          <w:szCs w:val="24"/>
        </w:rPr>
        <w:t>Kikuchi M</w:t>
      </w:r>
      <w:r w:rsidRPr="00E01487">
        <w:rPr>
          <w:rFonts w:cs="Calibri"/>
          <w:noProof/>
          <w:szCs w:val="24"/>
        </w:rPr>
        <w:t xml:space="preserve">, Ito S, Yasuda M, Tsuchiya T, Hatazaki K, Takanashi M, et al. Remarkable increase in fluoroquinolone-resistant Mycoplasma genitalium in Japan. J Antimicrob Chemother. 2014 Sep 1;69(9):2376–82. </w:t>
      </w:r>
    </w:p>
    <w:p w14:paraId="2B68C2C7" w14:textId="1F821B74" w:rsidR="00CC04BD" w:rsidRDefault="0069757D" w:rsidP="00CC04BD">
      <w:pPr>
        <w:widowControl w:val="0"/>
        <w:autoSpaceDE w:val="0"/>
        <w:autoSpaceDN w:val="0"/>
        <w:adjustRightInd w:val="0"/>
        <w:spacing w:line="360" w:lineRule="auto"/>
        <w:ind w:left="640" w:hanging="640"/>
        <w:rPr>
          <w:rFonts w:cs="Calibri"/>
          <w:noProof/>
          <w:szCs w:val="24"/>
        </w:rPr>
      </w:pPr>
      <w:r>
        <w:rPr>
          <w:rFonts w:cs="Calibri"/>
          <w:noProof/>
          <w:szCs w:val="24"/>
        </w:rPr>
        <w:t>29</w:t>
      </w:r>
      <w:r w:rsidR="00CC04BD" w:rsidRPr="00E01487">
        <w:rPr>
          <w:rFonts w:cs="Calibri"/>
          <w:noProof/>
          <w:szCs w:val="24"/>
        </w:rPr>
        <w:t xml:space="preserve">. </w:t>
      </w:r>
      <w:r w:rsidR="00CC04BD" w:rsidRPr="00E01487">
        <w:rPr>
          <w:rFonts w:cs="Calibri"/>
          <w:noProof/>
          <w:szCs w:val="24"/>
        </w:rPr>
        <w:tab/>
      </w:r>
      <w:r w:rsidR="00CC04BD" w:rsidRPr="00CD61CA">
        <w:rPr>
          <w:rFonts w:cs="Calibri"/>
          <w:b/>
          <w:noProof/>
          <w:szCs w:val="24"/>
        </w:rPr>
        <w:t>Murray GL</w:t>
      </w:r>
      <w:r w:rsidR="00CC04BD" w:rsidRPr="00E01487">
        <w:rPr>
          <w:rFonts w:cs="Calibri"/>
          <w:noProof/>
          <w:szCs w:val="24"/>
        </w:rPr>
        <w:t xml:space="preserve">, Bradshaw CS, Bissessor M, Danielewski J, Garland SM, Jensen JS, et al. Increasing Macrolide and Fluoroquinolone Resistance in Mycoplasma genitalium. Emerg Infect Dis. 2017;23(5):809–12. </w:t>
      </w:r>
    </w:p>
    <w:p w14:paraId="5495D5E9" w14:textId="01D64DBF" w:rsidR="004C50CE" w:rsidRDefault="004C50CE" w:rsidP="00CC04BD">
      <w:pPr>
        <w:widowControl w:val="0"/>
        <w:autoSpaceDE w:val="0"/>
        <w:autoSpaceDN w:val="0"/>
        <w:adjustRightInd w:val="0"/>
        <w:spacing w:line="360" w:lineRule="auto"/>
        <w:ind w:left="640" w:hanging="640"/>
        <w:rPr>
          <w:rFonts w:cs="Calibri"/>
          <w:noProof/>
          <w:szCs w:val="24"/>
        </w:rPr>
      </w:pPr>
      <w:r>
        <w:rPr>
          <w:rFonts w:cs="Calibri"/>
          <w:noProof/>
          <w:szCs w:val="24"/>
        </w:rPr>
        <w:t xml:space="preserve">30.       </w:t>
      </w:r>
      <w:r w:rsidRPr="00CD61CA">
        <w:rPr>
          <w:rFonts w:cs="Calibri"/>
          <w:b/>
          <w:noProof/>
          <w:szCs w:val="24"/>
        </w:rPr>
        <w:t>Baumann L</w:t>
      </w:r>
      <w:r w:rsidRPr="00E01487">
        <w:rPr>
          <w:rFonts w:cs="Calibri"/>
          <w:noProof/>
          <w:szCs w:val="24"/>
        </w:rPr>
        <w:t>, Cina M, Egli-Gany D, Goutaki M, Halbeisen FS, Lohrer G-R, et al. Prevalence of Mycoplasma genitalium in different population groups: systematic review andmeta-analysis. Sex Transm Infect. 2018;94(4).</w:t>
      </w:r>
    </w:p>
    <w:bookmarkEnd w:id="22"/>
    <w:bookmarkEnd w:id="21"/>
    <w:p w14:paraId="48AA4496" w14:textId="77777777" w:rsidR="00DB3E62" w:rsidRDefault="00DB3E62" w:rsidP="00A4097E">
      <w:pPr>
        <w:spacing w:line="360" w:lineRule="auto"/>
      </w:pPr>
    </w:p>
    <w:sectPr w:rsidR="00DB3E62" w:rsidSect="007E37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EF271" w14:textId="77777777" w:rsidR="007E375B" w:rsidRDefault="007E375B" w:rsidP="00104AF8">
      <w:pPr>
        <w:spacing w:after="0" w:line="240" w:lineRule="auto"/>
      </w:pPr>
      <w:r>
        <w:separator/>
      </w:r>
    </w:p>
  </w:endnote>
  <w:endnote w:type="continuationSeparator" w:id="0">
    <w:p w14:paraId="29218EA6" w14:textId="77777777" w:rsidR="007E375B" w:rsidRDefault="007E375B" w:rsidP="0010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224484"/>
      <w:docPartObj>
        <w:docPartGallery w:val="Page Numbers (Bottom of Page)"/>
        <w:docPartUnique/>
      </w:docPartObj>
    </w:sdtPr>
    <w:sdtEndPr>
      <w:rPr>
        <w:noProof/>
      </w:rPr>
    </w:sdtEndPr>
    <w:sdtContent>
      <w:p w14:paraId="30EE3403" w14:textId="326F601E" w:rsidR="007E375B" w:rsidRDefault="007E375B">
        <w:pPr>
          <w:pStyle w:val="Footer"/>
          <w:jc w:val="right"/>
        </w:pPr>
        <w:r>
          <w:fldChar w:fldCharType="begin"/>
        </w:r>
        <w:r w:rsidRPr="00FB4AAB">
          <w:instrText xml:space="preserve"> PAGE   \* MERGEFORMAT </w:instrText>
        </w:r>
        <w:r>
          <w:fldChar w:fldCharType="separate"/>
        </w:r>
        <w:r>
          <w:rPr>
            <w:noProof/>
          </w:rPr>
          <w:t>13</w:t>
        </w:r>
        <w:r>
          <w:rPr>
            <w:noProof/>
          </w:rPr>
          <w:fldChar w:fldCharType="end"/>
        </w:r>
      </w:p>
    </w:sdtContent>
  </w:sdt>
  <w:p w14:paraId="50C912AB" w14:textId="77777777" w:rsidR="007E375B" w:rsidRDefault="007E3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4C287" w14:textId="77777777" w:rsidR="007E375B" w:rsidRDefault="007E375B" w:rsidP="00104AF8">
      <w:pPr>
        <w:spacing w:after="0" w:line="240" w:lineRule="auto"/>
      </w:pPr>
      <w:r>
        <w:separator/>
      </w:r>
    </w:p>
  </w:footnote>
  <w:footnote w:type="continuationSeparator" w:id="0">
    <w:p w14:paraId="0219DF3D" w14:textId="77777777" w:rsidR="007E375B" w:rsidRDefault="007E375B" w:rsidP="0010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7FED" w14:textId="4216A2BE" w:rsidR="007E375B" w:rsidRDefault="007E375B">
    <w:pPr>
      <w:pStyle w:val="Header"/>
    </w:pPr>
  </w:p>
  <w:p w14:paraId="612C825C" w14:textId="77777777" w:rsidR="007E375B" w:rsidRDefault="007E3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82B89"/>
    <w:multiLevelType w:val="hybridMultilevel"/>
    <w:tmpl w:val="8F265102"/>
    <w:lvl w:ilvl="0" w:tplc="C9E286C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05993"/>
    <w:multiLevelType w:val="hybridMultilevel"/>
    <w:tmpl w:val="6290A1C2"/>
    <w:lvl w:ilvl="0" w:tplc="08090017">
      <w:start w:val="1"/>
      <w:numFmt w:val="lowerLetter"/>
      <w:lvlText w:val="%1)"/>
      <w:lvlJc w:val="left"/>
      <w:pPr>
        <w:ind w:left="1080" w:hanging="720"/>
      </w:pPr>
      <w:rPr>
        <w:rFonts w:cs="Times New Roman" w:hint="default"/>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A0204A6"/>
    <w:multiLevelType w:val="hybridMultilevel"/>
    <w:tmpl w:val="2BB0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62894"/>
    <w:multiLevelType w:val="hybridMultilevel"/>
    <w:tmpl w:val="F73A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D66AD"/>
    <w:multiLevelType w:val="hybridMultilevel"/>
    <w:tmpl w:val="8202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E0916"/>
    <w:multiLevelType w:val="hybridMultilevel"/>
    <w:tmpl w:val="7C403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B51F4B"/>
    <w:multiLevelType w:val="multilevel"/>
    <w:tmpl w:val="8A2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E6"/>
    <w:rsid w:val="00007C30"/>
    <w:rsid w:val="00010878"/>
    <w:rsid w:val="00011AAB"/>
    <w:rsid w:val="00011CF6"/>
    <w:rsid w:val="00015A78"/>
    <w:rsid w:val="000160AF"/>
    <w:rsid w:val="00016A32"/>
    <w:rsid w:val="000178A3"/>
    <w:rsid w:val="00020FAE"/>
    <w:rsid w:val="00031A91"/>
    <w:rsid w:val="00034A3E"/>
    <w:rsid w:val="00034A77"/>
    <w:rsid w:val="000410F7"/>
    <w:rsid w:val="000455EE"/>
    <w:rsid w:val="00046FED"/>
    <w:rsid w:val="0004717E"/>
    <w:rsid w:val="0004752B"/>
    <w:rsid w:val="000476CF"/>
    <w:rsid w:val="00050CD9"/>
    <w:rsid w:val="0005315D"/>
    <w:rsid w:val="0005356B"/>
    <w:rsid w:val="00053D5B"/>
    <w:rsid w:val="00053E38"/>
    <w:rsid w:val="00054BE8"/>
    <w:rsid w:val="00055845"/>
    <w:rsid w:val="0005707E"/>
    <w:rsid w:val="0006076A"/>
    <w:rsid w:val="00061800"/>
    <w:rsid w:val="00061C56"/>
    <w:rsid w:val="00062033"/>
    <w:rsid w:val="00064C1B"/>
    <w:rsid w:val="00066597"/>
    <w:rsid w:val="000701E2"/>
    <w:rsid w:val="00070222"/>
    <w:rsid w:val="00070D04"/>
    <w:rsid w:val="0007126C"/>
    <w:rsid w:val="000716C6"/>
    <w:rsid w:val="00074FB1"/>
    <w:rsid w:val="00077C53"/>
    <w:rsid w:val="00080067"/>
    <w:rsid w:val="00080CA2"/>
    <w:rsid w:val="00080EBD"/>
    <w:rsid w:val="00080EF0"/>
    <w:rsid w:val="00083E39"/>
    <w:rsid w:val="00094617"/>
    <w:rsid w:val="0009749E"/>
    <w:rsid w:val="00097A5A"/>
    <w:rsid w:val="000A3577"/>
    <w:rsid w:val="000A35FF"/>
    <w:rsid w:val="000A4D05"/>
    <w:rsid w:val="000A5BC4"/>
    <w:rsid w:val="000A6C43"/>
    <w:rsid w:val="000B2872"/>
    <w:rsid w:val="000B2A43"/>
    <w:rsid w:val="000B3141"/>
    <w:rsid w:val="000B3BD6"/>
    <w:rsid w:val="000B624D"/>
    <w:rsid w:val="000B63EE"/>
    <w:rsid w:val="000B6A39"/>
    <w:rsid w:val="000C03F8"/>
    <w:rsid w:val="000C1714"/>
    <w:rsid w:val="000C251D"/>
    <w:rsid w:val="000C440B"/>
    <w:rsid w:val="000C549E"/>
    <w:rsid w:val="000C6938"/>
    <w:rsid w:val="000C6F1F"/>
    <w:rsid w:val="000D250E"/>
    <w:rsid w:val="000D3F34"/>
    <w:rsid w:val="000D5DE2"/>
    <w:rsid w:val="000D68F5"/>
    <w:rsid w:val="000D7783"/>
    <w:rsid w:val="000D7A83"/>
    <w:rsid w:val="000D7D2D"/>
    <w:rsid w:val="000E1B98"/>
    <w:rsid w:val="000E2AB5"/>
    <w:rsid w:val="000E4112"/>
    <w:rsid w:val="000E49F5"/>
    <w:rsid w:val="000E6625"/>
    <w:rsid w:val="000E7E51"/>
    <w:rsid w:val="000F2B3D"/>
    <w:rsid w:val="0010265E"/>
    <w:rsid w:val="00104AF8"/>
    <w:rsid w:val="00110819"/>
    <w:rsid w:val="00112DCF"/>
    <w:rsid w:val="001153A2"/>
    <w:rsid w:val="00115779"/>
    <w:rsid w:val="00120D7B"/>
    <w:rsid w:val="00121C9F"/>
    <w:rsid w:val="00122A6A"/>
    <w:rsid w:val="001256FB"/>
    <w:rsid w:val="001305E6"/>
    <w:rsid w:val="00130604"/>
    <w:rsid w:val="00130A96"/>
    <w:rsid w:val="00132224"/>
    <w:rsid w:val="0013270C"/>
    <w:rsid w:val="00132E37"/>
    <w:rsid w:val="00132F58"/>
    <w:rsid w:val="001333FD"/>
    <w:rsid w:val="00133C0B"/>
    <w:rsid w:val="001345A7"/>
    <w:rsid w:val="0014610A"/>
    <w:rsid w:val="0015556B"/>
    <w:rsid w:val="00156244"/>
    <w:rsid w:val="001571A3"/>
    <w:rsid w:val="00162A7C"/>
    <w:rsid w:val="00164E7C"/>
    <w:rsid w:val="001653D7"/>
    <w:rsid w:val="00170192"/>
    <w:rsid w:val="00170948"/>
    <w:rsid w:val="00177D17"/>
    <w:rsid w:val="0018005F"/>
    <w:rsid w:val="00183FA4"/>
    <w:rsid w:val="0018666A"/>
    <w:rsid w:val="00186721"/>
    <w:rsid w:val="00190F72"/>
    <w:rsid w:val="001950D7"/>
    <w:rsid w:val="00195C67"/>
    <w:rsid w:val="00197BE9"/>
    <w:rsid w:val="001A00D7"/>
    <w:rsid w:val="001A14CE"/>
    <w:rsid w:val="001A398F"/>
    <w:rsid w:val="001A437B"/>
    <w:rsid w:val="001A4506"/>
    <w:rsid w:val="001A6C26"/>
    <w:rsid w:val="001A788C"/>
    <w:rsid w:val="001A79A7"/>
    <w:rsid w:val="001B1537"/>
    <w:rsid w:val="001B1F72"/>
    <w:rsid w:val="001B1FEB"/>
    <w:rsid w:val="001B206C"/>
    <w:rsid w:val="001B4447"/>
    <w:rsid w:val="001B4DD1"/>
    <w:rsid w:val="001B79A1"/>
    <w:rsid w:val="001C309D"/>
    <w:rsid w:val="001C345B"/>
    <w:rsid w:val="001C6A04"/>
    <w:rsid w:val="001D44AE"/>
    <w:rsid w:val="001D5B9F"/>
    <w:rsid w:val="001D69B9"/>
    <w:rsid w:val="001E068A"/>
    <w:rsid w:val="001E0DBD"/>
    <w:rsid w:val="001E31FD"/>
    <w:rsid w:val="001E43A7"/>
    <w:rsid w:val="001E69CF"/>
    <w:rsid w:val="001E7CED"/>
    <w:rsid w:val="001F2813"/>
    <w:rsid w:val="001F2B41"/>
    <w:rsid w:val="0020053C"/>
    <w:rsid w:val="00200DE3"/>
    <w:rsid w:val="00201B5F"/>
    <w:rsid w:val="0020317E"/>
    <w:rsid w:val="00204FAA"/>
    <w:rsid w:val="002067A6"/>
    <w:rsid w:val="00206FEA"/>
    <w:rsid w:val="00207D5C"/>
    <w:rsid w:val="002148FF"/>
    <w:rsid w:val="00214AA8"/>
    <w:rsid w:val="00221308"/>
    <w:rsid w:val="002233E2"/>
    <w:rsid w:val="002255E3"/>
    <w:rsid w:val="00225723"/>
    <w:rsid w:val="00225F59"/>
    <w:rsid w:val="002275F8"/>
    <w:rsid w:val="002307C9"/>
    <w:rsid w:val="00231BBB"/>
    <w:rsid w:val="00232337"/>
    <w:rsid w:val="00233E58"/>
    <w:rsid w:val="00235453"/>
    <w:rsid w:val="002377C6"/>
    <w:rsid w:val="002425EA"/>
    <w:rsid w:val="002439D9"/>
    <w:rsid w:val="00245EA0"/>
    <w:rsid w:val="00246B0F"/>
    <w:rsid w:val="00247E90"/>
    <w:rsid w:val="002514C6"/>
    <w:rsid w:val="002528A0"/>
    <w:rsid w:val="00262151"/>
    <w:rsid w:val="002627BD"/>
    <w:rsid w:val="002651CF"/>
    <w:rsid w:val="0026531F"/>
    <w:rsid w:val="002672E0"/>
    <w:rsid w:val="002744AD"/>
    <w:rsid w:val="00275D6D"/>
    <w:rsid w:val="0028132F"/>
    <w:rsid w:val="00282B1F"/>
    <w:rsid w:val="00284E58"/>
    <w:rsid w:val="0028734C"/>
    <w:rsid w:val="00294B24"/>
    <w:rsid w:val="0029513D"/>
    <w:rsid w:val="00295E82"/>
    <w:rsid w:val="002A0351"/>
    <w:rsid w:val="002A538A"/>
    <w:rsid w:val="002A6E18"/>
    <w:rsid w:val="002B02F6"/>
    <w:rsid w:val="002B44B7"/>
    <w:rsid w:val="002B4A30"/>
    <w:rsid w:val="002B5A68"/>
    <w:rsid w:val="002B79E3"/>
    <w:rsid w:val="002C1424"/>
    <w:rsid w:val="002C41DF"/>
    <w:rsid w:val="002C7423"/>
    <w:rsid w:val="002D16A2"/>
    <w:rsid w:val="002D1722"/>
    <w:rsid w:val="002D1A4E"/>
    <w:rsid w:val="002D1B7F"/>
    <w:rsid w:val="002D1BA5"/>
    <w:rsid w:val="002D4AF7"/>
    <w:rsid w:val="002D6977"/>
    <w:rsid w:val="002E31DF"/>
    <w:rsid w:val="002E35D0"/>
    <w:rsid w:val="002E4466"/>
    <w:rsid w:val="002E4526"/>
    <w:rsid w:val="002E7AEB"/>
    <w:rsid w:val="002F0330"/>
    <w:rsid w:val="002F1C5C"/>
    <w:rsid w:val="002F24AD"/>
    <w:rsid w:val="003000AD"/>
    <w:rsid w:val="003031D4"/>
    <w:rsid w:val="003034CF"/>
    <w:rsid w:val="003043E9"/>
    <w:rsid w:val="00306EF9"/>
    <w:rsid w:val="00307473"/>
    <w:rsid w:val="00314886"/>
    <w:rsid w:val="00314E8B"/>
    <w:rsid w:val="00321FAD"/>
    <w:rsid w:val="00330E52"/>
    <w:rsid w:val="003314A2"/>
    <w:rsid w:val="003344B0"/>
    <w:rsid w:val="00335871"/>
    <w:rsid w:val="00336D8A"/>
    <w:rsid w:val="00337317"/>
    <w:rsid w:val="00340675"/>
    <w:rsid w:val="00340E05"/>
    <w:rsid w:val="00346E42"/>
    <w:rsid w:val="00347825"/>
    <w:rsid w:val="003516B5"/>
    <w:rsid w:val="00354D31"/>
    <w:rsid w:val="00355F80"/>
    <w:rsid w:val="003648D6"/>
    <w:rsid w:val="003720F9"/>
    <w:rsid w:val="0037284B"/>
    <w:rsid w:val="0037317F"/>
    <w:rsid w:val="003755AC"/>
    <w:rsid w:val="00377708"/>
    <w:rsid w:val="00380CBB"/>
    <w:rsid w:val="003900ED"/>
    <w:rsid w:val="003912A2"/>
    <w:rsid w:val="00392285"/>
    <w:rsid w:val="00393BCB"/>
    <w:rsid w:val="003942E4"/>
    <w:rsid w:val="003947D9"/>
    <w:rsid w:val="00395BBA"/>
    <w:rsid w:val="003967F1"/>
    <w:rsid w:val="00396ECB"/>
    <w:rsid w:val="003A19AD"/>
    <w:rsid w:val="003A2758"/>
    <w:rsid w:val="003A2797"/>
    <w:rsid w:val="003A6D9D"/>
    <w:rsid w:val="003B4602"/>
    <w:rsid w:val="003B6C2A"/>
    <w:rsid w:val="003B6D30"/>
    <w:rsid w:val="003C0D1C"/>
    <w:rsid w:val="003C7292"/>
    <w:rsid w:val="003D15FE"/>
    <w:rsid w:val="003D20AC"/>
    <w:rsid w:val="003E0ED3"/>
    <w:rsid w:val="003E1F3C"/>
    <w:rsid w:val="003E210E"/>
    <w:rsid w:val="003E6F20"/>
    <w:rsid w:val="003F030D"/>
    <w:rsid w:val="003F1894"/>
    <w:rsid w:val="003F3151"/>
    <w:rsid w:val="003F5A3A"/>
    <w:rsid w:val="003F5C0E"/>
    <w:rsid w:val="003F5DCB"/>
    <w:rsid w:val="003F6224"/>
    <w:rsid w:val="003F6BD3"/>
    <w:rsid w:val="004007B0"/>
    <w:rsid w:val="004016C5"/>
    <w:rsid w:val="0041118F"/>
    <w:rsid w:val="0041184C"/>
    <w:rsid w:val="0041227F"/>
    <w:rsid w:val="00415014"/>
    <w:rsid w:val="00417F49"/>
    <w:rsid w:val="004204F8"/>
    <w:rsid w:val="00421124"/>
    <w:rsid w:val="004220EF"/>
    <w:rsid w:val="004236B7"/>
    <w:rsid w:val="004300A5"/>
    <w:rsid w:val="00430AA0"/>
    <w:rsid w:val="0043316E"/>
    <w:rsid w:val="004336E4"/>
    <w:rsid w:val="00436291"/>
    <w:rsid w:val="00440B4A"/>
    <w:rsid w:val="00443802"/>
    <w:rsid w:val="00443D3F"/>
    <w:rsid w:val="0044459F"/>
    <w:rsid w:val="00444C93"/>
    <w:rsid w:val="00452801"/>
    <w:rsid w:val="00454AF7"/>
    <w:rsid w:val="004559B4"/>
    <w:rsid w:val="00456103"/>
    <w:rsid w:val="00457D73"/>
    <w:rsid w:val="00460920"/>
    <w:rsid w:val="00460D1E"/>
    <w:rsid w:val="00462A83"/>
    <w:rsid w:val="0046404C"/>
    <w:rsid w:val="00467652"/>
    <w:rsid w:val="00467F01"/>
    <w:rsid w:val="00471999"/>
    <w:rsid w:val="00471C4C"/>
    <w:rsid w:val="00472DF5"/>
    <w:rsid w:val="004753F0"/>
    <w:rsid w:val="00476537"/>
    <w:rsid w:val="0048073E"/>
    <w:rsid w:val="0048207B"/>
    <w:rsid w:val="00483E9B"/>
    <w:rsid w:val="00485F9F"/>
    <w:rsid w:val="00487E04"/>
    <w:rsid w:val="00493C5C"/>
    <w:rsid w:val="00493E82"/>
    <w:rsid w:val="0049443C"/>
    <w:rsid w:val="004957B8"/>
    <w:rsid w:val="004A1914"/>
    <w:rsid w:val="004A2030"/>
    <w:rsid w:val="004A23AA"/>
    <w:rsid w:val="004A299C"/>
    <w:rsid w:val="004A65C3"/>
    <w:rsid w:val="004B2B88"/>
    <w:rsid w:val="004B75B0"/>
    <w:rsid w:val="004B7627"/>
    <w:rsid w:val="004C14D5"/>
    <w:rsid w:val="004C282A"/>
    <w:rsid w:val="004C375E"/>
    <w:rsid w:val="004C50CE"/>
    <w:rsid w:val="004D15DA"/>
    <w:rsid w:val="004D3E25"/>
    <w:rsid w:val="004D62C8"/>
    <w:rsid w:val="004E13A2"/>
    <w:rsid w:val="004E1825"/>
    <w:rsid w:val="004E1A60"/>
    <w:rsid w:val="004E2318"/>
    <w:rsid w:val="004E70C9"/>
    <w:rsid w:val="004F2DE0"/>
    <w:rsid w:val="004F3D13"/>
    <w:rsid w:val="0050152E"/>
    <w:rsid w:val="00501DBA"/>
    <w:rsid w:val="0050501A"/>
    <w:rsid w:val="00505A73"/>
    <w:rsid w:val="00506175"/>
    <w:rsid w:val="005078F9"/>
    <w:rsid w:val="0051121C"/>
    <w:rsid w:val="00511723"/>
    <w:rsid w:val="005117F6"/>
    <w:rsid w:val="005149CA"/>
    <w:rsid w:val="00514CE2"/>
    <w:rsid w:val="00516D7C"/>
    <w:rsid w:val="00525B0E"/>
    <w:rsid w:val="00525D74"/>
    <w:rsid w:val="005315C2"/>
    <w:rsid w:val="0053178A"/>
    <w:rsid w:val="00532604"/>
    <w:rsid w:val="00533A91"/>
    <w:rsid w:val="005372EE"/>
    <w:rsid w:val="00540C87"/>
    <w:rsid w:val="00541B7C"/>
    <w:rsid w:val="00547EA6"/>
    <w:rsid w:val="00550A94"/>
    <w:rsid w:val="0055321A"/>
    <w:rsid w:val="0055393C"/>
    <w:rsid w:val="0055621E"/>
    <w:rsid w:val="005569C2"/>
    <w:rsid w:val="0055732A"/>
    <w:rsid w:val="00560108"/>
    <w:rsid w:val="00561130"/>
    <w:rsid w:val="00561D56"/>
    <w:rsid w:val="00570E54"/>
    <w:rsid w:val="00574B9C"/>
    <w:rsid w:val="005751E2"/>
    <w:rsid w:val="00577C2F"/>
    <w:rsid w:val="00580357"/>
    <w:rsid w:val="0058057C"/>
    <w:rsid w:val="0058106F"/>
    <w:rsid w:val="00581464"/>
    <w:rsid w:val="005853A6"/>
    <w:rsid w:val="005929CD"/>
    <w:rsid w:val="005A03C1"/>
    <w:rsid w:val="005A06B6"/>
    <w:rsid w:val="005A332B"/>
    <w:rsid w:val="005A47B2"/>
    <w:rsid w:val="005B15AC"/>
    <w:rsid w:val="005B5543"/>
    <w:rsid w:val="005B5957"/>
    <w:rsid w:val="005B6495"/>
    <w:rsid w:val="005B7A23"/>
    <w:rsid w:val="005B7E5B"/>
    <w:rsid w:val="005C0700"/>
    <w:rsid w:val="005C53FC"/>
    <w:rsid w:val="005C54A2"/>
    <w:rsid w:val="005C621D"/>
    <w:rsid w:val="005C7BB1"/>
    <w:rsid w:val="005D01E5"/>
    <w:rsid w:val="005D0FFB"/>
    <w:rsid w:val="005D138E"/>
    <w:rsid w:val="005D15F2"/>
    <w:rsid w:val="005D1FC0"/>
    <w:rsid w:val="005D57C6"/>
    <w:rsid w:val="005D6E73"/>
    <w:rsid w:val="005E1717"/>
    <w:rsid w:val="005E34D5"/>
    <w:rsid w:val="005E41F9"/>
    <w:rsid w:val="005F0BD3"/>
    <w:rsid w:val="005F1DD0"/>
    <w:rsid w:val="005F4CE9"/>
    <w:rsid w:val="00603798"/>
    <w:rsid w:val="0060588A"/>
    <w:rsid w:val="006075B5"/>
    <w:rsid w:val="00610C3B"/>
    <w:rsid w:val="00611C4E"/>
    <w:rsid w:val="00612E91"/>
    <w:rsid w:val="0061445E"/>
    <w:rsid w:val="00614717"/>
    <w:rsid w:val="00614FC4"/>
    <w:rsid w:val="006210B0"/>
    <w:rsid w:val="00622744"/>
    <w:rsid w:val="006235B8"/>
    <w:rsid w:val="006254A2"/>
    <w:rsid w:val="006259EA"/>
    <w:rsid w:val="0063169E"/>
    <w:rsid w:val="00632056"/>
    <w:rsid w:val="00633214"/>
    <w:rsid w:val="00635625"/>
    <w:rsid w:val="0063664D"/>
    <w:rsid w:val="006412F2"/>
    <w:rsid w:val="00644250"/>
    <w:rsid w:val="00645502"/>
    <w:rsid w:val="00646189"/>
    <w:rsid w:val="006462F4"/>
    <w:rsid w:val="00646980"/>
    <w:rsid w:val="006479D7"/>
    <w:rsid w:val="00656D0A"/>
    <w:rsid w:val="00662707"/>
    <w:rsid w:val="00662D57"/>
    <w:rsid w:val="006635E7"/>
    <w:rsid w:val="00664D83"/>
    <w:rsid w:val="0066614B"/>
    <w:rsid w:val="006716E0"/>
    <w:rsid w:val="00671CC3"/>
    <w:rsid w:val="006735EF"/>
    <w:rsid w:val="00673DE6"/>
    <w:rsid w:val="0067405C"/>
    <w:rsid w:val="0067531E"/>
    <w:rsid w:val="00675E11"/>
    <w:rsid w:val="006778C3"/>
    <w:rsid w:val="00677FCE"/>
    <w:rsid w:val="00680476"/>
    <w:rsid w:val="00682841"/>
    <w:rsid w:val="006835B1"/>
    <w:rsid w:val="006866E8"/>
    <w:rsid w:val="00687798"/>
    <w:rsid w:val="006879E5"/>
    <w:rsid w:val="006906B4"/>
    <w:rsid w:val="00690FBE"/>
    <w:rsid w:val="0069374D"/>
    <w:rsid w:val="0069381B"/>
    <w:rsid w:val="0069757D"/>
    <w:rsid w:val="00697C1F"/>
    <w:rsid w:val="006A1973"/>
    <w:rsid w:val="006A337C"/>
    <w:rsid w:val="006A5D53"/>
    <w:rsid w:val="006B00F0"/>
    <w:rsid w:val="006B53E2"/>
    <w:rsid w:val="006B5EE0"/>
    <w:rsid w:val="006C0600"/>
    <w:rsid w:val="006C089A"/>
    <w:rsid w:val="006C1CE5"/>
    <w:rsid w:val="006C2D99"/>
    <w:rsid w:val="006C7B49"/>
    <w:rsid w:val="006D04F4"/>
    <w:rsid w:val="006D0A84"/>
    <w:rsid w:val="006D525A"/>
    <w:rsid w:val="006D5C26"/>
    <w:rsid w:val="006D617B"/>
    <w:rsid w:val="006D6237"/>
    <w:rsid w:val="006D7A7E"/>
    <w:rsid w:val="006E13E9"/>
    <w:rsid w:val="006E2BBC"/>
    <w:rsid w:val="006E3FA5"/>
    <w:rsid w:val="006E666B"/>
    <w:rsid w:val="006E6D30"/>
    <w:rsid w:val="006E6FBE"/>
    <w:rsid w:val="006F03E3"/>
    <w:rsid w:val="006F07B8"/>
    <w:rsid w:val="006F1A18"/>
    <w:rsid w:val="006F2D22"/>
    <w:rsid w:val="006F3D31"/>
    <w:rsid w:val="006F7161"/>
    <w:rsid w:val="007045BA"/>
    <w:rsid w:val="007058D5"/>
    <w:rsid w:val="00707747"/>
    <w:rsid w:val="007109BE"/>
    <w:rsid w:val="00711EF2"/>
    <w:rsid w:val="007122F2"/>
    <w:rsid w:val="00715476"/>
    <w:rsid w:val="007160EA"/>
    <w:rsid w:val="00716FCF"/>
    <w:rsid w:val="00720644"/>
    <w:rsid w:val="00721089"/>
    <w:rsid w:val="0072308A"/>
    <w:rsid w:val="00724B6E"/>
    <w:rsid w:val="00724BDD"/>
    <w:rsid w:val="00732124"/>
    <w:rsid w:val="00735CE3"/>
    <w:rsid w:val="00736D88"/>
    <w:rsid w:val="00737D35"/>
    <w:rsid w:val="00742220"/>
    <w:rsid w:val="00743445"/>
    <w:rsid w:val="007450A5"/>
    <w:rsid w:val="00745398"/>
    <w:rsid w:val="0075006E"/>
    <w:rsid w:val="00751A59"/>
    <w:rsid w:val="00754CF1"/>
    <w:rsid w:val="00760529"/>
    <w:rsid w:val="00761C69"/>
    <w:rsid w:val="00763166"/>
    <w:rsid w:val="00766343"/>
    <w:rsid w:val="0076704B"/>
    <w:rsid w:val="00767368"/>
    <w:rsid w:val="0077078E"/>
    <w:rsid w:val="007707AF"/>
    <w:rsid w:val="007710AF"/>
    <w:rsid w:val="0077645F"/>
    <w:rsid w:val="0078060C"/>
    <w:rsid w:val="00782134"/>
    <w:rsid w:val="00782C09"/>
    <w:rsid w:val="00783341"/>
    <w:rsid w:val="00790E64"/>
    <w:rsid w:val="0079165D"/>
    <w:rsid w:val="00795479"/>
    <w:rsid w:val="0079790D"/>
    <w:rsid w:val="00797C49"/>
    <w:rsid w:val="007A0E52"/>
    <w:rsid w:val="007A40ED"/>
    <w:rsid w:val="007A438F"/>
    <w:rsid w:val="007A53AD"/>
    <w:rsid w:val="007B06F2"/>
    <w:rsid w:val="007B0C7B"/>
    <w:rsid w:val="007B0FE4"/>
    <w:rsid w:val="007B1813"/>
    <w:rsid w:val="007B2B84"/>
    <w:rsid w:val="007B2B86"/>
    <w:rsid w:val="007B6EC9"/>
    <w:rsid w:val="007B7356"/>
    <w:rsid w:val="007B7A83"/>
    <w:rsid w:val="007B7DF0"/>
    <w:rsid w:val="007C4870"/>
    <w:rsid w:val="007C4DB8"/>
    <w:rsid w:val="007D0CAC"/>
    <w:rsid w:val="007D224F"/>
    <w:rsid w:val="007D5075"/>
    <w:rsid w:val="007E349A"/>
    <w:rsid w:val="007E375B"/>
    <w:rsid w:val="007E4A46"/>
    <w:rsid w:val="007E6B88"/>
    <w:rsid w:val="007F057C"/>
    <w:rsid w:val="007F07E0"/>
    <w:rsid w:val="007F1673"/>
    <w:rsid w:val="007F1E22"/>
    <w:rsid w:val="007F21AA"/>
    <w:rsid w:val="007F78ED"/>
    <w:rsid w:val="00801747"/>
    <w:rsid w:val="008018DC"/>
    <w:rsid w:val="00802748"/>
    <w:rsid w:val="00807023"/>
    <w:rsid w:val="0081090E"/>
    <w:rsid w:val="00815B71"/>
    <w:rsid w:val="008226DA"/>
    <w:rsid w:val="00823442"/>
    <w:rsid w:val="008253A3"/>
    <w:rsid w:val="00826832"/>
    <w:rsid w:val="0082691C"/>
    <w:rsid w:val="00830E89"/>
    <w:rsid w:val="00831DD2"/>
    <w:rsid w:val="008335B2"/>
    <w:rsid w:val="008345A8"/>
    <w:rsid w:val="00834E6A"/>
    <w:rsid w:val="00836AFA"/>
    <w:rsid w:val="00840882"/>
    <w:rsid w:val="00842E97"/>
    <w:rsid w:val="0084350A"/>
    <w:rsid w:val="008466B2"/>
    <w:rsid w:val="00847441"/>
    <w:rsid w:val="008507AE"/>
    <w:rsid w:val="008507F2"/>
    <w:rsid w:val="00852837"/>
    <w:rsid w:val="00856AC0"/>
    <w:rsid w:val="008612F5"/>
    <w:rsid w:val="008652CF"/>
    <w:rsid w:val="008700A8"/>
    <w:rsid w:val="0087441A"/>
    <w:rsid w:val="00877A8F"/>
    <w:rsid w:val="00880F63"/>
    <w:rsid w:val="00882A07"/>
    <w:rsid w:val="00887A5F"/>
    <w:rsid w:val="00890B9A"/>
    <w:rsid w:val="00894B0F"/>
    <w:rsid w:val="00895F64"/>
    <w:rsid w:val="008A1A1A"/>
    <w:rsid w:val="008A2E84"/>
    <w:rsid w:val="008A3C54"/>
    <w:rsid w:val="008A69D8"/>
    <w:rsid w:val="008B0138"/>
    <w:rsid w:val="008B1F6A"/>
    <w:rsid w:val="008B2FE4"/>
    <w:rsid w:val="008B57BE"/>
    <w:rsid w:val="008B7F82"/>
    <w:rsid w:val="008C0813"/>
    <w:rsid w:val="008C33B7"/>
    <w:rsid w:val="008C3C75"/>
    <w:rsid w:val="008C49C9"/>
    <w:rsid w:val="008C7CC2"/>
    <w:rsid w:val="008D426E"/>
    <w:rsid w:val="008D61BB"/>
    <w:rsid w:val="008E29F0"/>
    <w:rsid w:val="008E2DA7"/>
    <w:rsid w:val="008E3517"/>
    <w:rsid w:val="008E3E80"/>
    <w:rsid w:val="008E475B"/>
    <w:rsid w:val="008E7B9A"/>
    <w:rsid w:val="008E7D2D"/>
    <w:rsid w:val="008E7D4D"/>
    <w:rsid w:val="008F1824"/>
    <w:rsid w:val="008F6AC8"/>
    <w:rsid w:val="008F7841"/>
    <w:rsid w:val="008F7FFD"/>
    <w:rsid w:val="00902AB7"/>
    <w:rsid w:val="00906D6D"/>
    <w:rsid w:val="00907DBF"/>
    <w:rsid w:val="00913EA8"/>
    <w:rsid w:val="009142BE"/>
    <w:rsid w:val="009142EB"/>
    <w:rsid w:val="009206E6"/>
    <w:rsid w:val="0092138B"/>
    <w:rsid w:val="00921761"/>
    <w:rsid w:val="009236B7"/>
    <w:rsid w:val="0092397C"/>
    <w:rsid w:val="00931757"/>
    <w:rsid w:val="009377E2"/>
    <w:rsid w:val="00940CB3"/>
    <w:rsid w:val="009416BC"/>
    <w:rsid w:val="0094175E"/>
    <w:rsid w:val="00942FA1"/>
    <w:rsid w:val="00944853"/>
    <w:rsid w:val="00945A99"/>
    <w:rsid w:val="00945DF2"/>
    <w:rsid w:val="00947B03"/>
    <w:rsid w:val="00951407"/>
    <w:rsid w:val="009545E1"/>
    <w:rsid w:val="0095505D"/>
    <w:rsid w:val="00956ABA"/>
    <w:rsid w:val="009579D9"/>
    <w:rsid w:val="009604FC"/>
    <w:rsid w:val="00974BAC"/>
    <w:rsid w:val="00976883"/>
    <w:rsid w:val="00980772"/>
    <w:rsid w:val="009813F9"/>
    <w:rsid w:val="0098389E"/>
    <w:rsid w:val="00983ACD"/>
    <w:rsid w:val="009853CD"/>
    <w:rsid w:val="0098661B"/>
    <w:rsid w:val="009914E5"/>
    <w:rsid w:val="0099374A"/>
    <w:rsid w:val="00995DA1"/>
    <w:rsid w:val="009977BE"/>
    <w:rsid w:val="009A1917"/>
    <w:rsid w:val="009A2CE7"/>
    <w:rsid w:val="009A40FA"/>
    <w:rsid w:val="009A4DF2"/>
    <w:rsid w:val="009A555A"/>
    <w:rsid w:val="009B0B6B"/>
    <w:rsid w:val="009B4E14"/>
    <w:rsid w:val="009C26A6"/>
    <w:rsid w:val="009C5DC9"/>
    <w:rsid w:val="009C705E"/>
    <w:rsid w:val="009C73F3"/>
    <w:rsid w:val="009C7489"/>
    <w:rsid w:val="009D5660"/>
    <w:rsid w:val="009D6975"/>
    <w:rsid w:val="009D6FA3"/>
    <w:rsid w:val="009D72CB"/>
    <w:rsid w:val="009D75F0"/>
    <w:rsid w:val="009D7696"/>
    <w:rsid w:val="009E221B"/>
    <w:rsid w:val="009F0412"/>
    <w:rsid w:val="009F160A"/>
    <w:rsid w:val="009F2CB8"/>
    <w:rsid w:val="009F37E0"/>
    <w:rsid w:val="009F54B1"/>
    <w:rsid w:val="00A00A8B"/>
    <w:rsid w:val="00A00CD0"/>
    <w:rsid w:val="00A02460"/>
    <w:rsid w:val="00A0297C"/>
    <w:rsid w:val="00A03D65"/>
    <w:rsid w:val="00A0466B"/>
    <w:rsid w:val="00A05560"/>
    <w:rsid w:val="00A05762"/>
    <w:rsid w:val="00A0602D"/>
    <w:rsid w:val="00A0642E"/>
    <w:rsid w:val="00A066E4"/>
    <w:rsid w:val="00A164E7"/>
    <w:rsid w:val="00A16919"/>
    <w:rsid w:val="00A21E29"/>
    <w:rsid w:val="00A24440"/>
    <w:rsid w:val="00A252FE"/>
    <w:rsid w:val="00A269F2"/>
    <w:rsid w:val="00A27262"/>
    <w:rsid w:val="00A30298"/>
    <w:rsid w:val="00A4097E"/>
    <w:rsid w:val="00A4157E"/>
    <w:rsid w:val="00A418B4"/>
    <w:rsid w:val="00A41FA7"/>
    <w:rsid w:val="00A42561"/>
    <w:rsid w:val="00A45170"/>
    <w:rsid w:val="00A46752"/>
    <w:rsid w:val="00A4686E"/>
    <w:rsid w:val="00A46993"/>
    <w:rsid w:val="00A47A6B"/>
    <w:rsid w:val="00A52B1B"/>
    <w:rsid w:val="00A53F1F"/>
    <w:rsid w:val="00A547D5"/>
    <w:rsid w:val="00A65D7D"/>
    <w:rsid w:val="00A730CF"/>
    <w:rsid w:val="00A73479"/>
    <w:rsid w:val="00A87088"/>
    <w:rsid w:val="00A951FE"/>
    <w:rsid w:val="00A964F8"/>
    <w:rsid w:val="00AA0DB7"/>
    <w:rsid w:val="00AA1E2E"/>
    <w:rsid w:val="00AA79B6"/>
    <w:rsid w:val="00AB22E6"/>
    <w:rsid w:val="00AB57CD"/>
    <w:rsid w:val="00AB61CF"/>
    <w:rsid w:val="00AB67A4"/>
    <w:rsid w:val="00AB6956"/>
    <w:rsid w:val="00AC18D6"/>
    <w:rsid w:val="00AC45F9"/>
    <w:rsid w:val="00AC5615"/>
    <w:rsid w:val="00AD21A5"/>
    <w:rsid w:val="00AD6511"/>
    <w:rsid w:val="00AD78E5"/>
    <w:rsid w:val="00AE0760"/>
    <w:rsid w:val="00AE282C"/>
    <w:rsid w:val="00AE4CFF"/>
    <w:rsid w:val="00AF0AE5"/>
    <w:rsid w:val="00AF2954"/>
    <w:rsid w:val="00AF4042"/>
    <w:rsid w:val="00AF536E"/>
    <w:rsid w:val="00B05918"/>
    <w:rsid w:val="00B07D2F"/>
    <w:rsid w:val="00B11C31"/>
    <w:rsid w:val="00B11CE5"/>
    <w:rsid w:val="00B123E2"/>
    <w:rsid w:val="00B143BE"/>
    <w:rsid w:val="00B16B93"/>
    <w:rsid w:val="00B224C8"/>
    <w:rsid w:val="00B23183"/>
    <w:rsid w:val="00B276D2"/>
    <w:rsid w:val="00B30C65"/>
    <w:rsid w:val="00B36818"/>
    <w:rsid w:val="00B413E3"/>
    <w:rsid w:val="00B42370"/>
    <w:rsid w:val="00B476AA"/>
    <w:rsid w:val="00B50CD5"/>
    <w:rsid w:val="00B50F95"/>
    <w:rsid w:val="00B53C15"/>
    <w:rsid w:val="00B55304"/>
    <w:rsid w:val="00B56805"/>
    <w:rsid w:val="00B56D35"/>
    <w:rsid w:val="00B56E47"/>
    <w:rsid w:val="00B5719B"/>
    <w:rsid w:val="00B57552"/>
    <w:rsid w:val="00B62E47"/>
    <w:rsid w:val="00B65F35"/>
    <w:rsid w:val="00B66E2F"/>
    <w:rsid w:val="00B70D7F"/>
    <w:rsid w:val="00B72FF3"/>
    <w:rsid w:val="00B7410F"/>
    <w:rsid w:val="00B7553C"/>
    <w:rsid w:val="00B77879"/>
    <w:rsid w:val="00B841D9"/>
    <w:rsid w:val="00B841F4"/>
    <w:rsid w:val="00B854DC"/>
    <w:rsid w:val="00BA14D9"/>
    <w:rsid w:val="00BA7E8A"/>
    <w:rsid w:val="00BB1531"/>
    <w:rsid w:val="00BB1534"/>
    <w:rsid w:val="00BB1D39"/>
    <w:rsid w:val="00BB1F38"/>
    <w:rsid w:val="00BB36FC"/>
    <w:rsid w:val="00BB4C52"/>
    <w:rsid w:val="00BB5386"/>
    <w:rsid w:val="00BB6276"/>
    <w:rsid w:val="00BC0BF7"/>
    <w:rsid w:val="00BC1348"/>
    <w:rsid w:val="00BC79C9"/>
    <w:rsid w:val="00BC7E0B"/>
    <w:rsid w:val="00BD0471"/>
    <w:rsid w:val="00BD06F9"/>
    <w:rsid w:val="00BD210D"/>
    <w:rsid w:val="00BD3A90"/>
    <w:rsid w:val="00BD5506"/>
    <w:rsid w:val="00BE2966"/>
    <w:rsid w:val="00BE59F5"/>
    <w:rsid w:val="00BE6FBF"/>
    <w:rsid w:val="00BE76FF"/>
    <w:rsid w:val="00BE7818"/>
    <w:rsid w:val="00BF4065"/>
    <w:rsid w:val="00BF450C"/>
    <w:rsid w:val="00BF6308"/>
    <w:rsid w:val="00BF6EA6"/>
    <w:rsid w:val="00C01872"/>
    <w:rsid w:val="00C03D1E"/>
    <w:rsid w:val="00C06ADE"/>
    <w:rsid w:val="00C111C8"/>
    <w:rsid w:val="00C1494F"/>
    <w:rsid w:val="00C16581"/>
    <w:rsid w:val="00C20EC9"/>
    <w:rsid w:val="00C24054"/>
    <w:rsid w:val="00C240E2"/>
    <w:rsid w:val="00C2758E"/>
    <w:rsid w:val="00C27DBF"/>
    <w:rsid w:val="00C31107"/>
    <w:rsid w:val="00C31149"/>
    <w:rsid w:val="00C31C1A"/>
    <w:rsid w:val="00C368C2"/>
    <w:rsid w:val="00C36CDC"/>
    <w:rsid w:val="00C43BAC"/>
    <w:rsid w:val="00C50586"/>
    <w:rsid w:val="00C53713"/>
    <w:rsid w:val="00C53771"/>
    <w:rsid w:val="00C60929"/>
    <w:rsid w:val="00C62072"/>
    <w:rsid w:val="00C63D5A"/>
    <w:rsid w:val="00C63EFA"/>
    <w:rsid w:val="00C641B9"/>
    <w:rsid w:val="00C645D5"/>
    <w:rsid w:val="00C6795D"/>
    <w:rsid w:val="00C70E5C"/>
    <w:rsid w:val="00C70F96"/>
    <w:rsid w:val="00C721CE"/>
    <w:rsid w:val="00C721D3"/>
    <w:rsid w:val="00C7234B"/>
    <w:rsid w:val="00C7410A"/>
    <w:rsid w:val="00C74CE5"/>
    <w:rsid w:val="00C75F9F"/>
    <w:rsid w:val="00C7624A"/>
    <w:rsid w:val="00C8200C"/>
    <w:rsid w:val="00C90883"/>
    <w:rsid w:val="00C93AAC"/>
    <w:rsid w:val="00C941A7"/>
    <w:rsid w:val="00C946B0"/>
    <w:rsid w:val="00C954B1"/>
    <w:rsid w:val="00C956A3"/>
    <w:rsid w:val="00C967C2"/>
    <w:rsid w:val="00CA3AA0"/>
    <w:rsid w:val="00CA47E0"/>
    <w:rsid w:val="00CA7084"/>
    <w:rsid w:val="00CA7FBD"/>
    <w:rsid w:val="00CB074F"/>
    <w:rsid w:val="00CB1326"/>
    <w:rsid w:val="00CB1A06"/>
    <w:rsid w:val="00CB1BA1"/>
    <w:rsid w:val="00CB4EBC"/>
    <w:rsid w:val="00CB78B3"/>
    <w:rsid w:val="00CC04BD"/>
    <w:rsid w:val="00CC2381"/>
    <w:rsid w:val="00CC3C4F"/>
    <w:rsid w:val="00CC5A97"/>
    <w:rsid w:val="00CD4D38"/>
    <w:rsid w:val="00CE145B"/>
    <w:rsid w:val="00CE4755"/>
    <w:rsid w:val="00CE5217"/>
    <w:rsid w:val="00CE6216"/>
    <w:rsid w:val="00CE6A54"/>
    <w:rsid w:val="00CE7D53"/>
    <w:rsid w:val="00CF1442"/>
    <w:rsid w:val="00CF47EC"/>
    <w:rsid w:val="00CF4EF4"/>
    <w:rsid w:val="00D00D41"/>
    <w:rsid w:val="00D02660"/>
    <w:rsid w:val="00D02A54"/>
    <w:rsid w:val="00D03C05"/>
    <w:rsid w:val="00D05041"/>
    <w:rsid w:val="00D0540B"/>
    <w:rsid w:val="00D063AE"/>
    <w:rsid w:val="00D06418"/>
    <w:rsid w:val="00D0744D"/>
    <w:rsid w:val="00D152EE"/>
    <w:rsid w:val="00D1745C"/>
    <w:rsid w:val="00D214DD"/>
    <w:rsid w:val="00D21873"/>
    <w:rsid w:val="00D2233F"/>
    <w:rsid w:val="00D22C86"/>
    <w:rsid w:val="00D26C9B"/>
    <w:rsid w:val="00D33B96"/>
    <w:rsid w:val="00D34E43"/>
    <w:rsid w:val="00D37DB0"/>
    <w:rsid w:val="00D37F93"/>
    <w:rsid w:val="00D417C1"/>
    <w:rsid w:val="00D42991"/>
    <w:rsid w:val="00D4679D"/>
    <w:rsid w:val="00D5110B"/>
    <w:rsid w:val="00D5372C"/>
    <w:rsid w:val="00D53A51"/>
    <w:rsid w:val="00D54B8A"/>
    <w:rsid w:val="00D55555"/>
    <w:rsid w:val="00D60E09"/>
    <w:rsid w:val="00D6150C"/>
    <w:rsid w:val="00D624FE"/>
    <w:rsid w:val="00D6451D"/>
    <w:rsid w:val="00D64C87"/>
    <w:rsid w:val="00D71A96"/>
    <w:rsid w:val="00D72DBE"/>
    <w:rsid w:val="00D733AC"/>
    <w:rsid w:val="00D7372B"/>
    <w:rsid w:val="00D74726"/>
    <w:rsid w:val="00D774F8"/>
    <w:rsid w:val="00D77BFF"/>
    <w:rsid w:val="00D77D3D"/>
    <w:rsid w:val="00D83AB0"/>
    <w:rsid w:val="00D86233"/>
    <w:rsid w:val="00D916CE"/>
    <w:rsid w:val="00D93474"/>
    <w:rsid w:val="00D95703"/>
    <w:rsid w:val="00DA0E97"/>
    <w:rsid w:val="00DA221A"/>
    <w:rsid w:val="00DA3C9B"/>
    <w:rsid w:val="00DA4B79"/>
    <w:rsid w:val="00DA5B8D"/>
    <w:rsid w:val="00DB0828"/>
    <w:rsid w:val="00DB19F6"/>
    <w:rsid w:val="00DB3E62"/>
    <w:rsid w:val="00DB4492"/>
    <w:rsid w:val="00DB6C8C"/>
    <w:rsid w:val="00DC2D10"/>
    <w:rsid w:val="00DD0607"/>
    <w:rsid w:val="00DD3340"/>
    <w:rsid w:val="00DD35BA"/>
    <w:rsid w:val="00DE0824"/>
    <w:rsid w:val="00DE144E"/>
    <w:rsid w:val="00DE2E24"/>
    <w:rsid w:val="00DE5AA8"/>
    <w:rsid w:val="00DF317B"/>
    <w:rsid w:val="00DF4216"/>
    <w:rsid w:val="00DF533E"/>
    <w:rsid w:val="00E00061"/>
    <w:rsid w:val="00E01487"/>
    <w:rsid w:val="00E03960"/>
    <w:rsid w:val="00E05CE5"/>
    <w:rsid w:val="00E10CD3"/>
    <w:rsid w:val="00E1688F"/>
    <w:rsid w:val="00E32615"/>
    <w:rsid w:val="00E40BE5"/>
    <w:rsid w:val="00E4154B"/>
    <w:rsid w:val="00E41B3D"/>
    <w:rsid w:val="00E50BE2"/>
    <w:rsid w:val="00E5433C"/>
    <w:rsid w:val="00E5484D"/>
    <w:rsid w:val="00E647EE"/>
    <w:rsid w:val="00E67FDD"/>
    <w:rsid w:val="00E70760"/>
    <w:rsid w:val="00E72FDF"/>
    <w:rsid w:val="00E7343B"/>
    <w:rsid w:val="00E73AD0"/>
    <w:rsid w:val="00E7466E"/>
    <w:rsid w:val="00E76CBF"/>
    <w:rsid w:val="00E77B07"/>
    <w:rsid w:val="00E821D1"/>
    <w:rsid w:val="00E85752"/>
    <w:rsid w:val="00E85DFE"/>
    <w:rsid w:val="00E8770E"/>
    <w:rsid w:val="00E929DE"/>
    <w:rsid w:val="00E9490D"/>
    <w:rsid w:val="00E94CA6"/>
    <w:rsid w:val="00EA1BA8"/>
    <w:rsid w:val="00EA2D1C"/>
    <w:rsid w:val="00EA2D36"/>
    <w:rsid w:val="00EA405E"/>
    <w:rsid w:val="00EA7321"/>
    <w:rsid w:val="00EB0430"/>
    <w:rsid w:val="00EB04D9"/>
    <w:rsid w:val="00EB42EE"/>
    <w:rsid w:val="00EB5EBA"/>
    <w:rsid w:val="00EB6231"/>
    <w:rsid w:val="00EC3BBA"/>
    <w:rsid w:val="00EC5310"/>
    <w:rsid w:val="00ED101E"/>
    <w:rsid w:val="00ED14A5"/>
    <w:rsid w:val="00EE0CC8"/>
    <w:rsid w:val="00EE137D"/>
    <w:rsid w:val="00EE1F76"/>
    <w:rsid w:val="00EE219B"/>
    <w:rsid w:val="00EE4657"/>
    <w:rsid w:val="00EE503E"/>
    <w:rsid w:val="00EF14EF"/>
    <w:rsid w:val="00EF1B98"/>
    <w:rsid w:val="00EF47AE"/>
    <w:rsid w:val="00EF4EC6"/>
    <w:rsid w:val="00EF6E24"/>
    <w:rsid w:val="00F0014F"/>
    <w:rsid w:val="00F02C13"/>
    <w:rsid w:val="00F05DC9"/>
    <w:rsid w:val="00F063B1"/>
    <w:rsid w:val="00F07670"/>
    <w:rsid w:val="00F115AD"/>
    <w:rsid w:val="00F16FB8"/>
    <w:rsid w:val="00F21A4E"/>
    <w:rsid w:val="00F27B39"/>
    <w:rsid w:val="00F27C4D"/>
    <w:rsid w:val="00F30188"/>
    <w:rsid w:val="00F31941"/>
    <w:rsid w:val="00F32043"/>
    <w:rsid w:val="00F348CE"/>
    <w:rsid w:val="00F4032C"/>
    <w:rsid w:val="00F46DDC"/>
    <w:rsid w:val="00F52200"/>
    <w:rsid w:val="00F5270D"/>
    <w:rsid w:val="00F54E20"/>
    <w:rsid w:val="00F60519"/>
    <w:rsid w:val="00F60AF7"/>
    <w:rsid w:val="00F60BE4"/>
    <w:rsid w:val="00F60EEB"/>
    <w:rsid w:val="00F61954"/>
    <w:rsid w:val="00F62CE6"/>
    <w:rsid w:val="00F63940"/>
    <w:rsid w:val="00F65E9D"/>
    <w:rsid w:val="00F67567"/>
    <w:rsid w:val="00F702A6"/>
    <w:rsid w:val="00F818B6"/>
    <w:rsid w:val="00F81F4A"/>
    <w:rsid w:val="00F834E4"/>
    <w:rsid w:val="00F83870"/>
    <w:rsid w:val="00F902C5"/>
    <w:rsid w:val="00F9165C"/>
    <w:rsid w:val="00F95518"/>
    <w:rsid w:val="00F966E7"/>
    <w:rsid w:val="00F97A7B"/>
    <w:rsid w:val="00FA182F"/>
    <w:rsid w:val="00FA3147"/>
    <w:rsid w:val="00FA53D0"/>
    <w:rsid w:val="00FA54D7"/>
    <w:rsid w:val="00FA5E8C"/>
    <w:rsid w:val="00FA7AC1"/>
    <w:rsid w:val="00FB0F63"/>
    <w:rsid w:val="00FB104C"/>
    <w:rsid w:val="00FB41A2"/>
    <w:rsid w:val="00FB4AAB"/>
    <w:rsid w:val="00FC5EDC"/>
    <w:rsid w:val="00FC7FAF"/>
    <w:rsid w:val="00FD298C"/>
    <w:rsid w:val="00FD45EB"/>
    <w:rsid w:val="00FE13AA"/>
    <w:rsid w:val="00FE1D26"/>
    <w:rsid w:val="00FE2BD4"/>
    <w:rsid w:val="00FE319F"/>
    <w:rsid w:val="00FE42D9"/>
    <w:rsid w:val="00FE4684"/>
    <w:rsid w:val="00FE5A68"/>
    <w:rsid w:val="00FE74E6"/>
    <w:rsid w:val="00FF0400"/>
    <w:rsid w:val="00FF07E1"/>
    <w:rsid w:val="00FF1472"/>
    <w:rsid w:val="00FF14A4"/>
    <w:rsid w:val="00FF322D"/>
    <w:rsid w:val="00FF40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6A956C"/>
  <w15:docId w15:val="{60EFE24A-AFFA-47F9-B199-541A9104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5B8"/>
    <w:pPr>
      <w:spacing w:after="160" w:line="259" w:lineRule="auto"/>
    </w:pPr>
    <w:rPr>
      <w:lang w:eastAsia="en-US"/>
    </w:rPr>
  </w:style>
  <w:style w:type="paragraph" w:styleId="Heading1">
    <w:name w:val="heading 1"/>
    <w:basedOn w:val="Normal"/>
    <w:link w:val="Heading1Char"/>
    <w:uiPriority w:val="99"/>
    <w:qFormat/>
    <w:locked/>
    <w:rsid w:val="000C251D"/>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unhideWhenUsed/>
    <w:qFormat/>
    <w:locked/>
    <w:rsid w:val="008408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959"/>
    <w:rPr>
      <w:rFonts w:asciiTheme="majorHAnsi" w:eastAsiaTheme="majorEastAsia" w:hAnsiTheme="majorHAnsi" w:cstheme="majorBidi"/>
      <w:b/>
      <w:bCs/>
      <w:kern w:val="32"/>
      <w:sz w:val="32"/>
      <w:szCs w:val="32"/>
      <w:lang w:eastAsia="en-US"/>
    </w:rPr>
  </w:style>
  <w:style w:type="paragraph" w:styleId="ListParagraph">
    <w:name w:val="List Paragraph"/>
    <w:basedOn w:val="Normal"/>
    <w:link w:val="ListParagraphChar"/>
    <w:uiPriority w:val="99"/>
    <w:qFormat/>
    <w:rsid w:val="002528A0"/>
    <w:pPr>
      <w:spacing w:after="180" w:line="240" w:lineRule="auto"/>
      <w:ind w:left="720" w:hanging="288"/>
      <w:contextualSpacing/>
    </w:pPr>
    <w:rPr>
      <w:color w:val="44546A"/>
      <w:sz w:val="21"/>
    </w:rPr>
  </w:style>
  <w:style w:type="character" w:customStyle="1" w:styleId="ListParagraphChar">
    <w:name w:val="List Paragraph Char"/>
    <w:basedOn w:val="DefaultParagraphFont"/>
    <w:link w:val="ListParagraph"/>
    <w:uiPriority w:val="99"/>
    <w:locked/>
    <w:rsid w:val="002528A0"/>
    <w:rPr>
      <w:rFonts w:cs="Times New Roman"/>
      <w:color w:val="44546A"/>
      <w:sz w:val="21"/>
    </w:rPr>
  </w:style>
  <w:style w:type="character" w:styleId="CommentReference">
    <w:name w:val="annotation reference"/>
    <w:basedOn w:val="DefaultParagraphFont"/>
    <w:uiPriority w:val="99"/>
    <w:semiHidden/>
    <w:rsid w:val="002528A0"/>
    <w:rPr>
      <w:rFonts w:cs="Times New Roman"/>
      <w:sz w:val="16"/>
      <w:szCs w:val="16"/>
    </w:rPr>
  </w:style>
  <w:style w:type="paragraph" w:styleId="CommentText">
    <w:name w:val="annotation text"/>
    <w:basedOn w:val="Normal"/>
    <w:link w:val="CommentTextChar"/>
    <w:uiPriority w:val="99"/>
    <w:semiHidden/>
    <w:rsid w:val="002528A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528A0"/>
    <w:rPr>
      <w:rFonts w:cs="Times New Roman"/>
      <w:sz w:val="20"/>
      <w:szCs w:val="20"/>
    </w:rPr>
  </w:style>
  <w:style w:type="paragraph" w:styleId="CommentSubject">
    <w:name w:val="annotation subject"/>
    <w:basedOn w:val="CommentText"/>
    <w:next w:val="CommentText"/>
    <w:link w:val="CommentSubjectChar"/>
    <w:uiPriority w:val="99"/>
    <w:semiHidden/>
    <w:rsid w:val="002528A0"/>
    <w:rPr>
      <w:b/>
      <w:bCs/>
    </w:rPr>
  </w:style>
  <w:style w:type="character" w:customStyle="1" w:styleId="CommentSubjectChar">
    <w:name w:val="Comment Subject Char"/>
    <w:basedOn w:val="CommentTextChar"/>
    <w:link w:val="CommentSubject"/>
    <w:uiPriority w:val="99"/>
    <w:semiHidden/>
    <w:locked/>
    <w:rsid w:val="002528A0"/>
    <w:rPr>
      <w:rFonts w:cs="Times New Roman"/>
      <w:b/>
      <w:bCs/>
      <w:sz w:val="20"/>
      <w:szCs w:val="20"/>
    </w:rPr>
  </w:style>
  <w:style w:type="paragraph" w:styleId="BalloonText">
    <w:name w:val="Balloon Text"/>
    <w:basedOn w:val="Normal"/>
    <w:link w:val="BalloonTextChar"/>
    <w:uiPriority w:val="99"/>
    <w:semiHidden/>
    <w:rsid w:val="00252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28A0"/>
    <w:rPr>
      <w:rFonts w:ascii="Segoe UI" w:hAnsi="Segoe UI" w:cs="Segoe UI"/>
      <w:sz w:val="18"/>
      <w:szCs w:val="18"/>
    </w:rPr>
  </w:style>
  <w:style w:type="character" w:customStyle="1" w:styleId="NoneA">
    <w:name w:val="None A"/>
    <w:uiPriority w:val="99"/>
    <w:rsid w:val="000178A3"/>
    <w:rPr>
      <w:lang w:val="en-US"/>
    </w:rPr>
  </w:style>
  <w:style w:type="paragraph" w:styleId="Revision">
    <w:name w:val="Revision"/>
    <w:hidden/>
    <w:uiPriority w:val="99"/>
    <w:semiHidden/>
    <w:rsid w:val="00947B03"/>
    <w:rPr>
      <w:lang w:eastAsia="en-US"/>
    </w:rPr>
  </w:style>
  <w:style w:type="paragraph" w:styleId="NormalWeb">
    <w:name w:val="Normal (Web)"/>
    <w:basedOn w:val="Normal"/>
    <w:uiPriority w:val="99"/>
    <w:semiHidden/>
    <w:rsid w:val="00C368C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ne">
    <w:name w:val="None"/>
    <w:rsid w:val="008253A3"/>
  </w:style>
  <w:style w:type="table" w:styleId="TableGrid">
    <w:name w:val="Table Grid"/>
    <w:basedOn w:val="TableNormal"/>
    <w:uiPriority w:val="39"/>
    <w:rsid w:val="008E7D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7Colorful-Accent61">
    <w:name w:val="Grid Table 7 Colorful - Accent 61"/>
    <w:uiPriority w:val="99"/>
    <w:rsid w:val="005E34D5"/>
    <w:rPr>
      <w:color w:val="538135"/>
      <w:sz w:val="20"/>
      <w:szCs w:val="20"/>
      <w:lang w:val="en-US"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tblStylePr w:type="neCell">
      <w:rPr>
        <w:rFonts w:cs="Times New Roman"/>
      </w:rPr>
      <w:tblPr/>
      <w:tcPr>
        <w:tcBorders>
          <w:bottom w:val="single" w:sz="4" w:space="0" w:color="A8D08D"/>
        </w:tcBorders>
      </w:tcPr>
    </w:tblStylePr>
    <w:tblStylePr w:type="nwCell">
      <w:rPr>
        <w:rFonts w:cs="Times New Roman"/>
      </w:rPr>
      <w:tblPr/>
      <w:tcPr>
        <w:tcBorders>
          <w:bottom w:val="single" w:sz="4" w:space="0" w:color="A8D08D"/>
        </w:tcBorders>
      </w:tcPr>
    </w:tblStylePr>
    <w:tblStylePr w:type="seCell">
      <w:rPr>
        <w:rFonts w:cs="Times New Roman"/>
      </w:rPr>
      <w:tblPr/>
      <w:tcPr>
        <w:tcBorders>
          <w:top w:val="single" w:sz="4" w:space="0" w:color="A8D08D"/>
        </w:tcBorders>
      </w:tcPr>
    </w:tblStylePr>
    <w:tblStylePr w:type="swCell">
      <w:rPr>
        <w:rFonts w:cs="Times New Roman"/>
      </w:rPr>
      <w:tblPr/>
      <w:tcPr>
        <w:tcBorders>
          <w:top w:val="single" w:sz="4" w:space="0" w:color="A8D08D"/>
        </w:tcBorders>
      </w:tcPr>
    </w:tblStylePr>
  </w:style>
  <w:style w:type="table" w:customStyle="1" w:styleId="GridTable4-Accent51">
    <w:name w:val="Grid Table 4 - Accent 51"/>
    <w:uiPriority w:val="99"/>
    <w:rsid w:val="005E34D5"/>
    <w:rPr>
      <w:sz w:val="20"/>
      <w:szCs w:val="20"/>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GridTable4-Accent11">
    <w:name w:val="Grid Table 4 - Accent 11"/>
    <w:uiPriority w:val="99"/>
    <w:rsid w:val="00D77BFF"/>
    <w:rPr>
      <w:sz w:val="20"/>
      <w:szCs w:val="20"/>
      <w:lang w:val="en-US"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rFonts w:cs="Times New Roman"/>
        <w:b/>
        <w:bCs/>
      </w:rPr>
      <w:tblPr/>
      <w:tcPr>
        <w:tcBorders>
          <w:top w:val="double" w:sz="4"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paragraph" w:styleId="NoSpacing">
    <w:name w:val="No Spacing"/>
    <w:uiPriority w:val="99"/>
    <w:qFormat/>
    <w:rsid w:val="006B5EE0"/>
    <w:rPr>
      <w:lang w:eastAsia="en-US"/>
    </w:rPr>
  </w:style>
  <w:style w:type="character" w:customStyle="1" w:styleId="named-contentgenus-species">
    <w:name w:val="named-content genus-species"/>
    <w:basedOn w:val="DefaultParagraphFont"/>
    <w:uiPriority w:val="99"/>
    <w:rsid w:val="000C251D"/>
    <w:rPr>
      <w:rFonts w:cs="Times New Roman"/>
    </w:rPr>
  </w:style>
  <w:style w:type="character" w:styleId="HTMLCite">
    <w:name w:val="HTML Cite"/>
    <w:basedOn w:val="DefaultParagraphFont"/>
    <w:uiPriority w:val="99"/>
    <w:rsid w:val="000C251D"/>
    <w:rPr>
      <w:rFonts w:cs="Times New Roman"/>
      <w:i/>
      <w:iCs/>
    </w:rPr>
  </w:style>
  <w:style w:type="character" w:customStyle="1" w:styleId="slug-pub-date">
    <w:name w:val="slug-pub-date"/>
    <w:basedOn w:val="DefaultParagraphFont"/>
    <w:uiPriority w:val="99"/>
    <w:rsid w:val="000C251D"/>
    <w:rPr>
      <w:rFonts w:cs="Times New Roman"/>
    </w:rPr>
  </w:style>
  <w:style w:type="character" w:customStyle="1" w:styleId="slug-vol">
    <w:name w:val="slug-vol"/>
    <w:basedOn w:val="DefaultParagraphFont"/>
    <w:uiPriority w:val="99"/>
    <w:rsid w:val="000C251D"/>
    <w:rPr>
      <w:rFonts w:cs="Times New Roman"/>
    </w:rPr>
  </w:style>
  <w:style w:type="character" w:customStyle="1" w:styleId="slug-issue">
    <w:name w:val="slug-issue"/>
    <w:basedOn w:val="DefaultParagraphFont"/>
    <w:uiPriority w:val="99"/>
    <w:rsid w:val="000C251D"/>
    <w:rPr>
      <w:rFonts w:cs="Times New Roman"/>
    </w:rPr>
  </w:style>
  <w:style w:type="character" w:customStyle="1" w:styleId="slug-pages">
    <w:name w:val="slug-pages"/>
    <w:basedOn w:val="DefaultParagraphFont"/>
    <w:uiPriority w:val="99"/>
    <w:rsid w:val="000C251D"/>
    <w:rPr>
      <w:rFonts w:cs="Times New Roman"/>
    </w:rPr>
  </w:style>
  <w:style w:type="character" w:styleId="Emphasis">
    <w:name w:val="Emphasis"/>
    <w:basedOn w:val="DefaultParagraphFont"/>
    <w:uiPriority w:val="20"/>
    <w:qFormat/>
    <w:locked/>
    <w:rsid w:val="004E2318"/>
    <w:rPr>
      <w:rFonts w:cs="Times New Roman"/>
      <w:i/>
      <w:iCs/>
    </w:rPr>
  </w:style>
  <w:style w:type="character" w:styleId="Hyperlink">
    <w:name w:val="Hyperlink"/>
    <w:basedOn w:val="DefaultParagraphFont"/>
    <w:uiPriority w:val="99"/>
    <w:rsid w:val="004E2318"/>
    <w:rPr>
      <w:rFonts w:cs="Times New Roman"/>
      <w:color w:val="0000FF"/>
      <w:u w:val="single"/>
    </w:rPr>
  </w:style>
  <w:style w:type="table" w:styleId="TableGridLight">
    <w:name w:val="Grid Table Light"/>
    <w:basedOn w:val="TableNormal"/>
    <w:uiPriority w:val="40"/>
    <w:rsid w:val="00EB42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B42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B42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B7553C"/>
  </w:style>
  <w:style w:type="table" w:styleId="PlainTable5">
    <w:name w:val="Plain Table 5"/>
    <w:basedOn w:val="TableNormal"/>
    <w:uiPriority w:val="45"/>
    <w:rsid w:val="00942FA1"/>
    <w:rPr>
      <w:rFonts w:asciiTheme="minorHAnsi" w:eastAsiaTheme="minorHAnsi" w:hAnsi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104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AF8"/>
    <w:rPr>
      <w:lang w:eastAsia="en-US"/>
    </w:rPr>
  </w:style>
  <w:style w:type="paragraph" w:styleId="Footer">
    <w:name w:val="footer"/>
    <w:basedOn w:val="Normal"/>
    <w:link w:val="FooterChar"/>
    <w:uiPriority w:val="99"/>
    <w:unhideWhenUsed/>
    <w:rsid w:val="00104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AF8"/>
    <w:rPr>
      <w:lang w:eastAsia="en-US"/>
    </w:rPr>
  </w:style>
  <w:style w:type="table" w:styleId="ListTable7Colorful">
    <w:name w:val="List Table 7 Colorful"/>
    <w:basedOn w:val="TableNormal"/>
    <w:uiPriority w:val="52"/>
    <w:rsid w:val="009D6FA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72DB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2067A6"/>
    <w:rPr>
      <w:color w:val="605E5C"/>
      <w:shd w:val="clear" w:color="auto" w:fill="E1DFDD"/>
    </w:rPr>
  </w:style>
  <w:style w:type="character" w:styleId="FollowedHyperlink">
    <w:name w:val="FollowedHyperlink"/>
    <w:basedOn w:val="DefaultParagraphFont"/>
    <w:uiPriority w:val="99"/>
    <w:semiHidden/>
    <w:unhideWhenUsed/>
    <w:rsid w:val="00662707"/>
    <w:rPr>
      <w:color w:val="800080" w:themeColor="followedHyperlink"/>
      <w:u w:val="single"/>
    </w:rPr>
  </w:style>
  <w:style w:type="character" w:customStyle="1" w:styleId="Heading2Char">
    <w:name w:val="Heading 2 Char"/>
    <w:basedOn w:val="DefaultParagraphFont"/>
    <w:link w:val="Heading2"/>
    <w:rsid w:val="0084088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8755">
      <w:bodyDiv w:val="1"/>
      <w:marLeft w:val="0"/>
      <w:marRight w:val="0"/>
      <w:marTop w:val="0"/>
      <w:marBottom w:val="0"/>
      <w:divBdr>
        <w:top w:val="none" w:sz="0" w:space="0" w:color="auto"/>
        <w:left w:val="none" w:sz="0" w:space="0" w:color="auto"/>
        <w:bottom w:val="none" w:sz="0" w:space="0" w:color="auto"/>
        <w:right w:val="none" w:sz="0" w:space="0" w:color="auto"/>
      </w:divBdr>
      <w:divsChild>
        <w:div w:id="1704987208">
          <w:marLeft w:val="0"/>
          <w:marRight w:val="0"/>
          <w:marTop w:val="0"/>
          <w:marBottom w:val="0"/>
          <w:divBdr>
            <w:top w:val="none" w:sz="0" w:space="0" w:color="auto"/>
            <w:left w:val="none" w:sz="0" w:space="0" w:color="auto"/>
            <w:bottom w:val="none" w:sz="0" w:space="0" w:color="auto"/>
            <w:right w:val="none" w:sz="0" w:space="0" w:color="auto"/>
          </w:divBdr>
          <w:divsChild>
            <w:div w:id="749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9061">
      <w:bodyDiv w:val="1"/>
      <w:marLeft w:val="0"/>
      <w:marRight w:val="0"/>
      <w:marTop w:val="0"/>
      <w:marBottom w:val="0"/>
      <w:divBdr>
        <w:top w:val="none" w:sz="0" w:space="0" w:color="auto"/>
        <w:left w:val="none" w:sz="0" w:space="0" w:color="auto"/>
        <w:bottom w:val="none" w:sz="0" w:space="0" w:color="auto"/>
        <w:right w:val="none" w:sz="0" w:space="0" w:color="auto"/>
      </w:divBdr>
    </w:div>
    <w:div w:id="290088737">
      <w:bodyDiv w:val="1"/>
      <w:marLeft w:val="0"/>
      <w:marRight w:val="0"/>
      <w:marTop w:val="0"/>
      <w:marBottom w:val="0"/>
      <w:divBdr>
        <w:top w:val="none" w:sz="0" w:space="0" w:color="auto"/>
        <w:left w:val="none" w:sz="0" w:space="0" w:color="auto"/>
        <w:bottom w:val="none" w:sz="0" w:space="0" w:color="auto"/>
        <w:right w:val="none" w:sz="0" w:space="0" w:color="auto"/>
      </w:divBdr>
      <w:divsChild>
        <w:div w:id="837619964">
          <w:marLeft w:val="0"/>
          <w:marRight w:val="0"/>
          <w:marTop w:val="0"/>
          <w:marBottom w:val="0"/>
          <w:divBdr>
            <w:top w:val="none" w:sz="0" w:space="0" w:color="auto"/>
            <w:left w:val="none" w:sz="0" w:space="0" w:color="auto"/>
            <w:bottom w:val="none" w:sz="0" w:space="0" w:color="auto"/>
            <w:right w:val="none" w:sz="0" w:space="0" w:color="auto"/>
          </w:divBdr>
        </w:div>
        <w:div w:id="749232978">
          <w:marLeft w:val="0"/>
          <w:marRight w:val="0"/>
          <w:marTop w:val="0"/>
          <w:marBottom w:val="0"/>
          <w:divBdr>
            <w:top w:val="none" w:sz="0" w:space="0" w:color="auto"/>
            <w:left w:val="none" w:sz="0" w:space="0" w:color="auto"/>
            <w:bottom w:val="none" w:sz="0" w:space="0" w:color="auto"/>
            <w:right w:val="none" w:sz="0" w:space="0" w:color="auto"/>
          </w:divBdr>
        </w:div>
        <w:div w:id="1477795568">
          <w:marLeft w:val="0"/>
          <w:marRight w:val="0"/>
          <w:marTop w:val="0"/>
          <w:marBottom w:val="0"/>
          <w:divBdr>
            <w:top w:val="none" w:sz="0" w:space="0" w:color="auto"/>
            <w:left w:val="none" w:sz="0" w:space="0" w:color="auto"/>
            <w:bottom w:val="none" w:sz="0" w:space="0" w:color="auto"/>
            <w:right w:val="none" w:sz="0" w:space="0" w:color="auto"/>
          </w:divBdr>
        </w:div>
        <w:div w:id="894662204">
          <w:marLeft w:val="0"/>
          <w:marRight w:val="0"/>
          <w:marTop w:val="0"/>
          <w:marBottom w:val="0"/>
          <w:divBdr>
            <w:top w:val="none" w:sz="0" w:space="0" w:color="auto"/>
            <w:left w:val="none" w:sz="0" w:space="0" w:color="auto"/>
            <w:bottom w:val="none" w:sz="0" w:space="0" w:color="auto"/>
            <w:right w:val="none" w:sz="0" w:space="0" w:color="auto"/>
          </w:divBdr>
        </w:div>
      </w:divsChild>
    </w:div>
    <w:div w:id="502823432">
      <w:bodyDiv w:val="1"/>
      <w:marLeft w:val="0"/>
      <w:marRight w:val="0"/>
      <w:marTop w:val="0"/>
      <w:marBottom w:val="0"/>
      <w:divBdr>
        <w:top w:val="none" w:sz="0" w:space="0" w:color="auto"/>
        <w:left w:val="none" w:sz="0" w:space="0" w:color="auto"/>
        <w:bottom w:val="none" w:sz="0" w:space="0" w:color="auto"/>
        <w:right w:val="none" w:sz="0" w:space="0" w:color="auto"/>
      </w:divBdr>
    </w:div>
    <w:div w:id="546990607">
      <w:bodyDiv w:val="1"/>
      <w:marLeft w:val="0"/>
      <w:marRight w:val="0"/>
      <w:marTop w:val="0"/>
      <w:marBottom w:val="0"/>
      <w:divBdr>
        <w:top w:val="none" w:sz="0" w:space="0" w:color="auto"/>
        <w:left w:val="none" w:sz="0" w:space="0" w:color="auto"/>
        <w:bottom w:val="none" w:sz="0" w:space="0" w:color="auto"/>
        <w:right w:val="none" w:sz="0" w:space="0" w:color="auto"/>
      </w:divBdr>
      <w:divsChild>
        <w:div w:id="266816041">
          <w:marLeft w:val="0"/>
          <w:marRight w:val="0"/>
          <w:marTop w:val="0"/>
          <w:marBottom w:val="0"/>
          <w:divBdr>
            <w:top w:val="none" w:sz="0" w:space="0" w:color="auto"/>
            <w:left w:val="none" w:sz="0" w:space="0" w:color="auto"/>
            <w:bottom w:val="none" w:sz="0" w:space="0" w:color="auto"/>
            <w:right w:val="none" w:sz="0" w:space="0" w:color="auto"/>
          </w:divBdr>
          <w:divsChild>
            <w:div w:id="657921880">
              <w:marLeft w:val="0"/>
              <w:marRight w:val="0"/>
              <w:marTop w:val="0"/>
              <w:marBottom w:val="0"/>
              <w:divBdr>
                <w:top w:val="none" w:sz="0" w:space="0" w:color="auto"/>
                <w:left w:val="none" w:sz="0" w:space="0" w:color="auto"/>
                <w:bottom w:val="none" w:sz="0" w:space="0" w:color="auto"/>
                <w:right w:val="none" w:sz="0" w:space="0" w:color="auto"/>
              </w:divBdr>
              <w:divsChild>
                <w:div w:id="1717972524">
                  <w:marLeft w:val="0"/>
                  <w:marRight w:val="0"/>
                  <w:marTop w:val="0"/>
                  <w:marBottom w:val="0"/>
                  <w:divBdr>
                    <w:top w:val="none" w:sz="0" w:space="0" w:color="auto"/>
                    <w:left w:val="none" w:sz="0" w:space="0" w:color="auto"/>
                    <w:bottom w:val="none" w:sz="0" w:space="0" w:color="auto"/>
                    <w:right w:val="none" w:sz="0" w:space="0" w:color="auto"/>
                  </w:divBdr>
                </w:div>
                <w:div w:id="15137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210">
      <w:marLeft w:val="0"/>
      <w:marRight w:val="0"/>
      <w:marTop w:val="0"/>
      <w:marBottom w:val="0"/>
      <w:divBdr>
        <w:top w:val="none" w:sz="0" w:space="0" w:color="auto"/>
        <w:left w:val="none" w:sz="0" w:space="0" w:color="auto"/>
        <w:bottom w:val="none" w:sz="0" w:space="0" w:color="auto"/>
        <w:right w:val="none" w:sz="0" w:space="0" w:color="auto"/>
      </w:divBdr>
    </w:div>
    <w:div w:id="1066337211">
      <w:marLeft w:val="0"/>
      <w:marRight w:val="0"/>
      <w:marTop w:val="0"/>
      <w:marBottom w:val="0"/>
      <w:divBdr>
        <w:top w:val="none" w:sz="0" w:space="0" w:color="auto"/>
        <w:left w:val="none" w:sz="0" w:space="0" w:color="auto"/>
        <w:bottom w:val="none" w:sz="0" w:space="0" w:color="auto"/>
        <w:right w:val="none" w:sz="0" w:space="0" w:color="auto"/>
      </w:divBdr>
    </w:div>
    <w:div w:id="1066337212">
      <w:marLeft w:val="0"/>
      <w:marRight w:val="0"/>
      <w:marTop w:val="0"/>
      <w:marBottom w:val="0"/>
      <w:divBdr>
        <w:top w:val="none" w:sz="0" w:space="0" w:color="auto"/>
        <w:left w:val="none" w:sz="0" w:space="0" w:color="auto"/>
        <w:bottom w:val="none" w:sz="0" w:space="0" w:color="auto"/>
        <w:right w:val="none" w:sz="0" w:space="0" w:color="auto"/>
      </w:divBdr>
    </w:div>
    <w:div w:id="1066337213">
      <w:marLeft w:val="0"/>
      <w:marRight w:val="0"/>
      <w:marTop w:val="0"/>
      <w:marBottom w:val="0"/>
      <w:divBdr>
        <w:top w:val="none" w:sz="0" w:space="0" w:color="auto"/>
        <w:left w:val="none" w:sz="0" w:space="0" w:color="auto"/>
        <w:bottom w:val="none" w:sz="0" w:space="0" w:color="auto"/>
        <w:right w:val="none" w:sz="0" w:space="0" w:color="auto"/>
      </w:divBdr>
    </w:div>
    <w:div w:id="1066337214">
      <w:marLeft w:val="0"/>
      <w:marRight w:val="0"/>
      <w:marTop w:val="0"/>
      <w:marBottom w:val="0"/>
      <w:divBdr>
        <w:top w:val="none" w:sz="0" w:space="0" w:color="auto"/>
        <w:left w:val="none" w:sz="0" w:space="0" w:color="auto"/>
        <w:bottom w:val="none" w:sz="0" w:space="0" w:color="auto"/>
        <w:right w:val="none" w:sz="0" w:space="0" w:color="auto"/>
      </w:divBdr>
    </w:div>
    <w:div w:id="1066337215">
      <w:marLeft w:val="0"/>
      <w:marRight w:val="0"/>
      <w:marTop w:val="0"/>
      <w:marBottom w:val="0"/>
      <w:divBdr>
        <w:top w:val="none" w:sz="0" w:space="0" w:color="auto"/>
        <w:left w:val="none" w:sz="0" w:space="0" w:color="auto"/>
        <w:bottom w:val="none" w:sz="0" w:space="0" w:color="auto"/>
        <w:right w:val="none" w:sz="0" w:space="0" w:color="auto"/>
      </w:divBdr>
    </w:div>
    <w:div w:id="1066337216">
      <w:marLeft w:val="0"/>
      <w:marRight w:val="0"/>
      <w:marTop w:val="0"/>
      <w:marBottom w:val="0"/>
      <w:divBdr>
        <w:top w:val="none" w:sz="0" w:space="0" w:color="auto"/>
        <w:left w:val="none" w:sz="0" w:space="0" w:color="auto"/>
        <w:bottom w:val="none" w:sz="0" w:space="0" w:color="auto"/>
        <w:right w:val="none" w:sz="0" w:space="0" w:color="auto"/>
      </w:divBdr>
    </w:div>
    <w:div w:id="1066337217">
      <w:marLeft w:val="0"/>
      <w:marRight w:val="0"/>
      <w:marTop w:val="0"/>
      <w:marBottom w:val="0"/>
      <w:divBdr>
        <w:top w:val="none" w:sz="0" w:space="0" w:color="auto"/>
        <w:left w:val="none" w:sz="0" w:space="0" w:color="auto"/>
        <w:bottom w:val="none" w:sz="0" w:space="0" w:color="auto"/>
        <w:right w:val="none" w:sz="0" w:space="0" w:color="auto"/>
      </w:divBdr>
    </w:div>
    <w:div w:id="1066337218">
      <w:marLeft w:val="0"/>
      <w:marRight w:val="0"/>
      <w:marTop w:val="0"/>
      <w:marBottom w:val="0"/>
      <w:divBdr>
        <w:top w:val="none" w:sz="0" w:space="0" w:color="auto"/>
        <w:left w:val="none" w:sz="0" w:space="0" w:color="auto"/>
        <w:bottom w:val="none" w:sz="0" w:space="0" w:color="auto"/>
        <w:right w:val="none" w:sz="0" w:space="0" w:color="auto"/>
      </w:divBdr>
    </w:div>
    <w:div w:id="1066337219">
      <w:marLeft w:val="0"/>
      <w:marRight w:val="0"/>
      <w:marTop w:val="0"/>
      <w:marBottom w:val="0"/>
      <w:divBdr>
        <w:top w:val="none" w:sz="0" w:space="0" w:color="auto"/>
        <w:left w:val="none" w:sz="0" w:space="0" w:color="auto"/>
        <w:bottom w:val="none" w:sz="0" w:space="0" w:color="auto"/>
        <w:right w:val="none" w:sz="0" w:space="0" w:color="auto"/>
      </w:divBdr>
    </w:div>
    <w:div w:id="1066337220">
      <w:marLeft w:val="0"/>
      <w:marRight w:val="0"/>
      <w:marTop w:val="0"/>
      <w:marBottom w:val="0"/>
      <w:divBdr>
        <w:top w:val="none" w:sz="0" w:space="0" w:color="auto"/>
        <w:left w:val="none" w:sz="0" w:space="0" w:color="auto"/>
        <w:bottom w:val="none" w:sz="0" w:space="0" w:color="auto"/>
        <w:right w:val="none" w:sz="0" w:space="0" w:color="auto"/>
      </w:divBdr>
    </w:div>
    <w:div w:id="1066337221">
      <w:marLeft w:val="0"/>
      <w:marRight w:val="0"/>
      <w:marTop w:val="0"/>
      <w:marBottom w:val="0"/>
      <w:divBdr>
        <w:top w:val="none" w:sz="0" w:space="0" w:color="auto"/>
        <w:left w:val="none" w:sz="0" w:space="0" w:color="auto"/>
        <w:bottom w:val="none" w:sz="0" w:space="0" w:color="auto"/>
        <w:right w:val="none" w:sz="0" w:space="0" w:color="auto"/>
      </w:divBdr>
    </w:div>
    <w:div w:id="1066337222">
      <w:marLeft w:val="0"/>
      <w:marRight w:val="0"/>
      <w:marTop w:val="0"/>
      <w:marBottom w:val="0"/>
      <w:divBdr>
        <w:top w:val="none" w:sz="0" w:space="0" w:color="auto"/>
        <w:left w:val="none" w:sz="0" w:space="0" w:color="auto"/>
        <w:bottom w:val="none" w:sz="0" w:space="0" w:color="auto"/>
        <w:right w:val="none" w:sz="0" w:space="0" w:color="auto"/>
      </w:divBdr>
    </w:div>
    <w:div w:id="1066337223">
      <w:marLeft w:val="0"/>
      <w:marRight w:val="0"/>
      <w:marTop w:val="0"/>
      <w:marBottom w:val="0"/>
      <w:divBdr>
        <w:top w:val="none" w:sz="0" w:space="0" w:color="auto"/>
        <w:left w:val="none" w:sz="0" w:space="0" w:color="auto"/>
        <w:bottom w:val="none" w:sz="0" w:space="0" w:color="auto"/>
        <w:right w:val="none" w:sz="0" w:space="0" w:color="auto"/>
      </w:divBdr>
    </w:div>
    <w:div w:id="1066337224">
      <w:marLeft w:val="0"/>
      <w:marRight w:val="0"/>
      <w:marTop w:val="0"/>
      <w:marBottom w:val="0"/>
      <w:divBdr>
        <w:top w:val="none" w:sz="0" w:space="0" w:color="auto"/>
        <w:left w:val="none" w:sz="0" w:space="0" w:color="auto"/>
        <w:bottom w:val="none" w:sz="0" w:space="0" w:color="auto"/>
        <w:right w:val="none" w:sz="0" w:space="0" w:color="auto"/>
      </w:divBdr>
    </w:div>
    <w:div w:id="1066337225">
      <w:marLeft w:val="0"/>
      <w:marRight w:val="0"/>
      <w:marTop w:val="0"/>
      <w:marBottom w:val="0"/>
      <w:divBdr>
        <w:top w:val="none" w:sz="0" w:space="0" w:color="auto"/>
        <w:left w:val="none" w:sz="0" w:space="0" w:color="auto"/>
        <w:bottom w:val="none" w:sz="0" w:space="0" w:color="auto"/>
        <w:right w:val="none" w:sz="0" w:space="0" w:color="auto"/>
      </w:divBdr>
    </w:div>
    <w:div w:id="1066337226">
      <w:marLeft w:val="0"/>
      <w:marRight w:val="0"/>
      <w:marTop w:val="0"/>
      <w:marBottom w:val="0"/>
      <w:divBdr>
        <w:top w:val="none" w:sz="0" w:space="0" w:color="auto"/>
        <w:left w:val="none" w:sz="0" w:space="0" w:color="auto"/>
        <w:bottom w:val="none" w:sz="0" w:space="0" w:color="auto"/>
        <w:right w:val="none" w:sz="0" w:space="0" w:color="auto"/>
      </w:divBdr>
    </w:div>
    <w:div w:id="1066337227">
      <w:marLeft w:val="0"/>
      <w:marRight w:val="0"/>
      <w:marTop w:val="0"/>
      <w:marBottom w:val="0"/>
      <w:divBdr>
        <w:top w:val="none" w:sz="0" w:space="0" w:color="auto"/>
        <w:left w:val="none" w:sz="0" w:space="0" w:color="auto"/>
        <w:bottom w:val="none" w:sz="0" w:space="0" w:color="auto"/>
        <w:right w:val="none" w:sz="0" w:space="0" w:color="auto"/>
      </w:divBdr>
    </w:div>
    <w:div w:id="1066337228">
      <w:marLeft w:val="0"/>
      <w:marRight w:val="0"/>
      <w:marTop w:val="0"/>
      <w:marBottom w:val="0"/>
      <w:divBdr>
        <w:top w:val="none" w:sz="0" w:space="0" w:color="auto"/>
        <w:left w:val="none" w:sz="0" w:space="0" w:color="auto"/>
        <w:bottom w:val="none" w:sz="0" w:space="0" w:color="auto"/>
        <w:right w:val="none" w:sz="0" w:space="0" w:color="auto"/>
      </w:divBdr>
    </w:div>
    <w:div w:id="1066337229">
      <w:marLeft w:val="0"/>
      <w:marRight w:val="0"/>
      <w:marTop w:val="0"/>
      <w:marBottom w:val="0"/>
      <w:divBdr>
        <w:top w:val="none" w:sz="0" w:space="0" w:color="auto"/>
        <w:left w:val="none" w:sz="0" w:space="0" w:color="auto"/>
        <w:bottom w:val="none" w:sz="0" w:space="0" w:color="auto"/>
        <w:right w:val="none" w:sz="0" w:space="0" w:color="auto"/>
      </w:divBdr>
    </w:div>
    <w:div w:id="1066337230">
      <w:marLeft w:val="0"/>
      <w:marRight w:val="0"/>
      <w:marTop w:val="0"/>
      <w:marBottom w:val="0"/>
      <w:divBdr>
        <w:top w:val="none" w:sz="0" w:space="0" w:color="auto"/>
        <w:left w:val="none" w:sz="0" w:space="0" w:color="auto"/>
        <w:bottom w:val="none" w:sz="0" w:space="0" w:color="auto"/>
        <w:right w:val="none" w:sz="0" w:space="0" w:color="auto"/>
      </w:divBdr>
    </w:div>
    <w:div w:id="1066337231">
      <w:marLeft w:val="0"/>
      <w:marRight w:val="0"/>
      <w:marTop w:val="0"/>
      <w:marBottom w:val="0"/>
      <w:divBdr>
        <w:top w:val="none" w:sz="0" w:space="0" w:color="auto"/>
        <w:left w:val="none" w:sz="0" w:space="0" w:color="auto"/>
        <w:bottom w:val="none" w:sz="0" w:space="0" w:color="auto"/>
        <w:right w:val="none" w:sz="0" w:space="0" w:color="auto"/>
      </w:divBdr>
    </w:div>
    <w:div w:id="1066337232">
      <w:marLeft w:val="0"/>
      <w:marRight w:val="0"/>
      <w:marTop w:val="0"/>
      <w:marBottom w:val="0"/>
      <w:divBdr>
        <w:top w:val="none" w:sz="0" w:space="0" w:color="auto"/>
        <w:left w:val="none" w:sz="0" w:space="0" w:color="auto"/>
        <w:bottom w:val="none" w:sz="0" w:space="0" w:color="auto"/>
        <w:right w:val="none" w:sz="0" w:space="0" w:color="auto"/>
      </w:divBdr>
    </w:div>
    <w:div w:id="1066337233">
      <w:marLeft w:val="0"/>
      <w:marRight w:val="0"/>
      <w:marTop w:val="0"/>
      <w:marBottom w:val="0"/>
      <w:divBdr>
        <w:top w:val="none" w:sz="0" w:space="0" w:color="auto"/>
        <w:left w:val="none" w:sz="0" w:space="0" w:color="auto"/>
        <w:bottom w:val="none" w:sz="0" w:space="0" w:color="auto"/>
        <w:right w:val="none" w:sz="0" w:space="0" w:color="auto"/>
      </w:divBdr>
    </w:div>
    <w:div w:id="1066337235">
      <w:marLeft w:val="0"/>
      <w:marRight w:val="0"/>
      <w:marTop w:val="0"/>
      <w:marBottom w:val="0"/>
      <w:divBdr>
        <w:top w:val="none" w:sz="0" w:space="0" w:color="auto"/>
        <w:left w:val="none" w:sz="0" w:space="0" w:color="auto"/>
        <w:bottom w:val="none" w:sz="0" w:space="0" w:color="auto"/>
        <w:right w:val="none" w:sz="0" w:space="0" w:color="auto"/>
      </w:divBdr>
      <w:divsChild>
        <w:div w:id="1066337241">
          <w:marLeft w:val="0"/>
          <w:marRight w:val="0"/>
          <w:marTop w:val="0"/>
          <w:marBottom w:val="0"/>
          <w:divBdr>
            <w:top w:val="none" w:sz="0" w:space="0" w:color="auto"/>
            <w:left w:val="none" w:sz="0" w:space="0" w:color="auto"/>
            <w:bottom w:val="none" w:sz="0" w:space="0" w:color="auto"/>
            <w:right w:val="none" w:sz="0" w:space="0" w:color="auto"/>
          </w:divBdr>
          <w:divsChild>
            <w:div w:id="10663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7236">
      <w:marLeft w:val="0"/>
      <w:marRight w:val="0"/>
      <w:marTop w:val="0"/>
      <w:marBottom w:val="0"/>
      <w:divBdr>
        <w:top w:val="none" w:sz="0" w:space="0" w:color="auto"/>
        <w:left w:val="none" w:sz="0" w:space="0" w:color="auto"/>
        <w:bottom w:val="none" w:sz="0" w:space="0" w:color="auto"/>
        <w:right w:val="none" w:sz="0" w:space="0" w:color="auto"/>
      </w:divBdr>
      <w:divsChild>
        <w:div w:id="1066337237">
          <w:marLeft w:val="0"/>
          <w:marRight w:val="0"/>
          <w:marTop w:val="0"/>
          <w:marBottom w:val="0"/>
          <w:divBdr>
            <w:top w:val="none" w:sz="0" w:space="0" w:color="auto"/>
            <w:left w:val="none" w:sz="0" w:space="0" w:color="auto"/>
            <w:bottom w:val="none" w:sz="0" w:space="0" w:color="auto"/>
            <w:right w:val="none" w:sz="0" w:space="0" w:color="auto"/>
          </w:divBdr>
          <w:divsChild>
            <w:div w:id="1066337234">
              <w:marLeft w:val="0"/>
              <w:marRight w:val="0"/>
              <w:marTop w:val="0"/>
              <w:marBottom w:val="0"/>
              <w:divBdr>
                <w:top w:val="none" w:sz="0" w:space="0" w:color="auto"/>
                <w:left w:val="none" w:sz="0" w:space="0" w:color="auto"/>
                <w:bottom w:val="none" w:sz="0" w:space="0" w:color="auto"/>
                <w:right w:val="none" w:sz="0" w:space="0" w:color="auto"/>
              </w:divBdr>
            </w:div>
            <w:div w:id="10663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7240">
      <w:marLeft w:val="0"/>
      <w:marRight w:val="0"/>
      <w:marTop w:val="0"/>
      <w:marBottom w:val="0"/>
      <w:divBdr>
        <w:top w:val="none" w:sz="0" w:space="0" w:color="auto"/>
        <w:left w:val="none" w:sz="0" w:space="0" w:color="auto"/>
        <w:bottom w:val="none" w:sz="0" w:space="0" w:color="auto"/>
        <w:right w:val="none" w:sz="0" w:space="0" w:color="auto"/>
      </w:divBdr>
    </w:div>
    <w:div w:id="1185483444">
      <w:bodyDiv w:val="1"/>
      <w:marLeft w:val="0"/>
      <w:marRight w:val="0"/>
      <w:marTop w:val="0"/>
      <w:marBottom w:val="0"/>
      <w:divBdr>
        <w:top w:val="none" w:sz="0" w:space="0" w:color="auto"/>
        <w:left w:val="none" w:sz="0" w:space="0" w:color="auto"/>
        <w:bottom w:val="none" w:sz="0" w:space="0" w:color="auto"/>
        <w:right w:val="none" w:sz="0" w:space="0" w:color="auto"/>
      </w:divBdr>
      <w:divsChild>
        <w:div w:id="707530798">
          <w:marLeft w:val="0"/>
          <w:marRight w:val="0"/>
          <w:marTop w:val="0"/>
          <w:marBottom w:val="0"/>
          <w:divBdr>
            <w:top w:val="none" w:sz="0" w:space="0" w:color="auto"/>
            <w:left w:val="none" w:sz="0" w:space="0" w:color="auto"/>
            <w:bottom w:val="none" w:sz="0" w:space="0" w:color="auto"/>
            <w:right w:val="none" w:sz="0" w:space="0" w:color="auto"/>
          </w:divBdr>
          <w:divsChild>
            <w:div w:id="1197279437">
              <w:marLeft w:val="0"/>
              <w:marRight w:val="0"/>
              <w:marTop w:val="0"/>
              <w:marBottom w:val="0"/>
              <w:divBdr>
                <w:top w:val="none" w:sz="0" w:space="0" w:color="auto"/>
                <w:left w:val="none" w:sz="0" w:space="0" w:color="auto"/>
                <w:bottom w:val="none" w:sz="0" w:space="0" w:color="auto"/>
                <w:right w:val="none" w:sz="0" w:space="0" w:color="auto"/>
              </w:divBdr>
              <w:divsChild>
                <w:div w:id="1932734207">
                  <w:marLeft w:val="0"/>
                  <w:marRight w:val="0"/>
                  <w:marTop w:val="0"/>
                  <w:marBottom w:val="0"/>
                  <w:divBdr>
                    <w:top w:val="none" w:sz="0" w:space="0" w:color="auto"/>
                    <w:left w:val="none" w:sz="0" w:space="0" w:color="auto"/>
                    <w:bottom w:val="none" w:sz="0" w:space="0" w:color="auto"/>
                    <w:right w:val="none" w:sz="0" w:space="0" w:color="auto"/>
                  </w:divBdr>
                </w:div>
                <w:div w:id="993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4735">
      <w:bodyDiv w:val="1"/>
      <w:marLeft w:val="0"/>
      <w:marRight w:val="0"/>
      <w:marTop w:val="0"/>
      <w:marBottom w:val="0"/>
      <w:divBdr>
        <w:top w:val="none" w:sz="0" w:space="0" w:color="auto"/>
        <w:left w:val="none" w:sz="0" w:space="0" w:color="auto"/>
        <w:bottom w:val="none" w:sz="0" w:space="0" w:color="auto"/>
        <w:right w:val="none" w:sz="0" w:space="0" w:color="auto"/>
      </w:divBdr>
      <w:divsChild>
        <w:div w:id="2017686317">
          <w:marLeft w:val="0"/>
          <w:marRight w:val="0"/>
          <w:marTop w:val="0"/>
          <w:marBottom w:val="0"/>
          <w:divBdr>
            <w:top w:val="none" w:sz="0" w:space="0" w:color="auto"/>
            <w:left w:val="none" w:sz="0" w:space="0" w:color="auto"/>
            <w:bottom w:val="none" w:sz="0" w:space="0" w:color="auto"/>
            <w:right w:val="none" w:sz="0" w:space="0" w:color="auto"/>
          </w:divBdr>
        </w:div>
        <w:div w:id="489368055">
          <w:marLeft w:val="0"/>
          <w:marRight w:val="0"/>
          <w:marTop w:val="0"/>
          <w:marBottom w:val="0"/>
          <w:divBdr>
            <w:top w:val="none" w:sz="0" w:space="0" w:color="auto"/>
            <w:left w:val="none" w:sz="0" w:space="0" w:color="auto"/>
            <w:bottom w:val="none" w:sz="0" w:space="0" w:color="auto"/>
            <w:right w:val="none" w:sz="0" w:space="0" w:color="auto"/>
          </w:divBdr>
        </w:div>
        <w:div w:id="1952323772">
          <w:marLeft w:val="0"/>
          <w:marRight w:val="0"/>
          <w:marTop w:val="0"/>
          <w:marBottom w:val="0"/>
          <w:divBdr>
            <w:top w:val="none" w:sz="0" w:space="0" w:color="auto"/>
            <w:left w:val="none" w:sz="0" w:space="0" w:color="auto"/>
            <w:bottom w:val="none" w:sz="0" w:space="0" w:color="auto"/>
            <w:right w:val="none" w:sz="0" w:space="0" w:color="auto"/>
          </w:divBdr>
        </w:div>
        <w:div w:id="2121607583">
          <w:marLeft w:val="0"/>
          <w:marRight w:val="0"/>
          <w:marTop w:val="0"/>
          <w:marBottom w:val="0"/>
          <w:divBdr>
            <w:top w:val="none" w:sz="0" w:space="0" w:color="auto"/>
            <w:left w:val="none" w:sz="0" w:space="0" w:color="auto"/>
            <w:bottom w:val="none" w:sz="0" w:space="0" w:color="auto"/>
            <w:right w:val="none" w:sz="0" w:space="0" w:color="auto"/>
          </w:divBdr>
        </w:div>
        <w:div w:id="1089084800">
          <w:marLeft w:val="0"/>
          <w:marRight w:val="0"/>
          <w:marTop w:val="0"/>
          <w:marBottom w:val="0"/>
          <w:divBdr>
            <w:top w:val="none" w:sz="0" w:space="0" w:color="auto"/>
            <w:left w:val="none" w:sz="0" w:space="0" w:color="auto"/>
            <w:bottom w:val="none" w:sz="0" w:space="0" w:color="auto"/>
            <w:right w:val="none" w:sz="0" w:space="0" w:color="auto"/>
          </w:divBdr>
        </w:div>
      </w:divsChild>
    </w:div>
    <w:div w:id="1342008453">
      <w:bodyDiv w:val="1"/>
      <w:marLeft w:val="0"/>
      <w:marRight w:val="0"/>
      <w:marTop w:val="0"/>
      <w:marBottom w:val="0"/>
      <w:divBdr>
        <w:top w:val="none" w:sz="0" w:space="0" w:color="auto"/>
        <w:left w:val="none" w:sz="0" w:space="0" w:color="auto"/>
        <w:bottom w:val="none" w:sz="0" w:space="0" w:color="auto"/>
        <w:right w:val="none" w:sz="0" w:space="0" w:color="auto"/>
      </w:divBdr>
    </w:div>
    <w:div w:id="1343358917">
      <w:bodyDiv w:val="1"/>
      <w:marLeft w:val="0"/>
      <w:marRight w:val="0"/>
      <w:marTop w:val="0"/>
      <w:marBottom w:val="0"/>
      <w:divBdr>
        <w:top w:val="none" w:sz="0" w:space="0" w:color="auto"/>
        <w:left w:val="none" w:sz="0" w:space="0" w:color="auto"/>
        <w:bottom w:val="none" w:sz="0" w:space="0" w:color="auto"/>
        <w:right w:val="none" w:sz="0" w:space="0" w:color="auto"/>
      </w:divBdr>
    </w:div>
    <w:div w:id="1366828011">
      <w:bodyDiv w:val="1"/>
      <w:marLeft w:val="0"/>
      <w:marRight w:val="0"/>
      <w:marTop w:val="0"/>
      <w:marBottom w:val="0"/>
      <w:divBdr>
        <w:top w:val="none" w:sz="0" w:space="0" w:color="auto"/>
        <w:left w:val="none" w:sz="0" w:space="0" w:color="auto"/>
        <w:bottom w:val="none" w:sz="0" w:space="0" w:color="auto"/>
        <w:right w:val="none" w:sz="0" w:space="0" w:color="auto"/>
      </w:divBdr>
      <w:divsChild>
        <w:div w:id="804547660">
          <w:marLeft w:val="0"/>
          <w:marRight w:val="0"/>
          <w:marTop w:val="0"/>
          <w:marBottom w:val="0"/>
          <w:divBdr>
            <w:top w:val="none" w:sz="0" w:space="0" w:color="auto"/>
            <w:left w:val="none" w:sz="0" w:space="0" w:color="auto"/>
            <w:bottom w:val="none" w:sz="0" w:space="0" w:color="auto"/>
            <w:right w:val="none" w:sz="0" w:space="0" w:color="auto"/>
          </w:divBdr>
          <w:divsChild>
            <w:div w:id="833833621">
              <w:marLeft w:val="0"/>
              <w:marRight w:val="0"/>
              <w:marTop w:val="0"/>
              <w:marBottom w:val="0"/>
              <w:divBdr>
                <w:top w:val="none" w:sz="0" w:space="0" w:color="auto"/>
                <w:left w:val="none" w:sz="0" w:space="0" w:color="auto"/>
                <w:bottom w:val="none" w:sz="0" w:space="0" w:color="auto"/>
                <w:right w:val="none" w:sz="0" w:space="0" w:color="auto"/>
              </w:divBdr>
            </w:div>
            <w:div w:id="1242064876">
              <w:marLeft w:val="0"/>
              <w:marRight w:val="0"/>
              <w:marTop w:val="0"/>
              <w:marBottom w:val="0"/>
              <w:divBdr>
                <w:top w:val="none" w:sz="0" w:space="0" w:color="auto"/>
                <w:left w:val="none" w:sz="0" w:space="0" w:color="auto"/>
                <w:bottom w:val="none" w:sz="0" w:space="0" w:color="auto"/>
                <w:right w:val="none" w:sz="0" w:space="0" w:color="auto"/>
              </w:divBdr>
            </w:div>
            <w:div w:id="1861550736">
              <w:marLeft w:val="0"/>
              <w:marRight w:val="0"/>
              <w:marTop w:val="0"/>
              <w:marBottom w:val="0"/>
              <w:divBdr>
                <w:top w:val="none" w:sz="0" w:space="0" w:color="auto"/>
                <w:left w:val="none" w:sz="0" w:space="0" w:color="auto"/>
                <w:bottom w:val="none" w:sz="0" w:space="0" w:color="auto"/>
                <w:right w:val="none" w:sz="0" w:space="0" w:color="auto"/>
              </w:divBdr>
            </w:div>
            <w:div w:id="1773430059">
              <w:marLeft w:val="0"/>
              <w:marRight w:val="0"/>
              <w:marTop w:val="0"/>
              <w:marBottom w:val="0"/>
              <w:divBdr>
                <w:top w:val="none" w:sz="0" w:space="0" w:color="auto"/>
                <w:left w:val="none" w:sz="0" w:space="0" w:color="auto"/>
                <w:bottom w:val="none" w:sz="0" w:space="0" w:color="auto"/>
                <w:right w:val="none" w:sz="0" w:space="0" w:color="auto"/>
              </w:divBdr>
            </w:div>
            <w:div w:id="1346126781">
              <w:marLeft w:val="0"/>
              <w:marRight w:val="0"/>
              <w:marTop w:val="0"/>
              <w:marBottom w:val="0"/>
              <w:divBdr>
                <w:top w:val="none" w:sz="0" w:space="0" w:color="auto"/>
                <w:left w:val="none" w:sz="0" w:space="0" w:color="auto"/>
                <w:bottom w:val="none" w:sz="0" w:space="0" w:color="auto"/>
                <w:right w:val="none" w:sz="0" w:space="0" w:color="auto"/>
              </w:divBdr>
            </w:div>
            <w:div w:id="1055155142">
              <w:marLeft w:val="0"/>
              <w:marRight w:val="0"/>
              <w:marTop w:val="0"/>
              <w:marBottom w:val="0"/>
              <w:divBdr>
                <w:top w:val="none" w:sz="0" w:space="0" w:color="auto"/>
                <w:left w:val="none" w:sz="0" w:space="0" w:color="auto"/>
                <w:bottom w:val="none" w:sz="0" w:space="0" w:color="auto"/>
                <w:right w:val="none" w:sz="0" w:space="0" w:color="auto"/>
              </w:divBdr>
            </w:div>
            <w:div w:id="1294559623">
              <w:marLeft w:val="0"/>
              <w:marRight w:val="0"/>
              <w:marTop w:val="0"/>
              <w:marBottom w:val="0"/>
              <w:divBdr>
                <w:top w:val="none" w:sz="0" w:space="0" w:color="auto"/>
                <w:left w:val="none" w:sz="0" w:space="0" w:color="auto"/>
                <w:bottom w:val="none" w:sz="0" w:space="0" w:color="auto"/>
                <w:right w:val="none" w:sz="0" w:space="0" w:color="auto"/>
              </w:divBdr>
            </w:div>
            <w:div w:id="2119369134">
              <w:marLeft w:val="0"/>
              <w:marRight w:val="0"/>
              <w:marTop w:val="0"/>
              <w:marBottom w:val="0"/>
              <w:divBdr>
                <w:top w:val="none" w:sz="0" w:space="0" w:color="auto"/>
                <w:left w:val="none" w:sz="0" w:space="0" w:color="auto"/>
                <w:bottom w:val="none" w:sz="0" w:space="0" w:color="auto"/>
                <w:right w:val="none" w:sz="0" w:space="0" w:color="auto"/>
              </w:divBdr>
            </w:div>
            <w:div w:id="2116748921">
              <w:marLeft w:val="0"/>
              <w:marRight w:val="0"/>
              <w:marTop w:val="0"/>
              <w:marBottom w:val="0"/>
              <w:divBdr>
                <w:top w:val="none" w:sz="0" w:space="0" w:color="auto"/>
                <w:left w:val="none" w:sz="0" w:space="0" w:color="auto"/>
                <w:bottom w:val="none" w:sz="0" w:space="0" w:color="auto"/>
                <w:right w:val="none" w:sz="0" w:space="0" w:color="auto"/>
              </w:divBdr>
            </w:div>
            <w:div w:id="1195920747">
              <w:marLeft w:val="0"/>
              <w:marRight w:val="0"/>
              <w:marTop w:val="0"/>
              <w:marBottom w:val="0"/>
              <w:divBdr>
                <w:top w:val="none" w:sz="0" w:space="0" w:color="auto"/>
                <w:left w:val="none" w:sz="0" w:space="0" w:color="auto"/>
                <w:bottom w:val="none" w:sz="0" w:space="0" w:color="auto"/>
                <w:right w:val="none" w:sz="0" w:space="0" w:color="auto"/>
              </w:divBdr>
            </w:div>
            <w:div w:id="325548060">
              <w:marLeft w:val="0"/>
              <w:marRight w:val="0"/>
              <w:marTop w:val="0"/>
              <w:marBottom w:val="0"/>
              <w:divBdr>
                <w:top w:val="none" w:sz="0" w:space="0" w:color="auto"/>
                <w:left w:val="none" w:sz="0" w:space="0" w:color="auto"/>
                <w:bottom w:val="none" w:sz="0" w:space="0" w:color="auto"/>
                <w:right w:val="none" w:sz="0" w:space="0" w:color="auto"/>
              </w:divBdr>
            </w:div>
            <w:div w:id="749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8387">
      <w:bodyDiv w:val="1"/>
      <w:marLeft w:val="0"/>
      <w:marRight w:val="0"/>
      <w:marTop w:val="0"/>
      <w:marBottom w:val="0"/>
      <w:divBdr>
        <w:top w:val="none" w:sz="0" w:space="0" w:color="auto"/>
        <w:left w:val="none" w:sz="0" w:space="0" w:color="auto"/>
        <w:bottom w:val="none" w:sz="0" w:space="0" w:color="auto"/>
        <w:right w:val="none" w:sz="0" w:space="0" w:color="auto"/>
      </w:divBdr>
      <w:divsChild>
        <w:div w:id="483275886">
          <w:marLeft w:val="0"/>
          <w:marRight w:val="0"/>
          <w:marTop w:val="0"/>
          <w:marBottom w:val="0"/>
          <w:divBdr>
            <w:top w:val="none" w:sz="0" w:space="0" w:color="auto"/>
            <w:left w:val="none" w:sz="0" w:space="0" w:color="auto"/>
            <w:bottom w:val="none" w:sz="0" w:space="0" w:color="auto"/>
            <w:right w:val="none" w:sz="0" w:space="0" w:color="auto"/>
          </w:divBdr>
        </w:div>
      </w:divsChild>
    </w:div>
    <w:div w:id="1804421196">
      <w:bodyDiv w:val="1"/>
      <w:marLeft w:val="0"/>
      <w:marRight w:val="0"/>
      <w:marTop w:val="0"/>
      <w:marBottom w:val="0"/>
      <w:divBdr>
        <w:top w:val="none" w:sz="0" w:space="0" w:color="auto"/>
        <w:left w:val="none" w:sz="0" w:space="0" w:color="auto"/>
        <w:bottom w:val="none" w:sz="0" w:space="0" w:color="auto"/>
        <w:right w:val="none" w:sz="0" w:space="0" w:color="auto"/>
      </w:divBdr>
    </w:div>
    <w:div w:id="185630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diq@sg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C91C5-4E0B-4EE8-99DD-E7735FD6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5185</Words>
  <Characters>151539</Characters>
  <Application>Microsoft Office Word</Application>
  <DocSecurity>0</DocSecurity>
  <Lines>1262</Lines>
  <Paragraphs>312</Paragraphs>
  <ScaleCrop>false</ScaleCrop>
  <HeadingPairs>
    <vt:vector size="2" baseType="variant">
      <vt:variant>
        <vt:lpstr>Title</vt:lpstr>
      </vt:variant>
      <vt:variant>
        <vt:i4>1</vt:i4>
      </vt:variant>
    </vt:vector>
  </HeadingPairs>
  <TitlesOfParts>
    <vt:vector size="1" baseType="lpstr">
      <vt:lpstr>Introduction</vt:lpstr>
    </vt:vector>
  </TitlesOfParts>
  <Company>St Georges, University of London</Company>
  <LinksUpToDate>false</LinksUpToDate>
  <CharactersWithSpaces>156412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Mark Harrison</dc:creator>
  <cp:keywords/>
  <dc:description/>
  <cp:lastModifiedBy>Claire Broad</cp:lastModifiedBy>
  <cp:revision>6</cp:revision>
  <cp:lastPrinted>2020-03-19T16:10:00Z</cp:lastPrinted>
  <dcterms:created xsi:type="dcterms:W3CDTF">2020-03-19T16:08:00Z</dcterms:created>
  <dcterms:modified xsi:type="dcterms:W3CDTF">2020-03-20T12:08:00Z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c95d39c7-26bf-32a0-a8e3-7c4a4c5dcf39</vt:lpwstr>
  </property>
</Properties>
</file>