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34AA5" w14:textId="00226D72" w:rsidR="00E61EFD" w:rsidRDefault="00E61EFD" w:rsidP="007D1E4E">
      <w:pPr>
        <w:spacing w:line="360" w:lineRule="auto"/>
        <w:rPr>
          <w:rFonts w:ascii="Calibri" w:hAnsi="Calibri" w:cs="Calibri"/>
          <w:b/>
          <w:lang w:val="en-GB"/>
        </w:rPr>
      </w:pPr>
      <w:bookmarkStart w:id="0" w:name="_GoBack"/>
      <w:bookmarkEnd w:id="0"/>
      <w:r w:rsidRPr="0041574E">
        <w:rPr>
          <w:rFonts w:ascii="Calibri" w:hAnsi="Calibri" w:cs="Calibri"/>
          <w:b/>
          <w:lang w:val="en-GB"/>
        </w:rPr>
        <w:t>The Electrocardiogram in the Diagnosis and Management of Patients with Dilated Cardiomyopathy</w:t>
      </w:r>
    </w:p>
    <w:p w14:paraId="43CD6F01" w14:textId="77777777" w:rsidR="007D1E4E" w:rsidRPr="0041574E" w:rsidRDefault="007D1E4E" w:rsidP="007D1E4E">
      <w:pPr>
        <w:spacing w:line="360" w:lineRule="auto"/>
        <w:rPr>
          <w:rFonts w:ascii="Calibri" w:hAnsi="Calibri" w:cs="Calibri"/>
          <w:b/>
          <w:lang w:val="en-GB"/>
        </w:rPr>
      </w:pPr>
    </w:p>
    <w:p w14:paraId="5D43678B" w14:textId="6FEC2C7F" w:rsidR="00E61EFD" w:rsidRPr="008438FD" w:rsidRDefault="00E61EFD" w:rsidP="007D1E4E">
      <w:pPr>
        <w:spacing w:line="360" w:lineRule="auto"/>
        <w:rPr>
          <w:rFonts w:ascii="Calibri" w:hAnsi="Calibri" w:cs="Calibri"/>
          <w:lang w:val="en-GB"/>
        </w:rPr>
      </w:pPr>
      <w:proofErr w:type="spellStart"/>
      <w:r w:rsidRPr="008438FD">
        <w:rPr>
          <w:rFonts w:ascii="Calibri" w:hAnsi="Calibri" w:cs="Calibri"/>
          <w:lang w:val="en-GB"/>
        </w:rPr>
        <w:t>Gherardo</w:t>
      </w:r>
      <w:proofErr w:type="spellEnd"/>
      <w:r w:rsidRPr="008438FD">
        <w:rPr>
          <w:rFonts w:ascii="Calibri" w:hAnsi="Calibri" w:cs="Calibri"/>
          <w:lang w:val="en-GB"/>
        </w:rPr>
        <w:t xml:space="preserve"> </w:t>
      </w:r>
      <w:proofErr w:type="spellStart"/>
      <w:r w:rsidRPr="008438FD">
        <w:rPr>
          <w:rFonts w:ascii="Calibri" w:hAnsi="Calibri" w:cs="Calibri"/>
          <w:lang w:val="en-GB"/>
        </w:rPr>
        <w:t>Finocchiaro</w:t>
      </w:r>
      <w:r w:rsidRPr="008438FD">
        <w:rPr>
          <w:rFonts w:ascii="Calibri" w:hAnsi="Calibri" w:cs="Calibri"/>
          <w:vertAlign w:val="superscript"/>
          <w:lang w:val="en-GB"/>
        </w:rPr>
        <w:t>a</w:t>
      </w:r>
      <w:proofErr w:type="spellEnd"/>
      <w:r w:rsidRPr="008438FD">
        <w:rPr>
          <w:rFonts w:ascii="Calibri" w:hAnsi="Calibri" w:cs="Calibri"/>
          <w:lang w:val="en-GB"/>
        </w:rPr>
        <w:t xml:space="preserve"> MD, PhD, Marco </w:t>
      </w:r>
      <w:proofErr w:type="spellStart"/>
      <w:r w:rsidRPr="008438FD">
        <w:rPr>
          <w:rFonts w:ascii="Calibri" w:hAnsi="Calibri" w:cs="Calibri"/>
          <w:lang w:val="en-GB"/>
        </w:rPr>
        <w:t>Merlo</w:t>
      </w:r>
      <w:r w:rsidR="00C0358F">
        <w:rPr>
          <w:rFonts w:ascii="Calibri" w:hAnsi="Calibri" w:cs="Calibri"/>
          <w:vertAlign w:val="superscript"/>
          <w:lang w:val="en-GB"/>
        </w:rPr>
        <w:t>b</w:t>
      </w:r>
      <w:proofErr w:type="spellEnd"/>
      <w:r w:rsidRPr="008438FD">
        <w:rPr>
          <w:rFonts w:ascii="Calibri" w:hAnsi="Calibri" w:cs="Calibri"/>
          <w:lang w:val="en-GB"/>
        </w:rPr>
        <w:t xml:space="preserve"> MD, Nabeel Sheikh</w:t>
      </w:r>
      <w:r w:rsidR="000B256C" w:rsidRPr="00E34C41">
        <w:rPr>
          <w:vertAlign w:val="superscript"/>
          <w:lang w:val="en-GB"/>
        </w:rPr>
        <w:t xml:space="preserve"> a</w:t>
      </w:r>
      <w:r w:rsidRPr="008438FD">
        <w:rPr>
          <w:rFonts w:ascii="Calibri" w:hAnsi="Calibri" w:cs="Calibri"/>
          <w:lang w:val="en-GB"/>
        </w:rPr>
        <w:t xml:space="preserve"> M</w:t>
      </w:r>
      <w:r w:rsidR="006A6313">
        <w:rPr>
          <w:rFonts w:ascii="Calibri" w:hAnsi="Calibri" w:cs="Calibri"/>
          <w:lang w:val="en-GB"/>
        </w:rPr>
        <w:t>RCP</w:t>
      </w:r>
      <w:r w:rsidRPr="008438FD">
        <w:rPr>
          <w:rFonts w:ascii="Calibri" w:hAnsi="Calibri" w:cs="Calibri"/>
          <w:lang w:val="en-GB"/>
        </w:rPr>
        <w:t xml:space="preserve">, PhD, Giulia De </w:t>
      </w:r>
      <w:proofErr w:type="spellStart"/>
      <w:r w:rsidRPr="008438FD">
        <w:rPr>
          <w:rFonts w:ascii="Calibri" w:hAnsi="Calibri" w:cs="Calibri"/>
          <w:lang w:val="en-GB"/>
        </w:rPr>
        <w:t>Angelis</w:t>
      </w:r>
      <w:r w:rsidR="00C0358F">
        <w:rPr>
          <w:rFonts w:ascii="Calibri" w:hAnsi="Calibri" w:cs="Calibri"/>
          <w:vertAlign w:val="superscript"/>
          <w:lang w:val="en-GB"/>
        </w:rPr>
        <w:t>b</w:t>
      </w:r>
      <w:proofErr w:type="spellEnd"/>
      <w:r w:rsidR="008438FD" w:rsidRPr="008438FD">
        <w:rPr>
          <w:rFonts w:ascii="Calibri" w:hAnsi="Calibri" w:cs="Calibri"/>
          <w:lang w:val="en-GB"/>
        </w:rPr>
        <w:t xml:space="preserve"> MD</w:t>
      </w:r>
      <w:r w:rsidRPr="008438FD">
        <w:rPr>
          <w:rFonts w:ascii="Calibri" w:hAnsi="Calibri" w:cs="Calibri"/>
          <w:lang w:val="en-GB"/>
        </w:rPr>
        <w:t>,</w:t>
      </w:r>
      <w:r w:rsidR="00C0358F">
        <w:rPr>
          <w:rFonts w:ascii="Calibri" w:hAnsi="Calibri" w:cs="Calibri"/>
          <w:lang w:val="en-GB"/>
        </w:rPr>
        <w:t xml:space="preserve"> </w:t>
      </w:r>
      <w:r w:rsidR="00C0358F" w:rsidRPr="008438FD">
        <w:rPr>
          <w:rFonts w:ascii="Calibri" w:hAnsi="Calibri" w:cs="Calibri"/>
          <w:lang w:val="en-GB"/>
        </w:rPr>
        <w:t xml:space="preserve">Michael </w:t>
      </w:r>
      <w:proofErr w:type="spellStart"/>
      <w:r w:rsidR="00C0358F" w:rsidRPr="008438FD">
        <w:rPr>
          <w:rFonts w:ascii="Calibri" w:hAnsi="Calibri" w:cs="Calibri"/>
          <w:lang w:val="en-GB"/>
        </w:rPr>
        <w:t>Papadakis</w:t>
      </w:r>
      <w:r w:rsidR="00C0358F">
        <w:rPr>
          <w:rFonts w:ascii="Calibri" w:hAnsi="Calibri" w:cs="Calibri"/>
          <w:vertAlign w:val="superscript"/>
          <w:lang w:val="en-GB"/>
        </w:rPr>
        <w:t>c</w:t>
      </w:r>
      <w:proofErr w:type="spellEnd"/>
      <w:r w:rsidR="00C0358F" w:rsidRPr="008438FD">
        <w:rPr>
          <w:rFonts w:ascii="Calibri" w:hAnsi="Calibri" w:cs="Calibri"/>
          <w:lang w:val="en-GB"/>
        </w:rPr>
        <w:t xml:space="preserve"> MR</w:t>
      </w:r>
      <w:r w:rsidR="00C0358F">
        <w:rPr>
          <w:rFonts w:ascii="Calibri" w:hAnsi="Calibri" w:cs="Calibri"/>
          <w:lang w:val="en-GB"/>
        </w:rPr>
        <w:t>CP, MD</w:t>
      </w:r>
      <w:r w:rsidR="00C0358F" w:rsidRPr="008438FD">
        <w:rPr>
          <w:rFonts w:ascii="Calibri" w:hAnsi="Calibri" w:cs="Calibri"/>
          <w:lang w:val="en-GB"/>
        </w:rPr>
        <w:t>,</w:t>
      </w:r>
      <w:r w:rsidR="00C0358F">
        <w:rPr>
          <w:rFonts w:ascii="Calibri" w:hAnsi="Calibri" w:cs="Calibri"/>
          <w:lang w:val="en-GB"/>
        </w:rPr>
        <w:t xml:space="preserve"> </w:t>
      </w:r>
      <w:proofErr w:type="spellStart"/>
      <w:r w:rsidR="00C0358F" w:rsidRPr="008438FD">
        <w:rPr>
          <w:rFonts w:ascii="Calibri" w:hAnsi="Calibri" w:cs="Calibri"/>
          <w:lang w:val="en-GB"/>
        </w:rPr>
        <w:t>Iacopo</w:t>
      </w:r>
      <w:proofErr w:type="spellEnd"/>
      <w:r w:rsidR="00C0358F" w:rsidRPr="008438FD">
        <w:rPr>
          <w:rFonts w:ascii="Calibri" w:hAnsi="Calibri" w:cs="Calibri"/>
          <w:lang w:val="en-GB"/>
        </w:rPr>
        <w:t xml:space="preserve"> </w:t>
      </w:r>
      <w:proofErr w:type="spellStart"/>
      <w:r w:rsidR="00C0358F" w:rsidRPr="008438FD">
        <w:rPr>
          <w:rFonts w:ascii="Calibri" w:hAnsi="Calibri" w:cs="Calibri"/>
          <w:lang w:val="en-GB"/>
        </w:rPr>
        <w:t>Olivotto</w:t>
      </w:r>
      <w:r w:rsidR="00C0358F">
        <w:rPr>
          <w:rFonts w:ascii="Calibri" w:hAnsi="Calibri" w:cs="Calibri"/>
          <w:vertAlign w:val="superscript"/>
          <w:lang w:val="en-GB"/>
        </w:rPr>
        <w:t>d</w:t>
      </w:r>
      <w:proofErr w:type="spellEnd"/>
      <w:r w:rsidR="00C0358F" w:rsidRPr="008438FD">
        <w:rPr>
          <w:rFonts w:ascii="Calibri" w:hAnsi="Calibri" w:cs="Calibri"/>
          <w:lang w:val="en-GB"/>
        </w:rPr>
        <w:t xml:space="preserve"> MD,</w:t>
      </w:r>
      <w:r w:rsidR="00C0358F">
        <w:rPr>
          <w:rFonts w:ascii="Calibri" w:hAnsi="Calibri" w:cs="Calibri"/>
          <w:lang w:val="en-GB"/>
        </w:rPr>
        <w:t xml:space="preserve"> </w:t>
      </w:r>
      <w:r w:rsidR="00C0358F" w:rsidRPr="008438FD">
        <w:rPr>
          <w:rFonts w:ascii="Calibri" w:hAnsi="Calibri" w:cs="Calibri"/>
          <w:lang w:val="en-GB"/>
        </w:rPr>
        <w:t xml:space="preserve">Claudio </w:t>
      </w:r>
      <w:proofErr w:type="spellStart"/>
      <w:r w:rsidR="00C0358F" w:rsidRPr="008438FD">
        <w:rPr>
          <w:rFonts w:ascii="Calibri" w:hAnsi="Calibri" w:cs="Calibri"/>
          <w:lang w:val="en-GB"/>
        </w:rPr>
        <w:t>Rapezzi</w:t>
      </w:r>
      <w:r w:rsidR="007D1E4E">
        <w:rPr>
          <w:rFonts w:ascii="Calibri" w:hAnsi="Calibri" w:cs="Calibri"/>
          <w:vertAlign w:val="superscript"/>
          <w:lang w:val="en-GB"/>
        </w:rPr>
        <w:t>e</w:t>
      </w:r>
      <w:proofErr w:type="spellEnd"/>
      <w:r w:rsidR="00C0358F" w:rsidRPr="008438FD">
        <w:rPr>
          <w:rFonts w:ascii="Calibri" w:hAnsi="Calibri" w:cs="Calibri"/>
          <w:lang w:val="en-GB"/>
        </w:rPr>
        <w:t xml:space="preserve"> MD</w:t>
      </w:r>
      <w:r w:rsidR="00C0358F">
        <w:rPr>
          <w:rFonts w:ascii="Calibri" w:hAnsi="Calibri" w:cs="Calibri"/>
          <w:lang w:val="en-GB"/>
        </w:rPr>
        <w:t>,</w:t>
      </w:r>
      <w:r w:rsidRPr="008438FD">
        <w:rPr>
          <w:rFonts w:ascii="Calibri" w:hAnsi="Calibri" w:cs="Calibri"/>
          <w:lang w:val="en-GB"/>
        </w:rPr>
        <w:t xml:space="preserve"> Gerald </w:t>
      </w:r>
      <w:proofErr w:type="spellStart"/>
      <w:r w:rsidRPr="008438FD">
        <w:rPr>
          <w:rFonts w:ascii="Calibri" w:hAnsi="Calibri" w:cs="Calibri"/>
          <w:lang w:val="en-GB"/>
        </w:rPr>
        <w:t>Carr-White</w:t>
      </w:r>
      <w:r w:rsidR="007D1E4E">
        <w:rPr>
          <w:rFonts w:ascii="Calibri" w:hAnsi="Calibri" w:cs="Calibri"/>
          <w:vertAlign w:val="superscript"/>
          <w:lang w:val="en-GB"/>
        </w:rPr>
        <w:t>a</w:t>
      </w:r>
      <w:proofErr w:type="spellEnd"/>
      <w:r w:rsidR="008438FD" w:rsidRPr="008438FD">
        <w:rPr>
          <w:rFonts w:ascii="Calibri" w:hAnsi="Calibri" w:cs="Calibri"/>
          <w:lang w:val="en-GB"/>
        </w:rPr>
        <w:t xml:space="preserve"> MRCP, PhD</w:t>
      </w:r>
      <w:r w:rsidRPr="008438FD">
        <w:rPr>
          <w:rFonts w:ascii="Calibri" w:hAnsi="Calibri" w:cs="Calibri"/>
          <w:lang w:val="en-GB"/>
        </w:rPr>
        <w:t>,</w:t>
      </w:r>
      <w:r w:rsidR="002E52D3">
        <w:rPr>
          <w:rFonts w:ascii="Calibri" w:hAnsi="Calibri" w:cs="Calibri"/>
          <w:lang w:val="en-GB"/>
        </w:rPr>
        <w:t xml:space="preserve"> </w:t>
      </w:r>
      <w:r w:rsidR="002E52D3" w:rsidRPr="008438FD">
        <w:rPr>
          <w:rFonts w:ascii="Calibri" w:hAnsi="Calibri" w:cs="Calibri"/>
          <w:lang w:val="en-GB"/>
        </w:rPr>
        <w:t xml:space="preserve">Sanjay </w:t>
      </w:r>
      <w:proofErr w:type="spellStart"/>
      <w:r w:rsidR="002E52D3" w:rsidRPr="008438FD">
        <w:rPr>
          <w:rFonts w:ascii="Calibri" w:hAnsi="Calibri" w:cs="Calibri"/>
          <w:lang w:val="en-GB"/>
        </w:rPr>
        <w:t>Sharma</w:t>
      </w:r>
      <w:r w:rsidR="002E52D3">
        <w:rPr>
          <w:rFonts w:ascii="Calibri" w:hAnsi="Calibri" w:cs="Calibri"/>
          <w:vertAlign w:val="superscript"/>
          <w:lang w:val="en-GB"/>
        </w:rPr>
        <w:t>c</w:t>
      </w:r>
      <w:proofErr w:type="spellEnd"/>
      <w:r w:rsidR="002E52D3">
        <w:rPr>
          <w:rFonts w:ascii="Calibri" w:hAnsi="Calibri" w:cs="Calibri"/>
          <w:lang w:val="en-GB"/>
        </w:rPr>
        <w:t xml:space="preserve"> MRCP, MD,</w:t>
      </w:r>
      <w:r w:rsidRPr="008438FD">
        <w:rPr>
          <w:rFonts w:ascii="Calibri" w:hAnsi="Calibri" w:cs="Calibri"/>
          <w:lang w:val="en-GB"/>
        </w:rPr>
        <w:t xml:space="preserve"> Luisa </w:t>
      </w:r>
      <w:proofErr w:type="spellStart"/>
      <w:r w:rsidRPr="008438FD">
        <w:rPr>
          <w:rFonts w:ascii="Calibri" w:hAnsi="Calibri" w:cs="Calibri"/>
          <w:lang w:val="en-GB"/>
        </w:rPr>
        <w:t>Mestroni</w:t>
      </w:r>
      <w:r w:rsidR="007D1E4E">
        <w:rPr>
          <w:rFonts w:ascii="Calibri" w:hAnsi="Calibri" w:cs="Calibri"/>
          <w:vertAlign w:val="superscript"/>
          <w:lang w:val="en-GB"/>
        </w:rPr>
        <w:t>f</w:t>
      </w:r>
      <w:proofErr w:type="spellEnd"/>
      <w:r w:rsidR="008438FD">
        <w:rPr>
          <w:rFonts w:ascii="Calibri" w:hAnsi="Calibri" w:cs="Calibri"/>
          <w:lang w:val="en-GB"/>
        </w:rPr>
        <w:t xml:space="preserve"> MD</w:t>
      </w:r>
      <w:r w:rsidRPr="008438FD">
        <w:rPr>
          <w:rFonts w:ascii="Calibri" w:hAnsi="Calibri" w:cs="Calibri"/>
          <w:lang w:val="en-GB"/>
        </w:rPr>
        <w:t xml:space="preserve">, Gianfranco </w:t>
      </w:r>
      <w:proofErr w:type="spellStart"/>
      <w:r w:rsidRPr="008438FD">
        <w:rPr>
          <w:rFonts w:ascii="Calibri" w:hAnsi="Calibri" w:cs="Calibri"/>
          <w:lang w:val="en-GB"/>
        </w:rPr>
        <w:t>Sinagra</w:t>
      </w:r>
      <w:r w:rsidR="00AD2361">
        <w:rPr>
          <w:rFonts w:ascii="Calibri" w:hAnsi="Calibri" w:cs="Calibri"/>
          <w:vertAlign w:val="superscript"/>
          <w:lang w:val="en-GB"/>
        </w:rPr>
        <w:t>b</w:t>
      </w:r>
      <w:proofErr w:type="spellEnd"/>
      <w:r w:rsidR="008438FD">
        <w:rPr>
          <w:rFonts w:ascii="Calibri" w:hAnsi="Calibri" w:cs="Calibri"/>
          <w:lang w:val="en-GB"/>
        </w:rPr>
        <w:t xml:space="preserve"> MD</w:t>
      </w:r>
    </w:p>
    <w:p w14:paraId="7DE823E6" w14:textId="1A914FB6" w:rsidR="00E61EFD" w:rsidRPr="008438FD" w:rsidRDefault="0068125B" w:rsidP="0041574E">
      <w:pPr>
        <w:pStyle w:val="Body"/>
        <w:spacing w:line="360" w:lineRule="auto"/>
        <w:rPr>
          <w:color w:val="auto"/>
          <w:sz w:val="24"/>
          <w:szCs w:val="24"/>
        </w:rPr>
      </w:pPr>
      <w:r>
        <w:rPr>
          <w:color w:val="auto"/>
          <w:sz w:val="24"/>
          <w:szCs w:val="24"/>
        </w:rPr>
        <w:t xml:space="preserve"> </w:t>
      </w:r>
    </w:p>
    <w:p w14:paraId="4DB617AE" w14:textId="77777777" w:rsidR="00E61EFD" w:rsidRPr="0041574E" w:rsidRDefault="00E61EFD" w:rsidP="0041574E">
      <w:pPr>
        <w:pStyle w:val="Body"/>
        <w:spacing w:line="360" w:lineRule="auto"/>
        <w:rPr>
          <w:b/>
          <w:bCs/>
          <w:color w:val="auto"/>
          <w:sz w:val="24"/>
          <w:szCs w:val="24"/>
        </w:rPr>
      </w:pPr>
      <w:r w:rsidRPr="0041574E">
        <w:rPr>
          <w:b/>
          <w:bCs/>
          <w:color w:val="auto"/>
          <w:sz w:val="24"/>
          <w:szCs w:val="24"/>
          <w:lang w:val="en-US"/>
        </w:rPr>
        <w:t>Institutions:</w:t>
      </w:r>
    </w:p>
    <w:p w14:paraId="5DB7420E" w14:textId="77777777" w:rsidR="00E61EFD" w:rsidRPr="0041574E" w:rsidRDefault="00E61EFD" w:rsidP="0041574E">
      <w:pPr>
        <w:pStyle w:val="Body"/>
        <w:spacing w:line="240" w:lineRule="auto"/>
        <w:rPr>
          <w:color w:val="auto"/>
          <w:sz w:val="24"/>
          <w:szCs w:val="24"/>
          <w:lang w:val="en-US"/>
        </w:rPr>
      </w:pPr>
      <w:r w:rsidRPr="0041574E">
        <w:rPr>
          <w:color w:val="auto"/>
          <w:sz w:val="24"/>
          <w:szCs w:val="24"/>
          <w:vertAlign w:val="superscript"/>
        </w:rPr>
        <w:t>a</w:t>
      </w:r>
      <w:r w:rsidRPr="0041574E">
        <w:rPr>
          <w:color w:val="auto"/>
          <w:sz w:val="24"/>
          <w:szCs w:val="24"/>
          <w:lang w:val="en-US"/>
        </w:rPr>
        <w:t xml:space="preserve"> Cardiothoracic Centre, Guy's and St Thomas' Hospital, London, United Kingdom</w:t>
      </w:r>
    </w:p>
    <w:p w14:paraId="3B8F6437" w14:textId="50CE5BC5" w:rsidR="00C0358F" w:rsidRPr="00C0358F" w:rsidRDefault="00C0358F" w:rsidP="00C0358F">
      <w:pPr>
        <w:pStyle w:val="Body"/>
        <w:spacing w:line="360" w:lineRule="auto"/>
        <w:rPr>
          <w:color w:val="auto"/>
          <w:sz w:val="24"/>
          <w:szCs w:val="24"/>
          <w:lang w:val="it-IT"/>
        </w:rPr>
      </w:pPr>
      <w:r>
        <w:rPr>
          <w:color w:val="auto"/>
          <w:sz w:val="24"/>
          <w:szCs w:val="24"/>
          <w:vertAlign w:val="superscript"/>
          <w:lang w:val="it-IT"/>
        </w:rPr>
        <w:t>b</w:t>
      </w:r>
      <w:r w:rsidRPr="00C0358F">
        <w:rPr>
          <w:color w:val="auto"/>
          <w:sz w:val="24"/>
          <w:szCs w:val="24"/>
          <w:lang w:val="it-IT"/>
        </w:rPr>
        <w:t xml:space="preserve"> Cardiovascular Department, A.O.U. Ospedali Riuniti, Trieste, Italy</w:t>
      </w:r>
    </w:p>
    <w:p w14:paraId="07047377" w14:textId="0F1CA6F4" w:rsidR="00C0358F" w:rsidRPr="0041574E" w:rsidRDefault="00C0358F" w:rsidP="00C0358F">
      <w:pPr>
        <w:rPr>
          <w:rFonts w:ascii="Calibri" w:hAnsi="Calibri" w:cs="Calibri"/>
          <w:shd w:val="clear" w:color="auto" w:fill="FFFFFF"/>
          <w:lang w:val="en-GB"/>
        </w:rPr>
      </w:pPr>
      <w:r>
        <w:rPr>
          <w:rFonts w:ascii="Calibri" w:hAnsi="Calibri" w:cs="Calibri"/>
          <w:vertAlign w:val="superscript"/>
          <w:lang w:val="en-GB"/>
        </w:rPr>
        <w:t>c</w:t>
      </w:r>
      <w:r w:rsidRPr="0041574E">
        <w:rPr>
          <w:rFonts w:ascii="Calibri" w:hAnsi="Calibri" w:cs="Calibri"/>
          <w:lang w:val="en-US"/>
        </w:rPr>
        <w:t xml:space="preserve"> Cardiology clinical and academic group.  St George's, University of London, London and St George’s University Hospital NHS Foundation Trust. United Kingdom</w:t>
      </w:r>
    </w:p>
    <w:p w14:paraId="0854E2D9" w14:textId="77777777" w:rsidR="00C0358F" w:rsidRDefault="00C0358F" w:rsidP="0041574E">
      <w:pPr>
        <w:rPr>
          <w:rFonts w:ascii="Calibri" w:hAnsi="Calibri" w:cs="Calibri"/>
          <w:vertAlign w:val="superscript"/>
          <w:lang w:val="en-GB"/>
        </w:rPr>
      </w:pPr>
    </w:p>
    <w:p w14:paraId="5A6DF6BD" w14:textId="1A837C7A" w:rsidR="00E61EFD" w:rsidRPr="0041574E" w:rsidRDefault="00C0358F" w:rsidP="0041574E">
      <w:pPr>
        <w:rPr>
          <w:rFonts w:ascii="Calibri" w:hAnsi="Calibri" w:cs="Calibri"/>
          <w:lang w:val="en-GB"/>
        </w:rPr>
      </w:pPr>
      <w:r>
        <w:rPr>
          <w:rFonts w:ascii="Calibri" w:hAnsi="Calibri" w:cs="Calibri"/>
          <w:vertAlign w:val="superscript"/>
          <w:lang w:val="en-GB"/>
        </w:rPr>
        <w:t>d</w:t>
      </w:r>
      <w:r w:rsidR="00E61EFD" w:rsidRPr="0041574E">
        <w:rPr>
          <w:rFonts w:ascii="Calibri" w:hAnsi="Calibri" w:cs="Calibri"/>
          <w:lang w:val="en-GB"/>
        </w:rPr>
        <w:t xml:space="preserve"> </w:t>
      </w:r>
      <w:r w:rsidRPr="0041574E">
        <w:rPr>
          <w:rFonts w:ascii="Calibri" w:hAnsi="Calibri" w:cs="Calibri"/>
          <w:shd w:val="clear" w:color="auto" w:fill="FFFFFF"/>
          <w:lang w:val="en-GB"/>
        </w:rPr>
        <w:t xml:space="preserve">Cardiomyopathy Unit, </w:t>
      </w:r>
      <w:proofErr w:type="spellStart"/>
      <w:r w:rsidRPr="0041574E">
        <w:rPr>
          <w:rFonts w:ascii="Calibri" w:hAnsi="Calibri" w:cs="Calibri"/>
          <w:shd w:val="clear" w:color="auto" w:fill="FFFFFF"/>
          <w:lang w:val="en-GB"/>
        </w:rPr>
        <w:t>Careggi</w:t>
      </w:r>
      <w:proofErr w:type="spellEnd"/>
      <w:r w:rsidRPr="0041574E">
        <w:rPr>
          <w:rFonts w:ascii="Calibri" w:hAnsi="Calibri" w:cs="Calibri"/>
          <w:shd w:val="clear" w:color="auto" w:fill="FFFFFF"/>
          <w:lang w:val="en-GB"/>
        </w:rPr>
        <w:t xml:space="preserve"> University Hospital, Florence, Italy</w:t>
      </w:r>
      <w:r w:rsidRPr="0041574E">
        <w:rPr>
          <w:rFonts w:ascii="Calibri" w:hAnsi="Calibri" w:cs="Calibri"/>
          <w:lang w:val="en-GB"/>
        </w:rPr>
        <w:t xml:space="preserve"> </w:t>
      </w:r>
    </w:p>
    <w:p w14:paraId="0ED00ECB" w14:textId="77777777" w:rsidR="00E61EFD" w:rsidRPr="0041574E" w:rsidRDefault="00E61EFD" w:rsidP="0041574E">
      <w:pPr>
        <w:rPr>
          <w:rFonts w:ascii="Calibri" w:hAnsi="Calibri" w:cs="Calibri"/>
          <w:vertAlign w:val="superscript"/>
          <w:lang w:val="en-GB"/>
        </w:rPr>
      </w:pPr>
    </w:p>
    <w:p w14:paraId="7AF4BB0C" w14:textId="21B2721D" w:rsidR="007D1E4E" w:rsidRDefault="00C0358F" w:rsidP="007D1E4E">
      <w:pPr>
        <w:rPr>
          <w:rFonts w:ascii="Calibri" w:hAnsi="Calibri" w:cs="Calibri"/>
          <w:lang w:val="en-GB"/>
        </w:rPr>
      </w:pPr>
      <w:r>
        <w:rPr>
          <w:rFonts w:ascii="Calibri" w:hAnsi="Calibri" w:cs="Calibri"/>
          <w:vertAlign w:val="superscript"/>
          <w:lang w:val="en-GB"/>
        </w:rPr>
        <w:t>e</w:t>
      </w:r>
      <w:r w:rsidR="00E61EFD" w:rsidRPr="0041574E">
        <w:rPr>
          <w:rFonts w:ascii="Calibri" w:hAnsi="Calibri" w:cs="Calibri"/>
          <w:vertAlign w:val="superscript"/>
          <w:lang w:val="en-GB"/>
        </w:rPr>
        <w:t xml:space="preserve"> </w:t>
      </w:r>
      <w:r w:rsidR="007D1E4E">
        <w:rPr>
          <w:rFonts w:ascii="Calibri" w:hAnsi="Calibri" w:cs="Calibri"/>
          <w:vertAlign w:val="superscript"/>
          <w:lang w:val="en-GB"/>
        </w:rPr>
        <w:t xml:space="preserve"> </w:t>
      </w:r>
      <w:r w:rsidR="007D1E4E" w:rsidRPr="0041574E">
        <w:rPr>
          <w:rFonts w:ascii="Calibri" w:hAnsi="Calibri" w:cs="Calibri"/>
          <w:lang w:val="en-GB"/>
        </w:rPr>
        <w:t xml:space="preserve">Cardiology, Department of Experimental, Diagnostic and Specialty Medicine, Alma Mater </w:t>
      </w:r>
      <w:proofErr w:type="spellStart"/>
      <w:r w:rsidR="007D1E4E" w:rsidRPr="0041574E">
        <w:rPr>
          <w:rFonts w:ascii="Calibri" w:hAnsi="Calibri" w:cs="Calibri"/>
          <w:lang w:val="en-GB"/>
        </w:rPr>
        <w:t>Studiorum</w:t>
      </w:r>
      <w:proofErr w:type="spellEnd"/>
      <w:r w:rsidR="007D1E4E" w:rsidRPr="0041574E">
        <w:rPr>
          <w:rFonts w:ascii="Calibri" w:hAnsi="Calibri" w:cs="Calibri"/>
          <w:lang w:val="en-GB"/>
        </w:rPr>
        <w:t>, University of Bologna, Italy</w:t>
      </w:r>
    </w:p>
    <w:p w14:paraId="55D0787C" w14:textId="39AAFE7F" w:rsidR="007D1E4E" w:rsidRDefault="007D1E4E" w:rsidP="007D1E4E">
      <w:pPr>
        <w:rPr>
          <w:rFonts w:ascii="Calibri" w:hAnsi="Calibri" w:cs="Calibri"/>
          <w:lang w:val="en-GB"/>
        </w:rPr>
      </w:pPr>
    </w:p>
    <w:p w14:paraId="6FF2129E" w14:textId="36450F76" w:rsidR="007D1E4E" w:rsidRPr="007D1E4E" w:rsidRDefault="007D1E4E" w:rsidP="007D1E4E">
      <w:pPr>
        <w:rPr>
          <w:rFonts w:ascii="Calibri" w:hAnsi="Calibri" w:cs="Calibri"/>
          <w:lang w:val="en-GB"/>
        </w:rPr>
      </w:pPr>
      <w:r>
        <w:rPr>
          <w:rFonts w:ascii="Calibri" w:hAnsi="Calibri" w:cs="Calibri"/>
          <w:vertAlign w:val="superscript"/>
          <w:lang w:val="en-GB"/>
        </w:rPr>
        <w:t>f</w:t>
      </w:r>
      <w:r w:rsidRPr="007D1E4E">
        <w:rPr>
          <w:rFonts w:ascii="Calibri" w:hAnsi="Calibri" w:cs="Calibri"/>
          <w:lang w:val="en-GB"/>
        </w:rPr>
        <w:t xml:space="preserve"> Cardiovascular Institute and Adult Medical Genetics Program, University of Colorado Anschutz Medical Campus, Aurora, Colorado.</w:t>
      </w:r>
    </w:p>
    <w:p w14:paraId="5ED44C86" w14:textId="414B25C5" w:rsidR="00E61EFD" w:rsidRPr="0041574E" w:rsidRDefault="00E61EFD" w:rsidP="0041574E">
      <w:pPr>
        <w:rPr>
          <w:rFonts w:ascii="Calibri" w:hAnsi="Calibri" w:cs="Calibri"/>
          <w:shd w:val="clear" w:color="auto" w:fill="FFFFFF"/>
          <w:lang w:val="en-GB"/>
        </w:rPr>
      </w:pPr>
    </w:p>
    <w:p w14:paraId="11889529" w14:textId="77777777" w:rsidR="00E61EFD" w:rsidRPr="0041574E" w:rsidRDefault="00E61EFD" w:rsidP="0041574E">
      <w:pPr>
        <w:rPr>
          <w:rFonts w:ascii="Calibri" w:hAnsi="Calibri" w:cs="Calibri"/>
          <w:shd w:val="clear" w:color="auto" w:fill="FFFFFF"/>
          <w:lang w:val="en-GB"/>
        </w:rPr>
      </w:pPr>
    </w:p>
    <w:p w14:paraId="160354FE" w14:textId="1A7E88D7" w:rsidR="00E61EFD" w:rsidRPr="0041574E" w:rsidRDefault="00E61EFD" w:rsidP="0041574E">
      <w:pPr>
        <w:spacing w:line="480" w:lineRule="auto"/>
        <w:rPr>
          <w:rFonts w:ascii="Calibri" w:hAnsi="Calibri" w:cs="Calibri"/>
          <w:b/>
          <w:lang w:val="en-GB"/>
        </w:rPr>
      </w:pPr>
      <w:r w:rsidRPr="0041574E">
        <w:rPr>
          <w:rFonts w:ascii="Calibri" w:hAnsi="Calibri" w:cs="Calibri"/>
          <w:b/>
          <w:lang w:val="en-GB"/>
        </w:rPr>
        <w:t xml:space="preserve">Word count: </w:t>
      </w:r>
      <w:r w:rsidR="008C16DE">
        <w:rPr>
          <w:rFonts w:ascii="Calibri" w:hAnsi="Calibri" w:cs="Calibri"/>
          <w:lang w:val="en-GB"/>
        </w:rPr>
        <w:t>4</w:t>
      </w:r>
      <w:r w:rsidR="00024938">
        <w:rPr>
          <w:rFonts w:ascii="Calibri" w:hAnsi="Calibri" w:cs="Calibri"/>
          <w:lang w:val="en-GB"/>
        </w:rPr>
        <w:t>,</w:t>
      </w:r>
      <w:r w:rsidR="008C16DE">
        <w:rPr>
          <w:rFonts w:ascii="Calibri" w:hAnsi="Calibri" w:cs="Calibri"/>
          <w:lang w:val="en-GB"/>
        </w:rPr>
        <w:t>308</w:t>
      </w:r>
    </w:p>
    <w:p w14:paraId="7822E916" w14:textId="3C8DB51C" w:rsidR="007D1E4E" w:rsidRPr="007D1E4E" w:rsidRDefault="007D1E4E" w:rsidP="007D1E4E">
      <w:pPr>
        <w:spacing w:line="480" w:lineRule="auto"/>
        <w:jc w:val="both"/>
        <w:rPr>
          <w:rFonts w:ascii="Calibri" w:hAnsi="Calibri"/>
          <w:lang w:val="en-GB"/>
        </w:rPr>
      </w:pPr>
      <w:r w:rsidRPr="007D1E4E">
        <w:rPr>
          <w:rFonts w:ascii="Calibri" w:hAnsi="Calibri"/>
          <w:b/>
          <w:lang w:val="en-GB"/>
        </w:rPr>
        <w:t>Running title:</w:t>
      </w:r>
      <w:r w:rsidRPr="007D1E4E">
        <w:rPr>
          <w:rFonts w:ascii="Calibri" w:hAnsi="Calibri"/>
          <w:lang w:val="en-GB"/>
        </w:rPr>
        <w:t xml:space="preserve"> The electrocardiogram in </w:t>
      </w:r>
      <w:r>
        <w:rPr>
          <w:rFonts w:ascii="Calibri" w:hAnsi="Calibri"/>
          <w:lang w:val="en-GB"/>
        </w:rPr>
        <w:t>dilated</w:t>
      </w:r>
      <w:r w:rsidRPr="007D1E4E">
        <w:rPr>
          <w:rFonts w:ascii="Calibri" w:hAnsi="Calibri"/>
          <w:lang w:val="en-GB"/>
        </w:rPr>
        <w:t xml:space="preserve"> cardiomyopathy</w:t>
      </w:r>
    </w:p>
    <w:p w14:paraId="18E05EAE" w14:textId="77777777" w:rsidR="00E61EFD" w:rsidRPr="0041574E" w:rsidRDefault="00E61EFD" w:rsidP="0041574E">
      <w:pPr>
        <w:spacing w:line="360" w:lineRule="auto"/>
        <w:rPr>
          <w:rFonts w:ascii="Calibri" w:hAnsi="Calibri" w:cs="Calibri"/>
          <w:b/>
          <w:bCs/>
          <w:lang w:val="en-GB"/>
        </w:rPr>
      </w:pPr>
    </w:p>
    <w:p w14:paraId="2052C8EF" w14:textId="77777777" w:rsidR="007D1E4E" w:rsidRPr="00665585" w:rsidRDefault="007D1E4E" w:rsidP="007D1E4E">
      <w:pPr>
        <w:pStyle w:val="Body"/>
        <w:spacing w:line="240" w:lineRule="exact"/>
        <w:jc w:val="both"/>
        <w:outlineLvl w:val="0"/>
        <w:rPr>
          <w:color w:val="auto"/>
          <w:sz w:val="24"/>
          <w:szCs w:val="24"/>
        </w:rPr>
      </w:pPr>
      <w:r w:rsidRPr="00665585">
        <w:rPr>
          <w:b/>
          <w:bCs/>
          <w:color w:val="auto"/>
          <w:sz w:val="24"/>
          <w:szCs w:val="24"/>
        </w:rPr>
        <w:t>Author for correspondence:</w:t>
      </w:r>
      <w:r w:rsidRPr="00665585">
        <w:rPr>
          <w:color w:val="auto"/>
          <w:sz w:val="24"/>
          <w:szCs w:val="24"/>
        </w:rPr>
        <w:t xml:space="preserve"> </w:t>
      </w:r>
    </w:p>
    <w:p w14:paraId="22F34B2C" w14:textId="77777777" w:rsidR="007D1E4E" w:rsidRPr="007D1E4E" w:rsidRDefault="007D1E4E" w:rsidP="007D1E4E">
      <w:pPr>
        <w:autoSpaceDE w:val="0"/>
        <w:autoSpaceDN w:val="0"/>
        <w:adjustRightInd w:val="0"/>
        <w:spacing w:line="360" w:lineRule="auto"/>
        <w:jc w:val="both"/>
        <w:rPr>
          <w:rFonts w:ascii="Calibri" w:hAnsi="Calibri" w:cs="Calibri"/>
          <w:lang w:val="en-GB"/>
        </w:rPr>
      </w:pPr>
      <w:proofErr w:type="spellStart"/>
      <w:r w:rsidRPr="007D1E4E">
        <w:rPr>
          <w:rFonts w:ascii="Calibri" w:hAnsi="Calibri" w:cs="Calibri"/>
          <w:lang w:val="en-GB"/>
        </w:rPr>
        <w:t>Gherardo</w:t>
      </w:r>
      <w:proofErr w:type="spellEnd"/>
      <w:r w:rsidRPr="007D1E4E">
        <w:rPr>
          <w:rFonts w:ascii="Calibri" w:hAnsi="Calibri" w:cs="Calibri"/>
          <w:lang w:val="en-GB"/>
        </w:rPr>
        <w:t xml:space="preserve"> </w:t>
      </w:r>
      <w:proofErr w:type="spellStart"/>
      <w:r w:rsidRPr="007D1E4E">
        <w:rPr>
          <w:rFonts w:ascii="Calibri" w:hAnsi="Calibri" w:cs="Calibri"/>
          <w:lang w:val="en-GB"/>
        </w:rPr>
        <w:t>FInocchiaro</w:t>
      </w:r>
      <w:proofErr w:type="spellEnd"/>
      <w:r w:rsidRPr="007D1E4E">
        <w:rPr>
          <w:rFonts w:ascii="Calibri" w:hAnsi="Calibri" w:cs="Calibri"/>
          <w:lang w:val="en-GB"/>
        </w:rPr>
        <w:t xml:space="preserve"> MD, PhD Consultant Cardiologist,</w:t>
      </w:r>
    </w:p>
    <w:p w14:paraId="6A97A25C" w14:textId="77777777" w:rsidR="007D1E4E" w:rsidRPr="007D1E4E" w:rsidRDefault="007D1E4E" w:rsidP="007D1E4E">
      <w:pPr>
        <w:autoSpaceDE w:val="0"/>
        <w:autoSpaceDN w:val="0"/>
        <w:adjustRightInd w:val="0"/>
        <w:spacing w:line="360" w:lineRule="auto"/>
        <w:jc w:val="both"/>
        <w:rPr>
          <w:rFonts w:ascii="Calibri" w:hAnsi="Calibri" w:cs="Calibri"/>
          <w:lang w:val="en-GB"/>
        </w:rPr>
      </w:pPr>
      <w:r w:rsidRPr="007D1E4E">
        <w:rPr>
          <w:rFonts w:ascii="Calibri" w:hAnsi="Calibri" w:cs="Calibri"/>
          <w:lang w:val="en-GB"/>
        </w:rPr>
        <w:t xml:space="preserve">Guy’s and St. Thomas’s Hospital, London, United Kingdom </w:t>
      </w:r>
    </w:p>
    <w:p w14:paraId="563C9948" w14:textId="77777777" w:rsidR="007D1E4E" w:rsidRPr="007D1E4E" w:rsidRDefault="007D1E4E" w:rsidP="007D1E4E">
      <w:pPr>
        <w:spacing w:line="360" w:lineRule="auto"/>
        <w:jc w:val="both"/>
        <w:outlineLvl w:val="0"/>
        <w:rPr>
          <w:rFonts w:ascii="Calibri" w:hAnsi="Calibri" w:cs="Calibri"/>
          <w:lang w:val="en-GB"/>
        </w:rPr>
      </w:pPr>
      <w:r w:rsidRPr="007D1E4E">
        <w:rPr>
          <w:rFonts w:ascii="Calibri" w:hAnsi="Calibri" w:cs="Calibri"/>
          <w:lang w:val="en-GB"/>
        </w:rPr>
        <w:t xml:space="preserve">Westminster Bridge Rd, Lambeth, London SE1 7EH </w:t>
      </w:r>
    </w:p>
    <w:p w14:paraId="6DD154A4" w14:textId="77777777" w:rsidR="007D1E4E" w:rsidRPr="00665585" w:rsidRDefault="007D1E4E" w:rsidP="007D1E4E">
      <w:pPr>
        <w:spacing w:line="360" w:lineRule="auto"/>
        <w:jc w:val="both"/>
        <w:rPr>
          <w:rFonts w:ascii="Calibri" w:hAnsi="Calibri"/>
        </w:rPr>
      </w:pPr>
      <w:r w:rsidRPr="00665585">
        <w:rPr>
          <w:rFonts w:ascii="Calibri" w:hAnsi="Calibri" w:cs="Calibri"/>
          <w:lang w:val="pt-BR"/>
        </w:rPr>
        <w:t xml:space="preserve">E-mail: </w:t>
      </w:r>
      <w:hyperlink r:id="rId8" w:history="1">
        <w:r w:rsidRPr="00665585">
          <w:rPr>
            <w:rStyle w:val="Hyperlink"/>
            <w:rFonts w:ascii="Calibri" w:hAnsi="Calibri" w:cs="Calibri"/>
            <w:lang w:val="pt-BR"/>
          </w:rPr>
          <w:t>gherardo.finocchiaro@nhs.net</w:t>
        </w:r>
      </w:hyperlink>
    </w:p>
    <w:p w14:paraId="51AFB963" w14:textId="77777777" w:rsidR="007D1E4E" w:rsidRPr="00A20314" w:rsidRDefault="007D1E4E" w:rsidP="0041574E">
      <w:pPr>
        <w:spacing w:line="480" w:lineRule="auto"/>
        <w:rPr>
          <w:rFonts w:ascii="Calibri" w:hAnsi="Calibri" w:cs="Calibri"/>
        </w:rPr>
      </w:pPr>
    </w:p>
    <w:p w14:paraId="3FE74CE6" w14:textId="77777777" w:rsidR="0033729B" w:rsidRDefault="00E61EFD" w:rsidP="0041574E">
      <w:pPr>
        <w:spacing w:line="480" w:lineRule="auto"/>
        <w:rPr>
          <w:rFonts w:ascii="Calibri" w:hAnsi="Calibri" w:cs="Calibri"/>
          <w:lang w:val="en-GB"/>
        </w:rPr>
      </w:pPr>
      <w:r w:rsidRPr="0041574E">
        <w:rPr>
          <w:rFonts w:ascii="Calibri" w:hAnsi="Calibri" w:cs="Calibri"/>
          <w:lang w:val="en-GB"/>
        </w:rPr>
        <w:t>Conflict of interest: none</w:t>
      </w:r>
    </w:p>
    <w:p w14:paraId="79DAB9DD" w14:textId="2D8DABFA" w:rsidR="00E61EFD" w:rsidRPr="00CF0DC3" w:rsidRDefault="00E61EFD" w:rsidP="0041574E">
      <w:pPr>
        <w:spacing w:line="480" w:lineRule="auto"/>
        <w:rPr>
          <w:rFonts w:ascii="Calibri" w:hAnsi="Calibri" w:cs="Calibri"/>
          <w:lang w:val="en-GB"/>
        </w:rPr>
      </w:pPr>
      <w:r w:rsidRPr="0041574E">
        <w:rPr>
          <w:rFonts w:ascii="Calibri" w:hAnsi="Calibri" w:cs="Calibri"/>
          <w:b/>
          <w:lang w:val="en-GB"/>
        </w:rPr>
        <w:lastRenderedPageBreak/>
        <w:t xml:space="preserve">Abstract </w:t>
      </w:r>
    </w:p>
    <w:p w14:paraId="046763E5" w14:textId="42E01744" w:rsidR="00E23ED8" w:rsidRPr="00381339" w:rsidRDefault="00322C28" w:rsidP="00E23ED8">
      <w:pPr>
        <w:spacing w:line="480" w:lineRule="auto"/>
        <w:ind w:firstLine="720"/>
        <w:rPr>
          <w:rFonts w:ascii="Calibri" w:hAnsi="Calibri"/>
          <w:lang w:val="en-GB"/>
        </w:rPr>
      </w:pPr>
      <w:r>
        <w:rPr>
          <w:rFonts w:ascii="Calibri" w:hAnsi="Calibri" w:cs="Calibri"/>
          <w:lang w:val="en-GB"/>
        </w:rPr>
        <w:t>The term d</w:t>
      </w:r>
      <w:r w:rsidR="00CF0DC3" w:rsidRPr="00CF0DC3">
        <w:rPr>
          <w:rFonts w:ascii="Calibri" w:hAnsi="Calibri" w:cs="Calibri"/>
          <w:lang w:val="en-GB"/>
        </w:rPr>
        <w:t>ilated cardiomyopathy</w:t>
      </w:r>
      <w:r>
        <w:rPr>
          <w:rFonts w:ascii="Calibri" w:hAnsi="Calibri" w:cs="Calibri"/>
          <w:lang w:val="en-GB"/>
        </w:rPr>
        <w:t xml:space="preserve"> (DCM)</w:t>
      </w:r>
      <w:r w:rsidR="00CF0DC3" w:rsidRPr="00CF0DC3">
        <w:rPr>
          <w:rFonts w:ascii="Calibri" w:hAnsi="Calibri" w:cs="Calibri"/>
          <w:lang w:val="en-GB"/>
        </w:rPr>
        <w:t xml:space="preserve"> defines an heterogenous series of cardiac disorders which are characterized by </w:t>
      </w:r>
      <w:r w:rsidR="009F16B0">
        <w:rPr>
          <w:rFonts w:ascii="Calibri" w:hAnsi="Calibri" w:cs="Calibri"/>
          <w:lang w:val="en-GB"/>
        </w:rPr>
        <w:t>left ventricular (</w:t>
      </w:r>
      <w:r w:rsidR="00CF0DC3" w:rsidRPr="00CF0DC3">
        <w:rPr>
          <w:rFonts w:ascii="Calibri" w:hAnsi="Calibri" w:cs="Calibri"/>
          <w:lang w:val="en-GB"/>
        </w:rPr>
        <w:t>LV</w:t>
      </w:r>
      <w:r w:rsidR="009F16B0">
        <w:rPr>
          <w:rFonts w:ascii="Calibri" w:hAnsi="Calibri" w:cs="Calibri"/>
          <w:lang w:val="en-GB"/>
        </w:rPr>
        <w:t>) or biventricular</w:t>
      </w:r>
      <w:r w:rsidR="00CF0DC3" w:rsidRPr="00CF0DC3">
        <w:rPr>
          <w:rFonts w:ascii="Calibri" w:hAnsi="Calibri" w:cs="Calibri"/>
          <w:lang w:val="en-GB"/>
        </w:rPr>
        <w:t xml:space="preserve"> dilatation and systolic dysfunction in the absence of abnormal loading conditions or coronary artery disease sufficient to cause global systolic impairment.</w:t>
      </w:r>
      <w:r>
        <w:rPr>
          <w:rFonts w:ascii="Calibri" w:hAnsi="Calibri" w:cs="Calibri"/>
          <w:lang w:val="en-GB"/>
        </w:rPr>
        <w:t xml:space="preserve"> In </w:t>
      </w:r>
      <w:r w:rsidR="00E23ED8">
        <w:rPr>
          <w:rFonts w:ascii="Calibri" w:hAnsi="Calibri" w:cs="Calibri"/>
          <w:lang w:val="en-GB"/>
        </w:rPr>
        <w:t>approximately one third of the</w:t>
      </w:r>
      <w:r>
        <w:rPr>
          <w:rFonts w:ascii="Calibri" w:hAnsi="Calibri" w:cs="Calibri"/>
          <w:lang w:val="en-GB"/>
        </w:rPr>
        <w:t xml:space="preserve"> cases</w:t>
      </w:r>
      <w:r w:rsidR="00E23ED8">
        <w:rPr>
          <w:rFonts w:ascii="Calibri" w:hAnsi="Calibri" w:cs="Calibri"/>
          <w:lang w:val="en-GB"/>
        </w:rPr>
        <w:t>,</w:t>
      </w:r>
      <w:r>
        <w:rPr>
          <w:rFonts w:ascii="Calibri" w:hAnsi="Calibri" w:cs="Calibri"/>
          <w:lang w:val="en-GB"/>
        </w:rPr>
        <w:t xml:space="preserve"> DCM </w:t>
      </w:r>
      <w:r w:rsidR="00E23ED8">
        <w:rPr>
          <w:rFonts w:ascii="Calibri" w:hAnsi="Calibri" w:cs="Calibri"/>
          <w:lang w:val="en-GB"/>
        </w:rPr>
        <w:t>is</w:t>
      </w:r>
      <w:r>
        <w:rPr>
          <w:rFonts w:ascii="Calibri" w:hAnsi="Calibri" w:cs="Calibri"/>
          <w:lang w:val="en-GB"/>
        </w:rPr>
        <w:t xml:space="preserve"> familial with a genetic </w:t>
      </w:r>
      <w:r w:rsidR="00E34C41">
        <w:rPr>
          <w:rFonts w:ascii="Calibri" w:hAnsi="Calibri" w:cs="Calibri"/>
          <w:lang w:val="en-GB"/>
        </w:rPr>
        <w:t>pathogenesis</w:t>
      </w:r>
      <w:r>
        <w:rPr>
          <w:rFonts w:ascii="Calibri" w:hAnsi="Calibri" w:cs="Calibri"/>
          <w:lang w:val="en-GB"/>
        </w:rPr>
        <w:t xml:space="preserve"> and various pattern</w:t>
      </w:r>
      <w:r w:rsidR="00CA64C8">
        <w:rPr>
          <w:rFonts w:ascii="Calibri" w:hAnsi="Calibri" w:cs="Calibri"/>
          <w:lang w:val="en-GB"/>
        </w:rPr>
        <w:t>s</w:t>
      </w:r>
      <w:r>
        <w:rPr>
          <w:rFonts w:ascii="Calibri" w:hAnsi="Calibri" w:cs="Calibri"/>
          <w:lang w:val="en-GB"/>
        </w:rPr>
        <w:t xml:space="preserve"> of inheritance. Although the ECG has been considered traditionally non-specific in DCM, </w:t>
      </w:r>
      <w:r w:rsidR="000D4975">
        <w:rPr>
          <w:rFonts w:ascii="Calibri" w:hAnsi="Calibri" w:cs="Calibri"/>
          <w:lang w:val="en-GB"/>
        </w:rPr>
        <w:t>the recently acquired</w:t>
      </w:r>
      <w:r>
        <w:rPr>
          <w:rFonts w:ascii="Calibri" w:hAnsi="Calibri" w:cs="Calibri"/>
          <w:lang w:val="en-GB"/>
        </w:rPr>
        <w:t xml:space="preserve"> knowledge of the genotype-phenotype correlations provide</w:t>
      </w:r>
      <w:r w:rsidR="00381339">
        <w:rPr>
          <w:rFonts w:ascii="Calibri" w:hAnsi="Calibri" w:cs="Calibri"/>
          <w:lang w:val="en-GB"/>
        </w:rPr>
        <w:t>s</w:t>
      </w:r>
      <w:r>
        <w:rPr>
          <w:rFonts w:ascii="Calibri" w:hAnsi="Calibri" w:cs="Calibri"/>
          <w:lang w:val="en-GB"/>
        </w:rPr>
        <w:t xml:space="preserve"> novel opportunities to identify patterns and abnormalities that may point toward specific </w:t>
      </w:r>
      <w:r w:rsidR="006A6313">
        <w:rPr>
          <w:rFonts w:ascii="Calibri" w:hAnsi="Calibri" w:cs="Calibri"/>
          <w:lang w:val="en-GB"/>
        </w:rPr>
        <w:t xml:space="preserve">DCM </w:t>
      </w:r>
      <w:r>
        <w:rPr>
          <w:rFonts w:ascii="Calibri" w:hAnsi="Calibri" w:cs="Calibri"/>
          <w:lang w:val="en-GB"/>
        </w:rPr>
        <w:t>subtypes.</w:t>
      </w:r>
      <w:r w:rsidR="00381339">
        <w:rPr>
          <w:rFonts w:ascii="Calibri" w:hAnsi="Calibri" w:cs="Calibri"/>
          <w:lang w:val="en-GB"/>
        </w:rPr>
        <w:t xml:space="preserve"> </w:t>
      </w:r>
      <w:r w:rsidR="000D4975">
        <w:rPr>
          <w:rFonts w:ascii="Calibri" w:hAnsi="Calibri" w:cs="Calibri"/>
          <w:lang w:val="en-GB"/>
        </w:rPr>
        <w:t>A learned</w:t>
      </w:r>
      <w:r w:rsidR="00381339">
        <w:rPr>
          <w:rFonts w:ascii="Calibri" w:hAnsi="Calibri" w:cs="Calibri"/>
          <w:lang w:val="en-GB"/>
        </w:rPr>
        <w:t xml:space="preserve"> ECG</w:t>
      </w:r>
      <w:r w:rsidR="000D4975">
        <w:rPr>
          <w:rFonts w:ascii="Calibri" w:hAnsi="Calibri" w:cs="Calibri"/>
          <w:lang w:val="en-GB"/>
        </w:rPr>
        <w:t xml:space="preserve"> interpretation</w:t>
      </w:r>
      <w:r w:rsidR="00381339">
        <w:rPr>
          <w:rFonts w:ascii="Calibri" w:hAnsi="Calibri" w:cs="Calibri"/>
          <w:lang w:val="en-GB"/>
        </w:rPr>
        <w:t xml:space="preserve"> in combination with</w:t>
      </w:r>
      <w:r w:rsidR="000D4975">
        <w:rPr>
          <w:rFonts w:ascii="Calibri" w:hAnsi="Calibri" w:cs="Calibri"/>
          <w:lang w:val="en-GB"/>
        </w:rPr>
        <w:t xml:space="preserve"> an appropriate use of</w:t>
      </w:r>
      <w:r w:rsidR="00381339">
        <w:rPr>
          <w:rFonts w:ascii="Calibri" w:hAnsi="Calibri" w:cs="Calibri"/>
          <w:lang w:val="en-GB"/>
        </w:rPr>
        <w:t xml:space="preserve"> other ECG-based techniques such as </w:t>
      </w:r>
      <w:r w:rsidR="000D4975">
        <w:rPr>
          <w:rFonts w:ascii="Calibri" w:hAnsi="Calibri" w:cs="Calibri"/>
          <w:lang w:val="en-GB"/>
        </w:rPr>
        <w:t>ambulatory</w:t>
      </w:r>
      <w:r w:rsidR="00381339">
        <w:rPr>
          <w:rFonts w:ascii="Calibri" w:hAnsi="Calibri" w:cs="Calibri"/>
          <w:lang w:val="en-GB"/>
        </w:rPr>
        <w:t xml:space="preserve"> ECG monitoring and exercise</w:t>
      </w:r>
      <w:r w:rsidR="000D4975">
        <w:rPr>
          <w:rFonts w:ascii="Calibri" w:hAnsi="Calibri" w:cs="Calibri"/>
          <w:lang w:val="en-GB"/>
        </w:rPr>
        <w:t xml:space="preserve"> tolerance</w:t>
      </w:r>
      <w:r w:rsidR="00381339">
        <w:rPr>
          <w:rFonts w:ascii="Calibri" w:hAnsi="Calibri" w:cs="Calibri"/>
          <w:lang w:val="en-GB"/>
        </w:rPr>
        <w:t xml:space="preserve"> test and imaging</w:t>
      </w:r>
      <w:r w:rsidR="00381339" w:rsidRPr="00381339">
        <w:rPr>
          <w:rFonts w:ascii="Calibri" w:hAnsi="Calibri"/>
          <w:lang w:val="en-GB"/>
        </w:rPr>
        <w:t xml:space="preserve"> modalities, such as echocardiography </w:t>
      </w:r>
      <w:r w:rsidR="000D4975">
        <w:rPr>
          <w:rFonts w:ascii="Calibri" w:hAnsi="Calibri"/>
          <w:lang w:val="en-GB"/>
        </w:rPr>
        <w:t>and</w:t>
      </w:r>
      <w:r w:rsidR="00381339" w:rsidRPr="00381339">
        <w:rPr>
          <w:rFonts w:ascii="Calibri" w:hAnsi="Calibri"/>
          <w:lang w:val="en-GB"/>
        </w:rPr>
        <w:t xml:space="preserve"> cardiovascular magnetic resonance</w:t>
      </w:r>
      <w:r w:rsidR="00211971">
        <w:rPr>
          <w:rFonts w:ascii="Calibri" w:hAnsi="Calibri"/>
          <w:lang w:val="en-GB"/>
        </w:rPr>
        <w:t>,</w:t>
      </w:r>
      <w:r w:rsidR="00381339" w:rsidRPr="00381339">
        <w:rPr>
          <w:rFonts w:ascii="Calibri" w:hAnsi="Calibri"/>
          <w:lang w:val="en-GB"/>
        </w:rPr>
        <w:t xml:space="preserve"> </w:t>
      </w:r>
      <w:r w:rsidR="00381339">
        <w:rPr>
          <w:rFonts w:ascii="Calibri" w:hAnsi="Calibri"/>
          <w:lang w:val="en-GB"/>
        </w:rPr>
        <w:t xml:space="preserve">may </w:t>
      </w:r>
      <w:r w:rsidR="009F16B0">
        <w:rPr>
          <w:rFonts w:ascii="Calibri" w:hAnsi="Calibri"/>
          <w:lang w:val="en-GB"/>
        </w:rPr>
        <w:t>allow</w:t>
      </w:r>
      <w:r w:rsidR="00381339">
        <w:rPr>
          <w:rFonts w:ascii="Calibri" w:hAnsi="Calibri"/>
          <w:lang w:val="en-GB"/>
        </w:rPr>
        <w:t xml:space="preserve"> the early identification of</w:t>
      </w:r>
      <w:r w:rsidR="00CA64C8">
        <w:rPr>
          <w:rFonts w:ascii="Calibri" w:hAnsi="Calibri"/>
          <w:lang w:val="en-GB"/>
        </w:rPr>
        <w:t xml:space="preserve"> </w:t>
      </w:r>
      <w:r w:rsidR="00E23ED8">
        <w:rPr>
          <w:rFonts w:ascii="Calibri" w:hAnsi="Calibri"/>
          <w:lang w:val="en-GB"/>
        </w:rPr>
        <w:t>specific</w:t>
      </w:r>
      <w:r w:rsidR="00381339">
        <w:rPr>
          <w:rFonts w:ascii="Calibri" w:hAnsi="Calibri"/>
          <w:lang w:val="en-GB"/>
        </w:rPr>
        <w:t xml:space="preserve"> </w:t>
      </w:r>
      <w:r w:rsidR="00CA64C8">
        <w:rPr>
          <w:rFonts w:ascii="Calibri" w:hAnsi="Calibri"/>
          <w:lang w:val="en-GB"/>
        </w:rPr>
        <w:t>genetic</w:t>
      </w:r>
      <w:r w:rsidR="000D4975">
        <w:rPr>
          <w:rFonts w:ascii="Calibri" w:hAnsi="Calibri"/>
          <w:lang w:val="en-GB"/>
        </w:rPr>
        <w:t xml:space="preserve"> or acquired</w:t>
      </w:r>
      <w:r w:rsidR="00CA64C8">
        <w:rPr>
          <w:rFonts w:ascii="Calibri" w:hAnsi="Calibri"/>
          <w:lang w:val="en-GB"/>
        </w:rPr>
        <w:t xml:space="preserve"> forms of DCM</w:t>
      </w:r>
      <w:r w:rsidR="00381339" w:rsidRPr="00381339">
        <w:rPr>
          <w:rFonts w:ascii="Calibri" w:hAnsi="Calibri"/>
          <w:lang w:val="en-GB"/>
        </w:rPr>
        <w:t>.</w:t>
      </w:r>
      <w:r w:rsidR="00CA64C8">
        <w:rPr>
          <w:rFonts w:ascii="Calibri" w:hAnsi="Calibri"/>
          <w:lang w:val="en-GB"/>
        </w:rPr>
        <w:t xml:space="preserve"> </w:t>
      </w:r>
      <w:r w:rsidR="00E23ED8">
        <w:rPr>
          <w:rFonts w:ascii="Calibri" w:hAnsi="Calibri"/>
          <w:lang w:val="en-GB"/>
        </w:rPr>
        <w:t xml:space="preserve">Furthermore, </w:t>
      </w:r>
      <w:r w:rsidR="00E23ED8" w:rsidRPr="0041574E">
        <w:rPr>
          <w:rFonts w:ascii="Calibri" w:hAnsi="Calibri" w:cs="Calibri"/>
          <w:bCs/>
          <w:lang w:val="en-GB"/>
        </w:rPr>
        <w:t xml:space="preserve">ECG abnormalities </w:t>
      </w:r>
      <w:r w:rsidR="00E23ED8">
        <w:rPr>
          <w:rFonts w:ascii="Calibri" w:hAnsi="Calibri" w:cs="Calibri"/>
          <w:bCs/>
          <w:lang w:val="en-GB"/>
        </w:rPr>
        <w:t xml:space="preserve">may </w:t>
      </w:r>
      <w:r w:rsidR="00E23ED8" w:rsidRPr="0041574E">
        <w:rPr>
          <w:rFonts w:ascii="Calibri" w:hAnsi="Calibri" w:cs="Calibri"/>
          <w:bCs/>
          <w:lang w:val="en-GB"/>
        </w:rPr>
        <w:t xml:space="preserve">reflect the </w:t>
      </w:r>
      <w:r w:rsidR="00E23ED8">
        <w:rPr>
          <w:rFonts w:ascii="Calibri" w:hAnsi="Calibri" w:cs="Calibri"/>
          <w:bCs/>
          <w:lang w:val="en-GB"/>
        </w:rPr>
        <w:t>progression</w:t>
      </w:r>
      <w:r w:rsidR="00E23ED8" w:rsidRPr="0041574E">
        <w:rPr>
          <w:rFonts w:ascii="Calibri" w:hAnsi="Calibri" w:cs="Calibri"/>
          <w:bCs/>
          <w:lang w:val="en-GB"/>
        </w:rPr>
        <w:t xml:space="preserve"> of disease</w:t>
      </w:r>
      <w:r w:rsidR="00E23ED8">
        <w:rPr>
          <w:rFonts w:ascii="Calibri" w:hAnsi="Calibri"/>
          <w:lang w:val="en-GB"/>
        </w:rPr>
        <w:t xml:space="preserve"> and provide a useful tool in risk stratification and management. </w:t>
      </w:r>
      <w:r w:rsidR="00E23ED8" w:rsidRPr="00381339">
        <w:rPr>
          <w:rFonts w:ascii="Calibri" w:hAnsi="Calibri" w:cs="Calibri"/>
          <w:lang w:val="en-GB"/>
        </w:rPr>
        <w:t>In the present review, we</w:t>
      </w:r>
      <w:r w:rsidR="00E23ED8" w:rsidRPr="00381339">
        <w:rPr>
          <w:rFonts w:ascii="Calibri" w:hAnsi="Calibri"/>
          <w:lang w:val="en-GB"/>
        </w:rPr>
        <w:t xml:space="preserve"> discuss the current role of</w:t>
      </w:r>
      <w:r w:rsidR="00E23ED8">
        <w:rPr>
          <w:rFonts w:ascii="Calibri" w:hAnsi="Calibri"/>
          <w:lang w:val="en-GB"/>
        </w:rPr>
        <w:t xml:space="preserve"> the</w:t>
      </w:r>
      <w:r w:rsidR="00E23ED8" w:rsidRPr="00381339">
        <w:rPr>
          <w:rFonts w:ascii="Calibri" w:hAnsi="Calibri"/>
          <w:lang w:val="en-GB"/>
        </w:rPr>
        <w:t xml:space="preserve"> ECG in the diagnosis and management of </w:t>
      </w:r>
      <w:r w:rsidR="00E23ED8">
        <w:rPr>
          <w:rFonts w:ascii="Calibri" w:hAnsi="Calibri"/>
          <w:lang w:val="en-GB"/>
        </w:rPr>
        <w:t>DCM. We</w:t>
      </w:r>
      <w:r w:rsidR="00E23ED8" w:rsidRPr="00381339">
        <w:rPr>
          <w:rFonts w:ascii="Calibri" w:hAnsi="Calibri"/>
          <w:lang w:val="en-GB"/>
        </w:rPr>
        <w:t xml:space="preserve"> </w:t>
      </w:r>
      <w:r w:rsidR="00E23ED8">
        <w:rPr>
          <w:rFonts w:ascii="Calibri" w:hAnsi="Calibri"/>
          <w:lang w:val="en-GB"/>
        </w:rPr>
        <w:t>describe</w:t>
      </w:r>
      <w:r w:rsidR="00E23ED8" w:rsidRPr="00381339">
        <w:rPr>
          <w:rFonts w:ascii="Calibri" w:hAnsi="Calibri"/>
          <w:lang w:val="en-GB"/>
        </w:rPr>
        <w:t xml:space="preserve"> various clinical settings where </w:t>
      </w:r>
      <w:r w:rsidR="00E23ED8">
        <w:rPr>
          <w:rFonts w:ascii="Calibri" w:hAnsi="Calibri"/>
          <w:lang w:val="en-GB"/>
        </w:rPr>
        <w:t xml:space="preserve">the </w:t>
      </w:r>
      <w:r w:rsidR="00E23ED8" w:rsidRPr="00381339">
        <w:rPr>
          <w:rFonts w:ascii="Calibri" w:hAnsi="Calibri"/>
          <w:lang w:val="en-GB"/>
        </w:rPr>
        <w:t xml:space="preserve">appropriate use and interpretation </w:t>
      </w:r>
      <w:r w:rsidR="00E23ED8">
        <w:rPr>
          <w:rFonts w:ascii="Calibri" w:hAnsi="Calibri"/>
          <w:lang w:val="en-GB"/>
        </w:rPr>
        <w:t>of</w:t>
      </w:r>
      <w:r w:rsidR="00ED7BDB">
        <w:rPr>
          <w:rFonts w:ascii="Calibri" w:hAnsi="Calibri"/>
          <w:lang w:val="en-GB"/>
        </w:rPr>
        <w:t xml:space="preserve"> the</w:t>
      </w:r>
      <w:r w:rsidR="00E23ED8">
        <w:rPr>
          <w:rFonts w:ascii="Calibri" w:hAnsi="Calibri"/>
          <w:lang w:val="en-GB"/>
        </w:rPr>
        <w:t xml:space="preserve"> ECG </w:t>
      </w:r>
      <w:r w:rsidR="00E23ED8" w:rsidRPr="00381339">
        <w:rPr>
          <w:rFonts w:ascii="Calibri" w:hAnsi="Calibri"/>
          <w:lang w:val="en-GB"/>
        </w:rPr>
        <w:t xml:space="preserve">can </w:t>
      </w:r>
      <w:r w:rsidR="00E23ED8">
        <w:rPr>
          <w:rFonts w:ascii="Calibri" w:hAnsi="Calibri"/>
          <w:lang w:val="en-GB"/>
        </w:rPr>
        <w:t xml:space="preserve">provide </w:t>
      </w:r>
      <w:r w:rsidR="00E23ED8" w:rsidRPr="000B4EA0">
        <w:rPr>
          <w:rFonts w:ascii="Calibri" w:hAnsi="Calibri"/>
          <w:lang w:val="en-GB"/>
        </w:rPr>
        <w:t>invaluable clues</w:t>
      </w:r>
      <w:r w:rsidR="00E23ED8">
        <w:rPr>
          <w:rFonts w:ascii="Calibri" w:hAnsi="Calibri"/>
          <w:lang w:val="en-GB"/>
        </w:rPr>
        <w:t xml:space="preserve">, </w:t>
      </w:r>
      <w:r w:rsidR="00E23ED8" w:rsidRPr="000B4EA0">
        <w:rPr>
          <w:rFonts w:ascii="Calibri" w:hAnsi="Calibri"/>
          <w:lang w:val="en-GB"/>
        </w:rPr>
        <w:t xml:space="preserve">contributing to the </w:t>
      </w:r>
      <w:r w:rsidR="00E23ED8">
        <w:rPr>
          <w:rFonts w:ascii="Calibri" w:hAnsi="Calibri"/>
          <w:lang w:val="en-GB"/>
        </w:rPr>
        <w:t>important role of this basic tool</w:t>
      </w:r>
      <w:r w:rsidR="00E23ED8" w:rsidRPr="000B4EA0">
        <w:rPr>
          <w:rFonts w:ascii="Calibri" w:hAnsi="Calibri"/>
          <w:lang w:val="en-GB"/>
        </w:rPr>
        <w:t xml:space="preserve"> as cardiovascular medicine evolves</w:t>
      </w:r>
      <w:r w:rsidR="00E23ED8" w:rsidRPr="00381339">
        <w:rPr>
          <w:rFonts w:ascii="Calibri" w:hAnsi="Calibri"/>
          <w:lang w:val="en-GB"/>
        </w:rPr>
        <w:t>.</w:t>
      </w:r>
    </w:p>
    <w:p w14:paraId="0D700C28" w14:textId="77777777" w:rsidR="00E23ED8" w:rsidRPr="00CF0DC3" w:rsidRDefault="00E23ED8" w:rsidP="00E23ED8">
      <w:pPr>
        <w:spacing w:line="480" w:lineRule="auto"/>
        <w:ind w:firstLine="720"/>
        <w:rPr>
          <w:rFonts w:ascii="Calibri" w:hAnsi="Calibri" w:cs="Calibri"/>
          <w:lang w:val="en-GB"/>
        </w:rPr>
      </w:pPr>
    </w:p>
    <w:p w14:paraId="3728A57C" w14:textId="3A26FA91" w:rsidR="00381339" w:rsidRPr="00381339" w:rsidRDefault="00381339" w:rsidP="000D4975">
      <w:pPr>
        <w:spacing w:line="480" w:lineRule="auto"/>
        <w:ind w:firstLine="720"/>
        <w:rPr>
          <w:rFonts w:ascii="Calibri" w:hAnsi="Calibri"/>
          <w:lang w:val="en-GB"/>
        </w:rPr>
      </w:pPr>
    </w:p>
    <w:p w14:paraId="2F0B6818" w14:textId="7B16DCFC" w:rsidR="00CF0DC3" w:rsidRPr="00CF0DC3" w:rsidRDefault="00CF0DC3" w:rsidP="000D4975">
      <w:pPr>
        <w:spacing w:line="480" w:lineRule="auto"/>
        <w:ind w:firstLine="720"/>
        <w:rPr>
          <w:rFonts w:ascii="Calibri" w:hAnsi="Calibri" w:cs="Calibri"/>
          <w:lang w:val="en-GB"/>
        </w:rPr>
      </w:pPr>
    </w:p>
    <w:p w14:paraId="6D85C820" w14:textId="77777777" w:rsidR="00C0358F" w:rsidRDefault="00C0358F" w:rsidP="000D4975">
      <w:pPr>
        <w:spacing w:line="480" w:lineRule="auto"/>
        <w:rPr>
          <w:rFonts w:ascii="Calibri" w:hAnsi="Calibri" w:cs="Calibri"/>
          <w:b/>
          <w:lang w:val="en-GB"/>
        </w:rPr>
      </w:pPr>
    </w:p>
    <w:p w14:paraId="0FD359A1" w14:textId="77777777" w:rsidR="00C0358F" w:rsidRDefault="00C0358F" w:rsidP="000D4975">
      <w:pPr>
        <w:spacing w:line="480" w:lineRule="auto"/>
        <w:rPr>
          <w:rFonts w:ascii="Calibri" w:hAnsi="Calibri" w:cs="Calibri"/>
          <w:b/>
          <w:lang w:val="en-GB"/>
        </w:rPr>
      </w:pPr>
    </w:p>
    <w:p w14:paraId="297F6E65" w14:textId="5F248809" w:rsidR="000B4EA0" w:rsidRDefault="00E61EFD" w:rsidP="0041574E">
      <w:pPr>
        <w:spacing w:line="480" w:lineRule="auto"/>
        <w:rPr>
          <w:rFonts w:ascii="Calibri" w:hAnsi="Calibri" w:cs="Calibri"/>
          <w:lang w:val="en-GB"/>
        </w:rPr>
      </w:pPr>
      <w:r w:rsidRPr="0041574E">
        <w:rPr>
          <w:rFonts w:ascii="Calibri" w:hAnsi="Calibri" w:cs="Calibri"/>
          <w:b/>
          <w:lang w:val="en-GB"/>
        </w:rPr>
        <w:t>Keywords:</w:t>
      </w:r>
      <w:r w:rsidRPr="0041574E">
        <w:rPr>
          <w:rFonts w:ascii="Calibri" w:hAnsi="Calibri" w:cs="Calibri"/>
          <w:lang w:val="en-GB"/>
        </w:rPr>
        <w:t xml:space="preserve"> </w:t>
      </w:r>
      <w:r w:rsidR="000B4EA0">
        <w:rPr>
          <w:rFonts w:ascii="Calibri" w:hAnsi="Calibri" w:cs="Calibri"/>
          <w:lang w:val="en-GB"/>
        </w:rPr>
        <w:t xml:space="preserve">Electrocardiogram; Dilated cardiomyopathy; Diagnosis; Management </w:t>
      </w:r>
    </w:p>
    <w:p w14:paraId="344EC284" w14:textId="0EF4F72F" w:rsidR="00E61EFD" w:rsidRPr="000B4EA0" w:rsidRDefault="00E61EFD" w:rsidP="0041574E">
      <w:pPr>
        <w:spacing w:line="480" w:lineRule="auto"/>
        <w:rPr>
          <w:rFonts w:ascii="Calibri" w:hAnsi="Calibri" w:cs="Calibri"/>
          <w:lang w:val="en-GB"/>
        </w:rPr>
      </w:pPr>
      <w:r w:rsidRPr="0041574E">
        <w:rPr>
          <w:rFonts w:ascii="Calibri" w:hAnsi="Calibri" w:cs="Calibri"/>
          <w:b/>
          <w:lang w:val="en-GB"/>
        </w:rPr>
        <w:lastRenderedPageBreak/>
        <w:t>Funding.</w:t>
      </w:r>
      <w:r w:rsidR="00E50412">
        <w:rPr>
          <w:rFonts w:ascii="Calibri" w:hAnsi="Calibri" w:cs="Calibri"/>
          <w:b/>
          <w:lang w:val="en-GB"/>
        </w:rPr>
        <w:t xml:space="preserve"> </w:t>
      </w:r>
      <w:r w:rsidR="00E50412" w:rsidRPr="00E50412">
        <w:rPr>
          <w:rFonts w:cs="Calibri"/>
          <w:i/>
          <w:lang w:val="en-GB"/>
        </w:rPr>
        <w:t xml:space="preserve">IO was supported by the European Union’s Horizon 2020 Research and Innovation Programme under Grant Agreement no. 777204: “SILICOFCM - In Silico trials for drug tracing the effects of </w:t>
      </w:r>
      <w:proofErr w:type="spellStart"/>
      <w:r w:rsidR="00E50412" w:rsidRPr="00E50412">
        <w:rPr>
          <w:rFonts w:cs="Calibri"/>
          <w:i/>
          <w:lang w:val="en-GB"/>
        </w:rPr>
        <w:t>sarcomeric</w:t>
      </w:r>
      <w:proofErr w:type="spellEnd"/>
      <w:r w:rsidR="00E50412" w:rsidRPr="00E50412">
        <w:rPr>
          <w:rFonts w:cs="Calibri"/>
          <w:i/>
          <w:lang w:val="en-GB"/>
        </w:rPr>
        <w:t xml:space="preserve"> protein mutations leading to familial cardiomyopathy”; by the Italian Ministry of Health (Left ventricular  hypertrophy in aortic valve disease and hypertrophic cardiomyopathy: genetic basis, biophysical correlates and viral therapy models” (RF-2013-02356787), and  NET-2011-02347173 (Mechanisms and treatment of coronary microvascular dysfunction in patients with genetic or secondary left ventricular hypertrophy) and by the </w:t>
      </w:r>
      <w:proofErr w:type="spellStart"/>
      <w:r w:rsidR="00E50412" w:rsidRPr="00E50412">
        <w:rPr>
          <w:rFonts w:cs="Calibri"/>
          <w:i/>
          <w:lang w:val="en-GB"/>
        </w:rPr>
        <w:t>Ente</w:t>
      </w:r>
      <w:proofErr w:type="spellEnd"/>
      <w:r w:rsidR="00E50412" w:rsidRPr="00E50412">
        <w:rPr>
          <w:rFonts w:cs="Calibri"/>
          <w:i/>
          <w:lang w:val="en-GB"/>
        </w:rPr>
        <w:t xml:space="preserve"> </w:t>
      </w:r>
      <w:proofErr w:type="spellStart"/>
      <w:r w:rsidR="00E50412" w:rsidRPr="00E50412">
        <w:rPr>
          <w:rFonts w:cs="Calibri"/>
          <w:i/>
          <w:lang w:val="en-GB"/>
        </w:rPr>
        <w:t>Cassa</w:t>
      </w:r>
      <w:proofErr w:type="spellEnd"/>
      <w:r w:rsidR="00E50412" w:rsidRPr="00E50412">
        <w:rPr>
          <w:rFonts w:cs="Calibri"/>
          <w:i/>
          <w:lang w:val="en-GB"/>
        </w:rPr>
        <w:t xml:space="preserve"> di </w:t>
      </w:r>
      <w:proofErr w:type="spellStart"/>
      <w:r w:rsidR="00E50412" w:rsidRPr="00E50412">
        <w:rPr>
          <w:rFonts w:cs="Calibri"/>
          <w:i/>
          <w:lang w:val="en-GB"/>
        </w:rPr>
        <w:t>Risparmio</w:t>
      </w:r>
      <w:proofErr w:type="spellEnd"/>
      <w:r w:rsidR="00E50412" w:rsidRPr="00E50412">
        <w:rPr>
          <w:rFonts w:cs="Calibri"/>
          <w:i/>
          <w:lang w:val="en-GB"/>
        </w:rPr>
        <w:t xml:space="preserve"> di Firenze (bando 2016) “juvenile sudden cardiac death: just know and treat”.</w:t>
      </w:r>
      <w:r w:rsidRPr="0041574E">
        <w:rPr>
          <w:rFonts w:ascii="Calibri" w:hAnsi="Calibri" w:cs="Calibri"/>
          <w:b/>
          <w:lang w:val="en-GB"/>
        </w:rPr>
        <w:t xml:space="preserve"> </w:t>
      </w:r>
      <w:r w:rsidRPr="0041574E">
        <w:rPr>
          <w:rFonts w:ascii="Calibri" w:hAnsi="Calibri" w:cs="Calibri"/>
          <w:i/>
          <w:lang w:val="en-GB"/>
        </w:rPr>
        <w:t xml:space="preserve"> </w:t>
      </w:r>
    </w:p>
    <w:p w14:paraId="4C890790" w14:textId="77777777" w:rsidR="00E61EFD" w:rsidRPr="0041574E" w:rsidRDefault="00E61EFD" w:rsidP="0041574E">
      <w:pPr>
        <w:spacing w:line="480" w:lineRule="auto"/>
        <w:rPr>
          <w:rFonts w:ascii="Calibri" w:hAnsi="Calibri" w:cs="Calibri"/>
          <w:b/>
          <w:lang w:val="en-GB"/>
        </w:rPr>
      </w:pPr>
    </w:p>
    <w:p w14:paraId="3FF3EF56" w14:textId="77777777" w:rsidR="00E61EFD" w:rsidRPr="0041574E" w:rsidRDefault="00E61EFD" w:rsidP="0041574E">
      <w:pPr>
        <w:rPr>
          <w:rFonts w:ascii="Calibri" w:hAnsi="Calibri" w:cs="Calibri"/>
          <w:lang w:val="en-GB"/>
        </w:rPr>
      </w:pPr>
      <w:r w:rsidRPr="0041574E">
        <w:rPr>
          <w:rFonts w:ascii="Calibri" w:hAnsi="Calibri" w:cs="Calibri"/>
          <w:lang w:val="en-GB"/>
        </w:rPr>
        <w:br w:type="page"/>
      </w:r>
    </w:p>
    <w:p w14:paraId="0C318FC9" w14:textId="14865D2B" w:rsidR="00E61EFD" w:rsidRPr="0041574E" w:rsidRDefault="00E61EFD" w:rsidP="0041574E">
      <w:pPr>
        <w:spacing w:line="480" w:lineRule="auto"/>
        <w:rPr>
          <w:rFonts w:ascii="Calibri" w:hAnsi="Calibri" w:cs="Calibri"/>
          <w:b/>
          <w:lang w:val="en-GB"/>
        </w:rPr>
      </w:pPr>
      <w:r w:rsidRPr="0041574E">
        <w:rPr>
          <w:rFonts w:ascii="Calibri" w:hAnsi="Calibri" w:cs="Calibri"/>
          <w:b/>
          <w:lang w:val="en-GB"/>
        </w:rPr>
        <w:lastRenderedPageBreak/>
        <w:t>INTRODUCTION</w:t>
      </w:r>
    </w:p>
    <w:p w14:paraId="01B100D5" w14:textId="7E79A66B" w:rsidR="006D3A72" w:rsidRPr="0041574E" w:rsidRDefault="006D3A72" w:rsidP="0041574E">
      <w:pPr>
        <w:spacing w:line="480" w:lineRule="auto"/>
        <w:rPr>
          <w:rFonts w:ascii="Calibri" w:hAnsi="Calibri" w:cs="Calibri"/>
          <w:b/>
          <w:lang w:val="en-GB"/>
        </w:rPr>
      </w:pPr>
    </w:p>
    <w:p w14:paraId="14BC307E" w14:textId="569E47C6" w:rsidR="00705ABF" w:rsidRDefault="006C2960" w:rsidP="00705ABF">
      <w:pPr>
        <w:spacing w:line="480" w:lineRule="auto"/>
        <w:ind w:firstLine="720"/>
        <w:rPr>
          <w:rFonts w:ascii="Calibri" w:hAnsi="Calibri"/>
          <w:lang w:val="en-GB"/>
        </w:rPr>
      </w:pPr>
      <w:r w:rsidRPr="006C2960">
        <w:rPr>
          <w:rFonts w:ascii="Calibri" w:hAnsi="Calibri" w:cs="Calibri"/>
          <w:lang w:val="en-GB"/>
        </w:rPr>
        <w:t>Dilated cardiomyopathy</w:t>
      </w:r>
      <w:r w:rsidR="004A1EA3">
        <w:rPr>
          <w:rFonts w:ascii="Calibri" w:hAnsi="Calibri" w:cs="Calibri"/>
          <w:lang w:val="en-GB"/>
        </w:rPr>
        <w:t xml:space="preserve"> (DCM)</w:t>
      </w:r>
      <w:r w:rsidRPr="006C2960">
        <w:rPr>
          <w:rFonts w:ascii="Calibri" w:hAnsi="Calibri" w:cs="Calibri"/>
          <w:lang w:val="en-GB"/>
        </w:rPr>
        <w:t xml:space="preserve"> is currently defined by the presence of left</w:t>
      </w:r>
      <w:r>
        <w:rPr>
          <w:rFonts w:ascii="Calibri" w:hAnsi="Calibri" w:cs="Calibri"/>
          <w:lang w:val="en-GB"/>
        </w:rPr>
        <w:t xml:space="preserve"> </w:t>
      </w:r>
      <w:r w:rsidRPr="006C2960">
        <w:rPr>
          <w:rFonts w:ascii="Calibri" w:hAnsi="Calibri" w:cs="Calibri"/>
          <w:lang w:val="en-GB"/>
        </w:rPr>
        <w:t>ventricular (LV) or biventricular dilatation and systolic dysfunction in</w:t>
      </w:r>
      <w:r>
        <w:rPr>
          <w:rFonts w:ascii="Calibri" w:hAnsi="Calibri" w:cs="Calibri"/>
          <w:lang w:val="en-GB"/>
        </w:rPr>
        <w:t xml:space="preserve"> </w:t>
      </w:r>
      <w:r w:rsidRPr="006C2960">
        <w:rPr>
          <w:rFonts w:ascii="Calibri" w:hAnsi="Calibri" w:cs="Calibri"/>
          <w:lang w:val="en-GB"/>
        </w:rPr>
        <w:t>the absence of abnormal loading conditions or coronary artery disease sufficient to cause global systolic</w:t>
      </w:r>
      <w:r>
        <w:rPr>
          <w:rFonts w:ascii="Calibri" w:hAnsi="Calibri" w:cs="Calibri"/>
          <w:lang w:val="en-GB"/>
        </w:rPr>
        <w:t xml:space="preserve"> </w:t>
      </w:r>
      <w:r w:rsidRPr="006C2960">
        <w:rPr>
          <w:rFonts w:ascii="Calibri" w:hAnsi="Calibri" w:cs="Calibri"/>
          <w:lang w:val="en-GB"/>
        </w:rPr>
        <w:t>impairment</w:t>
      </w:r>
      <w:r w:rsidR="00326362">
        <w:rPr>
          <w:rFonts w:ascii="Calibri" w:hAnsi="Calibri" w:cs="Calibri"/>
          <w:lang w:val="en-GB"/>
        </w:rPr>
        <w:fldChar w:fldCharType="begin" w:fldLock="1"/>
      </w:r>
      <w:r w:rsidR="00561592">
        <w:rPr>
          <w:rFonts w:ascii="Calibri" w:hAnsi="Calibri" w:cs="Calibri"/>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326362">
        <w:rPr>
          <w:rFonts w:ascii="Calibri" w:hAnsi="Calibri" w:cs="Calibri"/>
          <w:lang w:val="en-GB"/>
        </w:rPr>
        <w:fldChar w:fldCharType="separate"/>
      </w:r>
      <w:r w:rsidR="00326362" w:rsidRPr="00326362">
        <w:rPr>
          <w:rFonts w:ascii="Calibri" w:hAnsi="Calibri" w:cs="Calibri"/>
          <w:noProof/>
          <w:vertAlign w:val="superscript"/>
          <w:lang w:val="en-GB"/>
        </w:rPr>
        <w:t>1</w:t>
      </w:r>
      <w:r w:rsidR="00326362">
        <w:rPr>
          <w:rFonts w:ascii="Calibri" w:hAnsi="Calibri" w:cs="Calibri"/>
          <w:lang w:val="en-GB"/>
        </w:rPr>
        <w:fldChar w:fldCharType="end"/>
      </w:r>
      <w:r>
        <w:rPr>
          <w:rFonts w:ascii="Calibri" w:hAnsi="Calibri" w:cs="Calibri"/>
          <w:lang w:val="en-GB"/>
        </w:rPr>
        <w:t xml:space="preserve">. </w:t>
      </w:r>
      <w:r w:rsidR="00193788" w:rsidRPr="004A1EA3">
        <w:rPr>
          <w:rFonts w:ascii="Calibri" w:hAnsi="Calibri" w:cs="Calibri"/>
          <w:lang w:val="en-GB"/>
        </w:rPr>
        <w:t>Dilat</w:t>
      </w:r>
      <w:r w:rsidR="00193788" w:rsidRPr="00193788">
        <w:rPr>
          <w:rFonts w:ascii="Calibri" w:hAnsi="Calibri" w:cs="Calibri"/>
          <w:lang w:val="en-GB"/>
        </w:rPr>
        <w:t xml:space="preserve">ed cardiomyopathy is an umbrella definition that </w:t>
      </w:r>
      <w:r w:rsidR="001D6BE0">
        <w:rPr>
          <w:rFonts w:ascii="Calibri" w:hAnsi="Calibri" w:cs="Calibri"/>
          <w:lang w:val="en-GB"/>
        </w:rPr>
        <w:t>encompasses</w:t>
      </w:r>
      <w:r w:rsidR="00193788" w:rsidRPr="00193788">
        <w:rPr>
          <w:rFonts w:ascii="Calibri" w:hAnsi="Calibri" w:cs="Calibri"/>
          <w:lang w:val="en-GB"/>
        </w:rPr>
        <w:t xml:space="preserve"> multiple disorders where the myocardial abnormality is not related to coronary or valvular or congenital heart disease and cannot be explained by abnormal h</w:t>
      </w:r>
      <w:r w:rsidR="001D6BE0">
        <w:rPr>
          <w:rFonts w:ascii="Calibri" w:hAnsi="Calibri" w:cs="Calibri"/>
          <w:lang w:val="en-GB"/>
        </w:rPr>
        <w:t>a</w:t>
      </w:r>
      <w:r w:rsidR="00193788" w:rsidRPr="00193788">
        <w:rPr>
          <w:rFonts w:ascii="Calibri" w:hAnsi="Calibri" w:cs="Calibri"/>
          <w:lang w:val="en-GB"/>
        </w:rPr>
        <w:t xml:space="preserve">emodynamic conditions. </w:t>
      </w:r>
      <w:r w:rsidR="004A1EA3" w:rsidRPr="00193788">
        <w:rPr>
          <w:rFonts w:ascii="Calibri" w:hAnsi="Calibri" w:cs="Calibri"/>
          <w:lang w:val="en-GB"/>
        </w:rPr>
        <w:t xml:space="preserve"> </w:t>
      </w:r>
      <w:r w:rsidR="00AE3885" w:rsidRPr="00193788">
        <w:rPr>
          <w:rFonts w:ascii="Calibri" w:hAnsi="Calibri" w:cs="Calibri"/>
          <w:lang w:val="en-GB"/>
        </w:rPr>
        <w:t>Besides being very generic, the term DCM may be downright inaccurate, as</w:t>
      </w:r>
      <w:r w:rsidR="004A1EA3" w:rsidRPr="00193788">
        <w:rPr>
          <w:rFonts w:ascii="Calibri" w:hAnsi="Calibri" w:cs="Calibri"/>
          <w:lang w:val="en-GB"/>
        </w:rPr>
        <w:t xml:space="preserve"> </w:t>
      </w:r>
      <w:r w:rsidR="009675B3" w:rsidRPr="00193788">
        <w:rPr>
          <w:rFonts w:ascii="Calibri" w:hAnsi="Calibri" w:cs="Calibri"/>
          <w:lang w:val="en-GB"/>
        </w:rPr>
        <w:t xml:space="preserve">chamber dilatation </w:t>
      </w:r>
      <w:r w:rsidR="00AE3885" w:rsidRPr="00193788">
        <w:rPr>
          <w:rFonts w:ascii="Calibri" w:hAnsi="Calibri" w:cs="Calibri"/>
          <w:lang w:val="en-GB"/>
        </w:rPr>
        <w:t xml:space="preserve">is </w:t>
      </w:r>
      <w:r w:rsidR="000228F4" w:rsidRPr="00193788">
        <w:rPr>
          <w:rFonts w:ascii="Calibri" w:hAnsi="Calibri" w:cs="Calibri"/>
          <w:lang w:val="en-GB"/>
        </w:rPr>
        <w:t>often</w:t>
      </w:r>
      <w:r w:rsidR="009675B3" w:rsidRPr="00193788">
        <w:rPr>
          <w:rFonts w:ascii="Calibri" w:hAnsi="Calibri" w:cs="Calibri"/>
          <w:lang w:val="en-GB"/>
        </w:rPr>
        <w:t xml:space="preserve"> absent</w:t>
      </w:r>
      <w:r w:rsidR="00AE3885" w:rsidRPr="00193788">
        <w:rPr>
          <w:rFonts w:ascii="Calibri" w:hAnsi="Calibri" w:cs="Calibri"/>
          <w:lang w:val="en-GB"/>
        </w:rPr>
        <w:t xml:space="preserve">: indeed, </w:t>
      </w:r>
      <w:r w:rsidR="000228F4" w:rsidRPr="00193788">
        <w:rPr>
          <w:rFonts w:ascii="Calibri" w:hAnsi="Calibri" w:cs="Calibri"/>
          <w:lang w:val="en-GB"/>
        </w:rPr>
        <w:t>the term “dilated</w:t>
      </w:r>
      <w:r w:rsidR="000228F4">
        <w:rPr>
          <w:rFonts w:ascii="Calibri" w:hAnsi="Calibri" w:cs="Calibri"/>
          <w:lang w:val="en-GB"/>
        </w:rPr>
        <w:t>” has been recently questioned. Th</w:t>
      </w:r>
      <w:r w:rsidR="003E4467">
        <w:rPr>
          <w:rFonts w:ascii="Calibri" w:hAnsi="Calibri" w:cs="Calibri"/>
          <w:lang w:val="en-GB"/>
        </w:rPr>
        <w:t>is</w:t>
      </w:r>
      <w:r w:rsidR="000228F4">
        <w:rPr>
          <w:rFonts w:ascii="Calibri" w:hAnsi="Calibri" w:cs="Calibri"/>
          <w:lang w:val="en-GB"/>
        </w:rPr>
        <w:t xml:space="preserve"> </w:t>
      </w:r>
      <w:proofErr w:type="spellStart"/>
      <w:r w:rsidR="000228F4">
        <w:rPr>
          <w:rFonts w:ascii="Calibri" w:hAnsi="Calibri" w:cs="Calibri"/>
          <w:lang w:val="en-GB"/>
        </w:rPr>
        <w:t>nosograph</w:t>
      </w:r>
      <w:r w:rsidR="00AE3885">
        <w:rPr>
          <w:rFonts w:ascii="Calibri" w:hAnsi="Calibri" w:cs="Calibri"/>
          <w:lang w:val="en-GB"/>
        </w:rPr>
        <w:t>ic</w:t>
      </w:r>
      <w:proofErr w:type="spellEnd"/>
      <w:r w:rsidR="000D4975">
        <w:rPr>
          <w:rFonts w:ascii="Calibri" w:hAnsi="Calibri" w:cs="Calibri"/>
          <w:lang w:val="en-GB"/>
        </w:rPr>
        <w:t xml:space="preserve"> </w:t>
      </w:r>
      <w:r w:rsidR="000228F4">
        <w:rPr>
          <w:rFonts w:ascii="Calibri" w:hAnsi="Calibri" w:cs="Calibri"/>
          <w:lang w:val="en-GB"/>
        </w:rPr>
        <w:t>complexity builds on a</w:t>
      </w:r>
      <w:r w:rsidR="00052D4B">
        <w:rPr>
          <w:rFonts w:ascii="Calibri" w:hAnsi="Calibri" w:cs="Calibri"/>
          <w:lang w:val="en-GB"/>
        </w:rPr>
        <w:t xml:space="preserve"> </w:t>
      </w:r>
      <w:r w:rsidR="000228F4">
        <w:rPr>
          <w:rFonts w:ascii="Calibri" w:hAnsi="Calibri" w:cs="Calibri"/>
          <w:lang w:val="en-GB"/>
        </w:rPr>
        <w:t>significant</w:t>
      </w:r>
      <w:r w:rsidR="00052D4B">
        <w:rPr>
          <w:rFonts w:ascii="Calibri" w:hAnsi="Calibri" w:cs="Calibri"/>
          <w:lang w:val="en-GB"/>
        </w:rPr>
        <w:t xml:space="preserve"> genetic</w:t>
      </w:r>
      <w:r w:rsidR="000228F4">
        <w:rPr>
          <w:rFonts w:ascii="Calibri" w:hAnsi="Calibri" w:cs="Calibri"/>
          <w:lang w:val="en-GB"/>
        </w:rPr>
        <w:t xml:space="preserve"> heterogeneity</w:t>
      </w:r>
      <w:r w:rsidR="00052D4B">
        <w:rPr>
          <w:rFonts w:ascii="Calibri" w:hAnsi="Calibri" w:cs="Calibri"/>
          <w:lang w:val="en-GB"/>
        </w:rPr>
        <w:t xml:space="preserve"> with </w:t>
      </w:r>
      <w:r w:rsidR="00052D4B" w:rsidRPr="00052D4B">
        <w:rPr>
          <w:rFonts w:ascii="Calibri" w:hAnsi="Calibri" w:cs="Calibri"/>
          <w:lang w:val="en-GB"/>
        </w:rPr>
        <w:t>mutations</w:t>
      </w:r>
      <w:r w:rsidR="00052D4B">
        <w:rPr>
          <w:rFonts w:ascii="Calibri" w:hAnsi="Calibri" w:cs="Calibri"/>
          <w:lang w:val="en-GB"/>
        </w:rPr>
        <w:t xml:space="preserve"> found to be linked to the disease</w:t>
      </w:r>
      <w:r w:rsidR="00052D4B" w:rsidRPr="00052D4B">
        <w:rPr>
          <w:rFonts w:ascii="Calibri" w:hAnsi="Calibri" w:cs="Calibri"/>
          <w:lang w:val="en-GB"/>
        </w:rPr>
        <w:t xml:space="preserve"> in at least </w:t>
      </w:r>
      <w:r w:rsidR="00FC3FCD">
        <w:rPr>
          <w:rFonts w:ascii="Calibri" w:hAnsi="Calibri" w:cs="Calibri"/>
          <w:lang w:val="en-GB"/>
        </w:rPr>
        <w:t>5</w:t>
      </w:r>
      <w:r w:rsidR="00052D4B" w:rsidRPr="00052D4B">
        <w:rPr>
          <w:rFonts w:ascii="Calibri" w:hAnsi="Calibri" w:cs="Calibri"/>
          <w:lang w:val="en-GB"/>
        </w:rPr>
        <w:t>0 different individual genes</w:t>
      </w:r>
      <w:r w:rsidR="00052D4B">
        <w:rPr>
          <w:rFonts w:ascii="Calibri" w:hAnsi="Calibri" w:cs="Calibri"/>
          <w:lang w:val="en-GB"/>
        </w:rPr>
        <w:t xml:space="preserve"> and a polymorphic clinical presentation with arrhythmias and heart failure being the most common manifestation</w:t>
      </w:r>
      <w:r w:rsidR="006A6313">
        <w:rPr>
          <w:rFonts w:ascii="Calibri" w:hAnsi="Calibri" w:cs="Calibri"/>
          <w:lang w:val="en-GB"/>
        </w:rPr>
        <w:fldChar w:fldCharType="begin" w:fldLock="1"/>
      </w:r>
      <w:r w:rsidR="00561592">
        <w:rPr>
          <w:rFonts w:ascii="Calibri" w:hAnsi="Calibri" w:cs="Calibri"/>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6A6313">
        <w:rPr>
          <w:rFonts w:ascii="Calibri" w:hAnsi="Calibri" w:cs="Calibri"/>
          <w:lang w:val="en-GB"/>
        </w:rPr>
        <w:fldChar w:fldCharType="separate"/>
      </w:r>
      <w:r w:rsidR="00326362" w:rsidRPr="00326362">
        <w:rPr>
          <w:rFonts w:ascii="Calibri" w:hAnsi="Calibri" w:cs="Calibri"/>
          <w:noProof/>
          <w:vertAlign w:val="superscript"/>
          <w:lang w:val="en-GB"/>
        </w:rPr>
        <w:t>1</w:t>
      </w:r>
      <w:r w:rsidR="006A6313">
        <w:rPr>
          <w:rFonts w:ascii="Calibri" w:hAnsi="Calibri" w:cs="Calibri"/>
          <w:lang w:val="en-GB"/>
        </w:rPr>
        <w:fldChar w:fldCharType="end"/>
      </w:r>
      <w:r w:rsidR="00052D4B">
        <w:rPr>
          <w:rFonts w:ascii="Calibri" w:hAnsi="Calibri" w:cs="Calibri"/>
          <w:lang w:val="en-GB"/>
        </w:rPr>
        <w:t>.</w:t>
      </w:r>
      <w:r w:rsidR="000228F4">
        <w:rPr>
          <w:rFonts w:ascii="Calibri" w:hAnsi="Calibri" w:cs="Calibri"/>
          <w:lang w:val="en-GB"/>
        </w:rPr>
        <w:t xml:space="preserve"> </w:t>
      </w:r>
    </w:p>
    <w:p w14:paraId="3915EA7E" w14:textId="2D55AFA1" w:rsidR="00193788" w:rsidRPr="00705ABF" w:rsidRDefault="003E4467" w:rsidP="00705ABF">
      <w:pPr>
        <w:spacing w:line="480" w:lineRule="auto"/>
        <w:ind w:firstLine="720"/>
        <w:rPr>
          <w:rFonts w:ascii="Calibri" w:hAnsi="Calibri"/>
          <w:lang w:val="en-GB"/>
        </w:rPr>
      </w:pPr>
      <w:bookmarkStart w:id="1" w:name="_Hlk29574758"/>
      <w:r>
        <w:rPr>
          <w:rFonts w:ascii="Calibri" w:hAnsi="Calibri"/>
          <w:lang w:val="en-GB"/>
        </w:rPr>
        <w:t>R</w:t>
      </w:r>
      <w:r w:rsidRPr="00052D4B">
        <w:rPr>
          <w:rFonts w:ascii="Calibri" w:hAnsi="Calibri"/>
          <w:lang w:val="en-GB"/>
        </w:rPr>
        <w:t>ecent technological advances in cardiovascular imaging</w:t>
      </w:r>
      <w:r w:rsidR="000556A9">
        <w:rPr>
          <w:rFonts w:ascii="Calibri" w:hAnsi="Calibri"/>
          <w:lang w:val="en-GB"/>
        </w:rPr>
        <w:t xml:space="preserve"> and particularly the increasingly widespread use of cardiovascular magnetic resonance (CMR)</w:t>
      </w:r>
      <w:r>
        <w:rPr>
          <w:rFonts w:ascii="Calibri" w:hAnsi="Calibri"/>
          <w:lang w:val="en-GB"/>
        </w:rPr>
        <w:t xml:space="preserve"> </w:t>
      </w:r>
      <w:bookmarkEnd w:id="1"/>
      <w:r>
        <w:rPr>
          <w:rFonts w:ascii="Calibri" w:hAnsi="Calibri"/>
          <w:lang w:val="en-GB"/>
        </w:rPr>
        <w:t xml:space="preserve">offer </w:t>
      </w:r>
      <w:r w:rsidR="00AE3885">
        <w:rPr>
          <w:rFonts w:ascii="Calibri" w:hAnsi="Calibri"/>
          <w:lang w:val="en-GB"/>
        </w:rPr>
        <w:t xml:space="preserve">an </w:t>
      </w:r>
      <w:r>
        <w:rPr>
          <w:rFonts w:ascii="Calibri" w:hAnsi="Calibri"/>
          <w:lang w:val="en-GB"/>
        </w:rPr>
        <w:t xml:space="preserve">opportunity </w:t>
      </w:r>
      <w:r w:rsidR="00AE3885">
        <w:rPr>
          <w:rFonts w:ascii="Calibri" w:hAnsi="Calibri"/>
          <w:lang w:val="en-GB"/>
        </w:rPr>
        <w:t xml:space="preserve">for </w:t>
      </w:r>
      <w:r w:rsidR="00661DFD">
        <w:rPr>
          <w:rFonts w:ascii="Calibri" w:hAnsi="Calibri"/>
          <w:lang w:val="en-GB"/>
        </w:rPr>
        <w:t>deep</w:t>
      </w:r>
      <w:r w:rsidR="00052D4B" w:rsidRPr="00052D4B">
        <w:rPr>
          <w:rFonts w:ascii="Calibri" w:hAnsi="Calibri"/>
          <w:lang w:val="en-GB"/>
        </w:rPr>
        <w:t xml:space="preserve"> </w:t>
      </w:r>
      <w:r w:rsidR="00661DFD">
        <w:rPr>
          <w:rFonts w:ascii="Calibri" w:hAnsi="Calibri"/>
          <w:lang w:val="en-GB"/>
        </w:rPr>
        <w:t xml:space="preserve">phenotypic and aetiological </w:t>
      </w:r>
      <w:r w:rsidR="00BA3CC1">
        <w:rPr>
          <w:rFonts w:ascii="Calibri" w:hAnsi="Calibri"/>
          <w:lang w:val="en-GB"/>
        </w:rPr>
        <w:t xml:space="preserve">definition </w:t>
      </w:r>
      <w:r>
        <w:rPr>
          <w:rFonts w:ascii="Calibri" w:hAnsi="Calibri"/>
          <w:lang w:val="en-GB"/>
        </w:rPr>
        <w:t xml:space="preserve">through </w:t>
      </w:r>
      <w:r w:rsidR="00052D4B" w:rsidRPr="00052D4B">
        <w:rPr>
          <w:rFonts w:ascii="Calibri" w:hAnsi="Calibri"/>
          <w:lang w:val="en-GB"/>
        </w:rPr>
        <w:t>tissue characterization</w:t>
      </w:r>
      <w:r w:rsidR="00BA3CC1">
        <w:rPr>
          <w:rFonts w:ascii="Calibri" w:hAnsi="Calibri"/>
          <w:lang w:val="en-GB"/>
        </w:rPr>
        <w:t>, allowing the identification of among others</w:t>
      </w:r>
      <w:r w:rsidR="00052D4B" w:rsidRPr="00052D4B">
        <w:rPr>
          <w:rFonts w:ascii="Calibri" w:hAnsi="Calibri"/>
          <w:lang w:val="en-GB"/>
        </w:rPr>
        <w:t xml:space="preserve"> oedema, fibrosis or infiltration.</w:t>
      </w:r>
      <w:r w:rsidR="00BA3CC1">
        <w:rPr>
          <w:rFonts w:ascii="Calibri" w:hAnsi="Calibri"/>
          <w:lang w:val="en-GB"/>
        </w:rPr>
        <w:t xml:space="preserve"> Yet, i</w:t>
      </w:r>
      <w:r>
        <w:rPr>
          <w:rFonts w:ascii="Calibri" w:hAnsi="Calibri"/>
          <w:lang w:val="en-GB"/>
        </w:rPr>
        <w:t xml:space="preserve">n this complex landscape full of rapidly developing diagnostic technologies, the ECG </w:t>
      </w:r>
      <w:r w:rsidR="00BA3CC1">
        <w:rPr>
          <w:rFonts w:ascii="Calibri" w:hAnsi="Calibri"/>
          <w:lang w:val="en-GB"/>
        </w:rPr>
        <w:t xml:space="preserve">retains </w:t>
      </w:r>
      <w:r>
        <w:rPr>
          <w:rFonts w:ascii="Calibri" w:hAnsi="Calibri"/>
          <w:lang w:val="en-GB"/>
        </w:rPr>
        <w:t>an extremely powerful role in the assessment of patients with DCM</w:t>
      </w:r>
      <w:r w:rsidR="00705ABF">
        <w:rPr>
          <w:rFonts w:ascii="Calibri" w:hAnsi="Calibri"/>
          <w:lang w:val="en-GB"/>
        </w:rPr>
        <w:t xml:space="preserve">, which can provide </w:t>
      </w:r>
      <w:r w:rsidR="00193788" w:rsidRPr="00ED0ECA">
        <w:rPr>
          <w:rFonts w:ascii="Calibri" w:hAnsi="Calibri"/>
          <w:lang w:val="en-GB"/>
        </w:rPr>
        <w:t>diagnostic red flags useful to orient the following phases of the diagnostic work-up</w:t>
      </w:r>
      <w:r w:rsidR="00705ABF">
        <w:rPr>
          <w:rFonts w:ascii="Calibri" w:hAnsi="Calibri"/>
          <w:lang w:val="en-GB"/>
        </w:rPr>
        <w:t>,</w:t>
      </w:r>
      <w:r w:rsidR="00193788" w:rsidRPr="00ED0ECA">
        <w:rPr>
          <w:rFonts w:ascii="Calibri" w:hAnsi="Calibri"/>
          <w:lang w:val="en-GB"/>
        </w:rPr>
        <w:t xml:space="preserve"> prognostic stratification criteria</w:t>
      </w:r>
      <w:r w:rsidR="001D6BE0">
        <w:rPr>
          <w:rFonts w:ascii="Calibri" w:hAnsi="Calibri"/>
          <w:lang w:val="en-GB"/>
        </w:rPr>
        <w:t xml:space="preserve"> and</w:t>
      </w:r>
      <w:r w:rsidR="00ED0ECA" w:rsidRPr="00ED0ECA">
        <w:rPr>
          <w:rFonts w:ascii="Calibri" w:hAnsi="Calibri"/>
          <w:lang w:val="en-GB"/>
        </w:rPr>
        <w:t xml:space="preserve"> </w:t>
      </w:r>
      <w:r w:rsidR="00193788" w:rsidRPr="00ED0ECA">
        <w:rPr>
          <w:rFonts w:ascii="Calibri" w:hAnsi="Calibri"/>
          <w:lang w:val="en-GB"/>
        </w:rPr>
        <w:t xml:space="preserve">information </w:t>
      </w:r>
      <w:r w:rsidR="00ED0ECA" w:rsidRPr="00ED0ECA">
        <w:rPr>
          <w:rFonts w:ascii="Calibri" w:hAnsi="Calibri"/>
          <w:lang w:val="en-GB"/>
        </w:rPr>
        <w:t xml:space="preserve">that can direct </w:t>
      </w:r>
      <w:r w:rsidR="00193788" w:rsidRPr="00ED0ECA">
        <w:rPr>
          <w:rFonts w:ascii="Calibri" w:hAnsi="Calibri"/>
          <w:lang w:val="en-GB"/>
        </w:rPr>
        <w:t>appropriate decision making</w:t>
      </w:r>
      <w:r w:rsidR="00ED0ECA" w:rsidRPr="00ED0ECA">
        <w:rPr>
          <w:rFonts w:ascii="Calibri" w:hAnsi="Calibri"/>
          <w:lang w:val="en-GB"/>
        </w:rPr>
        <w:t>.</w:t>
      </w:r>
      <w:r w:rsidR="00193788" w:rsidRPr="00193788">
        <w:rPr>
          <w:rFonts w:ascii="Calibri" w:hAnsi="Calibri"/>
          <w:color w:val="FF0000"/>
          <w:lang w:val="en-GB"/>
        </w:rPr>
        <w:t xml:space="preserve"> </w:t>
      </w:r>
    </w:p>
    <w:p w14:paraId="08CEE52E" w14:textId="000861D3" w:rsidR="003E4467" w:rsidRPr="001D6BE0" w:rsidRDefault="005F44DF" w:rsidP="00705ABF">
      <w:pPr>
        <w:spacing w:line="480" w:lineRule="auto"/>
        <w:ind w:firstLine="720"/>
        <w:rPr>
          <w:rFonts w:ascii="Calibri" w:hAnsi="Calibri"/>
          <w:b/>
          <w:lang w:val="en-GB"/>
        </w:rPr>
      </w:pPr>
      <w:bookmarkStart w:id="2" w:name="_Hlk29575229"/>
      <w:r w:rsidRPr="005F44DF">
        <w:rPr>
          <w:rFonts w:ascii="Calibri" w:hAnsi="Calibri"/>
          <w:lang w:val="en-GB"/>
        </w:rPr>
        <w:t xml:space="preserve">In this review, we will discuss </w:t>
      </w:r>
      <w:r>
        <w:rPr>
          <w:rFonts w:ascii="Calibri" w:hAnsi="Calibri"/>
          <w:lang w:val="en-GB"/>
        </w:rPr>
        <w:t xml:space="preserve">the several reasons why </w:t>
      </w:r>
      <w:r w:rsidRPr="005F44DF">
        <w:rPr>
          <w:rFonts w:ascii="Calibri" w:hAnsi="Calibri"/>
          <w:lang w:val="en-GB"/>
        </w:rPr>
        <w:t>the ECG</w:t>
      </w:r>
      <w:r>
        <w:rPr>
          <w:rFonts w:ascii="Calibri" w:hAnsi="Calibri"/>
          <w:lang w:val="en-GB"/>
        </w:rPr>
        <w:t xml:space="preserve"> </w:t>
      </w:r>
      <w:r w:rsidR="002F6C04">
        <w:rPr>
          <w:rFonts w:ascii="Calibri" w:hAnsi="Calibri"/>
          <w:lang w:val="en-GB"/>
        </w:rPr>
        <w:t xml:space="preserve">is still a paramount piece of the puzzle </w:t>
      </w:r>
      <w:r w:rsidRPr="005F44DF">
        <w:rPr>
          <w:rFonts w:ascii="Calibri" w:hAnsi="Calibri"/>
          <w:lang w:val="en-GB"/>
        </w:rPr>
        <w:t>in diagnosis, risk stratification and management</w:t>
      </w:r>
      <w:r w:rsidR="000556A9">
        <w:rPr>
          <w:rFonts w:ascii="Calibri" w:hAnsi="Calibri"/>
          <w:lang w:val="en-GB"/>
        </w:rPr>
        <w:t xml:space="preserve"> of DCM</w:t>
      </w:r>
      <w:r w:rsidR="00667CAB">
        <w:rPr>
          <w:rFonts w:ascii="Calibri" w:hAnsi="Calibri"/>
          <w:lang w:val="en-GB"/>
        </w:rPr>
        <w:t>.</w:t>
      </w:r>
      <w:bookmarkEnd w:id="2"/>
      <w:r w:rsidR="00AA4805">
        <w:rPr>
          <w:rFonts w:ascii="Calibri" w:hAnsi="Calibri"/>
          <w:lang w:val="en-GB"/>
        </w:rPr>
        <w:t xml:space="preserve"> Following an </w:t>
      </w:r>
      <w:r w:rsidR="00AA4805">
        <w:rPr>
          <w:rFonts w:ascii="Calibri" w:hAnsi="Calibri"/>
          <w:lang w:val="en-GB"/>
        </w:rPr>
        <w:lastRenderedPageBreak/>
        <w:t xml:space="preserve">overview of abnormalities involving each segment of the ECG, individual diseases characterized by specific patterns are discussed in detail. </w:t>
      </w:r>
    </w:p>
    <w:p w14:paraId="5FE593B5" w14:textId="77777777" w:rsidR="001D6BE0" w:rsidRDefault="001D6BE0" w:rsidP="001D6BE0">
      <w:pPr>
        <w:spacing w:line="480" w:lineRule="auto"/>
        <w:rPr>
          <w:rFonts w:ascii="Calibri" w:hAnsi="Calibri"/>
          <w:b/>
          <w:lang w:val="en-GB"/>
        </w:rPr>
      </w:pPr>
      <w:bookmarkStart w:id="3" w:name="_Hlk29381004"/>
    </w:p>
    <w:p w14:paraId="4E8FF5A4" w14:textId="4B3F8BDE" w:rsidR="00FC5D02" w:rsidRDefault="00FC5D02" w:rsidP="001D6BE0">
      <w:pPr>
        <w:spacing w:line="480" w:lineRule="auto"/>
        <w:rPr>
          <w:rFonts w:ascii="Calibri" w:hAnsi="Calibri"/>
          <w:b/>
          <w:lang w:val="en-GB"/>
        </w:rPr>
      </w:pPr>
      <w:r w:rsidRPr="001D6BE0">
        <w:rPr>
          <w:rFonts w:ascii="Calibri" w:hAnsi="Calibri"/>
          <w:b/>
          <w:lang w:val="en-GB"/>
        </w:rPr>
        <w:t>METHODS</w:t>
      </w:r>
    </w:p>
    <w:p w14:paraId="5272187D" w14:textId="27490671" w:rsidR="00FC5D02" w:rsidRPr="00FB6D99" w:rsidRDefault="00FC5D02" w:rsidP="001D6BE0">
      <w:pPr>
        <w:spacing w:line="480" w:lineRule="auto"/>
        <w:rPr>
          <w:rFonts w:ascii="Calibri" w:hAnsi="Calibri"/>
          <w:lang w:val="en-GB"/>
        </w:rPr>
      </w:pPr>
      <w:r w:rsidRPr="001D6BE0">
        <w:rPr>
          <w:rFonts w:ascii="Calibri" w:hAnsi="Calibri"/>
          <w:lang w:val="en-GB"/>
        </w:rPr>
        <w:t>The authors</w:t>
      </w:r>
      <w:r>
        <w:rPr>
          <w:rFonts w:ascii="Calibri" w:hAnsi="Calibri"/>
          <w:lang w:val="en-GB"/>
        </w:rPr>
        <w:t xml:space="preserve"> approached the topic formulating the research question: what is the role of ECG in diagnosis and management of DCM? Therefore a systematic search through</w:t>
      </w:r>
      <w:r w:rsidR="00AA6345">
        <w:rPr>
          <w:rFonts w:ascii="Calibri" w:hAnsi="Calibri"/>
          <w:lang w:val="en-GB"/>
        </w:rPr>
        <w:t xml:space="preserve"> the</w:t>
      </w:r>
      <w:r>
        <w:rPr>
          <w:rFonts w:ascii="Calibri" w:hAnsi="Calibri"/>
          <w:lang w:val="en-GB"/>
        </w:rPr>
        <w:t xml:space="preserve"> web-based</w:t>
      </w:r>
      <w:r w:rsidRPr="00FC5D02">
        <w:rPr>
          <w:rFonts w:ascii="Calibri" w:hAnsi="Calibri"/>
          <w:lang w:val="en-GB"/>
        </w:rPr>
        <w:t xml:space="preserve"> engine</w:t>
      </w:r>
      <w:r>
        <w:rPr>
          <w:rFonts w:ascii="Calibri" w:hAnsi="Calibri"/>
          <w:lang w:val="en-GB"/>
        </w:rPr>
        <w:t xml:space="preserve"> </w:t>
      </w:r>
      <w:proofErr w:type="spellStart"/>
      <w:r>
        <w:rPr>
          <w:rFonts w:ascii="Calibri" w:hAnsi="Calibri"/>
          <w:lang w:val="en-GB"/>
        </w:rPr>
        <w:t>Pubmed</w:t>
      </w:r>
      <w:proofErr w:type="spellEnd"/>
      <w:r w:rsidR="00AA6345">
        <w:rPr>
          <w:rFonts w:ascii="Calibri" w:hAnsi="Calibri"/>
          <w:lang w:val="en-GB"/>
        </w:rPr>
        <w:t xml:space="preserve"> was conducted in order to</w:t>
      </w:r>
      <w:r>
        <w:rPr>
          <w:rFonts w:ascii="Calibri" w:hAnsi="Calibri"/>
          <w:lang w:val="en-GB"/>
        </w:rPr>
        <w:t xml:space="preserve"> </w:t>
      </w:r>
      <w:r w:rsidR="00FB6D99" w:rsidRPr="00FB6D99">
        <w:rPr>
          <w:rFonts w:ascii="Calibri" w:hAnsi="Calibri"/>
          <w:lang w:val="en-GB"/>
        </w:rPr>
        <w:t xml:space="preserve">identify all studies </w:t>
      </w:r>
      <w:r w:rsidR="00FB6D99">
        <w:rPr>
          <w:rFonts w:ascii="Calibri" w:hAnsi="Calibri"/>
          <w:lang w:val="en-GB"/>
        </w:rPr>
        <w:t>meeting</w:t>
      </w:r>
      <w:r w:rsidR="00FB6D99" w:rsidRPr="00FB6D99">
        <w:rPr>
          <w:rFonts w:ascii="Calibri" w:hAnsi="Calibri"/>
          <w:lang w:val="en-GB"/>
        </w:rPr>
        <w:t xml:space="preserve"> the eligibility criteria</w:t>
      </w:r>
      <w:r w:rsidR="00FB6D99">
        <w:rPr>
          <w:rFonts w:ascii="Calibri" w:hAnsi="Calibri"/>
          <w:lang w:val="en-GB"/>
        </w:rPr>
        <w:t>. Most relevant studies answering the main research question were selected. Finally, results were presented systematically taking in account the complexity of the disease and the various aetiologic backgrounds.</w:t>
      </w:r>
      <w:r w:rsidR="00C87789">
        <w:rPr>
          <w:rFonts w:ascii="Calibri" w:hAnsi="Calibri"/>
          <w:lang w:val="en-GB"/>
        </w:rPr>
        <w:t xml:space="preserve"> </w:t>
      </w:r>
    </w:p>
    <w:bookmarkEnd w:id="3"/>
    <w:p w14:paraId="55DAC401" w14:textId="77777777" w:rsidR="008C16DE" w:rsidRDefault="008C16DE" w:rsidP="0041574E">
      <w:pPr>
        <w:spacing w:line="480" w:lineRule="auto"/>
        <w:rPr>
          <w:rFonts w:ascii="Calibri" w:hAnsi="Calibri" w:cs="Calibri"/>
          <w:b/>
          <w:lang w:val="en-GB"/>
        </w:rPr>
      </w:pPr>
    </w:p>
    <w:p w14:paraId="2FAF86CD" w14:textId="035458AE" w:rsidR="00E61EFD" w:rsidRDefault="00667CAB" w:rsidP="0041574E">
      <w:pPr>
        <w:spacing w:line="480" w:lineRule="auto"/>
        <w:rPr>
          <w:rFonts w:ascii="Calibri" w:hAnsi="Calibri" w:cs="Calibri"/>
          <w:b/>
          <w:lang w:val="en-GB"/>
        </w:rPr>
      </w:pPr>
      <w:r>
        <w:rPr>
          <w:rFonts w:ascii="Calibri" w:hAnsi="Calibri" w:cs="Calibri"/>
          <w:b/>
          <w:lang w:val="en-GB"/>
        </w:rPr>
        <w:t>Systematic approach in</w:t>
      </w:r>
      <w:r w:rsidR="00E61EFD" w:rsidRPr="0041574E">
        <w:rPr>
          <w:rFonts w:ascii="Calibri" w:hAnsi="Calibri" w:cs="Calibri"/>
          <w:b/>
          <w:lang w:val="en-GB"/>
        </w:rPr>
        <w:t xml:space="preserve"> ECG interpretation </w:t>
      </w:r>
    </w:p>
    <w:p w14:paraId="65531970" w14:textId="05607700" w:rsidR="00667CAB" w:rsidRDefault="00667CAB" w:rsidP="00780061">
      <w:pPr>
        <w:spacing w:line="480" w:lineRule="auto"/>
        <w:ind w:firstLine="720"/>
        <w:rPr>
          <w:rFonts w:ascii="Calibri" w:hAnsi="Calibri" w:cs="Calibri"/>
          <w:b/>
          <w:lang w:val="en-GB"/>
        </w:rPr>
      </w:pPr>
      <w:bookmarkStart w:id="4" w:name="_Hlk29925382"/>
      <w:r w:rsidRPr="0041574E">
        <w:rPr>
          <w:rFonts w:ascii="Calibri" w:hAnsi="Calibri" w:cs="Calibri"/>
          <w:bCs/>
          <w:lang w:val="en-GB"/>
        </w:rPr>
        <w:t xml:space="preserve">Electrocardiographic abnormalities characterize the majority of </w:t>
      </w:r>
      <w:r w:rsidR="00F82EBB">
        <w:rPr>
          <w:rFonts w:ascii="Calibri" w:hAnsi="Calibri" w:cs="Calibri"/>
          <w:bCs/>
          <w:lang w:val="en-GB"/>
        </w:rPr>
        <w:t xml:space="preserve">patients with </w:t>
      </w:r>
      <w:r w:rsidRPr="0041574E">
        <w:rPr>
          <w:rFonts w:ascii="Calibri" w:hAnsi="Calibri" w:cs="Calibri"/>
          <w:bCs/>
          <w:lang w:val="en-GB"/>
        </w:rPr>
        <w:t xml:space="preserve">DCM, with </w:t>
      </w:r>
      <w:r w:rsidR="005B61BF">
        <w:rPr>
          <w:rFonts w:ascii="Calibri" w:hAnsi="Calibri" w:cs="Calibri"/>
          <w:bCs/>
          <w:lang w:val="en-GB"/>
        </w:rPr>
        <w:t>abnormal</w:t>
      </w:r>
      <w:r w:rsidRPr="0041574E">
        <w:rPr>
          <w:rFonts w:ascii="Calibri" w:hAnsi="Calibri" w:cs="Calibri"/>
          <w:bCs/>
          <w:lang w:val="en-GB"/>
        </w:rPr>
        <w:t xml:space="preserve"> ECG features</w:t>
      </w:r>
      <w:r w:rsidR="005B61BF">
        <w:rPr>
          <w:rFonts w:ascii="Calibri" w:hAnsi="Calibri" w:cs="Calibri"/>
          <w:bCs/>
          <w:lang w:val="en-GB"/>
        </w:rPr>
        <w:t xml:space="preserve"> reported in more than 80% of the cases</w:t>
      </w:r>
      <w:r w:rsidR="00983295">
        <w:rPr>
          <w:rFonts w:ascii="Calibri" w:hAnsi="Calibri" w:cs="Calibri"/>
          <w:bCs/>
          <w:lang w:val="en-GB"/>
        </w:rPr>
        <w:t xml:space="preserve"> (</w:t>
      </w:r>
      <w:r w:rsidR="00983295" w:rsidRPr="0041574E">
        <w:rPr>
          <w:rFonts w:ascii="Calibri" w:hAnsi="Calibri" w:cs="Calibri"/>
          <w:bCs/>
          <w:lang w:val="en-GB"/>
        </w:rPr>
        <w:t>(</w:t>
      </w:r>
      <w:r w:rsidR="00983295" w:rsidRPr="0041574E">
        <w:rPr>
          <w:rFonts w:ascii="Calibri" w:hAnsi="Calibri" w:cs="Calibri"/>
          <w:b/>
          <w:bCs/>
          <w:lang w:val="en-GB"/>
        </w:rPr>
        <w:t xml:space="preserve">Table </w:t>
      </w:r>
      <w:r w:rsidR="00983295">
        <w:rPr>
          <w:rFonts w:ascii="Calibri" w:hAnsi="Calibri" w:cs="Calibri"/>
          <w:b/>
          <w:bCs/>
          <w:lang w:val="en-GB"/>
        </w:rPr>
        <w:t>1</w:t>
      </w:r>
      <w:bookmarkEnd w:id="4"/>
      <w:r w:rsidR="00983295" w:rsidRPr="0041574E">
        <w:rPr>
          <w:rFonts w:ascii="Calibri" w:hAnsi="Calibri" w:cs="Calibri"/>
          <w:bCs/>
          <w:lang w:val="en-GB"/>
        </w:rPr>
        <w:t>)</w:t>
      </w:r>
      <w:r w:rsidRPr="0041574E">
        <w:rPr>
          <w:rFonts w:ascii="Calibri" w:hAnsi="Calibri" w:cs="Calibri"/>
          <w:bCs/>
          <w:lang w:val="en-GB"/>
        </w:rPr>
        <w:fldChar w:fldCharType="begin" w:fldLock="1"/>
      </w:r>
      <w:r w:rsidR="00AD7224">
        <w:rPr>
          <w:rFonts w:ascii="Calibri" w:hAnsi="Calibri" w:cs="Calibri"/>
          <w:bCs/>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ad6368ce-867a-4c1f-b85c-73a6e61567ab","http://www.mendeley.com/documents/?uuid=5b48a96d-6f5b-490f-b672-42cab0d4d9c8"]},{"id":"ITEM-2","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Cardiology","id":"ITEM-2","issued":{"date-parts":[["1988"]]},"title":"Serial electrocardiographic changes in idiopathic dilated cardiomyopathy confirmed at necropsy","type":"article-journal"},"uris":["http://www.mendeley.com/documents/?uuid=2943f0c7-a176-4e75-9560-424edc20bd65","http://www.mendeley.com/documents/?uuid=8e8641bf-d716-45f2-a7a1-af7eceec75f4"]}],"mendeley":{"formattedCitation":"&lt;sup&gt;2,3&lt;/sup&gt;","plainTextFormattedCitation":"2,3","previouslyFormattedCitation":"&lt;sup&gt;2,3&lt;/sup&gt;"},"properties":{"noteIndex":0},"schema":"https://github.com/citation-style-language/schema/raw/master/csl-citation.json"}</w:instrText>
      </w:r>
      <w:r w:rsidRPr="0041574E">
        <w:rPr>
          <w:rFonts w:ascii="Calibri" w:hAnsi="Calibri" w:cs="Calibri"/>
          <w:bCs/>
          <w:lang w:val="en-GB"/>
        </w:rPr>
        <w:fldChar w:fldCharType="separate"/>
      </w:r>
      <w:r w:rsidR="008147B7" w:rsidRPr="008147B7">
        <w:rPr>
          <w:rFonts w:ascii="Calibri" w:hAnsi="Calibri" w:cs="Calibri"/>
          <w:bCs/>
          <w:noProof/>
          <w:vertAlign w:val="superscript"/>
          <w:lang w:val="en-GB"/>
        </w:rPr>
        <w:t>2,3</w:t>
      </w:r>
      <w:r w:rsidRPr="0041574E">
        <w:rPr>
          <w:rFonts w:ascii="Calibri" w:hAnsi="Calibri" w:cs="Calibri"/>
          <w:bCs/>
          <w:lang w:val="en-GB"/>
        </w:rPr>
        <w:fldChar w:fldCharType="end"/>
      </w:r>
      <w:r w:rsidRPr="0041574E">
        <w:rPr>
          <w:rFonts w:ascii="Calibri" w:hAnsi="Calibri" w:cs="Calibri"/>
          <w:bCs/>
          <w:lang w:val="en-GB"/>
        </w:rPr>
        <w:t xml:space="preserve">. </w:t>
      </w:r>
      <w:bookmarkStart w:id="5" w:name="_Hlk29152233"/>
      <w:bookmarkStart w:id="6" w:name="_Hlk29308355"/>
      <w:r w:rsidR="00F94C6D">
        <w:rPr>
          <w:rFonts w:ascii="Calibri" w:hAnsi="Calibri" w:cs="Calibri"/>
          <w:bCs/>
          <w:lang w:val="en-GB"/>
        </w:rPr>
        <w:t>Despite the traditional opinion that</w:t>
      </w:r>
      <w:r w:rsidR="00256D8F">
        <w:rPr>
          <w:rFonts w:ascii="Calibri" w:hAnsi="Calibri" w:cs="Calibri"/>
          <w:bCs/>
          <w:lang w:val="en-GB"/>
        </w:rPr>
        <w:t xml:space="preserve"> </w:t>
      </w:r>
      <w:r w:rsidR="00256D8F" w:rsidRPr="0041574E">
        <w:rPr>
          <w:rFonts w:ascii="Calibri" w:hAnsi="Calibri" w:cs="Calibri"/>
          <w:bCs/>
          <w:lang w:val="en-GB"/>
        </w:rPr>
        <w:t xml:space="preserve">ECG </w:t>
      </w:r>
      <w:r w:rsidR="00256D8F">
        <w:rPr>
          <w:rFonts w:ascii="Calibri" w:hAnsi="Calibri" w:cs="Calibri"/>
          <w:bCs/>
          <w:lang w:val="en-GB"/>
        </w:rPr>
        <w:t>abnormalities</w:t>
      </w:r>
      <w:r w:rsidR="00256D8F" w:rsidRPr="0041574E">
        <w:rPr>
          <w:rFonts w:ascii="Calibri" w:hAnsi="Calibri" w:cs="Calibri"/>
          <w:bCs/>
          <w:lang w:val="en-GB"/>
        </w:rPr>
        <w:t xml:space="preserve"> in DCM are </w:t>
      </w:r>
      <w:r w:rsidR="00256D8F">
        <w:rPr>
          <w:rFonts w:ascii="Calibri" w:hAnsi="Calibri" w:cs="Calibri"/>
          <w:bCs/>
          <w:lang w:val="en-GB"/>
        </w:rPr>
        <w:t>non-specific,</w:t>
      </w:r>
      <w:r w:rsidR="00F94C6D">
        <w:rPr>
          <w:rFonts w:ascii="Calibri" w:hAnsi="Calibri" w:cs="Calibri"/>
          <w:bCs/>
          <w:lang w:val="en-GB"/>
        </w:rPr>
        <w:t xml:space="preserve"> </w:t>
      </w:r>
      <w:r w:rsidR="00256D8F">
        <w:rPr>
          <w:rFonts w:ascii="Calibri" w:hAnsi="Calibri" w:cs="Calibri"/>
          <w:bCs/>
          <w:lang w:val="en-GB"/>
        </w:rPr>
        <w:t>i</w:t>
      </w:r>
      <w:r w:rsidR="00256D8F" w:rsidRPr="0041574E">
        <w:rPr>
          <w:rFonts w:ascii="Calibri" w:hAnsi="Calibri" w:cs="Calibri"/>
          <w:bCs/>
          <w:lang w:val="en-GB"/>
        </w:rPr>
        <w:t xml:space="preserve">n </w:t>
      </w:r>
      <w:r w:rsidRPr="0041574E">
        <w:rPr>
          <w:rFonts w:ascii="Calibri" w:hAnsi="Calibri" w:cs="Calibri"/>
          <w:bCs/>
          <w:lang w:val="en-GB"/>
        </w:rPr>
        <w:t>contrast with other cardiomyopathies, such as hypertrophic cardiomyopathy (HCM) or arrhythmogenic right ventricular cardiomyopathy (ARVC),</w:t>
      </w:r>
      <w:bookmarkEnd w:id="5"/>
      <w:r w:rsidR="00A20314">
        <w:rPr>
          <w:rFonts w:ascii="Calibri" w:hAnsi="Calibri" w:cs="Calibri"/>
          <w:bCs/>
          <w:lang w:val="en-GB"/>
        </w:rPr>
        <w:t xml:space="preserve"> recent advances in the understanding of genotype-phenotype correlations provide the opportunity to recognize specific ECG patterns that are typical of certain genetic or acquired </w:t>
      </w:r>
      <w:r w:rsidR="00460B87">
        <w:rPr>
          <w:rFonts w:ascii="Calibri" w:hAnsi="Calibri" w:cs="Calibri"/>
          <w:bCs/>
          <w:lang w:val="en-GB"/>
        </w:rPr>
        <w:t>forms</w:t>
      </w:r>
      <w:bookmarkEnd w:id="6"/>
      <w:r w:rsidRPr="0041574E">
        <w:rPr>
          <w:rFonts w:ascii="Calibri" w:hAnsi="Calibri" w:cs="Calibri"/>
          <w:bCs/>
          <w:lang w:val="en-GB"/>
        </w:rPr>
        <w:fldChar w:fldCharType="begin" w:fldLock="1"/>
      </w:r>
      <w:r w:rsidR="00AD7224">
        <w:rPr>
          <w:rFonts w:ascii="Calibri" w:hAnsi="Calibri" w:cs="Calibri"/>
          <w:bCs/>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http://www.mendeley.com/documents/?uuid=ad6368ce-867a-4c1f-b85c-73a6e61567ab"]}],"mendeley":{"formattedCitation":"&lt;sup&gt;2&lt;/sup&gt;","plainTextFormattedCitation":"2","previouslyFormattedCitation":"&lt;sup&gt;2&lt;/sup&gt;"},"properties":{"noteIndex":0},"schema":"https://github.com/citation-style-language/schema/raw/master/csl-citation.json"}</w:instrText>
      </w:r>
      <w:r w:rsidRPr="0041574E">
        <w:rPr>
          <w:rFonts w:ascii="Calibri" w:hAnsi="Calibri" w:cs="Calibri"/>
          <w:bCs/>
          <w:lang w:val="en-GB"/>
        </w:rPr>
        <w:fldChar w:fldCharType="separate"/>
      </w:r>
      <w:r w:rsidR="008147B7" w:rsidRPr="008147B7">
        <w:rPr>
          <w:rFonts w:ascii="Calibri" w:hAnsi="Calibri" w:cs="Calibri"/>
          <w:bCs/>
          <w:noProof/>
          <w:vertAlign w:val="superscript"/>
          <w:lang w:val="en-GB"/>
        </w:rPr>
        <w:t>2</w:t>
      </w:r>
      <w:r w:rsidRPr="0041574E">
        <w:rPr>
          <w:rFonts w:ascii="Calibri" w:hAnsi="Calibri" w:cs="Calibri"/>
          <w:bCs/>
          <w:lang w:val="en-GB"/>
        </w:rPr>
        <w:fldChar w:fldCharType="end"/>
      </w:r>
      <w:r w:rsidRPr="0041574E">
        <w:rPr>
          <w:rFonts w:ascii="Calibri" w:hAnsi="Calibri" w:cs="Calibri"/>
          <w:bCs/>
          <w:lang w:val="en-GB"/>
        </w:rPr>
        <w:t>.</w:t>
      </w:r>
      <w:r w:rsidR="00727B73">
        <w:rPr>
          <w:rFonts w:ascii="Calibri" w:hAnsi="Calibri" w:cs="Calibri"/>
          <w:bCs/>
          <w:lang w:val="en-GB"/>
        </w:rPr>
        <w:t xml:space="preserve"> </w:t>
      </w:r>
      <w:bookmarkStart w:id="7" w:name="_Hlk29925433"/>
      <w:r w:rsidR="00727B73">
        <w:rPr>
          <w:rFonts w:ascii="Calibri" w:hAnsi="Calibri" w:cs="Calibri"/>
          <w:bCs/>
          <w:lang w:val="en-GB"/>
        </w:rPr>
        <w:t xml:space="preserve">As the ECG is rarely normal in DCM, ECG abnormalities should trigger the initiation of a diagnostic work-up. However, </w:t>
      </w:r>
      <w:bookmarkEnd w:id="7"/>
      <w:r w:rsidR="00727B73">
        <w:rPr>
          <w:rFonts w:ascii="Calibri" w:hAnsi="Calibri" w:cs="Calibri"/>
          <w:bCs/>
          <w:lang w:val="en-GB"/>
        </w:rPr>
        <w:t>w</w:t>
      </w:r>
      <w:r>
        <w:rPr>
          <w:rFonts w:ascii="Calibri" w:hAnsi="Calibri" w:cs="Calibri"/>
          <w:bCs/>
          <w:lang w:val="en-GB"/>
        </w:rPr>
        <w:t>hen interpreting the ECG of patients with cardiomyopathies</w:t>
      </w:r>
      <w:r w:rsidR="00A3576E">
        <w:rPr>
          <w:rFonts w:ascii="Calibri" w:hAnsi="Calibri" w:cs="Calibri"/>
          <w:bCs/>
          <w:lang w:val="en-GB"/>
        </w:rPr>
        <w:t>, the approach</w:t>
      </w:r>
      <w:r>
        <w:rPr>
          <w:rFonts w:ascii="Calibri" w:hAnsi="Calibri" w:cs="Calibri"/>
          <w:bCs/>
          <w:lang w:val="en-GB"/>
        </w:rPr>
        <w:t xml:space="preserve"> should be “</w:t>
      </w:r>
      <w:r w:rsidRPr="00667CAB">
        <w:rPr>
          <w:rFonts w:ascii="Calibri" w:hAnsi="Calibri" w:cs="Calibri"/>
          <w:bCs/>
          <w:lang w:val="en-GB"/>
        </w:rPr>
        <w:t>cardiomyopathy-oriented</w:t>
      </w:r>
      <w:r>
        <w:rPr>
          <w:rFonts w:ascii="Calibri" w:hAnsi="Calibri" w:cs="Calibri"/>
          <w:bCs/>
          <w:lang w:val="en-GB"/>
        </w:rPr>
        <w:t>”</w:t>
      </w:r>
      <w:r w:rsidR="009F16B0">
        <w:rPr>
          <w:rFonts w:ascii="Calibri" w:hAnsi="Calibri" w:cs="Calibri"/>
          <w:bCs/>
          <w:lang w:val="en-GB"/>
        </w:rPr>
        <w:t>, i.e.</w:t>
      </w:r>
      <w:r w:rsidR="00A3576E">
        <w:rPr>
          <w:rFonts w:ascii="Calibri" w:hAnsi="Calibri" w:cs="Calibri"/>
          <w:bCs/>
          <w:lang w:val="en-GB"/>
        </w:rPr>
        <w:t xml:space="preserve"> abandoning classical concepts derived from the world of ischemic and hypertensive heart disease</w:t>
      </w:r>
      <w:r w:rsidR="002E559E">
        <w:rPr>
          <w:rFonts w:ascii="Calibri" w:hAnsi="Calibri" w:cs="Calibri"/>
          <w:bCs/>
          <w:lang w:val="en-GB"/>
        </w:rPr>
        <w:t>,</w:t>
      </w:r>
      <w:r w:rsidR="00A3576E">
        <w:rPr>
          <w:rFonts w:ascii="Calibri" w:hAnsi="Calibri" w:cs="Calibri"/>
          <w:bCs/>
          <w:lang w:val="en-GB"/>
        </w:rPr>
        <w:t xml:space="preserve"> and focus on specific </w:t>
      </w:r>
      <w:r w:rsidR="00AA22D7">
        <w:rPr>
          <w:rFonts w:ascii="Calibri" w:hAnsi="Calibri" w:cs="Calibri"/>
          <w:bCs/>
          <w:lang w:val="en-GB"/>
        </w:rPr>
        <w:t>“</w:t>
      </w:r>
      <w:r w:rsidR="00A3576E">
        <w:rPr>
          <w:rFonts w:ascii="Calibri" w:hAnsi="Calibri" w:cs="Calibri"/>
          <w:bCs/>
          <w:lang w:val="en-GB"/>
        </w:rPr>
        <w:t>red flags</w:t>
      </w:r>
      <w:r w:rsidR="00AA22D7">
        <w:rPr>
          <w:rFonts w:ascii="Calibri" w:hAnsi="Calibri" w:cs="Calibri"/>
          <w:bCs/>
          <w:lang w:val="en-GB"/>
        </w:rPr>
        <w:t>”</w:t>
      </w:r>
      <w:r w:rsidR="002430C7">
        <w:rPr>
          <w:rFonts w:ascii="Calibri" w:hAnsi="Calibri" w:cs="Calibri"/>
          <w:bCs/>
          <w:lang w:val="en-GB"/>
        </w:rPr>
        <w:t xml:space="preserve"> (</w:t>
      </w:r>
      <w:r w:rsidR="002430C7" w:rsidRPr="001D6BE0">
        <w:rPr>
          <w:rFonts w:ascii="Calibri" w:hAnsi="Calibri" w:cs="Calibri"/>
          <w:b/>
          <w:bCs/>
          <w:lang w:val="en-GB"/>
        </w:rPr>
        <w:t>Table 2</w:t>
      </w:r>
      <w:r w:rsidR="002430C7">
        <w:rPr>
          <w:rFonts w:ascii="Calibri" w:hAnsi="Calibri" w:cs="Calibri"/>
          <w:bCs/>
          <w:lang w:val="en-GB"/>
        </w:rPr>
        <w:t>)</w:t>
      </w:r>
      <w:r w:rsidR="00A3576E">
        <w:rPr>
          <w:rFonts w:ascii="Calibri" w:hAnsi="Calibri" w:cs="Calibri"/>
          <w:bCs/>
          <w:lang w:val="en-GB"/>
        </w:rPr>
        <w:t xml:space="preserve"> </w:t>
      </w:r>
      <w:r w:rsidR="005B61BF">
        <w:rPr>
          <w:rFonts w:ascii="Calibri" w:hAnsi="Calibri" w:cs="Calibri"/>
          <w:bCs/>
          <w:lang w:val="en-GB"/>
        </w:rPr>
        <w:t>that should</w:t>
      </w:r>
      <w:r w:rsidR="00A3576E">
        <w:rPr>
          <w:rFonts w:ascii="Calibri" w:hAnsi="Calibri" w:cs="Calibri"/>
          <w:bCs/>
          <w:lang w:val="en-GB"/>
        </w:rPr>
        <w:t xml:space="preserve"> be carefully integrated in </w:t>
      </w:r>
      <w:r w:rsidR="002E559E">
        <w:rPr>
          <w:rFonts w:ascii="Calibri" w:hAnsi="Calibri" w:cs="Calibri"/>
          <w:bCs/>
          <w:lang w:val="en-GB"/>
        </w:rPr>
        <w:t xml:space="preserve">the broader </w:t>
      </w:r>
      <w:r w:rsidR="00A3576E">
        <w:rPr>
          <w:rFonts w:ascii="Calibri" w:hAnsi="Calibri" w:cs="Calibri"/>
          <w:bCs/>
          <w:lang w:val="en-GB"/>
        </w:rPr>
        <w:t>clinical and familial context.</w:t>
      </w:r>
      <w:r>
        <w:rPr>
          <w:rFonts w:ascii="Calibri" w:hAnsi="Calibri" w:cs="Calibri"/>
          <w:bCs/>
          <w:lang w:val="en-GB"/>
        </w:rPr>
        <w:t xml:space="preserve"> </w:t>
      </w:r>
    </w:p>
    <w:p w14:paraId="7BD33332" w14:textId="119D67FE" w:rsidR="00E61EFD" w:rsidRDefault="005B5C25" w:rsidP="00667CAB">
      <w:pPr>
        <w:spacing w:after="160" w:line="480" w:lineRule="auto"/>
        <w:rPr>
          <w:rFonts w:ascii="Calibri" w:hAnsi="Calibri" w:cs="Calibri"/>
          <w:u w:val="single"/>
          <w:lang w:val="en-GB"/>
        </w:rPr>
      </w:pPr>
      <w:r>
        <w:rPr>
          <w:rFonts w:ascii="Calibri" w:hAnsi="Calibri" w:cs="Calibri"/>
          <w:u w:val="single"/>
          <w:lang w:val="en-GB"/>
        </w:rPr>
        <w:lastRenderedPageBreak/>
        <w:t>P wave</w:t>
      </w:r>
    </w:p>
    <w:p w14:paraId="71BFF7CE" w14:textId="5EAB4646" w:rsidR="00A3576E" w:rsidRPr="00A3576E" w:rsidRDefault="00A3576E" w:rsidP="004D197D">
      <w:pPr>
        <w:spacing w:after="160" w:line="480" w:lineRule="auto"/>
        <w:ind w:firstLine="720"/>
        <w:rPr>
          <w:rFonts w:ascii="Calibri" w:hAnsi="Calibri" w:cs="Calibri"/>
          <w:u w:val="single"/>
          <w:lang w:val="en-GB"/>
        </w:rPr>
      </w:pPr>
      <w:r>
        <w:rPr>
          <w:rFonts w:ascii="Calibri" w:hAnsi="Calibri" w:cs="Calibri"/>
          <w:bCs/>
          <w:lang w:val="en-GB"/>
        </w:rPr>
        <w:t xml:space="preserve">Atria </w:t>
      </w:r>
      <w:r w:rsidR="00F544AB">
        <w:rPr>
          <w:rFonts w:ascii="Calibri" w:hAnsi="Calibri" w:cs="Calibri"/>
          <w:bCs/>
          <w:lang w:val="en-GB"/>
        </w:rPr>
        <w:t xml:space="preserve">are often </w:t>
      </w:r>
      <w:r>
        <w:rPr>
          <w:rFonts w:ascii="Calibri" w:hAnsi="Calibri" w:cs="Calibri"/>
          <w:bCs/>
          <w:lang w:val="en-GB"/>
        </w:rPr>
        <w:t>dilated in DCM</w:t>
      </w:r>
      <w:r w:rsidR="00F544AB">
        <w:rPr>
          <w:rFonts w:ascii="Calibri" w:hAnsi="Calibri" w:cs="Calibri"/>
          <w:bCs/>
          <w:lang w:val="en-GB"/>
        </w:rPr>
        <w:t xml:space="preserve">, </w:t>
      </w:r>
      <w:r>
        <w:rPr>
          <w:rFonts w:ascii="Calibri" w:hAnsi="Calibri" w:cs="Calibri"/>
          <w:bCs/>
          <w:lang w:val="en-GB"/>
        </w:rPr>
        <w:t>reflect</w:t>
      </w:r>
      <w:r w:rsidR="00F544AB">
        <w:rPr>
          <w:rFonts w:ascii="Calibri" w:hAnsi="Calibri" w:cs="Calibri"/>
          <w:bCs/>
          <w:lang w:val="en-GB"/>
        </w:rPr>
        <w:t>ing</w:t>
      </w:r>
      <w:r>
        <w:rPr>
          <w:rFonts w:ascii="Calibri" w:hAnsi="Calibri" w:cs="Calibri"/>
          <w:bCs/>
          <w:lang w:val="en-GB"/>
        </w:rPr>
        <w:t xml:space="preserve"> raised filling pressures and/or associated valvular abnormalities.</w:t>
      </w:r>
      <w:r w:rsidR="005B5C25">
        <w:rPr>
          <w:rFonts w:ascii="Calibri" w:hAnsi="Calibri" w:cs="Calibri"/>
          <w:bCs/>
          <w:lang w:val="en-GB"/>
        </w:rPr>
        <w:t xml:space="preserve"> This may be reflected on the ECG with P wave changes suggestive of left and/or atrial enlargement</w:t>
      </w:r>
      <w:r w:rsidR="005B5C25">
        <w:rPr>
          <w:rFonts w:ascii="Calibri" w:hAnsi="Calibri" w:cs="Calibri"/>
          <w:bCs/>
          <w:lang w:val="en-GB"/>
        </w:rPr>
        <w:fldChar w:fldCharType="begin" w:fldLock="1"/>
      </w:r>
      <w:r w:rsidR="00983295">
        <w:rPr>
          <w:rFonts w:ascii="Calibri" w:hAnsi="Calibri" w:cs="Calibri"/>
          <w:bCs/>
          <w:lang w:val="en-GB"/>
        </w:rPr>
        <w:instrText>ADDIN CSL_CITATION {"citationItems":[{"id":"ITEM-1","itemData":{"DOI":"10.1093/eurheartj/ehw631","ISSN":"1522-9645","PMID":"28329355","abstract":"Sudden cardiac death (SCD) is the leading cause of mortality in athletes during sport. A variety of mostly hereditary, structural, or electrical cardiac disorders are associated with SCD in young athletes, the majority of which can be identified or suggested by abnormalities on a resting 12-lead electrocardiogram (ECG). Whether used for diagnostic or screening purposes, physicians responsible for the cardiovascular care of athletes should be knowledgeable and competent in ECG interpretation in athletes. However, in most countries a shortage of physician expertise limits wider application of the ECG in the care of the athlete. A critical need exists for physician education in modern ECG interpretation that distinguishes normal physiological adaptations in athletes from distinctly abnormal findings suggestive of underlying pathology. Since the original 2010 European Society of Cardiology recommendations for ECG interpretation in athletes, ECG standards have evolved quickly over the last decade; pushed by a growing body of scientific data that both tests proposed criteria sets and establishes new evidence to guide refinements. On 26-27 February 2015, an international group of experts in sports cardiology, inherited cardiac disease, and sports medicine convened in Seattle, Washington, to update contemporary standards for ECG interpretation in athletes. The objective of the meeting was to define and revise ECG interpretation standards based on new and emerging research and to develop a clear guide to the proper evaluation of ECG abnormalities in athletes. This statement represents an international consensus for ECG interpretation in athletes and provides expert opinion-based recommendations linking specific ECG abnormalities and the secondary evaluation for conditions associated with SCD.","author":[{"dropping-particle":"","family":"Sharma","given":"Sanjay","non-dropping-particle":"","parse-names":false,"suffix":""},{"dropping-particle":"","family":"Drezner","given":"Jonathan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journal","id":"ITEM-1","issued":{"date-parts":[["2017","2","20"]]},"title":"International recommendations for electrocardiographic interpretation in athletes.","type":"article-journal"},"uris":["http://www.mendeley.com/documents/?uuid=cfc251ae-846b-43de-9f59-12820592fae5"]}],"mendeley":{"formattedCitation":"&lt;sup&gt;4&lt;/sup&gt;","plainTextFormattedCitation":"4","previouslyFormattedCitation":"&lt;sup&gt;4&lt;/sup&gt;"},"properties":{"noteIndex":0},"schema":"https://github.com/citation-style-language/schema/raw/master/csl-citation.json"}</w:instrText>
      </w:r>
      <w:r w:rsidR="005B5C25">
        <w:rPr>
          <w:rFonts w:ascii="Calibri" w:hAnsi="Calibri" w:cs="Calibri"/>
          <w:bCs/>
          <w:lang w:val="en-GB"/>
        </w:rPr>
        <w:fldChar w:fldCharType="separate"/>
      </w:r>
      <w:r w:rsidR="005B5C25" w:rsidRPr="005B5C25">
        <w:rPr>
          <w:rFonts w:ascii="Calibri" w:hAnsi="Calibri" w:cs="Calibri"/>
          <w:bCs/>
          <w:noProof/>
          <w:vertAlign w:val="superscript"/>
          <w:lang w:val="en-GB"/>
        </w:rPr>
        <w:t>4</w:t>
      </w:r>
      <w:r w:rsidR="005B5C25">
        <w:rPr>
          <w:rFonts w:ascii="Calibri" w:hAnsi="Calibri" w:cs="Calibri"/>
          <w:bCs/>
          <w:lang w:val="en-GB"/>
        </w:rPr>
        <w:fldChar w:fldCharType="end"/>
      </w:r>
      <w:r w:rsidR="005B5C25">
        <w:rPr>
          <w:rFonts w:ascii="Calibri" w:hAnsi="Calibri" w:cs="Calibri"/>
          <w:bCs/>
          <w:lang w:val="en-GB"/>
        </w:rPr>
        <w:t>.</w:t>
      </w:r>
      <w:r>
        <w:rPr>
          <w:rFonts w:ascii="Calibri" w:hAnsi="Calibri" w:cs="Calibri"/>
          <w:bCs/>
          <w:lang w:val="en-GB"/>
        </w:rPr>
        <w:t xml:space="preserve"> </w:t>
      </w:r>
      <w:r w:rsidR="00A20314">
        <w:rPr>
          <w:rFonts w:ascii="Calibri" w:hAnsi="Calibri" w:cs="Calibri"/>
          <w:bCs/>
          <w:lang w:val="en-GB"/>
        </w:rPr>
        <w:t>W</w:t>
      </w:r>
      <w:r w:rsidR="00A20314" w:rsidRPr="0041574E">
        <w:rPr>
          <w:rFonts w:ascii="Calibri" w:hAnsi="Calibri" w:cs="Calibri"/>
          <w:bCs/>
          <w:lang w:val="en-GB"/>
        </w:rPr>
        <w:t>hile</w:t>
      </w:r>
      <w:r w:rsidR="00ED0ECA">
        <w:rPr>
          <w:rFonts w:ascii="Calibri" w:hAnsi="Calibri" w:cs="Calibri"/>
          <w:bCs/>
          <w:lang w:val="en-GB"/>
        </w:rPr>
        <w:t xml:space="preserve"> isolated</w:t>
      </w:r>
      <w:r w:rsidR="00A20314" w:rsidRPr="0041574E">
        <w:rPr>
          <w:rFonts w:ascii="Calibri" w:hAnsi="Calibri" w:cs="Calibri"/>
          <w:bCs/>
          <w:lang w:val="en-GB"/>
        </w:rPr>
        <w:t xml:space="preserve"> right atrial enlargement is uncommon</w:t>
      </w:r>
      <w:r w:rsidR="00A20314" w:rsidRPr="0041574E">
        <w:rPr>
          <w:rFonts w:ascii="Calibri" w:hAnsi="Calibri" w:cs="Calibri"/>
          <w:bCs/>
          <w:lang w:val="en-GB"/>
        </w:rPr>
        <w:fldChar w:fldCharType="begin" w:fldLock="1"/>
      </w:r>
      <w:r w:rsidR="005B5C25">
        <w:rPr>
          <w:rFonts w:ascii="Calibri" w:hAnsi="Calibri" w:cs="Calibri"/>
          <w:bCs/>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http://www.mendeley.com/documents/?uuid=ad6368ce-867a-4c1f-b85c-73a6e61567ab"]},{"id":"ITEM-2","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Cardiology","id":"ITEM-2","issued":{"date-parts":[["1988"]]},"title":"Serial electrocardiographic changes in idiopathic dilated cardiomyopathy confirmed at necropsy","type":"article-journal"},"uris":["http://www.mendeley.com/documents/?uuid=8e8641bf-d716-45f2-a7a1-af7eceec75f4","http://www.mendeley.com/documents/?uuid=2943f0c7-a176-4e75-9560-424edc20bd65","http://www.mendeley.com/documents/?uuid=44887fa2-0ad7-48d2-a18f-ec290fe8e97b"]},{"id":"ITEM-3","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Cardiology","id":"ITEM-3","issued":{"date-parts":[["1987"]]},"title":"Idiopathic dilated Cardiomyopathy: Analysis of 152 necropsy patients","type":"article-journal"},"uris":["http://www.mendeley.com/documents/?uuid=b21c543c-eed7-4263-95fa-11de3d31f599","http://www.mendeley.com/documents/?uuid=c4100594-ac34-4dfc-b2c4-e6473cc844d4","http://www.mendeley.com/documents/?uuid=2cf5484e-eeed-4e7f-b7ae-d73fec48c03a"]}],"mendeley":{"formattedCitation":"&lt;sup&gt;2,3,5&lt;/sup&gt;","plainTextFormattedCitation":"2,3,5","previouslyFormattedCitation":"&lt;sup&gt;2,3,5&lt;/sup&gt;"},"properties":{"noteIndex":0},"schema":"https://github.com/citation-style-language/schema/raw/master/csl-citation.json"}</w:instrText>
      </w:r>
      <w:r w:rsidR="00A20314" w:rsidRPr="0041574E">
        <w:rPr>
          <w:rFonts w:ascii="Calibri" w:hAnsi="Calibri" w:cs="Calibri"/>
          <w:bCs/>
          <w:lang w:val="en-GB"/>
        </w:rPr>
        <w:fldChar w:fldCharType="separate"/>
      </w:r>
      <w:r w:rsidR="005B5C25" w:rsidRPr="005B5C25">
        <w:rPr>
          <w:rFonts w:ascii="Calibri" w:hAnsi="Calibri" w:cs="Calibri"/>
          <w:bCs/>
          <w:noProof/>
          <w:vertAlign w:val="superscript"/>
          <w:lang w:val="en-GB"/>
        </w:rPr>
        <w:t>2,3,5</w:t>
      </w:r>
      <w:r w:rsidR="00A20314" w:rsidRPr="0041574E">
        <w:rPr>
          <w:rFonts w:ascii="Calibri" w:hAnsi="Calibri" w:cs="Calibri"/>
          <w:bCs/>
          <w:lang w:val="en-GB"/>
        </w:rPr>
        <w:fldChar w:fldCharType="end"/>
      </w:r>
      <w:r w:rsidR="00A20314">
        <w:rPr>
          <w:rFonts w:ascii="Calibri" w:hAnsi="Calibri" w:cs="Calibri"/>
          <w:bCs/>
          <w:lang w:val="en-GB"/>
        </w:rPr>
        <w:t>, l</w:t>
      </w:r>
      <w:r w:rsidRPr="0041574E">
        <w:rPr>
          <w:rFonts w:ascii="Calibri" w:hAnsi="Calibri" w:cs="Calibri"/>
          <w:bCs/>
          <w:lang w:val="en-GB"/>
        </w:rPr>
        <w:t xml:space="preserve">eft atrial enlargement is seen in </w:t>
      </w:r>
      <w:r w:rsidR="004D197D">
        <w:rPr>
          <w:rFonts w:ascii="Calibri" w:hAnsi="Calibri" w:cs="Calibri"/>
          <w:bCs/>
          <w:lang w:val="en-GB"/>
        </w:rPr>
        <w:t>a variable proportion of patients</w:t>
      </w:r>
      <w:r w:rsidR="00F5047A">
        <w:rPr>
          <w:rFonts w:ascii="Calibri" w:hAnsi="Calibri" w:cs="Calibri"/>
          <w:bCs/>
          <w:lang w:val="en-GB"/>
        </w:rPr>
        <w:t xml:space="preserve"> </w:t>
      </w:r>
      <w:r w:rsidR="001565B8">
        <w:rPr>
          <w:rFonts w:ascii="Calibri" w:hAnsi="Calibri" w:cs="Calibri"/>
          <w:bCs/>
          <w:lang w:val="en-GB"/>
        </w:rPr>
        <w:t>and is often</w:t>
      </w:r>
      <w:r w:rsidRPr="0041574E">
        <w:rPr>
          <w:rFonts w:ascii="Calibri" w:hAnsi="Calibri" w:cs="Calibri"/>
          <w:bCs/>
          <w:lang w:val="en-GB"/>
        </w:rPr>
        <w:t xml:space="preserve"> a </w:t>
      </w:r>
      <w:r w:rsidR="00F544AB">
        <w:rPr>
          <w:rFonts w:ascii="Calibri" w:hAnsi="Calibri" w:cs="Calibri"/>
          <w:bCs/>
          <w:lang w:val="en-GB"/>
        </w:rPr>
        <w:t>considered a marker of long-standing</w:t>
      </w:r>
      <w:r w:rsidRPr="0041574E">
        <w:rPr>
          <w:rFonts w:ascii="Calibri" w:hAnsi="Calibri" w:cs="Calibri"/>
          <w:bCs/>
          <w:lang w:val="en-GB"/>
        </w:rPr>
        <w:t xml:space="preserve"> disease</w:t>
      </w:r>
      <w:r w:rsidRPr="0041574E">
        <w:rPr>
          <w:rFonts w:ascii="Calibri" w:hAnsi="Calibri" w:cs="Calibri"/>
          <w:bCs/>
          <w:lang w:val="en-GB"/>
        </w:rPr>
        <w:fldChar w:fldCharType="begin" w:fldLock="1"/>
      </w:r>
      <w:r w:rsidR="005B5C25">
        <w:rPr>
          <w:rFonts w:ascii="Calibri" w:hAnsi="Calibri" w:cs="Calibri"/>
          <w:bCs/>
          <w:lang w:val="en-GB"/>
        </w:rPr>
        <w:instrText>ADDIN CSL_CITATION {"citationItems":[{"id":"ITEM-1","itemData":{"DOI":"10.1016/S0022-0736(97)80042-8","ISSN":"00220736","abstract":"To determine the usefulness of electrocardiographic (ECG) features in differentiating between hypertrophic cardiomyopathy with features mimicking dilated cardiomyopathy (D-HCM) and true dilated cardiomyopathy (DCM), we compared ECGs of 52 consecutive patients (11 with D-HCM, 41 with DCM). Left atrial dimension, left ventricular internal dimension, and septal and posterior wall thickness were employed as echocardiographic indexes, while QRS duration, amplitude of RV5 or V6 + SV1, number of abnormal Q waves, P- terminal force in V1 and frontal plane QRS axis were used as ECG parameters. The patients with D-HCM demonstrated a larger number of abnormal Q waves (P &lt; .0001), greater prolongation of QRS duration (P &lt; .0001), and lower amplitude of RV5 or V6 + SV1 (P &lt; .0001). In all cases of D-HCM, atrial overload was observed and abnormal QRS axis in 9 (82%) of the 11 patients. These features were noted in 21 (51%) and 17 (41%), respectively, of the 41 DCM patients (P &lt; .005 and P &lt; .05, respectively). Despite significant differences in the echocardiographic parameters between D-HCM and DCM, excluding left ventricular end-diastolic dimension, ECG abnormalities were more significant between the two groups. The results indicate that ECG features are extremely useful in differentiation between DCM and D-HCM.","author":[{"dropping-particle":"","family":"Kamiyama","given":"Norio","non-dropping-particle":"","parse-names":false,"suffix":""},{"dropping-particle":"","family":"Nezuo","given":"Shoso","non-dropping-particle":"","parse-names":false,"suffix":""},{"dropping-particle":"","family":"Sawayama","given":"Toshitami","non-dropping-particle":"","parse-names":false,"suffix":""},{"dropping-particle":"","family":"Kawahara","given":"Yousuke","non-dropping-particle":"","parse-names":false,"suffix":""},{"dropping-particle":"","family":"Samukawa","given":"Masanobu","non-dropping-particle":"","parse-names":false,"suffix":""},{"dropping-particle":"","family":"Suetuna","given":"Ryouji","non-dropping-particle":"","parse-names":false,"suffix":""},{"dropping-particle":"","family":"Saitou","given":"Yasuhiro","non-dropping-particle":"","parse-names":false,"suffix":""}],"container-title":"Journal of Electrocardiology","id":"ITEM-1","issued":{"date-parts":[["1997"]]},"title":"Electrocardiographic features differentiating dilated cardiomyopathy from hypertrophic cardiomyopathy","type":"article-journal"},"uris":["http://www.mendeley.com/documents/?uuid=03c3228e-564c-4e61-b9c9-40648b24c3a3","http://www.mendeley.com/documents/?uuid=09958a60-6582-4143-b2a5-f65bf80b4281"]},{"id":"ITEM-2","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Medicine","id":"ITEM-2","issued":{"date-parts":[["2019"]]},"page":"1","title":"ECG in dilated cardiomyopathy","type":"article-journal"},"uris":["http://www.mendeley.com/documents/?uuid=5b48a96d-6f5b-490f-b672-42cab0d4d9c8","http://www.mendeley.com/documents/?uuid=ad6368ce-867a-4c1f-b85c-73a6e61567ab"]},{"id":"ITEM-3","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Cardiology","id":"ITEM-3","issued":{"date-parts":[["1988"]]},"title":"Serial electrocardiographic changes in idiopathic dilated cardiomyopathy confirmed at necropsy","type":"article-journal"},"uris":["http://www.mendeley.com/documents/?uuid=8e8641bf-d716-45f2-a7a1-af7eceec75f4","http://www.mendeley.com/documents/?uuid=2943f0c7-a176-4e75-9560-424edc20bd65","http://www.mendeley.com/documents/?uuid=ce580e82-77d6-41b3-ae24-f13247057b1c"]},{"id":"ITEM-4","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Cardiology","id":"ITEM-4","issued":{"date-parts":[["1987"]]},"title":"Idiopathic dilated Cardiomyopathy: Analysis of 152 necropsy patients","type":"article-journal"},"uris":["http://www.mendeley.com/documents/?uuid=b21c543c-eed7-4263-95fa-11de3d31f599","http://www.mendeley.com/documents/?uuid=c4100594-ac34-4dfc-b2c4-e6473cc844d4","http://www.mendeley.com/documents/?uuid=17a13a83-1f45-4743-83ab-d7e229274c84"]}],"mendeley":{"formattedCitation":"&lt;sup&gt;2,3,5,6&lt;/sup&gt;","plainTextFormattedCitation":"2,3,5,6","previouslyFormattedCitation":"&lt;sup&gt;2,3,5,6&lt;/sup&gt;"},"properties":{"noteIndex":0},"schema":"https://github.com/citation-style-language/schema/raw/master/csl-citation.json"}</w:instrText>
      </w:r>
      <w:r w:rsidRPr="0041574E">
        <w:rPr>
          <w:rFonts w:ascii="Calibri" w:hAnsi="Calibri" w:cs="Calibri"/>
          <w:bCs/>
          <w:lang w:val="en-GB"/>
        </w:rPr>
        <w:fldChar w:fldCharType="separate"/>
      </w:r>
      <w:r w:rsidR="005B5C25" w:rsidRPr="005B5C25">
        <w:rPr>
          <w:rFonts w:ascii="Calibri" w:hAnsi="Calibri" w:cs="Calibri"/>
          <w:bCs/>
          <w:noProof/>
          <w:vertAlign w:val="superscript"/>
          <w:lang w:val="en-GB"/>
        </w:rPr>
        <w:t>2,3,5,6</w:t>
      </w:r>
      <w:r w:rsidRPr="0041574E">
        <w:rPr>
          <w:rFonts w:ascii="Calibri" w:hAnsi="Calibri" w:cs="Calibri"/>
          <w:bCs/>
          <w:lang w:val="en-GB"/>
        </w:rPr>
        <w:fldChar w:fldCharType="end"/>
      </w:r>
      <w:r w:rsidRPr="0041574E">
        <w:rPr>
          <w:rFonts w:ascii="Calibri" w:hAnsi="Calibri" w:cs="Calibri"/>
          <w:bCs/>
          <w:lang w:val="en-GB"/>
        </w:rPr>
        <w:t>.</w:t>
      </w:r>
      <w:r w:rsidR="008C0735">
        <w:rPr>
          <w:rFonts w:ascii="Calibri" w:hAnsi="Calibri" w:cs="Calibri"/>
          <w:bCs/>
          <w:lang w:val="en-GB"/>
        </w:rPr>
        <w:t xml:space="preserve"> </w:t>
      </w:r>
      <w:r w:rsidR="008C0735" w:rsidRPr="0041574E">
        <w:rPr>
          <w:rFonts w:ascii="Calibri" w:hAnsi="Calibri" w:cs="Calibri"/>
          <w:bCs/>
          <w:lang w:val="en-GB"/>
        </w:rPr>
        <w:t xml:space="preserve">Atrial fibrillation (AF) </w:t>
      </w:r>
      <w:r w:rsidR="00F544AB">
        <w:rPr>
          <w:rFonts w:ascii="Calibri" w:hAnsi="Calibri" w:cs="Calibri"/>
          <w:bCs/>
          <w:lang w:val="en-GB"/>
        </w:rPr>
        <w:t xml:space="preserve">is part of the final common pathway for all forms of DCM following progression to heart failure. Early onset of AF in young individuals, however, may suggest </w:t>
      </w:r>
      <w:r w:rsidR="008C0735" w:rsidRPr="0041574E">
        <w:rPr>
          <w:rFonts w:ascii="Calibri" w:hAnsi="Calibri" w:cs="Calibri"/>
          <w:bCs/>
          <w:lang w:val="en-GB"/>
        </w:rPr>
        <w:t>specific DCM aetiologies</w:t>
      </w:r>
      <w:r w:rsidR="00EF1682">
        <w:rPr>
          <w:rFonts w:ascii="Calibri" w:hAnsi="Calibri" w:cs="Calibri"/>
          <w:bCs/>
          <w:lang w:val="en-GB"/>
        </w:rPr>
        <w:t>,</w:t>
      </w:r>
      <w:r w:rsidR="008C0735" w:rsidRPr="0041574E">
        <w:rPr>
          <w:rFonts w:ascii="Calibri" w:hAnsi="Calibri" w:cs="Calibri"/>
          <w:bCs/>
          <w:lang w:val="en-GB"/>
        </w:rPr>
        <w:t xml:space="preserve"> mainly</w:t>
      </w:r>
      <w:r w:rsidR="00F544AB">
        <w:rPr>
          <w:rFonts w:ascii="Calibri" w:hAnsi="Calibri" w:cs="Calibri"/>
          <w:bCs/>
          <w:lang w:val="en-GB"/>
        </w:rPr>
        <w:t xml:space="preserve"> of</w:t>
      </w:r>
      <w:r w:rsidR="008C0735" w:rsidRPr="0041574E">
        <w:rPr>
          <w:rFonts w:ascii="Calibri" w:hAnsi="Calibri" w:cs="Calibri"/>
          <w:bCs/>
          <w:lang w:val="en-GB"/>
        </w:rPr>
        <w:t xml:space="preserve"> genetic </w:t>
      </w:r>
      <w:r w:rsidR="00F544AB">
        <w:rPr>
          <w:rFonts w:ascii="Calibri" w:hAnsi="Calibri" w:cs="Calibri"/>
          <w:bCs/>
          <w:lang w:val="en-GB"/>
        </w:rPr>
        <w:t>origin</w:t>
      </w:r>
      <w:r w:rsidR="001A2833">
        <w:rPr>
          <w:rFonts w:ascii="Calibri" w:hAnsi="Calibri" w:cs="Calibri"/>
          <w:bCs/>
          <w:lang w:val="en-GB"/>
        </w:rPr>
        <w:fldChar w:fldCharType="begin" w:fldLock="1"/>
      </w:r>
      <w:r w:rsidR="001A2833">
        <w:rPr>
          <w:rFonts w:ascii="Calibri" w:hAnsi="Calibri" w:cs="Calibri"/>
          <w:bCs/>
          <w:lang w:val="en-GB"/>
        </w:rPr>
        <w:instrText>ADDIN CSL_CITATION {"citationItems":[{"id":"ITEM-1","itemData":{"ISSN":"0735-1097","PMID":"12628721","abstract":"OBJECTIVES We examined the prevalence, genotype-phenotype correlation, and natural history of lamin A/C gene (LMNA) mutations in subjects with dilated cardiomyopathy (DCM). BACKGROUND Mutations in LMNA have been found in patients with DCM with familial conduction defects and muscular dystrophy, but the clinical spectrum, prognosis, and clinical relevance of laminopathies in DCM are unknown. BACKGROUND A cohort of 49 nuclear families, 40 with familial DCM and 9 with sporadic DCM (269 subjects, 105 affected), was screened for mutations in LMNA using denaturing high-performance liquid chromatography and sequence analysis. Bivariate analysis of clinical predictors of LMNA mutation carrier status and Kaplan-Meier survival analysis were performed. RESULTS Mutations in LMNA were detected in four families (8%), three with familial (R89L, 959delT, R377H) and one with sporadic DCM (S573L). There was significant phenotypic variability, but the presence of skeletal muscle involvement (p &lt; 0.001), supraventricular arrhythmia (p = 0.003), conduction defects (p = 0.01), and \"mildly\" DCM (p = 0.006) were predictors of LMNA mutations. The LMNA mutation carriers had a significantly poorer cumulative survival compared with non-carrier DCM patients: event-free survival at the age of 45 years was 31% versus 75% in non-carriers. CONCLUSIONS Mutations in LMNA cause a severe and progressive DCM in a relevant proportion of patients. Mutation screening should be considered in patients with DCM, in particular when clinical predictors of LMNA mutation are present, regardless of family history.","author":[{"dropping-particle":"","family":"Taylor","given":"Matthew R G","non-dropping-particle":"","parse-names":false,"suffix":""},{"dropping-particle":"","family":"Fain","given":"Pamela R","non-dropping-particle":"","parse-names":false,"suffix":""},{"dropping-particle":"","family":"Sinagra","given":"Gianfranco","non-dropping-particle":"","parse-names":false,"suffix":""},{"dropping-particle":"","family":"Robinson","given":"Misi L","non-dropping-particle":"","parse-names":false,"suffix":""},{"dropping-particle":"","family":"Robertson","given":"Alastair D","non-dropping-particle":"","parse-names":false,"suffix":""},{"dropping-particle":"","family":"Carniel","given":"Elisa","non-dropping-particle":"","parse-names":false,"suffix":""},{"dropping-particle":"","family":"Lenarda","given":"Andrea","non-dropping-particle":"Di","parse-names":false,"suffix":""},{"dropping-particle":"","family":"Bohlmeyer","given":"Teresa J","non-dropping-particle":"","parse-names":false,"suffix":""},{"dropping-particle":"","family":"Ferguson","given":"Debra A","non-dropping-particle":"","parse-names":false,"suffix":""},{"dropping-particle":"","family":"Brodsky","given":"Gary L","non-dropping-particle":"","parse-names":false,"suffix":""},{"dropping-particle":"","family":"Boucek","given":"Mark M","non-dropping-particle":"","parse-names":false,"suffix":""},{"dropping-particle":"","family":"Lascor","given":"Jean","non-dropping-particle":"","parse-names":false,"suffix":""},{"dropping-particle":"","family":"Moss","given":"Andrew C","non-dropping-particle":"","parse-names":false,"suffix":""},{"dropping-particle":"","family":"Li","given":"Wai Lun P","non-dropping-particle":"","parse-names":false,"suffix":""},{"dropping-particle":"","family":"Stetler","given":"Gary L","non-dropping-particle":"","parse-names":false,"suffix":""},{"dropping-particle":"","family":"Muntoni","given":"Francesco","non-dropping-particle":"","parse-names":false,"suffix":""},{"dropping-particle":"","family":"Bristow","given":"Michael R","non-dropping-particle":"","parse-names":false,"suffix":""},{"dropping-particle":"","family":"Mestroni","given":"Luisa","non-dropping-particle":"","parse-names":false,"suffix":""},{"dropping-particle":"","family":"Familial Dilated Cardiomyopathy Registry Research Group","given":"","non-dropping-particle":"","parse-names":false,"suffix":""}],"container-title":"Journal of the American College of Cardiology","id":"ITEM-1","issue":"5","issued":{"date-parts":[["2003","3","5"]]},"page":"771-80","title":"Natural history of dilated cardiomyopathy due to lamin A/C gene mutations.","type":"article-journal","volume":"41"},"uris":["http://www.mendeley.com/documents/?uuid=61141a5c-774a-43d4-9881-3c11cce6bff1"]}],"mendeley":{"formattedCitation":"&lt;sup&gt;7&lt;/sup&gt;","plainTextFormattedCitation":"7","previouslyFormattedCitation":"&lt;sup&gt;7&lt;/sup&gt;"},"properties":{"noteIndex":0},"schema":"https://github.com/citation-style-language/schema/raw/master/csl-citation.json"}</w:instrText>
      </w:r>
      <w:r w:rsidR="001A2833">
        <w:rPr>
          <w:rFonts w:ascii="Calibri" w:hAnsi="Calibri" w:cs="Calibri"/>
          <w:bCs/>
          <w:lang w:val="en-GB"/>
        </w:rPr>
        <w:fldChar w:fldCharType="separate"/>
      </w:r>
      <w:r w:rsidR="001A2833" w:rsidRPr="001A2833">
        <w:rPr>
          <w:rFonts w:ascii="Calibri" w:hAnsi="Calibri" w:cs="Calibri"/>
          <w:bCs/>
          <w:noProof/>
          <w:vertAlign w:val="superscript"/>
          <w:lang w:val="en-GB"/>
        </w:rPr>
        <w:t>7</w:t>
      </w:r>
      <w:r w:rsidR="001A2833">
        <w:rPr>
          <w:rFonts w:ascii="Calibri" w:hAnsi="Calibri" w:cs="Calibri"/>
          <w:bCs/>
          <w:lang w:val="en-GB"/>
        </w:rPr>
        <w:fldChar w:fldCharType="end"/>
      </w:r>
      <w:r w:rsidR="008C0735" w:rsidRPr="0041574E">
        <w:rPr>
          <w:rFonts w:ascii="Calibri" w:hAnsi="Calibri" w:cs="Calibri"/>
          <w:bCs/>
          <w:lang w:val="en-GB"/>
        </w:rPr>
        <w:t xml:space="preserve"> (</w:t>
      </w:r>
      <w:r w:rsidR="008C0735" w:rsidRPr="0041574E">
        <w:rPr>
          <w:rFonts w:ascii="Calibri" w:hAnsi="Calibri" w:cs="Calibri"/>
          <w:b/>
          <w:bCs/>
          <w:lang w:val="en-GB"/>
        </w:rPr>
        <w:t xml:space="preserve">Table </w:t>
      </w:r>
      <w:r w:rsidR="00983295">
        <w:rPr>
          <w:rFonts w:ascii="Calibri" w:hAnsi="Calibri" w:cs="Calibri"/>
          <w:b/>
          <w:bCs/>
          <w:lang w:val="en-GB"/>
        </w:rPr>
        <w:t>2</w:t>
      </w:r>
      <w:r w:rsidR="008C0735" w:rsidRPr="0041574E">
        <w:rPr>
          <w:rFonts w:ascii="Calibri" w:hAnsi="Calibri" w:cs="Calibri"/>
          <w:bCs/>
          <w:lang w:val="en-GB"/>
        </w:rPr>
        <w:t>).</w:t>
      </w:r>
      <w:r w:rsidR="00B96C6C">
        <w:rPr>
          <w:rFonts w:ascii="Calibri" w:hAnsi="Calibri" w:cs="Calibri"/>
          <w:bCs/>
          <w:lang w:val="en-GB"/>
        </w:rPr>
        <w:t xml:space="preserve"> </w:t>
      </w:r>
    </w:p>
    <w:p w14:paraId="7060055D" w14:textId="6F5DE34A" w:rsidR="00E61EFD" w:rsidRDefault="005B5C25" w:rsidP="00667CAB">
      <w:pPr>
        <w:spacing w:after="160" w:line="480" w:lineRule="auto"/>
        <w:rPr>
          <w:rFonts w:ascii="Calibri" w:hAnsi="Calibri" w:cs="Calibri"/>
          <w:u w:val="single"/>
          <w:lang w:val="en-GB"/>
        </w:rPr>
      </w:pPr>
      <w:r>
        <w:rPr>
          <w:rFonts w:ascii="Calibri" w:hAnsi="Calibri" w:cs="Calibri"/>
          <w:u w:val="single"/>
          <w:lang w:val="en-GB"/>
        </w:rPr>
        <w:t>PR interval</w:t>
      </w:r>
    </w:p>
    <w:p w14:paraId="23E932F2" w14:textId="0B764988" w:rsidR="005B5C25" w:rsidRDefault="00CB4BFA" w:rsidP="00EC6413">
      <w:pPr>
        <w:spacing w:after="160" w:line="480" w:lineRule="auto"/>
        <w:ind w:firstLine="720"/>
        <w:rPr>
          <w:rFonts w:ascii="Calibri" w:hAnsi="Calibri" w:cs="Calibri"/>
          <w:bCs/>
          <w:lang w:val="en-GB"/>
        </w:rPr>
      </w:pPr>
      <w:r>
        <w:rPr>
          <w:rFonts w:ascii="Calibri" w:hAnsi="Calibri" w:cs="Calibri"/>
          <w:bCs/>
          <w:lang w:val="en-GB"/>
        </w:rPr>
        <w:t>F</w:t>
      </w:r>
      <w:r w:rsidR="008C0735" w:rsidRPr="0041574E">
        <w:rPr>
          <w:rFonts w:ascii="Calibri" w:hAnsi="Calibri" w:cs="Calibri"/>
          <w:bCs/>
          <w:lang w:val="en-GB"/>
        </w:rPr>
        <w:t>irst-degree</w:t>
      </w:r>
      <w:r>
        <w:rPr>
          <w:rFonts w:ascii="Calibri" w:hAnsi="Calibri" w:cs="Calibri"/>
          <w:bCs/>
          <w:lang w:val="en-GB"/>
        </w:rPr>
        <w:t xml:space="preserve"> and/or </w:t>
      </w:r>
      <w:r w:rsidR="005B5C25">
        <w:rPr>
          <w:rFonts w:ascii="Calibri" w:hAnsi="Calibri" w:cs="Calibri"/>
          <w:bCs/>
          <w:lang w:val="en-GB"/>
        </w:rPr>
        <w:t>advanced</w:t>
      </w:r>
      <w:r w:rsidR="008C0735" w:rsidRPr="0041574E">
        <w:rPr>
          <w:rFonts w:ascii="Calibri" w:hAnsi="Calibri" w:cs="Calibri"/>
          <w:bCs/>
          <w:lang w:val="en-GB"/>
        </w:rPr>
        <w:t xml:space="preserve"> </w:t>
      </w:r>
      <w:proofErr w:type="spellStart"/>
      <w:r w:rsidR="008C0735" w:rsidRPr="0041574E">
        <w:rPr>
          <w:rFonts w:ascii="Calibri" w:hAnsi="Calibri" w:cs="Calibri"/>
          <w:bCs/>
          <w:lang w:val="en-GB"/>
        </w:rPr>
        <w:t>atrio</w:t>
      </w:r>
      <w:proofErr w:type="spellEnd"/>
      <w:r>
        <w:rPr>
          <w:rFonts w:ascii="Calibri" w:hAnsi="Calibri" w:cs="Calibri"/>
          <w:bCs/>
          <w:lang w:val="en-GB"/>
        </w:rPr>
        <w:t>-</w:t>
      </w:r>
      <w:r w:rsidR="008C0735" w:rsidRPr="0041574E">
        <w:rPr>
          <w:rFonts w:ascii="Calibri" w:hAnsi="Calibri" w:cs="Calibri"/>
          <w:bCs/>
          <w:lang w:val="en-GB"/>
        </w:rPr>
        <w:t>ventricular (AV)-block</w:t>
      </w:r>
      <w:r w:rsidR="005B5C25">
        <w:rPr>
          <w:rFonts w:ascii="Calibri" w:hAnsi="Calibri" w:cs="Calibri"/>
          <w:bCs/>
          <w:lang w:val="en-GB"/>
        </w:rPr>
        <w:t>s</w:t>
      </w:r>
      <w:r>
        <w:rPr>
          <w:rFonts w:ascii="Calibri" w:hAnsi="Calibri" w:cs="Calibri"/>
          <w:bCs/>
          <w:lang w:val="en-GB"/>
        </w:rPr>
        <w:t xml:space="preserve"> </w:t>
      </w:r>
      <w:r w:rsidR="004E65F5">
        <w:rPr>
          <w:rFonts w:ascii="Calibri" w:hAnsi="Calibri" w:cs="Calibri"/>
          <w:bCs/>
          <w:lang w:val="en-GB"/>
        </w:rPr>
        <w:t xml:space="preserve">can be found </w:t>
      </w:r>
      <w:r>
        <w:rPr>
          <w:rFonts w:ascii="Calibri" w:hAnsi="Calibri" w:cs="Calibri"/>
          <w:bCs/>
          <w:lang w:val="en-GB"/>
        </w:rPr>
        <w:t>in patients with DCM</w:t>
      </w:r>
      <w:r w:rsidR="00773BBB">
        <w:rPr>
          <w:rFonts w:ascii="Calibri" w:hAnsi="Calibri" w:cs="Calibri"/>
          <w:bCs/>
          <w:lang w:val="en-GB"/>
        </w:rPr>
        <w:fldChar w:fldCharType="begin" w:fldLock="1"/>
      </w:r>
      <w:r w:rsidR="00561592">
        <w:rPr>
          <w:rFonts w:ascii="Calibri" w:hAnsi="Calibri" w:cs="Calibri"/>
          <w:bCs/>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773BBB">
        <w:rPr>
          <w:rFonts w:ascii="Calibri" w:hAnsi="Calibri" w:cs="Calibri"/>
          <w:bCs/>
          <w:lang w:val="en-GB"/>
        </w:rPr>
        <w:fldChar w:fldCharType="separate"/>
      </w:r>
      <w:r w:rsidR="00326362" w:rsidRPr="00326362">
        <w:rPr>
          <w:rFonts w:ascii="Calibri" w:hAnsi="Calibri" w:cs="Calibri"/>
          <w:bCs/>
          <w:noProof/>
          <w:vertAlign w:val="superscript"/>
          <w:lang w:val="en-GB"/>
        </w:rPr>
        <w:t>1</w:t>
      </w:r>
      <w:r w:rsidR="00773BBB">
        <w:rPr>
          <w:rFonts w:ascii="Calibri" w:hAnsi="Calibri" w:cs="Calibri"/>
          <w:bCs/>
          <w:lang w:val="en-GB"/>
        </w:rPr>
        <w:fldChar w:fldCharType="end"/>
      </w:r>
      <w:r w:rsidR="005B5C25">
        <w:rPr>
          <w:rFonts w:ascii="Calibri" w:hAnsi="Calibri" w:cs="Calibri"/>
          <w:bCs/>
          <w:lang w:val="en-GB"/>
        </w:rPr>
        <w:t>; conduction abnormalities</w:t>
      </w:r>
      <w:r w:rsidR="008C0735" w:rsidRPr="0041574E">
        <w:rPr>
          <w:rFonts w:ascii="Calibri" w:hAnsi="Calibri" w:cs="Calibri"/>
          <w:bCs/>
          <w:lang w:val="en-GB"/>
        </w:rPr>
        <w:t xml:space="preserve"> </w:t>
      </w:r>
      <w:r w:rsidR="005B5C25">
        <w:rPr>
          <w:rFonts w:ascii="Calibri" w:hAnsi="Calibri" w:cs="Calibri"/>
          <w:bCs/>
          <w:lang w:val="en-GB"/>
        </w:rPr>
        <w:t>, especially in young patients,</w:t>
      </w:r>
      <w:r w:rsidR="005B5C25" w:rsidRPr="0041574E">
        <w:rPr>
          <w:rFonts w:ascii="Calibri" w:hAnsi="Calibri" w:cs="Calibri"/>
          <w:bCs/>
          <w:lang w:val="en-GB"/>
        </w:rPr>
        <w:t xml:space="preserve"> </w:t>
      </w:r>
      <w:r>
        <w:rPr>
          <w:rFonts w:ascii="Calibri" w:hAnsi="Calibri" w:cs="Calibri"/>
          <w:bCs/>
          <w:lang w:val="en-GB"/>
        </w:rPr>
        <w:t>suggest a specific genetic background often associated with neuromuscular diseases</w:t>
      </w:r>
      <w:r w:rsidR="005F03D4">
        <w:rPr>
          <w:rFonts w:ascii="Calibri" w:hAnsi="Calibri" w:cs="Calibri"/>
          <w:bCs/>
          <w:lang w:val="en-GB"/>
        </w:rPr>
        <w:t>, laminopathy or ion channel disorder</w:t>
      </w:r>
      <w:r w:rsidR="008C0735" w:rsidRPr="0041574E">
        <w:rPr>
          <w:rFonts w:ascii="Calibri" w:hAnsi="Calibri" w:cs="Calibri"/>
          <w:bCs/>
          <w:lang w:val="en-GB"/>
        </w:rPr>
        <w:t>.</w:t>
      </w:r>
      <w:r w:rsidR="0048691B">
        <w:rPr>
          <w:rFonts w:ascii="Calibri" w:hAnsi="Calibri" w:cs="Calibri"/>
          <w:bCs/>
          <w:lang w:val="en-GB"/>
        </w:rPr>
        <w:t xml:space="preserve"> Conduction abnormalities are also relatively common in </w:t>
      </w:r>
      <w:r w:rsidR="004E65F5">
        <w:rPr>
          <w:rFonts w:ascii="Calibri" w:hAnsi="Calibri" w:cs="Calibri"/>
          <w:bCs/>
          <w:lang w:val="en-GB"/>
        </w:rPr>
        <w:t xml:space="preserve">acquired conditions such as </w:t>
      </w:r>
      <w:r w:rsidR="0048691B">
        <w:rPr>
          <w:rFonts w:ascii="Calibri" w:hAnsi="Calibri" w:cs="Calibri"/>
          <w:bCs/>
          <w:lang w:val="en-GB"/>
        </w:rPr>
        <w:t xml:space="preserve">cardiac sarcoidosis </w:t>
      </w:r>
      <w:r w:rsidR="004E65F5">
        <w:rPr>
          <w:rFonts w:ascii="Calibri" w:hAnsi="Calibri" w:cs="Calibri"/>
          <w:bCs/>
          <w:lang w:val="en-GB"/>
        </w:rPr>
        <w:t>and Chagas disease</w:t>
      </w:r>
      <w:r w:rsidR="0055616E">
        <w:rPr>
          <w:rFonts w:ascii="Calibri" w:hAnsi="Calibri" w:cs="Calibri"/>
          <w:bCs/>
          <w:lang w:val="en-GB"/>
        </w:rPr>
        <w:fldChar w:fldCharType="begin" w:fldLock="1"/>
      </w:r>
      <w:r w:rsidR="001A2833">
        <w:rPr>
          <w:rFonts w:ascii="Calibri" w:hAnsi="Calibri" w:cs="Calibri"/>
          <w:bCs/>
          <w:lang w:val="en-GB"/>
        </w:rPr>
        <w:instrText>ADDIN CSL_CITATION {"citationItems":[{"id":"ITEM-1","itemData":{"DOI":"10.1093/ehjci/jez188","ISSN":"2047-2412","PMID":"31317183","abstract":"AIMS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ALVC.","author":[{"dropping-particle":"","family":"Augusto","given":"João B","non-dropping-particle":"","parse-names":false,"suffix":""},{"dropping-particle":"","family":"Eiros","given":"Rocio","non-dropping-particle":"","parse-names":false,"suffix":""},{"dropping-particle":"","family":"Nakou","given":"Eleni","non-dropping-particle":"","parse-names":false,"suffix":""},{"dropping-particle":"","family":"Moura-Ferreira","given":"Sara","non-dropping-particle":"","parse-names":false,"suffix":""},{"dropping-particle":"","family":"Treibel","given":"Thomas A","non-dropping-particle":"","parse-names":false,"suffix":""},{"dropping-particle":"","family":"Captur","given":"Gabriella","non-dropping-particle":"","parse-names":false,"suffix":""},{"dropping-particle":"","family":"Akhtar","given":"Mohammed A","non-dropping-particle":"","parse-names":false,"suffix":""},{"dropping-particle":"","family":"Protonotarios","given":"Alexandros","non-dropping-particle":"","parse-names":false,"suffix":""},{"dropping-particle":"","family":"Gossios","given":"Thomas D","non-dropping-particle":"","parse-names":false,"suffix":""},{"dropping-particle":"","family":"Savvatis","given":"Konstantinos","non-dropping-particle":"","parse-names":false,"suffix":""},{"dropping-particle":"","family":"Syrris","given":"Petros","non-dropping-particle":"","parse-names":false,"suffix":""},{"dropping-particle":"","family":"Mohiddin","given":"Saidi","non-dropping-particle":"","parse-names":false,"suffix":""},{"dropping-particle":"","family":"Moon","given":"James C","non-dropping-particle":"","parse-names":false,"suffix":""},{"dropping-particle":"","family":"Elliott","given":"Perry M","non-dropping-particle":"","parse-names":false,"suffix":""},{"dropping-particle":"","family":"Lopes","given":"Luis R","non-dropping-particle":"","parse-names":false,"suffix":""}],"container-title":"European heart journal cardiovascular Imaging","id":"ITEM-1","issued":{"date-parts":[["2019","7","16"]]},"title":"Dilated cardiomyopathy and arrhythmogenic left ventricular cardiomyopathy: a comprehensive genotype-imaging phenotype study.","type":"article-journal"},"uris":["http://www.mendeley.com/documents/?uuid=a054bfc2-4203-4c35-aa55-7573aec9f4ee"]}],"mendeley":{"formattedCitation":"&lt;sup&gt;8&lt;/sup&gt;","plainTextFormattedCitation":"8","previouslyFormattedCitation":"&lt;sup&gt;8&lt;/sup&gt;"},"properties":{"noteIndex":0},"schema":"https://github.com/citation-style-language/schema/raw/master/csl-citation.json"}</w:instrText>
      </w:r>
      <w:r w:rsidR="0055616E">
        <w:rPr>
          <w:rFonts w:ascii="Calibri" w:hAnsi="Calibri" w:cs="Calibri"/>
          <w:bCs/>
          <w:lang w:val="en-GB"/>
        </w:rPr>
        <w:fldChar w:fldCharType="separate"/>
      </w:r>
      <w:r w:rsidR="001A2833" w:rsidRPr="001A2833">
        <w:rPr>
          <w:rFonts w:ascii="Calibri" w:hAnsi="Calibri" w:cs="Calibri"/>
          <w:bCs/>
          <w:noProof/>
          <w:vertAlign w:val="superscript"/>
          <w:lang w:val="en-GB"/>
        </w:rPr>
        <w:t>8</w:t>
      </w:r>
      <w:r w:rsidR="0055616E">
        <w:rPr>
          <w:rFonts w:ascii="Calibri" w:hAnsi="Calibri" w:cs="Calibri"/>
          <w:bCs/>
          <w:lang w:val="en-GB"/>
        </w:rPr>
        <w:fldChar w:fldCharType="end"/>
      </w:r>
      <w:r w:rsidR="0048691B">
        <w:rPr>
          <w:rFonts w:ascii="Calibri" w:hAnsi="Calibri" w:cs="Calibri"/>
          <w:bCs/>
          <w:lang w:val="en-GB"/>
        </w:rPr>
        <w:t>.</w:t>
      </w:r>
      <w:r w:rsidR="008C0735">
        <w:rPr>
          <w:rFonts w:ascii="Calibri" w:hAnsi="Calibri" w:cs="Calibri"/>
          <w:bCs/>
          <w:lang w:val="en-GB"/>
        </w:rPr>
        <w:t xml:space="preserve"> </w:t>
      </w:r>
    </w:p>
    <w:p w14:paraId="445438FE" w14:textId="77777777" w:rsidR="005B5C25" w:rsidRPr="00A3576E" w:rsidRDefault="005B5C25" w:rsidP="005B5C25">
      <w:pPr>
        <w:spacing w:after="160" w:line="480" w:lineRule="auto"/>
        <w:rPr>
          <w:rFonts w:ascii="Calibri" w:hAnsi="Calibri" w:cs="Calibri"/>
          <w:u w:val="single"/>
          <w:lang w:val="en-GB"/>
        </w:rPr>
      </w:pPr>
      <w:r w:rsidRPr="00A3576E">
        <w:rPr>
          <w:rFonts w:ascii="Calibri" w:hAnsi="Calibri" w:cs="Calibri"/>
          <w:u w:val="single"/>
          <w:lang w:val="en-GB"/>
        </w:rPr>
        <w:t>The QRS complex</w:t>
      </w:r>
    </w:p>
    <w:p w14:paraId="0B002ED9" w14:textId="724A2E2E" w:rsidR="005B5C25" w:rsidRDefault="005B5C25" w:rsidP="005B5C25">
      <w:pPr>
        <w:spacing w:after="160" w:line="480" w:lineRule="auto"/>
        <w:ind w:firstLine="720"/>
        <w:rPr>
          <w:rFonts w:ascii="Calibri" w:hAnsi="Calibri" w:cs="Calibri"/>
          <w:bCs/>
          <w:lang w:val="en-GB"/>
        </w:rPr>
      </w:pPr>
      <w:r>
        <w:rPr>
          <w:rFonts w:ascii="Calibri" w:hAnsi="Calibri" w:cs="Calibri"/>
          <w:bCs/>
          <w:lang w:val="en-GB"/>
        </w:rPr>
        <w:t>L</w:t>
      </w:r>
      <w:r w:rsidRPr="0041574E">
        <w:rPr>
          <w:rFonts w:ascii="Calibri" w:hAnsi="Calibri" w:cs="Calibri"/>
          <w:bCs/>
          <w:lang w:val="en-GB"/>
        </w:rPr>
        <w:t>oss of vital myocardi</w:t>
      </w:r>
      <w:r>
        <w:rPr>
          <w:rFonts w:ascii="Calibri" w:hAnsi="Calibri" w:cs="Calibri"/>
          <w:bCs/>
          <w:lang w:val="en-GB"/>
        </w:rPr>
        <w:t>um</w:t>
      </w:r>
      <w:r w:rsidRPr="0041574E">
        <w:rPr>
          <w:rFonts w:ascii="Calibri" w:hAnsi="Calibri" w:cs="Calibri"/>
          <w:bCs/>
          <w:lang w:val="en-GB"/>
        </w:rPr>
        <w:t xml:space="preserve"> and  diffuse</w:t>
      </w:r>
      <w:r>
        <w:rPr>
          <w:rFonts w:ascii="Calibri" w:hAnsi="Calibri" w:cs="Calibri"/>
          <w:bCs/>
          <w:lang w:val="en-GB"/>
        </w:rPr>
        <w:t xml:space="preserve"> LV</w:t>
      </w:r>
      <w:r w:rsidRPr="0041574E">
        <w:rPr>
          <w:rFonts w:ascii="Calibri" w:hAnsi="Calibri" w:cs="Calibri"/>
          <w:bCs/>
          <w:lang w:val="en-GB"/>
        </w:rPr>
        <w:t xml:space="preserve"> fibrosis may </w:t>
      </w:r>
      <w:r>
        <w:rPr>
          <w:rFonts w:ascii="Calibri" w:hAnsi="Calibri" w:cs="Calibri"/>
          <w:bCs/>
          <w:lang w:val="en-GB"/>
        </w:rPr>
        <w:t>both lead to</w:t>
      </w:r>
      <w:r w:rsidRPr="0041574E">
        <w:rPr>
          <w:rFonts w:ascii="Calibri" w:hAnsi="Calibri" w:cs="Calibri"/>
          <w:bCs/>
          <w:lang w:val="en-GB"/>
        </w:rPr>
        <w:t xml:space="preserve"> reduced QRS amplitude, especially in the precordial leads</w:t>
      </w:r>
      <w:r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{"citationItems":[{"id":"ITEM-1","itemData":{"DOI":"10.1016/0002-8703(68)90225-1","ISSN":"10976744","abstract":"The VCG's of 50 patients with PMD is presented. The vector loops were classified into two general groups. A percentage of 56 of the patients had normal frontal loops (Group I) and 44 per cent had superior frontal loops (Group II). In each group, the various types of vector were defined by the horizontal vector loop. In Group I, 18 per cent had left ventricular hypertrophy (Type Ia), 30 per cent had posterior loops (Type Ib), and eight per cent had left bundle branch block (Type Ic). In Group II, 6 per cent had left ventricular hypertrophy (Type IIa), 16 per cent had posterior loops (Type IIb), 12 per cent had left bundle branch block (Type IIc), and 10 per cent had right bundle branch block (Type IId). Characteristic features of the entire group, exclusive of Type IId included a posteriorly oriented loop directed toward the \"Z\" axis and relatively narrow loops especially in the frontal and right sagittal plane. These features although nondiagnostic appear characteristic for the group of patients with PMD. © 1968.","author":[{"dropping-particle":"","family":"Hamby","given":"Robert I.","non-dropping-particle":"","parse-names":false,"suffix":""},{"dropping-particle":"","family":"Raia","given":"Francis","non-dropping-particle":"","parse-names":false,"suffix":""}],"container-title":"American Heart Journal","id":"ITEM-1","issue":"3","issued":{"date-parts":[["1968"]]},"page":"304-315","title":"Electrocardiographic aspects of primary myocardial disease in 50 patients","type":"article-journal","volume":"76"},"uris":["http://www.mendeley.com/documents/?uuid=c2b809f2-2ed0-4775-83ca-86bb663eda0f","http://www.mendeley.com/documents/?uuid=1ae3ab28-3e79-4835-8617-d80042ba41f5"]},{"id":"ITEM-2","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Cardiology","id":"ITEM-2","issued":{"date-parts":[["1987"]]},"title":"Idiopathic dilated Cardiomyopathy: Analysis of 152 necropsy patients","type":"article-journal"},"uris":["http://www.mendeley.com/documents/?uuid=c4100594-ac34-4dfc-b2c4-e6473cc844d4","http://www.mendeley.com/documents/?uuid=b21c543c-eed7-4263-95fa-11de3d31f599"]},{"id":"ITEM-3","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Medicine","id":"ITEM-3","issued":{"date-parts":[["2019"]]},"page":"1","title":"ECG in dilated cardiomyopathy","type":"article-journal"},"uris":["http://www.mendeley.com/documents/?uuid=5b48a96d-6f5b-490f-b672-42cab0d4d9c8","http://www.mendeley.com/documents/?uuid=ad6368ce-867a-4c1f-b85c-73a6e61567ab"]}],"mendeley":{"formattedCitation":"&lt;sup&gt;2,5,9&lt;/sup&gt;","plainTextFormattedCitation":"2,5,9","previouslyFormattedCitation":"&lt;sup&gt;2,5,9&lt;/sup&gt;"},"properties":{"noteIndex":0},"schema":"https://github.com/citation-style-language/schema/raw/master/csl-citation.json"}</w:instrText>
      </w:r>
      <w:r w:rsidRPr="0041574E">
        <w:rPr>
          <w:rFonts w:ascii="Calibri" w:hAnsi="Calibri" w:cs="Calibri"/>
          <w:bCs/>
          <w:lang w:val="en-GB"/>
        </w:rPr>
        <w:fldChar w:fldCharType="separate"/>
      </w:r>
      <w:r w:rsidR="001A2833" w:rsidRPr="001A2833">
        <w:rPr>
          <w:rFonts w:ascii="Calibri" w:hAnsi="Calibri" w:cs="Calibri"/>
          <w:bCs/>
          <w:noProof/>
          <w:vertAlign w:val="superscript"/>
          <w:lang w:val="en-GB"/>
        </w:rPr>
        <w:t>2,5,9</w:t>
      </w:r>
      <w:r w:rsidRPr="0041574E">
        <w:rPr>
          <w:rFonts w:ascii="Calibri" w:hAnsi="Calibri" w:cs="Calibri"/>
          <w:bCs/>
          <w:lang w:val="en-GB"/>
        </w:rPr>
        <w:fldChar w:fldCharType="end"/>
      </w:r>
      <w:r w:rsidRPr="0041574E">
        <w:rPr>
          <w:rFonts w:ascii="Calibri" w:hAnsi="Calibri" w:cs="Calibri"/>
          <w:bCs/>
          <w:lang w:val="en-GB"/>
        </w:rPr>
        <w:t>.</w:t>
      </w:r>
      <w:r>
        <w:rPr>
          <w:rFonts w:ascii="Calibri" w:hAnsi="Calibri" w:cs="Calibri"/>
          <w:bCs/>
          <w:lang w:val="en-GB"/>
        </w:rPr>
        <w:t xml:space="preserve"> Low QRS voltages may also reflect fat infiltration, such as in arrhythmogenic cardiomyopathy due to </w:t>
      </w:r>
      <w:proofErr w:type="spellStart"/>
      <w:r>
        <w:rPr>
          <w:rFonts w:ascii="Calibri" w:hAnsi="Calibri" w:cs="Calibri"/>
          <w:bCs/>
          <w:lang w:val="en-GB"/>
        </w:rPr>
        <w:t>desmosomal</w:t>
      </w:r>
      <w:proofErr w:type="spellEnd"/>
      <w:r>
        <w:rPr>
          <w:rFonts w:ascii="Calibri" w:hAnsi="Calibri" w:cs="Calibri"/>
          <w:bCs/>
          <w:lang w:val="en-GB"/>
        </w:rPr>
        <w:t xml:space="preserve"> gene mutations, with involvement of the left as well as of the right ventricle</w:t>
      </w:r>
      <w:r>
        <w:rPr>
          <w:rFonts w:ascii="Calibri" w:hAnsi="Calibri" w:cs="Calibri"/>
          <w:bCs/>
          <w:lang w:val="en-GB"/>
        </w:rPr>
        <w:fldChar w:fldCharType="begin" w:fldLock="1"/>
      </w:r>
      <w:r w:rsidR="001A2833">
        <w:rPr>
          <w:rFonts w:ascii="Calibri" w:hAnsi="Calibri" w:cs="Calibri"/>
          <w:bCs/>
          <w:lang w:val="en-GB"/>
        </w:rPr>
        <w:instrText>ADDIN CSL_CITATION {"citationItems":[{"id":"ITEM-1","itemData":{"DOI":"10.1093/ehjci/jez188","ISSN":"2047-2412","PMID":"31317183","abstract":"AIMS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ALVC.","author":[{"dropping-particle":"","family":"Augusto","given":"João B","non-dropping-particle":"","parse-names":false,"suffix":""},{"dropping-particle":"","family":"Eiros","given":"Rocio","non-dropping-particle":"","parse-names":false,"suffix":""},{"dropping-particle":"","family":"Nakou","given":"Eleni","non-dropping-particle":"","parse-names":false,"suffix":""},{"dropping-particle":"","family":"Moura-Ferreira","given":"Sara","non-dropping-particle":"","parse-names":false,"suffix":""},{"dropping-particle":"","family":"Treibel","given":"Thomas A","non-dropping-particle":"","parse-names":false,"suffix":""},{"dropping-particle":"","family":"Captur","given":"Gabriella","non-dropping-particle":"","parse-names":false,"suffix":""},{"dropping-particle":"","family":"Akhtar","given":"Mohammed A","non-dropping-particle":"","parse-names":false,"suffix":""},{"dropping-particle":"","family":"Protonotarios","given":"Alexandros","non-dropping-particle":"","parse-names":false,"suffix":""},{"dropping-particle":"","family":"Gossios","given":"Thomas D","non-dropping-particle":"","parse-names":false,"suffix":""},{"dropping-particle":"","family":"Savvatis","given":"Konstantinos","non-dropping-particle":"","parse-names":false,"suffix":""},{"dropping-particle":"","family":"Syrris","given":"Petros","non-dropping-particle":"","parse-names":false,"suffix":""},{"dropping-particle":"","family":"Mohiddin","given":"Saidi","non-dropping-particle":"","parse-names":false,"suffix":""},{"dropping-particle":"","family":"Moon","given":"James C","non-dropping-particle":"","parse-names":false,"suffix":""},{"dropping-particle":"","family":"Elliott","given":"Perry M","non-dropping-particle":"","parse-names":false,"suffix":""},{"dropping-particle":"","family":"Lopes","given":"Luis R","non-dropping-particle":"","parse-names":false,"suffix":""}],"container-title":"European heart journal cardiovascular Imaging","id":"ITEM-1","issued":{"date-parts":[["2019","7","16"]]},"title":"Dilated cardiomyopathy and arrhythmogenic left ventricular cardiomyopathy: a comprehensive genotype-imaging phenotype study.","type":"article-journal"},"uris":["http://www.mendeley.com/documents/?uuid=a054bfc2-4203-4c35-aa55-7573aec9f4ee"]},{"id":"ITEM-2","itemData":{"DOI":"10.1161/CIRCULATIONAHA.118.037230","ISSN":"1524-4539","PMID":"30700137","abstract":"BACKGROUND Arrhythmogenic cardiomyopathy (ACM) is an inherited heart muscle disorder characterized by myocardial fibro-fatty replacement and an increased risk of sudden cardiac death (SCD). Originally described as a right ventricular (RV) disease, ACM is increasingly recognized as a biventricular entity. We evaluated pathological, genetic, and clinical associations in a large SCD cohort. METHODS We investigated 5205 consecutive cases of SCD referred to a national cardiac pathology center between 1994 and 2018. Hearts and tissue blocks were examined by expert cardiac pathologists. Following comprehensive histological evaluation, 202 cases (4%) were diagnosed with ACM. Of these, 15 (7%) were diagnosed ante-mortem with dilated cardiomyopathy (DCM)(n=8) or ACM (n=7). Prior symptoms, medical history, circumstances of death, and participation in competitive sport were recorded. Post-mortem genetic testing was undertaken in 24/202 (12%). Rare genetic variants were classified according to American College of Medical Genetics and Genomics (ACMG) criteria. RESULTS Of 202 ACM decedents (35.4±13.2 years; 82% male), 157 (78%) reported no prior cardiac symptoms. Forty-one decedents (41/202; 20%) were participants in competitive sport. The adjusted odds of dying during physical exertion were higher in males than females (OR 4.58; 95% CI 1.54-13.68; p=0.006) and in competitive athletes compared with non-athletes (OR 16.62; 95% CI 5.39-51.24; p&lt;0.001). None of the decedents with an ante-mortem diagnosis of DCM fulfilled definite 2010 Task Force criteria. Macroscopic appearance of the heart was normal in 40/202 (20%) cases. There was left ventricular (LV) histopathological involvement in 176/202 (87%). Isolated RV disease was seen in 13%, isolated LV disease in 17%, and biventricular involvement in 70%. Among whole hearts, the most common areas of fibro-fatty infiltration were the LV posterobasal (68%) and anterolateral walls (58%). Post-mortem genetic testing yielded pathogenic variants in ACM-related genes in 6/24 (25%) decedents. CONCLUSIONS SCD due to ACM affects males predominantly, most commonly occurring during exertion in athletic individuals in the absence of prior reported cardiac symptoms. LV involvement is observed in the vast majority of SCD cases diagnosed with ACM at autopsy. Current Task Force criteria may fail to diagnose biventricular ACM prior to death.","author":[{"dropping-particle":"","family":"Miles","given":"Chris","non-dropping-particle":"","parse-names":false,"suffix":""},{"dropping-particle":"","family":"Finocchiaro","given":"Gherardo","non-dropping-particle":"","parse-names":false,"suffix":""},{"dropping-particle":"","family":"Papadakis","given":"Michael","non-dropping-particle":"","parse-names":false,"suffix":""},{"dropping-particle":"","family":"Gray","given":"Belinda","non-dropping-particle":"","parse-names":false,"suffix":""},{"dropping-particle":"","family":"Westaby","given":"Joseph","non-dropping-particle":"","parse-names":false,"suffix":""},{"dropping-particle":"","family":"Ensam","given":"Bode","non-dropping-particle":"","parse-names":false,"suffix":""},{"dropping-particle":"","family":"Basu","given":"Joyee","non-dropping-particle":"","parse-names":false,"suffix":""},{"dropping-particle":"","family":"Parry-Williams","given":"Gemma","non-dropping-particle":"","parse-names":false,"suffix":""},{"dropping-particle":"","family":"Papatheodorou","given":"Efstathios","non-dropping-particle":"","parse-names":false,"suffix":""},{"dropping-particle":"","family":"Paterson","given":"Casey","non-dropping-particle":"","parse-names":false,"suffix":""},{"dropping-particle":"","family":"Malhotra","given":"Aneil","non-dropping-particle":"","parse-names":false,"suffix":""},{"dropping-particle":"","family":"Robertus","given":"Jan Lukas","non-dropping-particle":"","parse-names":false,"suffix":""},{"dropping-particle":"","family":"Ware","given":"James S","non-dropping-particle":"","parse-names":false,"suffix":""},{"dropping-particle":"","family":"Cook","given":"Stuart A","non-dropping-particle":"","parse-names":false,"suffix":""},{"dropping-particle":"","family":"Asimaki","given":"Angeliki","non-dropping-particle":"","parse-names":false,"suffix":""},{"dropping-particle":"","family":"Witney","given":"Adam","non-dropping-particle":"","parse-names":false,"suffix":""},{"dropping-particle":"","family":"Chis Ster","given":"Irina","non-dropping-particle":"","parse-names":false,"suffix":""},{"dropping-particle":"","family":"Tome","given":"Maite","non-dropping-particle":"","parse-names":false,"suffix":""},{"dropping-particle":"","family":"Sharma","given":"Sanjay","non-dropping-particle":"","parse-names":false,"suffix":""},{"dropping-particle":"","family":"Behr","given":"Elijah R","non-dropping-particle":"","parse-names":false,"suffix":""},{"dropping-particle":"","family":"Sheppard","given":"Mary N","non-dropping-particle":"","parse-names":false,"suffix":""}],"container-title":"Circulation","id":"ITEM-2","issued":{"date-parts":[["2019","1","31"]]},"title":"Sudden Death and Left Ventricular Involvement in Arrhythmogenic Cardiomyopathy.","type":"article-journal"},"uris":["http://www.mendeley.com/documents/?uuid=5b191156-98b6-4079-8055-9a6a9b79919b"]}],"mendeley":{"formattedCitation":"&lt;sup&gt;8,10&lt;/sup&gt;","plainTextFormattedCitation":"8,10","previouslyFormattedCitation":"&lt;sup&gt;8,10&lt;/sup&gt;"},"properties":{"noteIndex":0},"schema":"https://github.com/citation-style-language/schema/raw/master/csl-citation.json"}</w:instrText>
      </w:r>
      <w:r>
        <w:rPr>
          <w:rFonts w:ascii="Calibri" w:hAnsi="Calibri" w:cs="Calibri"/>
          <w:bCs/>
          <w:lang w:val="en-GB"/>
        </w:rPr>
        <w:fldChar w:fldCharType="separate"/>
      </w:r>
      <w:r w:rsidR="001A2833" w:rsidRPr="001A2833">
        <w:rPr>
          <w:rFonts w:ascii="Calibri" w:hAnsi="Calibri" w:cs="Calibri"/>
          <w:bCs/>
          <w:noProof/>
          <w:vertAlign w:val="superscript"/>
          <w:lang w:val="en-GB"/>
        </w:rPr>
        <w:t>8,10</w:t>
      </w:r>
      <w:r>
        <w:rPr>
          <w:rFonts w:ascii="Calibri" w:hAnsi="Calibri" w:cs="Calibri"/>
          <w:bCs/>
          <w:lang w:val="en-GB"/>
        </w:rPr>
        <w:fldChar w:fldCharType="end"/>
      </w:r>
      <w:r>
        <w:rPr>
          <w:rFonts w:ascii="Calibri" w:hAnsi="Calibri" w:cs="Calibri"/>
          <w:bCs/>
          <w:lang w:val="en-GB"/>
        </w:rPr>
        <w:t>. When l</w:t>
      </w:r>
      <w:r w:rsidRPr="0041574E">
        <w:rPr>
          <w:rFonts w:ascii="Calibri" w:hAnsi="Calibri" w:cs="Calibri"/>
          <w:bCs/>
          <w:lang w:val="en-GB"/>
        </w:rPr>
        <w:t>eft ventricular hypertrophy (LVH)</w:t>
      </w:r>
      <w:r>
        <w:rPr>
          <w:rFonts w:ascii="Calibri" w:hAnsi="Calibri" w:cs="Calibri"/>
          <w:bCs/>
          <w:lang w:val="en-GB"/>
        </w:rPr>
        <w:t xml:space="preserve"> voltage</w:t>
      </w:r>
      <w:r w:rsidRPr="0041574E">
        <w:rPr>
          <w:rFonts w:ascii="Calibri" w:hAnsi="Calibri" w:cs="Calibri"/>
          <w:bCs/>
          <w:lang w:val="en-GB"/>
        </w:rPr>
        <w:t xml:space="preserve"> criteria (either Sokolow-Lyon or Cornell)</w:t>
      </w:r>
      <w:r>
        <w:rPr>
          <w:rFonts w:ascii="Calibri" w:hAnsi="Calibri" w:cs="Calibri"/>
          <w:bCs/>
          <w:lang w:val="en-GB"/>
        </w:rPr>
        <w:t xml:space="preserve"> are met </w:t>
      </w:r>
      <w:r w:rsidRPr="0041574E">
        <w:rPr>
          <w:rFonts w:ascii="Calibri" w:hAnsi="Calibri" w:cs="Calibri"/>
          <w:bCs/>
          <w:lang w:val="en-GB"/>
        </w:rPr>
        <w:t xml:space="preserve">in </w:t>
      </w:r>
      <w:r>
        <w:rPr>
          <w:rFonts w:ascii="Calibri" w:hAnsi="Calibri" w:cs="Calibri"/>
          <w:bCs/>
          <w:lang w:val="en-GB"/>
        </w:rPr>
        <w:t xml:space="preserve">patients with DCM, a hypertensive aetiology should be excluded </w:t>
      </w:r>
      <w:r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{"citationItems":[{"id":"ITEM-1","itemData":{"DOI":"10.1016/S0022-0736(05)80270-5","ISSN":"00220736","abstract":"To elucidate the electrocardiographic (ECG) characteristics of dilated cardiomyopathy (DCM), the authors analyzed the 12-lead ECGs and echocardiograms in 45 patients with DCM, 54 patients with left ventricular (LV) dilatation secondary to valvular heart disease (VHD), 101 hypertensive patients with LV hypertrophy, and 63 normal control subjects. In addition, serial ECG and echocardiographic changes in DCM during a mean follow-up period of 1.6 years were evaluated. Sokolow's criterion (S wave in lead V 1 [SV 1 ] + R wave in lead V 5 or V 6 [RV 5 or RV 6 ] &gt; 35 mm) was met comparably in patients with DCM (69%), VHD (61%), and hypertension (74%) (P = NS). Notably, RV 6 in DCM was the highest among the four groups and correlated with the degree of LV dilatation. In contrast, the R waves in leads I, II, and III (RI, RII, RIII) in DCM were the lowest and were not affected by the degree of LV dilatation, although RII and RIII in VHD and RI in hypertension correlated with the degree of LV dilatation and hypertrophy, respectively. As a result, all voltage ratios of RV6/RI, RII, RIII in DCM were not only the highest, but also increased linearly as the LV dilated progressively during the follow-up period. In particular, RV 6 over the maximum R wave in leads I, II, and III (RV 6 /Rmax) in DCM correlated with the degree of LV dilatation and inversely correlated with ejection fraction. Subjects with DCM had a significantly higher RV 6 /Rmax than did patients with VHD, hypertension, and normal subjects (3.4 vs 1.7, 1.4, 1.2, respectively; P &lt; .001), and this ratio of ≥3 was seen in 67% of the DCM patients versus 4% of the VHD patients, 1% of the hypertensive patients, and 0% of the normal subjects. Thus, DCM commonly shows the ECG signs of LV hypertrophy, but characteristically has the high voltage ratios of RV6/RI, RII, RIII. © 1994 Churchill Livingstone.","author":[{"dropping-particle":"","family":"Momiyama","given":"Yukihiko","non-dropping-particle":"","parse-names":false,"suffix":""},{"dropping-particle":"","family":"Mitamura","given":"Hideo","non-dropping-particle":"","parse-names":false,"suffix":""},{"dropping-particle":"","family":"Kimura","given":"Mitsuru","non-dropping-particle":"","parse-names":false,"suffix":""}],"container-title":"Journal of Electrocardiology","id":"ITEM-1","issued":{"date-parts":[["1994"]]},"title":"ECG characteristics of dilated cardiomyopathy","type":"article-journal"},"uris":["http://www.mendeley.com/documents/?uuid=95dfb0bd-7b78-4f4a-bd44-a224bde7fc50","http://www.mendeley.com/documents/?uuid=0acd58eb-ecc0-4171-8a26-436cf9eb43b7"]},{"id":"ITEM-2","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Medicine","id":"ITEM-2","issued":{"date-parts":[["2019"]]},"page":"1","title":"ECG in dilated cardiomyopathy","type":"article-journal"},"uris":["http://www.mendeley.com/documents/?uuid=5b48a96d-6f5b-490f-b672-42cab0d4d9c8","http://www.mendeley.com/documents/?uuid=ad6368ce-867a-4c1f-b85c-73a6e61567ab"]},{"id":"ITEM-3","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Cardiology","id":"ITEM-3","issued":{"date-parts":[["1987"]]},"title":"Idiopathic dilated Cardiomyopathy: Analysis of 152 necropsy patients","type":"article-journal"},"uris":["http://www.mendeley.com/documents/?uuid=b21c543c-eed7-4263-95fa-11de3d31f599","http://www.mendeley.com/documents/?uuid=c4100594-ac34-4dfc-b2c4-e6473cc844d4","http://www.mendeley.com/documents/?uuid=c306443f-c334-4de5-95f7-a00f56d29052"]}],"mendeley":{"formattedCitation":"&lt;sup&gt;2,5,11&lt;/sup&gt;","plainTextFormattedCitation":"2,5,11","previouslyFormattedCitation":"&lt;sup&gt;2,5,11&lt;/sup&gt;"},"properties":{"noteIndex":0},"schema":"https://github.com/citation-style-language/schema/raw/master/csl-citation.json"}</w:instrText>
      </w:r>
      <w:r w:rsidRPr="0041574E">
        <w:rPr>
          <w:rFonts w:ascii="Calibri" w:hAnsi="Calibri" w:cs="Calibri"/>
          <w:bCs/>
          <w:lang w:val="en-GB"/>
        </w:rPr>
        <w:fldChar w:fldCharType="separate"/>
      </w:r>
      <w:r w:rsidR="001A2833" w:rsidRPr="001A2833">
        <w:rPr>
          <w:rFonts w:ascii="Calibri" w:hAnsi="Calibri" w:cs="Calibri"/>
          <w:bCs/>
          <w:noProof/>
          <w:vertAlign w:val="superscript"/>
          <w:lang w:val="en-GB"/>
        </w:rPr>
        <w:t>2,5,11</w:t>
      </w:r>
      <w:r w:rsidRPr="0041574E">
        <w:rPr>
          <w:rFonts w:ascii="Calibri" w:hAnsi="Calibri" w:cs="Calibri"/>
          <w:bCs/>
          <w:lang w:val="en-GB"/>
        </w:rPr>
        <w:fldChar w:fldCharType="end"/>
      </w:r>
      <w:r w:rsidRPr="0041574E">
        <w:rPr>
          <w:rFonts w:ascii="Calibri" w:hAnsi="Calibri" w:cs="Calibri"/>
          <w:bCs/>
          <w:lang w:val="en-GB"/>
        </w:rPr>
        <w:t xml:space="preserve">. </w:t>
      </w:r>
    </w:p>
    <w:p w14:paraId="17334032" w14:textId="27BBDE20" w:rsidR="00EC6413" w:rsidRDefault="0048691B" w:rsidP="00EC6413">
      <w:pPr>
        <w:spacing w:after="160" w:line="480" w:lineRule="auto"/>
        <w:ind w:firstLine="720"/>
        <w:rPr>
          <w:rFonts w:ascii="Calibri" w:hAnsi="Calibri" w:cs="Calibri"/>
          <w:bCs/>
          <w:lang w:val="en-GB"/>
        </w:rPr>
      </w:pPr>
      <w:r>
        <w:rPr>
          <w:rFonts w:ascii="Calibri" w:hAnsi="Calibri" w:cs="Calibri"/>
          <w:bCs/>
          <w:lang w:val="en-GB"/>
        </w:rPr>
        <w:lastRenderedPageBreak/>
        <w:t>L</w:t>
      </w:r>
      <w:r w:rsidR="008C0735" w:rsidRPr="0041574E">
        <w:rPr>
          <w:rFonts w:ascii="Calibri" w:hAnsi="Calibri" w:cs="Calibri"/>
          <w:bCs/>
          <w:lang w:val="en-GB"/>
        </w:rPr>
        <w:t xml:space="preserve">eft bundle branch block (LBBB) is found in </w:t>
      </w:r>
      <w:r>
        <w:rPr>
          <w:rFonts w:ascii="Calibri" w:hAnsi="Calibri" w:cs="Calibri"/>
          <w:bCs/>
          <w:lang w:val="en-GB"/>
        </w:rPr>
        <w:t>roughly one third</w:t>
      </w:r>
      <w:r w:rsidR="008C0735" w:rsidRPr="0041574E">
        <w:rPr>
          <w:rFonts w:ascii="Calibri" w:hAnsi="Calibri" w:cs="Calibri"/>
          <w:bCs/>
          <w:lang w:val="en-GB"/>
        </w:rPr>
        <w:t xml:space="preserve"> of patients</w:t>
      </w:r>
      <w:r>
        <w:rPr>
          <w:rFonts w:ascii="Calibri" w:hAnsi="Calibri" w:cs="Calibri"/>
          <w:bCs/>
          <w:lang w:val="en-GB"/>
        </w:rPr>
        <w:t xml:space="preserve"> with DCM</w:t>
      </w:r>
      <w:r w:rsidR="00A20314">
        <w:rPr>
          <w:rFonts w:ascii="Calibri" w:hAnsi="Calibri" w:cs="Calibri"/>
          <w:bCs/>
          <w:lang w:val="en-GB"/>
        </w:rPr>
        <w:fldChar w:fldCharType="begin" w:fldLock="1"/>
      </w:r>
      <w:r w:rsidR="001A2833">
        <w:rPr>
          <w:rFonts w:ascii="Calibri" w:hAnsi="Calibri" w:cs="Calibri"/>
          <w:bCs/>
          <w:lang w:val="en-GB"/>
        </w:rPr>
        <w:instrText>ADDIN CSL_CITATION {"citationItems":[{"id":"ITEM-1","itemData":{"DOI":"10.1016/S0140-6736(16)31713-5","ISSN":"1474-547X","PMID":"28190577","abstract":"Dilated cardiomyopathy is defined by the presence of left ventricular dilatation and contractile dysfunction. Genetic mutations involving genes that encode cytoskeletal, sarcomere, and nuclear envelope proteins, among others, account for up to 35% of cases. Acquired causes include myocarditis and exposure to alcohol, drugs and toxins, and metabolic and endocrine disturbances. The most common presenting symptoms relate to congestive heart failure, but can also include circulatory collapse, arrhythmias, and thromboembolic events. Secondary neurohormonal changes contribute to reverse remodelling and ongoing myocyte damage. The prognosis is worst for individuals with the lowest ejection fractions or severe diastolic dysfunction. Treatment of chronic heart failure comprises medications that improve survival and reduce hospital admission-namely, angiotensin converting enzyme inhibitors and β blockers. Other interventions include enrolment in a multidisciplinary heart failure service, and device therapy for arrhythmia management and sudden death prevention. Patients who are refractory to medical therapy might benefit from mechanical circulatory support and heart transplantation. Treatment of preclinical disease and the potential role of stem-cell therapy are being investigated.","author":[{"dropping-particle":"","family":"Weintraub","given":"Robert G","non-dropping-particle":"","parse-names":false,"suffix":""},{"dropping-particle":"","family":"Semsarian","given":"Christopher","non-dropping-particle":"","parse-names":false,"suffix":""},{"dropping-particle":"","family":"Macdonald","given":"Peter","non-dropping-particle":"","parse-names":false,"suffix":""}],"container-title":"Lancet (London, England)","id":"ITEM-1","issue":"10092","issued":{"date-parts":[["2017"]]},"page":"400-414","title":"Dilated cardiomyopathy.","type":"article-journal","volume":"390"},"uris":["http://www.mendeley.com/documents/?uuid=57828535-8f6e-4d90-a84a-d38658c2300e"]}],"mendeley":{"formattedCitation":"&lt;sup&gt;12&lt;/sup&gt;","plainTextFormattedCitation":"12","previouslyFormattedCitation":"&lt;sup&gt;12&lt;/sup&gt;"},"properties":{"noteIndex":0},"schema":"https://github.com/citation-style-language/schema/raw/master/csl-citation.json"}</w:instrText>
      </w:r>
      <w:r w:rsidR="00A20314">
        <w:rPr>
          <w:rFonts w:ascii="Calibri" w:hAnsi="Calibri" w:cs="Calibri"/>
          <w:bCs/>
          <w:lang w:val="en-GB"/>
        </w:rPr>
        <w:fldChar w:fldCharType="separate"/>
      </w:r>
      <w:r w:rsidR="001A2833" w:rsidRPr="001A2833">
        <w:rPr>
          <w:rFonts w:ascii="Calibri" w:hAnsi="Calibri" w:cs="Calibri"/>
          <w:bCs/>
          <w:noProof/>
          <w:vertAlign w:val="superscript"/>
          <w:lang w:val="en-GB"/>
        </w:rPr>
        <w:t>12</w:t>
      </w:r>
      <w:r w:rsidR="00A20314">
        <w:rPr>
          <w:rFonts w:ascii="Calibri" w:hAnsi="Calibri" w:cs="Calibri"/>
          <w:bCs/>
          <w:lang w:val="en-GB"/>
        </w:rPr>
        <w:fldChar w:fldCharType="end"/>
      </w:r>
      <w:r w:rsidR="00411FE5">
        <w:rPr>
          <w:rFonts w:ascii="Calibri" w:hAnsi="Calibri" w:cs="Calibri"/>
          <w:bCs/>
          <w:lang w:val="en-GB"/>
        </w:rPr>
        <w:t>, sometimes preceding the structural phenotype,</w:t>
      </w:r>
      <w:r w:rsidR="008C0735" w:rsidRPr="0041574E">
        <w:rPr>
          <w:rFonts w:ascii="Calibri" w:hAnsi="Calibri" w:cs="Calibri"/>
          <w:bCs/>
          <w:lang w:val="en-GB"/>
        </w:rPr>
        <w:t xml:space="preserve"> and carries a</w:t>
      </w:r>
      <w:r w:rsidR="00411FE5">
        <w:rPr>
          <w:rFonts w:ascii="Calibri" w:hAnsi="Calibri" w:cs="Calibri"/>
          <w:bCs/>
          <w:lang w:val="en-GB"/>
        </w:rPr>
        <w:t>n adverse</w:t>
      </w:r>
      <w:r w:rsidR="008C0735" w:rsidRPr="0041574E">
        <w:rPr>
          <w:rFonts w:ascii="Calibri" w:hAnsi="Calibri" w:cs="Calibri"/>
          <w:bCs/>
          <w:lang w:val="en-GB"/>
        </w:rPr>
        <w:t xml:space="preserve"> prognostic value</w:t>
      </w:r>
      <w:r w:rsidR="001D6BE0">
        <w:rPr>
          <w:rFonts w:ascii="Calibri" w:hAnsi="Calibri" w:cs="Calibri"/>
          <w:bCs/>
          <w:lang w:val="en-GB"/>
        </w:rPr>
        <w:t>;</w:t>
      </w:r>
      <w:r w:rsidR="00411FE5">
        <w:rPr>
          <w:rFonts w:ascii="Calibri" w:hAnsi="Calibri" w:cs="Calibri"/>
          <w:bCs/>
          <w:lang w:val="en-GB"/>
        </w:rPr>
        <w:t xml:space="preserve"> </w:t>
      </w:r>
      <w:r w:rsidR="00EC6413" w:rsidRPr="00EC6413">
        <w:rPr>
          <w:rFonts w:ascii="Calibri" w:hAnsi="Calibri" w:cs="Calibri"/>
          <w:bCs/>
          <w:lang w:val="en-GB"/>
        </w:rPr>
        <w:t>LBBB can be the result of a discrete lesion within the his bundle, as suggested by Narula</w:t>
      </w:r>
      <w:r w:rsidR="00EC6413">
        <w:rPr>
          <w:rFonts w:ascii="Calibri" w:hAnsi="Calibri" w:cs="Calibri"/>
          <w:bCs/>
          <w:lang w:val="en-GB"/>
        </w:rPr>
        <w:t xml:space="preserve"> et al</w:t>
      </w:r>
      <w:r w:rsidR="00ED396B">
        <w:rPr>
          <w:rFonts w:ascii="Calibri" w:hAnsi="Calibri" w:cs="Calibri"/>
          <w:bCs/>
          <w:lang w:val="en-GB"/>
        </w:rPr>
        <w:t>.</w:t>
      </w:r>
      <w:r w:rsidR="00ED396B">
        <w:rPr>
          <w:rFonts w:ascii="Calibri" w:hAnsi="Calibri" w:cs="Calibri"/>
          <w:bCs/>
          <w:lang w:val="en-GB"/>
        </w:rPr>
        <w:fldChar w:fldCharType="begin" w:fldLock="1"/>
      </w:r>
      <w:r w:rsidR="001A2833">
        <w:rPr>
          <w:rFonts w:ascii="Calibri" w:hAnsi="Calibri" w:cs="Calibri"/>
          <w:bCs/>
          <w:lang w:val="en-GB"/>
        </w:rPr>
        <w:instrText>ADDIN CSL_CITATION {"citationItems":[{"id":"ITEM-1","itemData":{"DOI":"10.1161/01.cir.56.6.996","ISSN":"0009-7322","PMID":"923070","author":[{"dropping-particle":"","family":"Narula","given":"O S","non-dropping-particle":"","parse-names":false,"suffix":""}],"container-title":"Circulation","id":"ITEM-1","issue":"6","issued":{"date-parts":[["1977","12"]]},"page":"996-1006","title":"Longitudinal dissociation in the His bundle. Bundle branch block due to asynchronous conduction within the His bundle in man.","type":"article-journal","volume":"56"},"uris":["http://www.mendeley.com/documents/?uuid=887385ef-3aed-4c1c-ac26-81461d36ac87"]}],"mendeley":{"formattedCitation":"&lt;sup&gt;13&lt;/sup&gt;","plainTextFormattedCitation":"13","previouslyFormattedCitation":"&lt;sup&gt;13&lt;/sup&gt;"},"properties":{"noteIndex":0},"schema":"https://github.com/citation-style-language/schema/raw/master/csl-citation.json"}</w:instrText>
      </w:r>
      <w:r w:rsidR="00ED396B">
        <w:rPr>
          <w:rFonts w:ascii="Calibri" w:hAnsi="Calibri" w:cs="Calibri"/>
          <w:bCs/>
          <w:lang w:val="en-GB"/>
        </w:rPr>
        <w:fldChar w:fldCharType="separate"/>
      </w:r>
      <w:r w:rsidR="001A2833" w:rsidRPr="001A2833">
        <w:rPr>
          <w:rFonts w:ascii="Calibri" w:hAnsi="Calibri" w:cs="Calibri"/>
          <w:bCs/>
          <w:noProof/>
          <w:vertAlign w:val="superscript"/>
          <w:lang w:val="en-GB"/>
        </w:rPr>
        <w:t>13</w:t>
      </w:r>
      <w:r w:rsidR="00ED396B">
        <w:rPr>
          <w:rFonts w:ascii="Calibri" w:hAnsi="Calibri" w:cs="Calibri"/>
          <w:bCs/>
          <w:lang w:val="en-GB"/>
        </w:rPr>
        <w:fldChar w:fldCharType="end"/>
      </w:r>
      <w:r w:rsidR="00EC6413" w:rsidRPr="00EC6413">
        <w:rPr>
          <w:rFonts w:ascii="Calibri" w:hAnsi="Calibri" w:cs="Calibri"/>
          <w:bCs/>
          <w:lang w:val="en-GB"/>
        </w:rPr>
        <w:t xml:space="preserve">, explaining why pacing at the distal </w:t>
      </w:r>
      <w:r w:rsidR="00EC6413">
        <w:rPr>
          <w:rFonts w:ascii="Calibri" w:hAnsi="Calibri" w:cs="Calibri"/>
          <w:bCs/>
          <w:lang w:val="en-GB"/>
        </w:rPr>
        <w:t>H</w:t>
      </w:r>
      <w:r w:rsidR="00EC6413" w:rsidRPr="00EC6413">
        <w:rPr>
          <w:rFonts w:ascii="Calibri" w:hAnsi="Calibri" w:cs="Calibri"/>
          <w:bCs/>
          <w:lang w:val="en-GB"/>
        </w:rPr>
        <w:t>is bundle can improve electrical end echocardiographic desynchronization in patients with LBBB</w:t>
      </w:r>
      <w:r w:rsidR="00EC6413">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{"citationItems":[{"id":"ITEM-1","itemData":{"DOI":"10.1016/j.hrthm.2015.03.048","ISSN":"1556-3871","PMID":"25828601","abstract":"BACKGROUND Cardiac resynchronization therapy (CRT) typically is attempted with biventricular pacing (BiVP). One-third of patients are nonresponders. His-bundle pacing (HBP) has been evaluated as an alternative means of effecting CRT because it generates truly physiologic ventricular activation, as evidenced in part by the morphologic identity between normally conducted and paced QRS complexes. OBJECTIVE The purpose of this study was to assess the feasibility of, and clinical response to, permanent HBP as an alternative to BiVP in CRT-indicated patients. METHODS Patients were implanted with a right atrial pacing lead, defibrillation lead, left ventricular (LV) lead via the coronary sinus, and HBP lead. His and LV leads were plugged into the LV port via a Y-adapter. After successful implant, patients were randomized in single patient-blinded fashion to either HBP or BiVP. After 6 months, patients were crossed over to the other pacing modality and followed for another 6 months. Quality-of-life assessments, echocardiographic measurements, New York Heart Association classification, and 6-minute hall walk test were obtained at baseline and at each 6-month follow-up. RESULTS Twenty-nine patients were enrolled; 21 (72%) demonstrated electrical resynchronization (QRS narrowing) at implant. Twelve patients completed the crossover analysis at 1 year. Clinical outcomes (quality of life, New York Heart Association functional class, 6-minute hall walk test, LV ejection fraction) were significantly improved for both pacing modes compared with baseline measures. CONCLUSION In this crossover comparison between HBP and BiVP, HBP was found to effect an equivalent CRT response. QRS narrowing was observed in 21 of 29 patients, suggesting this approach may be feasible in more patients with left bundle branch block than previously assumed.","author":[{"dropping-particle":"","family":"Lustgarten","given":"Daniel L","non-dropping-particle":"","parse-names":false,"suffix":""},{"dropping-particle":"","family":"Crespo","given":"Eric M","non-dropping-particle":"","parse-names":false,"suffix":""},{"dropping-particle":"","family":"Arkhipova-Jenkins","given":"Irina","non-dropping-particle":"","parse-names":false,"suffix":""},{"dropping-particle":"","family":"Lobel","given":"Robert","non-dropping-particle":"","parse-names":false,"suffix":""},{"dropping-particle":"","family":"Winget","given":"Joseph","non-dropping-particle":"","parse-names":false,"suffix":""},{"dropping-particle":"","family":"Koehler","given":"Jodi","non-dropping-particle":"","parse-names":false,"suffix":""},{"dropping-particle":"","family":"Liberman","given":"Evan","non-dropping-particle":"","parse-names":false,"suffix":""},{"dropping-particle":"","family":"Sheldon","given":"Todd","non-dropping-particle":"","parse-names":false,"suffix":""}],"container-title":"Heart rhythm","id":"ITEM-1","issue":"7","issued":{"date-parts":[["2015","7"]]},"page":"1548-57","title":"His-bundle pacing versus biventricular pacing in cardiac resynchronization therapy patients: A crossover design comparison.","type":"article-journal","volume":"12"},"uris":["http://www.mendeley.com/documents/?uuid=58f2010c-e3d9-4161-98dd-84af638a5ce4"]}],"mendeley":{"formattedCitation":"&lt;sup&gt;14&lt;/sup&gt;","plainTextFormattedCitation":"14","previouslyFormattedCitation":"&lt;sup&gt;14&lt;/sup&gt;"},"properties":{"noteIndex":0},"schema":"https://github.com/citation-style-language/schema/raw/master/csl-citation.json"}</w:instrText>
      </w:r>
      <w:r w:rsidR="00EC6413">
        <w:rPr>
          <w:rFonts w:ascii="Calibri" w:hAnsi="Calibri" w:cs="Calibri"/>
          <w:bCs/>
          <w:lang w:val="en-GB"/>
        </w:rPr>
        <w:fldChar w:fldCharType="separate"/>
      </w:r>
      <w:r w:rsidR="001A2833" w:rsidRPr="001A2833">
        <w:rPr>
          <w:rFonts w:ascii="Calibri" w:hAnsi="Calibri" w:cs="Calibri"/>
          <w:bCs/>
          <w:noProof/>
          <w:vertAlign w:val="superscript"/>
          <w:lang w:val="en-GB"/>
        </w:rPr>
        <w:t>14</w:t>
      </w:r>
      <w:r w:rsidR="00EC6413">
        <w:rPr>
          <w:rFonts w:ascii="Calibri" w:hAnsi="Calibri" w:cs="Calibri"/>
          <w:bCs/>
          <w:lang w:val="en-GB"/>
        </w:rPr>
        <w:fldChar w:fldCharType="end"/>
      </w:r>
      <w:r w:rsidR="00EC6413" w:rsidRPr="00EC6413">
        <w:rPr>
          <w:rFonts w:ascii="Calibri" w:hAnsi="Calibri" w:cs="Calibri"/>
          <w:bCs/>
          <w:lang w:val="en-GB"/>
        </w:rPr>
        <w:t>.</w:t>
      </w:r>
      <w:r w:rsidR="00EC6413">
        <w:rPr>
          <w:rFonts w:ascii="Calibri" w:hAnsi="Calibri" w:cs="Calibri"/>
          <w:bCs/>
          <w:lang w:val="en-GB"/>
        </w:rPr>
        <w:t xml:space="preserve"> </w:t>
      </w:r>
      <w:r w:rsidR="00EC6413" w:rsidRPr="00EC6413">
        <w:rPr>
          <w:rFonts w:ascii="Calibri" w:hAnsi="Calibri" w:cs="Calibri"/>
          <w:bCs/>
          <w:lang w:val="en-GB"/>
        </w:rPr>
        <w:t>Many patients with a diagnosis of LBBB have a combination of left ventricular hypertrophy and left anterior fascicular block rather than true LBBB</w:t>
      </w:r>
      <w:r w:rsidR="00EC6413">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{"citationItems":[{"id":"ITEM-1","itemData":{"DOI":"10.1016/j.amjcard.2010.11.010","ISSN":"1879-1913","PMID":"21376930","abstract":"Cardiac resynchronization therapy (CRT) has emerged as an attractive intervention to improve left ventricular mechanical function by changing the sequence of electrical activation. Unfortunately, many patients receiving CRT do not benefit but are subjected to device complications and costs. Thus, there is a need for better selection criteria. Current criteria for CRT eligibility include a QRS duration ≥ 120 ms. However, QRS morphology is not considered, although it can indicate the cause of delayed conduction. Recent studies have suggested that only patients with left bundle branch block (LBBB) benefit from CRT, and not patients with right bundle branch block or nonspecific intraventricular conduction delay. The authors review the pathophysiologic and clinical evidence supporting why only patients with complete LBBB benefit from CRT. Furthermore, they review how the threshold of 120 ms to define LBBB was derived subjectively at a time when criteria for LBBB and right bundle branch block were mistakenly reversed. Three key studies over the past 65 years have suggested that 1/3 of patients diagnosed with LBBB by conventional electrocardiographic criteria may not have true complete LBBB, but likely have a combination of left ventricular hypertrophy and left anterior fascicular block. On the basis of additional insights from computer simulations, the investigators propose stricter criteria for complete LBBB that include a QRS duration ≥ 140 ms for men and ≥ 130 ms for women, along with mid-QRS notching or slurring in ≥ 2 contiguous leads. Further studies are needed to reinvestigate the electrocardiographic criteria for complete LBBB and the implications of these criteria for selecting patients for CRT.","author":[{"dropping-particle":"","family":"Strauss","given":"David G","non-dropping-particle":"","parse-names":false,"suffix":""},{"dropping-particle":"","family":"Selvester","given":"Ronald H","non-dropping-particle":"","parse-names":false,"suffix":""},{"dropping-particle":"","family":"Wagner","given":"Galen S","non-dropping-particle":"","parse-names":false,"suffix":""}],"container-title":"The American journal of cardiology","id":"ITEM-1","issue":"6","issued":{"date-parts":[["2011","3","15"]]},"page":"927-34","title":"Defining left bundle branch block in the era of cardiac resynchronization therapy.","type":"article-journal","volume":"107"},"uris":["http://www.mendeley.com/documents/?uuid=f8e27664-2873-4855-8c5b-0faad5b1cb82"]}],"mendeley":{"formattedCitation":"&lt;sup&gt;15&lt;/sup&gt;","plainTextFormattedCitation":"15","previouslyFormattedCitation":"&lt;sup&gt;15&lt;/sup&gt;"},"properties":{"noteIndex":0},"schema":"https://github.com/citation-style-language/schema/raw/master/csl-citation.json"}</w:instrText>
      </w:r>
      <w:r w:rsidR="00EC6413">
        <w:rPr>
          <w:rFonts w:ascii="Calibri" w:hAnsi="Calibri" w:cs="Calibri"/>
          <w:bCs/>
          <w:lang w:val="en-GB"/>
        </w:rPr>
        <w:fldChar w:fldCharType="separate"/>
      </w:r>
      <w:r w:rsidR="001A2833" w:rsidRPr="001A2833">
        <w:rPr>
          <w:rFonts w:ascii="Calibri" w:hAnsi="Calibri" w:cs="Calibri"/>
          <w:bCs/>
          <w:noProof/>
          <w:vertAlign w:val="superscript"/>
          <w:lang w:val="en-GB"/>
        </w:rPr>
        <w:t>15</w:t>
      </w:r>
      <w:r w:rsidR="00EC6413">
        <w:rPr>
          <w:rFonts w:ascii="Calibri" w:hAnsi="Calibri" w:cs="Calibri"/>
          <w:bCs/>
          <w:lang w:val="en-GB"/>
        </w:rPr>
        <w:fldChar w:fldCharType="end"/>
      </w:r>
      <w:r w:rsidR="00EC6413" w:rsidRPr="00EC6413">
        <w:rPr>
          <w:rFonts w:ascii="Calibri" w:hAnsi="Calibri" w:cs="Calibri"/>
          <w:bCs/>
          <w:lang w:val="en-GB"/>
        </w:rPr>
        <w:t xml:space="preserve">. True LBBB should be diagnosed if QRS duration is ≥140 </w:t>
      </w:r>
      <w:proofErr w:type="spellStart"/>
      <w:r w:rsidR="00EC6413" w:rsidRPr="00EC6413">
        <w:rPr>
          <w:rFonts w:ascii="Calibri" w:hAnsi="Calibri" w:cs="Calibri"/>
          <w:bCs/>
          <w:lang w:val="en-GB"/>
        </w:rPr>
        <w:t>ms</w:t>
      </w:r>
      <w:proofErr w:type="spellEnd"/>
      <w:r w:rsidR="00EC6413" w:rsidRPr="00EC6413">
        <w:rPr>
          <w:rFonts w:ascii="Calibri" w:hAnsi="Calibri" w:cs="Calibri"/>
          <w:bCs/>
          <w:lang w:val="en-GB"/>
        </w:rPr>
        <w:t xml:space="preserve"> (130 </w:t>
      </w:r>
      <w:proofErr w:type="spellStart"/>
      <w:r w:rsidR="00EC6413" w:rsidRPr="00EC6413">
        <w:rPr>
          <w:rFonts w:ascii="Calibri" w:hAnsi="Calibri" w:cs="Calibri"/>
          <w:bCs/>
          <w:lang w:val="en-GB"/>
        </w:rPr>
        <w:t>ms</w:t>
      </w:r>
      <w:proofErr w:type="spellEnd"/>
      <w:r w:rsidR="00EC6413" w:rsidRPr="00EC6413">
        <w:rPr>
          <w:rFonts w:ascii="Calibri" w:hAnsi="Calibri" w:cs="Calibri"/>
          <w:bCs/>
          <w:lang w:val="en-GB"/>
        </w:rPr>
        <w:t xml:space="preserve"> in women), there is a QS or </w:t>
      </w:r>
      <w:proofErr w:type="spellStart"/>
      <w:r w:rsidR="00EC6413" w:rsidRPr="00EC6413">
        <w:rPr>
          <w:rFonts w:ascii="Calibri" w:hAnsi="Calibri" w:cs="Calibri"/>
          <w:bCs/>
          <w:lang w:val="en-GB"/>
        </w:rPr>
        <w:t>rS</w:t>
      </w:r>
      <w:proofErr w:type="spellEnd"/>
      <w:r w:rsidR="00EC6413" w:rsidRPr="00EC6413">
        <w:rPr>
          <w:rFonts w:ascii="Calibri" w:hAnsi="Calibri" w:cs="Calibri"/>
          <w:bCs/>
          <w:lang w:val="en-GB"/>
        </w:rPr>
        <w:t xml:space="preserve"> pattern in V1-V2 and mid-QRS notching or slurring in ≥2 of leads V1, V2, V5, V6, I, </w:t>
      </w:r>
      <w:proofErr w:type="spellStart"/>
      <w:r w:rsidR="00EC6413" w:rsidRPr="00EC6413">
        <w:rPr>
          <w:rFonts w:ascii="Calibri" w:hAnsi="Calibri" w:cs="Calibri"/>
          <w:bCs/>
          <w:lang w:val="en-GB"/>
        </w:rPr>
        <w:t>aVL</w:t>
      </w:r>
      <w:proofErr w:type="spellEnd"/>
      <w:r w:rsidR="00EC6413" w:rsidRPr="00EC6413">
        <w:rPr>
          <w:rFonts w:ascii="Calibri" w:hAnsi="Calibri" w:cs="Calibri"/>
          <w:bCs/>
          <w:lang w:val="en-GB"/>
        </w:rPr>
        <w:t xml:space="preserve">. After </w:t>
      </w:r>
      <w:r w:rsidR="00CF47A8">
        <w:rPr>
          <w:rFonts w:ascii="Calibri" w:hAnsi="Calibri" w:cs="Calibri"/>
          <w:bCs/>
          <w:lang w:val="en-GB"/>
        </w:rPr>
        <w:t>c</w:t>
      </w:r>
      <w:r w:rsidR="00EC6413" w:rsidRPr="00EC6413">
        <w:rPr>
          <w:rFonts w:ascii="Calibri" w:hAnsi="Calibri" w:cs="Calibri"/>
          <w:bCs/>
          <w:lang w:val="en-GB"/>
        </w:rPr>
        <w:t xml:space="preserve">ardiac </w:t>
      </w:r>
      <w:r w:rsidR="00CF47A8">
        <w:rPr>
          <w:rFonts w:ascii="Calibri" w:hAnsi="Calibri" w:cs="Calibri"/>
          <w:bCs/>
          <w:lang w:val="en-GB"/>
        </w:rPr>
        <w:t>r</w:t>
      </w:r>
      <w:r w:rsidR="00EC6413" w:rsidRPr="00EC6413">
        <w:rPr>
          <w:rFonts w:ascii="Calibri" w:hAnsi="Calibri" w:cs="Calibri"/>
          <w:bCs/>
          <w:lang w:val="en-GB"/>
        </w:rPr>
        <w:t xml:space="preserve">esynchronization </w:t>
      </w:r>
      <w:r w:rsidR="00CF47A8">
        <w:rPr>
          <w:rFonts w:ascii="Calibri" w:hAnsi="Calibri" w:cs="Calibri"/>
          <w:bCs/>
          <w:lang w:val="en-GB"/>
        </w:rPr>
        <w:t>t</w:t>
      </w:r>
      <w:r w:rsidR="00EC6413" w:rsidRPr="00EC6413">
        <w:rPr>
          <w:rFonts w:ascii="Calibri" w:hAnsi="Calibri" w:cs="Calibri"/>
          <w:bCs/>
          <w:lang w:val="en-GB"/>
        </w:rPr>
        <w:t>herapy, this morphology is associated with a better echocardiographic response and survival than other intraventricular delays</w:t>
      </w:r>
      <w:r w:rsidR="00CF47A8">
        <w:rPr>
          <w:rFonts w:ascii="Calibri" w:hAnsi="Calibri" w:cs="Calibri"/>
          <w:bCs/>
          <w:lang w:val="en-GB"/>
        </w:rPr>
        <w:fldChar w:fldCharType="begin" w:fldLock="1"/>
      </w:r>
      <w:r w:rsidR="001A2833">
        <w:rPr>
          <w:rFonts w:ascii="Calibri" w:hAnsi="Calibri" w:cs="Calibri"/>
          <w:bCs/>
          <w:lang w:val="en-GB"/>
        </w:rPr>
        <w:instrText>ADDIN CSL_CITATION {"citationItems":[{"id":"ITEM-1","itemData":{"DOI":"10.1111/j.1540-8159.2012.03427.x","ISSN":"1540-8159","PMID":"22651702","abstract":"BACKGROUND Cardiac resynchronization therapy (CRT) has proved to be very effective in improving morbidity and mortality in patients affected with severe congestive heart failure. Its efficacy has been shown to be greater in patients with left bundle branch block (LBBB). The aim of our study was to verify if newly proposed criteria for true LBBB identify patients with a better clinical and instrumental response to CRT. METHODS Between May 2007 and April 2011, 111 patients with left ventricular ejection fraction (LVEF) ≤ 35% and LBBB morphology received a CRT device and were divided into two groups according to QRS morphology. Group 1 (61 patients) consisted of patients with \"true\" LBBB morphology; group 2 (50 patients) consisted of patients with \"false\" LBBB. The primary endpoint was the utility of criteria for true LBBB to predict a composite endpoint of all-cause mortality and hospital admission with heart failure. The secondary endpoint was the utility of the same criteria to predict an absolute increase in LVEF ≥ 10%. RESULTS \"False\" LBBB morphology and a dose of bisoprolol &lt;5 mg at last follow-up were the only parameters related to clinical outcome in multivariate analysis (respectively: hazard ratio [HR] 3.98, confidence interval [CI] 95% 1.51-10.48; HR 0.15, CI 95% 0.05-0.43). \"True\" LBBB morphology was the only variable significantly related to a greater increase in LVEF (HR 4.57, CI 95% 1.36-8.28). CONCLUSION True LBBB morphology is related to a higher event-free survival rate in CRT patients and better echocardiographic response.","author":[{"dropping-particle":"","family":"Mascioli","given":"Giosuè","non-dropping-particle":"","parse-names":false,"suffix":""},{"dropping-particle":"","family":"Padeletti","given":"Luigi","non-dropping-particle":"","parse-names":false,"suffix":""},{"dropping-particle":"","family":"Sassone","given":"Biagio","non-dropping-particle":"","parse-names":false,"suffix":""},{"dropping-particle":"","family":"Zecchin","given":"Massimo","non-dropping-particle":"","parse-names":false,"suffix":""},{"dropping-particle":"","family":"Lucca","given":"Elena","non-dropping-particle":"","parse-names":false,"suffix":""},{"dropping-particle":"","family":"Sacchi","given":"Stefania","non-dropping-particle":"","parse-names":false,"suffix":""},{"dropping-particle":"","family":"Boggian","given":"Giulio","non-dropping-particle":"","parse-names":false,"suffix":""},{"dropping-particle":"","family":"Tondo","given":"Anna Ludovica","non-dropping-particle":"","parse-names":false,"suffix":""},{"dropping-particle":"","family":"Belvito","given":"Chiara","non-dropping-particle":"","parse-names":false,"suffix":""},{"dropping-particle":"","family":"Bakhtadze","given":"Nikoloz","non-dropping-particle":"","parse-names":false,"suffix":""},{"dropping-particle":"","family":"Borrelli","given":"Alessio","non-dropping-particle":"","parse-names":false,"suffix":""},{"dropping-particle":"","family":"Sinagra","given":"Gianfranco","non-dropping-particle":"","parse-names":false,"suffix":""}],"container-title":"Pacing and clinical electrophysiology : PACE","id":"ITEM-1","issue":"8","issued":{"date-parts":[["2012","8"]]},"page":"927-34","title":"Electrocardiographic criteria of true left bundle branch block: a simple sign to predict a better clinical and instrumental response to CRT.","type":"article-journal","volume":"35"},"uris":["http://www.mendeley.com/documents/?uuid=51cf86e6-3ebf-462a-9286-c207a2d5e0df"]}],"mendeley":{"formattedCitation":"&lt;sup&gt;16&lt;/sup&gt;","plainTextFormattedCitation":"16","previouslyFormattedCitation":"&lt;sup&gt;16&lt;/sup&gt;"},"properties":{"noteIndex":0},"schema":"https://github.com/citation-style-language/schema/raw/master/csl-citation.json"}</w:instrText>
      </w:r>
      <w:r w:rsidR="00CF47A8">
        <w:rPr>
          <w:rFonts w:ascii="Calibri" w:hAnsi="Calibri" w:cs="Calibri"/>
          <w:bCs/>
          <w:lang w:val="en-GB"/>
        </w:rPr>
        <w:fldChar w:fldCharType="separate"/>
      </w:r>
      <w:r w:rsidR="001A2833" w:rsidRPr="001A2833">
        <w:rPr>
          <w:rFonts w:ascii="Calibri" w:hAnsi="Calibri" w:cs="Calibri"/>
          <w:bCs/>
          <w:noProof/>
          <w:vertAlign w:val="superscript"/>
          <w:lang w:val="en-GB"/>
        </w:rPr>
        <w:t>16</w:t>
      </w:r>
      <w:r w:rsidR="00CF47A8">
        <w:rPr>
          <w:rFonts w:ascii="Calibri" w:hAnsi="Calibri" w:cs="Calibri"/>
          <w:bCs/>
          <w:lang w:val="en-GB"/>
        </w:rPr>
        <w:fldChar w:fldCharType="end"/>
      </w:r>
      <w:r w:rsidR="00EC6413">
        <w:rPr>
          <w:rFonts w:ascii="Calibri" w:hAnsi="Calibri" w:cs="Calibri"/>
          <w:bCs/>
          <w:lang w:val="en-GB"/>
        </w:rPr>
        <w:t>.</w:t>
      </w:r>
    </w:p>
    <w:p w14:paraId="0AE2AF34" w14:textId="1F0A1336" w:rsidR="008C0735" w:rsidRPr="00ED0ECA" w:rsidRDefault="008C0735" w:rsidP="00EC6413">
      <w:pPr>
        <w:spacing w:after="160" w:line="480" w:lineRule="auto"/>
        <w:ind w:firstLine="720"/>
        <w:rPr>
          <w:rFonts w:ascii="Calibri" w:hAnsi="Calibri" w:cs="Calibri"/>
          <w:bCs/>
          <w:color w:val="FF0000"/>
          <w:lang w:val="en-GB"/>
        </w:rPr>
      </w:pPr>
      <w:r w:rsidRPr="00ED0ECA">
        <w:rPr>
          <w:rFonts w:ascii="Calibri" w:hAnsi="Calibri" w:cs="Calibri"/>
          <w:bCs/>
          <w:lang w:val="en-GB"/>
        </w:rPr>
        <w:t>Right bundle br</w:t>
      </w:r>
      <w:r w:rsidRPr="0041574E">
        <w:rPr>
          <w:rFonts w:ascii="Calibri" w:hAnsi="Calibri" w:cs="Calibri"/>
          <w:bCs/>
          <w:lang w:val="en-GB"/>
        </w:rPr>
        <w:t xml:space="preserve">anch block (RBBB) </w:t>
      </w:r>
      <w:r w:rsidR="005B61BF">
        <w:rPr>
          <w:rFonts w:ascii="Calibri" w:hAnsi="Calibri" w:cs="Calibri"/>
          <w:bCs/>
          <w:lang w:val="en-GB"/>
        </w:rPr>
        <w:t>is</w:t>
      </w:r>
      <w:r w:rsidR="00E23ED8">
        <w:rPr>
          <w:rFonts w:ascii="Calibri" w:hAnsi="Calibri" w:cs="Calibri"/>
          <w:bCs/>
          <w:lang w:val="en-GB"/>
        </w:rPr>
        <w:t xml:space="preserve"> generally</w:t>
      </w:r>
      <w:r w:rsidR="005B61BF">
        <w:rPr>
          <w:rFonts w:ascii="Calibri" w:hAnsi="Calibri" w:cs="Calibri"/>
          <w:bCs/>
          <w:lang w:val="en-GB"/>
        </w:rPr>
        <w:t xml:space="preserve"> </w:t>
      </w:r>
      <w:r w:rsidR="00CB4BFA">
        <w:rPr>
          <w:rFonts w:ascii="Calibri" w:hAnsi="Calibri" w:cs="Calibri"/>
          <w:bCs/>
          <w:lang w:val="en-GB"/>
        </w:rPr>
        <w:t>un</w:t>
      </w:r>
      <w:r w:rsidRPr="0041574E">
        <w:rPr>
          <w:rFonts w:ascii="Calibri" w:hAnsi="Calibri" w:cs="Calibri"/>
          <w:bCs/>
          <w:lang w:val="en-GB"/>
        </w:rPr>
        <w:t>common in</w:t>
      </w:r>
      <w:r w:rsidR="00CB4BFA">
        <w:rPr>
          <w:rFonts w:ascii="Calibri" w:hAnsi="Calibri" w:cs="Calibri"/>
          <w:bCs/>
          <w:lang w:val="en-GB"/>
        </w:rPr>
        <w:t xml:space="preserve"> patients</w:t>
      </w:r>
      <w:r w:rsidRPr="0041574E">
        <w:rPr>
          <w:rFonts w:ascii="Calibri" w:hAnsi="Calibri" w:cs="Calibri"/>
          <w:bCs/>
          <w:lang w:val="en-GB"/>
        </w:rPr>
        <w:t xml:space="preserve"> DCM (2-6%)</w:t>
      </w:r>
      <w:r w:rsidRPr="0041574E">
        <w:rPr>
          <w:rFonts w:ascii="Calibri" w:hAnsi="Calibri" w:cs="Calibri"/>
          <w:bCs/>
          <w:lang w:val="en-GB"/>
        </w:rPr>
        <w:fldChar w:fldCharType="begin" w:fldLock="1"/>
      </w:r>
      <w:r w:rsidR="005B5C25">
        <w:rPr>
          <w:rFonts w:ascii="Calibri" w:hAnsi="Calibri" w:cs="Calibri"/>
          <w:bCs/>
          <w:lang w:val="en-GB"/>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http://www.mendeley.com/documents/?uuid=c4100594-ac34-4dfc-b2c4-e6473cc844d4"]},{"id":"ITEM-2","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Cardiology","id":"ITEM-2","issued":{"date-parts":[["1988"]]},"title":"Serial electrocardiographic changes in idiopathic dilated cardiomyopathy confirmed at necropsy","type":"article-journal"},"uris":["http://www.mendeley.com/documents/?uuid=8e8641bf-d716-45f2-a7a1-af7eceec75f4","http://www.mendeley.com/documents/?uuid=2943f0c7-a176-4e75-9560-424edc20bd65","http://www.mendeley.com/documents/?uuid=c61f1387-a97f-467b-942c-1af79a5d8f50"]},{"id":"ITEM-3","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Medicine","id":"ITEM-3","issued":{"date-parts":[["2019"]]},"page":"1","title":"ECG in dilated cardiomyopathy","type":"article-journal"},"uris":["http://www.mendeley.com/documents/?uuid=5b48a96d-6f5b-490f-b672-42cab0d4d9c8","http://www.mendeley.com/documents/?uuid=ad6368ce-867a-4c1f-b85c-73a6e61567ab","http://www.mendeley.com/documents/?uuid=df313744-1c6c-4d20-9c61-687b022de089"]}],"mendeley":{"formattedCitation":"&lt;sup&gt;2,3,5&lt;/sup&gt;","plainTextFormattedCitation":"2,3,5","previouslyFormattedCitation":"&lt;sup&gt;2,3,5&lt;/sup&gt;"},"properties":{"noteIndex":0},"schema":"https://github.com/citation-style-language/schema/raw/master/csl-citation.json"}</w:instrText>
      </w:r>
      <w:r w:rsidRPr="0041574E">
        <w:rPr>
          <w:rFonts w:ascii="Calibri" w:hAnsi="Calibri" w:cs="Calibri"/>
          <w:bCs/>
          <w:lang w:val="en-GB"/>
        </w:rPr>
        <w:fldChar w:fldCharType="separate"/>
      </w:r>
      <w:r w:rsidR="005B5C25" w:rsidRPr="005B5C25">
        <w:rPr>
          <w:rFonts w:ascii="Calibri" w:hAnsi="Calibri" w:cs="Calibri"/>
          <w:bCs/>
          <w:noProof/>
          <w:vertAlign w:val="superscript"/>
          <w:lang w:val="en-GB"/>
        </w:rPr>
        <w:t>2,3,5</w:t>
      </w:r>
      <w:r w:rsidRPr="0041574E">
        <w:rPr>
          <w:rFonts w:ascii="Calibri" w:hAnsi="Calibri" w:cs="Calibri"/>
          <w:bCs/>
          <w:lang w:val="en-GB"/>
        </w:rPr>
        <w:fldChar w:fldCharType="end"/>
      </w:r>
      <w:r w:rsidR="00E23ED8">
        <w:rPr>
          <w:rFonts w:ascii="Calibri" w:hAnsi="Calibri" w:cs="Calibri"/>
          <w:bCs/>
          <w:lang w:val="en-GB"/>
        </w:rPr>
        <w:t xml:space="preserve"> but it is frequently found in patients with neuromuscular disease due to pathogenic variants in the dystrophin gene</w:t>
      </w:r>
      <w:r w:rsidR="00561592">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{"citationItems":[{"id":"ITEM-1","itemData":{"DOI":"10.1016/j.hrthm.2019.05.007","ISSN":"1556-3871","PMID":"31078652","abstract":"Arrhythmogenic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 and sarcoidosis, Chagas disease and left ventricular noncompaction. The ACM phenotype overlaps with other cardiomyopathies, particularly dilated cardiomyopathy with arrhythmia presentation that may be associated with ventricular dilatation and/or impaired systolic function. This expert consensus statement provides the clinician with guidance on evaluation and management of ACM and includes clinically relevant information on genetics and disease mechanisms. PICO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American College of Cardiology (ACC) and American Heart Association (AHA) and is accompanied by references and explanatory text to provide essential context. The ongoing recognition of the genetic basis of ACM provides the opportunity to examine the diverse triggers and potential common pathway for the development of disease and arrhythmia.","author":[{"dropping-particle":"","family":"Towbin","given":"Jeffrey A","non-dropping-particle":"","parse-names":false,"suffix":""},{"dropping-particle":"","family":"McKenna","given":"William J","non-dropping-particle":"","parse-names":false,"suffix":""},{"dropping-particle":"","family":"Abrams","given":"Dominic J","non-dropping-particle":"","parse-names":false,"suffix":""},{"dropping-particle":"","family":"Ackerman","given":"Michael J","non-dropping-particle":"","parse-names":false,"suffix":""},{"dropping-particle":"","family":"Calkins","given":"Hugh","non-dropping-particle":"","parse-names":false,"suffix":""},{"dropping-particle":"","family":"Darrieux","given":"Francisco C C","non-dropping-particle":"","parse-names":false,"suffix":""},{"dropping-particle":"","family":"Daubert","given":"James P","non-dropping-particle":"","parse-names":false,"suffix":""},{"dropping-particle":"","family":"Chillou","given":"Christian","non-dropping-particle":"de","parse-names":false,"suffix":""},{"dropping-particle":"","family":"DePasquale","given":"Eugene C","non-dropping-particle":"","parse-names":false,"suffix":""},{"dropping-particle":"","family":"Desai","given":"Milind Y","non-dropping-particle":"","parse-names":false,"suffix":""},{"dropping-particle":"","family":"Estes","given":"N A Mark","non-dropping-particle":"","parse-names":false,"suffix":""},{"dropping-particle":"","family":"Hua","given":"Wei","non-dropping-particle":"","parse-names":false,"suffix":""},{"dropping-particle":"","family":"Indik","given":"Julia H","non-dropping-particle":"","parse-names":false,"suffix":""},{"dropping-particle":"","family":"Ingles","given":"Jodie","non-dropping-particle":"","parse-names":false,"suffix":""},{"dropping-particle":"","family":"James","given":"Cynthia A","non-dropping-particle":"","parse-names":false,"suffix":""},{"dropping-particle":"","family":"John","given":"Roy M","non-dropping-particle":"","parse-names":false,"suffix":""},{"dropping-particle":"","family":"Judge","given":"Daniel P","non-dropping-particle":"","parse-names":false,"suffix":""},{"dropping-particle":"","family":"Keegan","given":"Roberto","non-dropping-particle":"","parse-names":false,"suffix":""},{"dropping-particle":"","family":"Krahn","given":"Andrew D","non-dropping-particle":"","parse-names":false,"suffix":""},{"dropping-particle":"","family":"Link","given":"Mark S","non-dropping-particle":"","parse-names":false,"suffix":""},{"dropping-particle":"","family":"Marcus","given":"Frank I","non-dropping-particle":"","parse-names":false,"suffix":""},{"dropping-particle":"","family":"McLeod","given":"Christopher J","non-dropping-particle":"","parse-names":false,"suffix":""},{"dropping-particle":"","family":"Mestroni","given":"Luisa","non-dropping-particle":"","parse-names":false,"suffix":""},{"dropping-particle":"","family":"Priori","given":"Silvia G","non-dropping-particle":"","parse-names":false,"suffix":""},{"dropping-particle":"","family":"Saffitz","given":"Jeffrey E","non-dropping-particle":"","parse-names":false,"suffix":""},{"dropping-particle":"","family":"Sanatani","given":"Shubhayan","non-dropping-particle":"","parse-names":false,"suffix":""},{"dropping-particle":"","family":"Shimizu","given":"Wataru","non-dropping-particle":"","parse-names":false,"suffix":""},{"dropping-particle":"","family":"Tintelen","given":"J Peter","non-dropping-particle":"van","parse-names":false,"suffix":""},{"dropping-particle":"","family":"Wilde","given":"Arthur A M","non-dropping-particle":"","parse-names":false,"suffix":""},{"dropping-particle":"","family":"Zareba","given":"Wojciech","non-dropping-particle":"","parse-names":false,"suffix":""}],"container-title":"Heart rhythm","id":"ITEM-1","issued":{"date-parts":[["2019","5","9"]]},"title":"2019 HRS expert consensus statement on evaluation, risk stratification, and management of arrhythmogenic cardiomyopathy.","type":"article-journal"},"uris":["http://www.mendeley.com/documents/?uuid=b1be61bb-54d9-49f0-bfe1-fc6298572803"]}],"mendeley":{"formattedCitation":"&lt;sup&gt;17&lt;/sup&gt;","plainTextFormattedCitation":"17","previouslyFormattedCitation":"&lt;sup&gt;17&lt;/sup&gt;"},"properties":{"noteIndex":0},"schema":"https://github.com/citation-style-language/schema/raw/master/csl-citation.json"}</w:instrText>
      </w:r>
      <w:r w:rsidR="00561592">
        <w:rPr>
          <w:rFonts w:ascii="Calibri" w:hAnsi="Calibri" w:cs="Calibri"/>
          <w:bCs/>
          <w:lang w:val="en-GB"/>
        </w:rPr>
        <w:fldChar w:fldCharType="separate"/>
      </w:r>
      <w:r w:rsidR="001A2833" w:rsidRPr="001A2833">
        <w:rPr>
          <w:rFonts w:ascii="Calibri" w:hAnsi="Calibri" w:cs="Calibri"/>
          <w:bCs/>
          <w:noProof/>
          <w:vertAlign w:val="superscript"/>
          <w:lang w:val="en-GB"/>
        </w:rPr>
        <w:t>17</w:t>
      </w:r>
      <w:r w:rsidR="00561592">
        <w:rPr>
          <w:rFonts w:ascii="Calibri" w:hAnsi="Calibri" w:cs="Calibri"/>
          <w:bCs/>
          <w:lang w:val="en-GB"/>
        </w:rPr>
        <w:fldChar w:fldCharType="end"/>
      </w:r>
      <w:r w:rsidRPr="0041574E">
        <w:rPr>
          <w:rFonts w:ascii="Calibri" w:hAnsi="Calibri" w:cs="Calibri"/>
          <w:bCs/>
          <w:lang w:val="en-GB"/>
        </w:rPr>
        <w:t>.</w:t>
      </w:r>
    </w:p>
    <w:p w14:paraId="1D415E4D" w14:textId="77777777" w:rsidR="008C0735" w:rsidRPr="008C0735" w:rsidRDefault="008C0735" w:rsidP="008C0735">
      <w:pPr>
        <w:spacing w:line="480" w:lineRule="auto"/>
        <w:jc w:val="both"/>
        <w:rPr>
          <w:rFonts w:ascii="Calibri" w:hAnsi="Calibri"/>
          <w:lang w:val="en-GB"/>
        </w:rPr>
      </w:pPr>
      <w:r w:rsidRPr="008C0735">
        <w:rPr>
          <w:rFonts w:ascii="Calibri" w:hAnsi="Calibri"/>
          <w:u w:val="single"/>
          <w:lang w:val="en-GB"/>
        </w:rPr>
        <w:t xml:space="preserve">Q waves </w:t>
      </w:r>
    </w:p>
    <w:p w14:paraId="636A16CD" w14:textId="67EA6060" w:rsidR="008C0735" w:rsidRDefault="008C0735" w:rsidP="008C0735">
      <w:pPr>
        <w:spacing w:after="160" w:line="480" w:lineRule="auto"/>
        <w:ind w:firstLine="720"/>
        <w:rPr>
          <w:rFonts w:ascii="Calibri" w:hAnsi="Calibri" w:cs="Calibri"/>
          <w:u w:val="single"/>
          <w:lang w:val="en-GB"/>
        </w:rPr>
      </w:pPr>
      <w:r w:rsidRPr="008C0735">
        <w:rPr>
          <w:rFonts w:ascii="Calibri" w:hAnsi="Calibri"/>
          <w:lang w:val="en-GB"/>
        </w:rPr>
        <w:t xml:space="preserve">The lack of consensus regarding the definition of a pathological Q wave, with multiple proposed diagnostic criteria, constitutes a source of confusion. Q wave duration ≥40 </w:t>
      </w:r>
      <w:proofErr w:type="spellStart"/>
      <w:r w:rsidRPr="008C0735">
        <w:rPr>
          <w:rFonts w:ascii="Calibri" w:hAnsi="Calibri"/>
          <w:lang w:val="en-GB"/>
        </w:rPr>
        <w:t>ms</w:t>
      </w:r>
      <w:proofErr w:type="spellEnd"/>
      <w:r w:rsidRPr="008C0735">
        <w:rPr>
          <w:rFonts w:ascii="Calibri" w:hAnsi="Calibri"/>
          <w:lang w:val="en-GB"/>
        </w:rPr>
        <w:t xml:space="preserve"> or an absolute depth of &gt;3 mm are considered pathological criteria by some, whereas others recommend an amplitude ≥25% of the ensuing R wave</w:t>
      </w:r>
      <w:r w:rsidRPr="00665585">
        <w:rPr>
          <w:rFonts w:ascii="Calibri" w:hAnsi="Calibri"/>
        </w:rPr>
        <w:fldChar w:fldCharType="begin" w:fldLock="1"/>
      </w:r>
      <w:r w:rsidR="00983295">
        <w:rPr>
          <w:rFonts w:ascii="Calibri" w:hAnsi="Calibri"/>
          <w:lang w:val="en-GB"/>
        </w:rPr>
        <w:instrText>ADDIN CSL_CITATION {"citationItems":[{"id":"ITEM-1","itemData":{"DOI":"10.1093/eurheartj/ehw631","ISSN":"1522-9645","PMID":"28329355","abstract":"Sudden cardiac death (SCD) is the leading cause of mortality in athletes during sport. A variety of mostly hereditary, structural, or electrical cardiac disorders are associated with SCD in young athletes, the majority of which can be identified or suggested by abnormalities on a resting 12-lead electrocardiogram (ECG). Whether used for diagnostic or screening purposes, physicians responsible for the cardiovascular care of athletes should be knowledgeable and competent in ECG interpretation in athletes. However, in most countries a shortage of physician expertise limits wider application of the ECG in the care of the athlete. A critical need exists for physician education in modern ECG interpretation that distinguishes normal physiological adaptations in athletes from distinctly abnormal findings suggestive of underlying pathology. Since the original 2010 European Society of Cardiology recommendations for ECG interpretation in athletes, ECG standards have evolved quickly over the last decade; pushed by a growing body of scientific data that both tests proposed criteria sets and establishes new evidence to guide refinements. On 26-27 February 2015, an international group of experts in sports cardiology, inherited cardiac disease, and sports medicine convened in Seattle, Washington, to update contemporary standards for ECG interpretation in athletes. The objective of the meeting was to define and revise ECG interpretation standards based on new and emerging research and to develop a clear guide to the proper evaluation of ECG abnormalities in athletes. This statement represents an international consensus for ECG interpretation in athletes and provides expert opinion-based recommendations linking specific ECG abnormalities and the secondary evaluation for conditions associated with SCD.","author":[{"dropping-particle":"","family":"Sharma","given":"Sanjay","non-dropping-particle":"","parse-names":false,"suffix":""},{"dropping-particle":"","family":"Drezner","given":"Jonathan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journal","id":"ITEM-1","issued":{"date-parts":[["2017","2","20"]]},"title":"International recommendations for electrocardiographic interpretation in athletes.","type":"article-journal"},"uris":["http://www.mendeley.com/documents/?uuid=cfc251ae-846b-43de-9f59-12820592fae5"]}],"mendeley":{"formattedCitation":"&lt;sup&gt;4&lt;/sup&gt;","plainTextFormattedCitation":"4","previouslyFormattedCitation":"&lt;sup&gt;4&lt;/sup&gt;"},"properties":{"noteIndex":0},"schema":"https://github.com/citation-style-language/schema/raw/master/csl-citation.json"}</w:instrText>
      </w:r>
      <w:r w:rsidRPr="00665585">
        <w:rPr>
          <w:rFonts w:ascii="Calibri" w:hAnsi="Calibri"/>
        </w:rPr>
        <w:fldChar w:fldCharType="separate"/>
      </w:r>
      <w:r w:rsidR="005B5C25" w:rsidRPr="005B5C25">
        <w:rPr>
          <w:rFonts w:ascii="Calibri" w:hAnsi="Calibri"/>
          <w:noProof/>
          <w:vertAlign w:val="superscript"/>
          <w:lang w:val="en-GB"/>
        </w:rPr>
        <w:t>4</w:t>
      </w:r>
      <w:r w:rsidRPr="00665585">
        <w:rPr>
          <w:rFonts w:ascii="Calibri" w:hAnsi="Calibri"/>
        </w:rPr>
        <w:fldChar w:fldCharType="end"/>
      </w:r>
      <w:r w:rsidRPr="008C0735">
        <w:rPr>
          <w:rFonts w:ascii="Calibri" w:hAnsi="Calibri"/>
          <w:lang w:val="en-GB"/>
        </w:rPr>
        <w:t xml:space="preserve">. </w:t>
      </w:r>
      <w:r w:rsidRPr="0041574E">
        <w:rPr>
          <w:rFonts w:ascii="Calibri" w:hAnsi="Calibri" w:cs="Calibri"/>
          <w:bCs/>
          <w:lang w:val="en-GB"/>
        </w:rPr>
        <w:t>Q waves may be observed in</w:t>
      </w:r>
      <w:r w:rsidR="00794D75">
        <w:rPr>
          <w:rFonts w:ascii="Calibri" w:hAnsi="Calibri" w:cs="Calibri"/>
          <w:bCs/>
          <w:lang w:val="en-GB"/>
        </w:rPr>
        <w:t xml:space="preserve"> DCM in</w:t>
      </w:r>
      <w:r w:rsidRPr="0041574E">
        <w:rPr>
          <w:rFonts w:ascii="Calibri" w:hAnsi="Calibri" w:cs="Calibri"/>
          <w:bCs/>
          <w:lang w:val="en-GB"/>
        </w:rPr>
        <w:t xml:space="preserve"> the absence of ischemic heart disease and are more common in the anterior and lateral leads</w:t>
      </w:r>
      <w:r w:rsidRPr="0041574E">
        <w:rPr>
          <w:rFonts w:ascii="Calibri" w:hAnsi="Calibri" w:cs="Calibri"/>
          <w:bCs/>
          <w:lang w:val="en-GB"/>
        </w:rPr>
        <w:fldChar w:fldCharType="begin" w:fldLock="1"/>
      </w:r>
      <w:r w:rsidR="00AD7224">
        <w:rPr>
          <w:rFonts w:ascii="Calibri" w:hAnsi="Calibri" w:cs="Calibri"/>
          <w:bCs/>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http://www.mendeley.com/documents/?uuid=ad6368ce-867a-4c1f-b85c-73a6e61567ab"]},{"id":"ITEM-2","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Cardiology","id":"ITEM-2","issued":{"date-parts":[["1988"]]},"title":"Serial electrocardiographic changes in idiopathic dilated cardiomyopathy confirmed at necropsy","type":"article-journal"},"uris":["http://www.mendeley.com/documents/?uuid=8e8641bf-d716-45f2-a7a1-af7eceec75f4","http://www.mendeley.com/documents/?uuid=2943f0c7-a176-4e75-9560-424edc20bd65","http://www.mendeley.com/documents/?uuid=afad0f05-19f8-4cfa-b3e7-cb9f02c636cd"]}],"mendeley":{"formattedCitation":"&lt;sup&gt;2,3&lt;/sup&gt;","plainTextFormattedCitation":"2,3","previouslyFormattedCitation":"&lt;sup&gt;2,3&lt;/sup&gt;"},"properties":{"noteIndex":0},"schema":"https://github.com/citation-style-language/schema/raw/master/csl-citation.json"}</w:instrText>
      </w:r>
      <w:r w:rsidRPr="0041574E">
        <w:rPr>
          <w:rFonts w:ascii="Calibri" w:hAnsi="Calibri" w:cs="Calibri"/>
          <w:bCs/>
          <w:lang w:val="en-GB"/>
        </w:rPr>
        <w:fldChar w:fldCharType="separate"/>
      </w:r>
      <w:r w:rsidR="008147B7" w:rsidRPr="008147B7">
        <w:rPr>
          <w:rFonts w:ascii="Calibri" w:hAnsi="Calibri" w:cs="Calibri"/>
          <w:bCs/>
          <w:noProof/>
          <w:vertAlign w:val="superscript"/>
          <w:lang w:val="en-GB"/>
        </w:rPr>
        <w:t>2,3</w:t>
      </w:r>
      <w:r w:rsidRPr="0041574E">
        <w:rPr>
          <w:rFonts w:ascii="Calibri" w:hAnsi="Calibri" w:cs="Calibri"/>
          <w:bCs/>
          <w:lang w:val="en-GB"/>
        </w:rPr>
        <w:fldChar w:fldCharType="end"/>
      </w:r>
      <w:r w:rsidRPr="0041574E">
        <w:rPr>
          <w:rFonts w:ascii="Calibri" w:hAnsi="Calibri" w:cs="Calibri"/>
          <w:bCs/>
          <w:lang w:val="en-GB"/>
        </w:rPr>
        <w:t xml:space="preserve">. </w:t>
      </w:r>
      <w:r w:rsidR="007108C5">
        <w:rPr>
          <w:rFonts w:ascii="Calibri" w:hAnsi="Calibri" w:cs="Calibri"/>
          <w:bCs/>
          <w:lang w:val="en-GB"/>
        </w:rPr>
        <w:t>As discussed below, c</w:t>
      </w:r>
      <w:r w:rsidR="000B18C3">
        <w:rPr>
          <w:rFonts w:ascii="Calibri" w:hAnsi="Calibri" w:cs="Calibri"/>
          <w:bCs/>
          <w:lang w:val="en-GB"/>
        </w:rPr>
        <w:t>ardiac involvement in muscular dystrophies is often characterized by posterior or inferior Q waves which reflect transmural myocardial fibrosis</w:t>
      </w:r>
      <w:r w:rsidR="000B18C3">
        <w:rPr>
          <w:rFonts w:ascii="Calibri" w:hAnsi="Calibri" w:cs="Calibri"/>
          <w:bCs/>
          <w:lang w:val="en-GB"/>
        </w:rPr>
        <w:fldChar w:fldCharType="begin" w:fldLock="1"/>
      </w:r>
      <w:r w:rsidR="001A2833">
        <w:rPr>
          <w:rFonts w:ascii="Calibri" w:hAnsi="Calibri" w:cs="Calibri"/>
          <w:bCs/>
          <w:lang w:val="en-GB"/>
        </w:rPr>
        <w:instrText>ADDIN CSL_CITATION {"citationItems":[{"id":"ITEM-1","itemData":{"DOI":"10.1093/eurheartj/ehs397","ISSN":"0195-668X","author":[{"dropping-particle":"","family":"Rapezzi","given":"C.","non-dropping-particle":"","parse-names":false,"suffix":""},{"dropping-particle":"","family":"Arbustini","given":"E.","non-dropping-particle":"","parse-names":false,"suffix":""},{"dropping-particle":"","family":"Caforio","given":"A. L. P.","non-dropping-particle":"","parse-names":false,"suffix":""},{"dropping-particle":"","family":"Charron","given":"P.","non-dropping-particle":"","parse-names":false,"suffix":""},{"dropping-particle":"","family":"Gimeno-Blanes","given":"J.","non-dropping-particle":"","parse-names":false,"suffix":""},{"dropping-particle":"","family":"Helio","given":"T.","non-dropping-particle":"","parse-names":false,"suffix":""},{"dropping-particle":"","family":"Linhart","given":"A.","non-dropping-particle":"","parse-names":false,"suffix":""},{"dropping-particle":"","family":"Mogensen","given":"J.","non-dropping-particle":"","parse-names":false,"suffix":""},{"dropping-particle":"","family":"Pinto","given":"Y.","non-dropping-particle":"","parse-names":false,"suffix":""},{"dropping-particle":"","family":"Ristic","given":"A.","non-dropping-particle":"","parse-names":false,"suffix":""},{"dropping-particle":"","family":"Seggewiss","given":"H.","non-dropping-particle":"","parse-names":false,"suffix":""},{"dropping-particle":"","family":"Sinagra","given":"G.","non-dropping-particle":"","parse-names":false,"suffix":""},{"dropping-particle":"","family":"Tavazzi","given":"L.","non-dropping-particle":"","parse-names":false,"suffix":""},{"dropping-particle":"","family":"Elliott","given":"P. M.","non-dropping-particle":"","parse-names":false,"suffix":""}],"container-title":"European Heart Journal","id":"ITEM-1","issue":"19","issued":{"date-parts":[["2013"]]},"page":"1448-1458","title":"Diagnostic work-up in cardiomyopathies: bridging the gap between clinical phenotypes and final diagnosis. A position statement from the ESC Working Group on Myocardial and Pericardial Diseases","type":"article-journal","volume":"34"},"uris":["http://www.mendeley.com/documents/?uuid=49c41c30-a0be-4f22-90fa-56dca5e2ccf6"]}],"mendeley":{"formattedCitation":"&lt;sup&gt;18&lt;/sup&gt;","plainTextFormattedCitation":"18","previouslyFormattedCitation":"&lt;sup&gt;18&lt;/sup&gt;"},"properties":{"noteIndex":0},"schema":"https://github.com/citation-style-language/schema/raw/master/csl-citation.json"}</w:instrText>
      </w:r>
      <w:r w:rsidR="000B18C3">
        <w:rPr>
          <w:rFonts w:ascii="Calibri" w:hAnsi="Calibri" w:cs="Calibri"/>
          <w:bCs/>
          <w:lang w:val="en-GB"/>
        </w:rPr>
        <w:fldChar w:fldCharType="separate"/>
      </w:r>
      <w:r w:rsidR="001A2833" w:rsidRPr="001A2833">
        <w:rPr>
          <w:rFonts w:ascii="Calibri" w:hAnsi="Calibri" w:cs="Calibri"/>
          <w:bCs/>
          <w:noProof/>
          <w:vertAlign w:val="superscript"/>
          <w:lang w:val="en-GB"/>
        </w:rPr>
        <w:t>18</w:t>
      </w:r>
      <w:r w:rsidR="000B18C3">
        <w:rPr>
          <w:rFonts w:ascii="Calibri" w:hAnsi="Calibri" w:cs="Calibri"/>
          <w:bCs/>
          <w:lang w:val="en-GB"/>
        </w:rPr>
        <w:fldChar w:fldCharType="end"/>
      </w:r>
      <w:r w:rsidR="002B7147">
        <w:rPr>
          <w:rFonts w:ascii="Calibri" w:hAnsi="Calibri" w:cs="Calibri"/>
          <w:bCs/>
          <w:lang w:val="en-GB"/>
        </w:rPr>
        <w:t>.</w:t>
      </w:r>
      <w:r w:rsidR="000B18C3">
        <w:rPr>
          <w:rFonts w:ascii="Calibri" w:hAnsi="Calibri" w:cs="Calibri"/>
          <w:bCs/>
          <w:lang w:val="en-GB"/>
        </w:rPr>
        <w:t xml:space="preserve"> </w:t>
      </w:r>
    </w:p>
    <w:p w14:paraId="4C5409A0" w14:textId="14F0FFCA" w:rsidR="00E61EFD" w:rsidRPr="00A3576E" w:rsidRDefault="005B5C25" w:rsidP="00667CAB">
      <w:pPr>
        <w:spacing w:after="160" w:line="480" w:lineRule="auto"/>
        <w:rPr>
          <w:rFonts w:ascii="Calibri" w:hAnsi="Calibri" w:cs="Calibri"/>
          <w:u w:val="single"/>
          <w:lang w:val="en-GB"/>
        </w:rPr>
      </w:pPr>
      <w:r>
        <w:rPr>
          <w:rFonts w:ascii="Calibri" w:hAnsi="Calibri" w:cs="Calibri"/>
          <w:u w:val="single"/>
          <w:lang w:val="en-GB"/>
        </w:rPr>
        <w:lastRenderedPageBreak/>
        <w:t>ST segment/T wave</w:t>
      </w:r>
      <w:r w:rsidRPr="00A3576E">
        <w:rPr>
          <w:rFonts w:ascii="Calibri" w:hAnsi="Calibri" w:cs="Calibri"/>
          <w:u w:val="single"/>
          <w:lang w:val="en-GB"/>
        </w:rPr>
        <w:t xml:space="preserve"> </w:t>
      </w:r>
      <w:r w:rsidR="00E61EFD" w:rsidRPr="00A3576E">
        <w:rPr>
          <w:rFonts w:ascii="Calibri" w:hAnsi="Calibri" w:cs="Calibri"/>
          <w:u w:val="single"/>
          <w:lang w:val="en-GB"/>
        </w:rPr>
        <w:t>abnormalities</w:t>
      </w:r>
    </w:p>
    <w:p w14:paraId="3424EA60" w14:textId="7C91A359" w:rsidR="00110841" w:rsidRPr="001D7A28" w:rsidRDefault="00110841" w:rsidP="001D7A28">
      <w:pPr>
        <w:spacing w:line="480" w:lineRule="auto"/>
        <w:ind w:firstLine="720"/>
        <w:jc w:val="both"/>
        <w:rPr>
          <w:rFonts w:ascii="Calibri" w:hAnsi="Calibri"/>
          <w:lang w:val="en-GB"/>
        </w:rPr>
      </w:pPr>
      <w:r>
        <w:rPr>
          <w:rFonts w:ascii="Calibri" w:hAnsi="Calibri"/>
          <w:lang w:val="en-GB"/>
        </w:rPr>
        <w:t>Repolarization</w:t>
      </w:r>
      <w:r w:rsidRPr="00110841">
        <w:rPr>
          <w:rFonts w:ascii="Calibri" w:hAnsi="Calibri"/>
          <w:lang w:val="en-GB"/>
        </w:rPr>
        <w:t xml:space="preserve"> abnormalities are common in </w:t>
      </w:r>
      <w:r>
        <w:rPr>
          <w:rFonts w:ascii="Calibri" w:hAnsi="Calibri"/>
          <w:lang w:val="en-GB"/>
        </w:rPr>
        <w:t>D</w:t>
      </w:r>
      <w:r w:rsidRPr="00110841">
        <w:rPr>
          <w:rFonts w:ascii="Calibri" w:hAnsi="Calibri"/>
          <w:lang w:val="en-GB"/>
        </w:rPr>
        <w:t>CM</w:t>
      </w:r>
      <w:r w:rsidR="007108C5">
        <w:rPr>
          <w:rFonts w:ascii="Calibri" w:hAnsi="Calibri"/>
          <w:lang w:val="en-GB"/>
        </w:rPr>
        <w:t xml:space="preserve">, and generally reflect LV </w:t>
      </w:r>
      <w:r w:rsidR="004661D4">
        <w:rPr>
          <w:rFonts w:ascii="Calibri" w:hAnsi="Calibri"/>
          <w:lang w:val="en-GB"/>
        </w:rPr>
        <w:t>impairment</w:t>
      </w:r>
      <w:r w:rsidRPr="00110841">
        <w:rPr>
          <w:rFonts w:ascii="Calibri" w:hAnsi="Calibri"/>
          <w:lang w:val="en-GB"/>
        </w:rPr>
        <w:t>. T wave inversion (TWI)</w:t>
      </w:r>
      <w:r>
        <w:rPr>
          <w:rFonts w:ascii="Calibri" w:hAnsi="Calibri"/>
          <w:lang w:val="en-GB"/>
        </w:rPr>
        <w:t xml:space="preserve"> especially in the</w:t>
      </w:r>
      <w:r w:rsidR="001D7A28">
        <w:rPr>
          <w:rFonts w:ascii="Calibri" w:hAnsi="Calibri"/>
          <w:lang w:val="en-GB"/>
        </w:rPr>
        <w:t xml:space="preserve"> lat</w:t>
      </w:r>
      <w:r w:rsidRPr="00110841">
        <w:rPr>
          <w:rFonts w:ascii="Calibri" w:hAnsi="Calibri"/>
          <w:lang w:val="en-GB"/>
        </w:rPr>
        <w:t>eral leads is a recognized feature of</w:t>
      </w:r>
      <w:r w:rsidR="001D7A28">
        <w:rPr>
          <w:rFonts w:ascii="Calibri" w:hAnsi="Calibri"/>
          <w:lang w:val="en-GB"/>
        </w:rPr>
        <w:t xml:space="preserve"> certain genetic forms (for example Filamin C or </w:t>
      </w:r>
      <w:proofErr w:type="spellStart"/>
      <w:r w:rsidR="001D7A28">
        <w:rPr>
          <w:rFonts w:ascii="Calibri" w:hAnsi="Calibri"/>
          <w:lang w:val="en-GB"/>
        </w:rPr>
        <w:t>desmosomal</w:t>
      </w:r>
      <w:proofErr w:type="spellEnd"/>
      <w:r w:rsidR="001D7A28">
        <w:rPr>
          <w:rFonts w:ascii="Calibri" w:hAnsi="Calibri"/>
          <w:lang w:val="en-GB"/>
        </w:rPr>
        <w:t xml:space="preserve"> </w:t>
      </w:r>
      <w:r w:rsidR="002212E3">
        <w:rPr>
          <w:rFonts w:ascii="Calibri" w:hAnsi="Calibri"/>
          <w:lang w:val="en-GB"/>
        </w:rPr>
        <w:t>disease</w:t>
      </w:r>
      <w:r w:rsidR="001D7A28">
        <w:rPr>
          <w:rFonts w:ascii="Calibri" w:hAnsi="Calibri"/>
          <w:lang w:val="en-GB"/>
        </w:rPr>
        <w:t>)</w:t>
      </w:r>
      <w:r w:rsidR="00983295">
        <w:rPr>
          <w:rFonts w:ascii="Calibri" w:hAnsi="Calibri"/>
          <w:lang w:val="en-GB"/>
        </w:rPr>
        <w:fldChar w:fldCharType="begin" w:fldLock="1"/>
      </w:r>
      <w:r w:rsidR="001A2833">
        <w:rPr>
          <w:rFonts w:ascii="Calibri" w:hAnsi="Calibri"/>
          <w:lang w:val="en-GB"/>
        </w:rPr>
        <w:instrText>ADDIN CSL_CITATION {"citationItems":[{"id":"ITEM-1","itemData":{"DOI":"10.1016/j.jacc.2019.06.072","ISSN":"1558-3597","PMID":"31514951","abstract":"BACKGROUND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Cardiology","id":"ITEM-1","issue":"11","issued":{"date-parts":[["2019","9","17"]]},"page":"1480-1490","title":"Genetic Risk of Arrhythmic Phenotypes in Patients With Dilated Cardiomyopathy.","type":"article-journal","volume":"74"},"uris":["http://www.mendeley.com/documents/?uuid=39fdd594-dfc9-434f-9394-92777b6f2a44"]}],"mendeley":{"formattedCitation":"&lt;sup&gt;19&lt;/sup&gt;","plainTextFormattedCitation":"19","previouslyFormattedCitation":"&lt;sup&gt;19&lt;/sup&gt;"},"properties":{"noteIndex":0},"schema":"https://github.com/citation-style-language/schema/raw/master/csl-citation.json"}</w:instrText>
      </w:r>
      <w:r w:rsidR="00983295">
        <w:rPr>
          <w:rFonts w:ascii="Calibri" w:hAnsi="Calibri"/>
          <w:lang w:val="en-GB"/>
        </w:rPr>
        <w:fldChar w:fldCharType="separate"/>
      </w:r>
      <w:r w:rsidR="001A2833" w:rsidRPr="001A2833">
        <w:rPr>
          <w:rFonts w:ascii="Calibri" w:hAnsi="Calibri"/>
          <w:noProof/>
          <w:vertAlign w:val="superscript"/>
          <w:lang w:val="en-GB"/>
        </w:rPr>
        <w:t>19</w:t>
      </w:r>
      <w:r w:rsidR="00983295">
        <w:rPr>
          <w:rFonts w:ascii="Calibri" w:hAnsi="Calibri"/>
          <w:lang w:val="en-GB"/>
        </w:rPr>
        <w:fldChar w:fldCharType="end"/>
      </w:r>
      <w:r w:rsidR="001D7A28">
        <w:rPr>
          <w:rFonts w:ascii="Calibri" w:hAnsi="Calibri"/>
          <w:lang w:val="en-GB"/>
        </w:rPr>
        <w:t>. In contrast to hypertrophic cardiomyopathy, where</w:t>
      </w:r>
      <w:r w:rsidR="00EE431C">
        <w:rPr>
          <w:rFonts w:ascii="Calibri" w:hAnsi="Calibri"/>
          <w:lang w:val="en-GB"/>
        </w:rPr>
        <w:t xml:space="preserve"> striking</w:t>
      </w:r>
      <w:r w:rsidR="001D7A28">
        <w:rPr>
          <w:rFonts w:ascii="Calibri" w:hAnsi="Calibri"/>
          <w:lang w:val="en-GB"/>
        </w:rPr>
        <w:t xml:space="preserve"> repolarization abnormalities</w:t>
      </w:r>
      <w:r w:rsidR="004661D4">
        <w:rPr>
          <w:rFonts w:ascii="Calibri" w:hAnsi="Calibri"/>
          <w:lang w:val="en-GB"/>
        </w:rPr>
        <w:t xml:space="preserve"> </w:t>
      </w:r>
      <w:bookmarkStart w:id="8" w:name="_Hlk29582154"/>
      <w:r w:rsidR="004661D4">
        <w:rPr>
          <w:rFonts w:ascii="Calibri" w:hAnsi="Calibri"/>
          <w:lang w:val="en-GB"/>
        </w:rPr>
        <w:t>(such as deep TWI especially in the lateral leads)</w:t>
      </w:r>
      <w:bookmarkEnd w:id="8"/>
      <w:r w:rsidR="001D7A28">
        <w:rPr>
          <w:rFonts w:ascii="Calibri" w:hAnsi="Calibri"/>
          <w:lang w:val="en-GB"/>
        </w:rPr>
        <w:t xml:space="preserve"> are common, the TWI </w:t>
      </w:r>
      <w:r w:rsidR="007108C5">
        <w:rPr>
          <w:rFonts w:ascii="Calibri" w:hAnsi="Calibri"/>
          <w:lang w:val="en-GB"/>
        </w:rPr>
        <w:t xml:space="preserve">in DCM </w:t>
      </w:r>
      <w:r w:rsidR="001D7A28">
        <w:rPr>
          <w:rFonts w:ascii="Calibri" w:hAnsi="Calibri"/>
          <w:lang w:val="en-GB"/>
        </w:rPr>
        <w:t xml:space="preserve">is </w:t>
      </w:r>
      <w:r w:rsidR="007108C5">
        <w:rPr>
          <w:rFonts w:ascii="Calibri" w:hAnsi="Calibri"/>
          <w:lang w:val="en-GB"/>
        </w:rPr>
        <w:t xml:space="preserve">less </w:t>
      </w:r>
      <w:r w:rsidR="001D7A28">
        <w:rPr>
          <w:rFonts w:ascii="Calibri" w:hAnsi="Calibri"/>
          <w:lang w:val="en-GB"/>
        </w:rPr>
        <w:t>deep and not associated with voltage criteria for LVH</w:t>
      </w:r>
      <w:r w:rsidR="00983295">
        <w:rPr>
          <w:rFonts w:ascii="Calibri" w:hAnsi="Calibri"/>
          <w:lang w:val="en-GB"/>
        </w:rPr>
        <w:fldChar w:fldCharType="begin" w:fldLock="1"/>
      </w:r>
      <w:r w:rsidR="001A2833">
        <w:rPr>
          <w:rFonts w:ascii="Calibri" w:hAnsi="Calibri"/>
          <w:lang w:val="en-GB"/>
        </w:rPr>
        <w:instrText>ADDIN CSL_CITATION {"citationItems":[{"id":"ITEM-1","itemData":{"DOI":"10.1016/j.hrthm.2019.07.019","ISSN":"1556-3871","PMID":"31349064","abstract":"In an era of rapid technological development and evolving diagnostic possibilities, the electrocardiogram (ECG) is living an authentic \"renaissance\" in myocardial diseases. To date, the ECG remains an irreplaceable first step when evaluating patients with hypertrophic cardiomyopathy (HCM) and an abnormal ECG may be the only manifestation of disease at an early stage. In some instances, specific electrical anomalies may differentiate HCM from phenocopies such as cardiac amyloidosis and glycogen storage diseases. The exponential growth in knowledge of the complexity of HCM has led to new challenges in terms of early identification of the disease, differential diagnosis, risk stratification, and development of targeted therapies. In this scenario, the apparently \"old fashioned\" ECG and the array of ECG-based techniques, ranging from Holter monitoring and loop recorders to exercise testing, are as contemporary as ever. In the present review, we discuss the current role of the ECG in the diagnosis and management of HCM, focusing on various clinical settings where its appropriate use and interpretation can make a difference.","author":[{"dropping-particle":"","family":"Finocchiaro","given":"Gherardo","non-dropping-particle":"","parse-names":false,"suffix":""},{"dropping-particle":"","family":"Sheikh","given":"Nabeel","non-dropping-particle":"","parse-names":false,"suffix":""},{"dropping-particle":"","family":"Biagini","given":"Elena","non-dropping-particle":"","parse-names":false,"suffix":""},{"dropping-particle":"","family":"Papadakis","given":"Michael","non-dropping-particle":"","parse-names":false,"suffix":""},{"dropping-particle":"","family":"Maurizi","given":"Nicolo'","non-dropping-particle":"","parse-names":false,"suffix":""},{"dropping-particle":"","family":"Sinagra","given":"Gianfranco","non-dropping-particle":"","parse-names":false,"suffix":""},{"dropping-particle":"","family":"Pelliccia","given":"Antonio","non-dropping-particle":"","parse-names":false,"suffix":""},{"dropping-particle":"","family":"Rapezzi","given":"Claudio","non-dropping-particle":"","parse-names":false,"suffix":""},{"dropping-particle":"","family":"Sharma","given":"Sanjay","non-dropping-particle":"","parse-names":false,"suffix":""},{"dropping-particle":"","family":"Olivotto","given":"Iacopo","non-dropping-particle":"","parse-names":false,"suffix":""}],"container-title":"Heart rhythm","id":"ITEM-1","issued":{"date-parts":[["2019","8","10"]]},"title":"The electrocardiogram in the diagnosis and management of patients with hypertrophic cardiomyopathy.","type":"article-journal"},"uris":["http://www.mendeley.com/documents/?uuid=f13e6fbb-572b-49ac-a51b-277250eaa50b"]},{"id":"ITEM-2","itemData":{"DOI":"10.1016/j.jacc.2016.09.927","ISBN":"e0735-1097","ISSN":"15583597","PMID":"27908349","abstract":"Background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Cardiology","id":"ITEM-2","issue":"22","issued":{"date-parts":[["2016"]]},"page":"2440-2451","title":"Truncating FLNC Mutations Are Associated With High-Risk Dilated and Arrhythmogenic Cardiomyopathies","type":"article-journal","volume":"68"},"uris":["http://www.mendeley.com/documents/?uuid=f19b7278-7f60-4d40-8d3f-2ada5182bc26"]}],"mendeley":{"formattedCitation":"&lt;sup&gt;20,21&lt;/sup&gt;","plainTextFormattedCitation":"20,21","previouslyFormattedCitation":"&lt;sup&gt;20,21&lt;/sup&gt;"},"properties":{"noteIndex":0},"schema":"https://github.com/citation-style-language/schema/raw/master/csl-citation.json"}</w:instrText>
      </w:r>
      <w:r w:rsidR="00983295">
        <w:rPr>
          <w:rFonts w:ascii="Calibri" w:hAnsi="Calibri"/>
          <w:lang w:val="en-GB"/>
        </w:rPr>
        <w:fldChar w:fldCharType="separate"/>
      </w:r>
      <w:r w:rsidR="001A2833" w:rsidRPr="001A2833">
        <w:rPr>
          <w:rFonts w:ascii="Calibri" w:hAnsi="Calibri"/>
          <w:noProof/>
          <w:vertAlign w:val="superscript"/>
          <w:lang w:val="en-GB"/>
        </w:rPr>
        <w:t>20,21</w:t>
      </w:r>
      <w:r w:rsidR="00983295">
        <w:rPr>
          <w:rFonts w:ascii="Calibri" w:hAnsi="Calibri"/>
          <w:lang w:val="en-GB"/>
        </w:rPr>
        <w:fldChar w:fldCharType="end"/>
      </w:r>
      <w:r w:rsidR="001D7A28">
        <w:rPr>
          <w:rFonts w:ascii="Calibri" w:hAnsi="Calibri"/>
          <w:lang w:val="en-GB"/>
        </w:rPr>
        <w:t>.</w:t>
      </w:r>
    </w:p>
    <w:p w14:paraId="4F021032" w14:textId="0C1B1C16" w:rsidR="00E61EFD" w:rsidRPr="00FD0901" w:rsidRDefault="00E61EFD" w:rsidP="00667CAB">
      <w:pPr>
        <w:spacing w:after="160" w:line="480" w:lineRule="auto"/>
        <w:rPr>
          <w:rFonts w:ascii="Calibri" w:hAnsi="Calibri" w:cs="Calibri"/>
          <w:lang w:val="en-GB"/>
        </w:rPr>
      </w:pPr>
      <w:r w:rsidRPr="00A3576E">
        <w:rPr>
          <w:rFonts w:ascii="Calibri" w:hAnsi="Calibri" w:cs="Calibri"/>
          <w:u w:val="single"/>
          <w:lang w:val="en-GB"/>
        </w:rPr>
        <w:t>The QT interval</w:t>
      </w:r>
    </w:p>
    <w:p w14:paraId="07112015" w14:textId="2FA95EB8" w:rsidR="001D7A28" w:rsidRPr="00FD0901" w:rsidRDefault="00FD0901" w:rsidP="00667CAB">
      <w:pPr>
        <w:spacing w:after="160" w:line="480" w:lineRule="auto"/>
        <w:rPr>
          <w:rFonts w:ascii="Calibri" w:hAnsi="Calibri" w:cs="Calibri"/>
          <w:lang w:val="en-GB"/>
        </w:rPr>
      </w:pPr>
      <w:r w:rsidRPr="00FD0901">
        <w:rPr>
          <w:rFonts w:ascii="Calibri" w:hAnsi="Calibri" w:cs="Calibri"/>
          <w:lang w:val="en-GB"/>
        </w:rPr>
        <w:tab/>
        <w:t>The</w:t>
      </w:r>
      <w:r>
        <w:rPr>
          <w:rFonts w:ascii="Calibri" w:hAnsi="Calibri" w:cs="Calibri"/>
          <w:lang w:val="en-GB"/>
        </w:rPr>
        <w:t xml:space="preserve"> QTc interval is generally normal in DCM. A short QT interval has been associated with p</w:t>
      </w:r>
      <w:r w:rsidRPr="00FD0901">
        <w:rPr>
          <w:rFonts w:ascii="Calibri" w:hAnsi="Calibri" w:cs="Calibri"/>
          <w:lang w:val="en-GB"/>
        </w:rPr>
        <w:t xml:space="preserve">rimary </w:t>
      </w:r>
      <w:r>
        <w:rPr>
          <w:rFonts w:ascii="Calibri" w:hAnsi="Calibri" w:cs="Calibri"/>
          <w:lang w:val="en-GB"/>
        </w:rPr>
        <w:t>c</w:t>
      </w:r>
      <w:r w:rsidRPr="00FD0901">
        <w:rPr>
          <w:rFonts w:ascii="Calibri" w:hAnsi="Calibri" w:cs="Calibri"/>
          <w:lang w:val="en-GB"/>
        </w:rPr>
        <w:t xml:space="preserve">arnitine </w:t>
      </w:r>
      <w:r>
        <w:rPr>
          <w:rFonts w:ascii="Calibri" w:hAnsi="Calibri" w:cs="Calibri"/>
          <w:lang w:val="en-GB"/>
        </w:rPr>
        <w:t>d</w:t>
      </w:r>
      <w:r w:rsidRPr="00FD0901">
        <w:rPr>
          <w:rFonts w:ascii="Calibri" w:hAnsi="Calibri" w:cs="Calibri"/>
          <w:lang w:val="en-GB"/>
        </w:rPr>
        <w:t>eficiency</w:t>
      </w:r>
      <w:r w:rsidR="0028570D">
        <w:rPr>
          <w:rFonts w:ascii="Calibri" w:hAnsi="Calibri" w:cs="Calibri"/>
          <w:lang w:val="en-GB"/>
        </w:rPr>
        <w:t xml:space="preserve"> which may cause DCM</w:t>
      </w:r>
      <w:r>
        <w:rPr>
          <w:rFonts w:ascii="Calibri" w:hAnsi="Calibri" w:cs="Calibri"/>
          <w:lang w:val="en-GB"/>
        </w:rPr>
        <w:fldChar w:fldCharType="begin" w:fldLock="1"/>
      </w:r>
      <w:r w:rsidR="001A2833">
        <w:rPr>
          <w:rFonts w:ascii="Calibri" w:hAnsi="Calibri" w:cs="Calibri"/>
          <w:lang w:val="en-GB"/>
        </w:rPr>
        <w:instrText>ADDIN CSL_CITATION {"citationItems":[{"id":"ITEM-1","itemData":{"DOI":"10.1016/j.rec.2017.09.004","ISSN":"1885-5857","PMID":"29198778","author":[{"dropping-particle":"","family":"Perin","given":"Francesca","non-dropping-particle":"","parse-names":false,"suffix":""},{"dropping-particle":"","family":"Rodríguez-Vázquez Del Rey","given":"María Del Mar","non-dropping-particle":"","parse-names":false,"suffix":""},{"dropping-particle":"","family":"Carreras-Blesa","given":"Carmen","non-dropping-particle":"","parse-names":false,"suffix":""},{"dropping-particle":"","family":"Arrabal-Fernández","given":"Luisa","non-dropping-particle":"","parse-names":false,"suffix":""},{"dropping-particle":"","family":"Jiménez-Jáimez","given":"Juan","non-dropping-particle":"","parse-names":false,"suffix":""},{"dropping-particle":"","family":"Tercedor","given":"Luis","non-dropping-particle":"","parse-names":false,"suffix":""}],"container-title":"Revista espanola de cardiologia (English ed.)","id":"ITEM-1","issue":"12","issued":{"date-parts":[["2018","12"]]},"page":"1074-1075","title":"Dilated Cardiomyopathy With Short QT Interval Suggests Primary Carnitine Deficiency.","type":"article-journal","volume":"71"},"uris":["http://www.mendeley.com/documents/?uuid=c343ab53-69d4-46e7-86c8-1aa71f2e8b8a"]}],"mendeley":{"formattedCitation":"&lt;sup&gt;22&lt;/sup&gt;","plainTextFormattedCitation":"22","previouslyFormattedCitation":"&lt;sup&gt;22&lt;/sup&gt;"},"properties":{"noteIndex":0},"schema":"https://github.com/citation-style-language/schema/raw/master/csl-citation.json"}</w:instrText>
      </w:r>
      <w:r>
        <w:rPr>
          <w:rFonts w:ascii="Calibri" w:hAnsi="Calibri" w:cs="Calibri"/>
          <w:lang w:val="en-GB"/>
        </w:rPr>
        <w:fldChar w:fldCharType="separate"/>
      </w:r>
      <w:r w:rsidR="001A2833" w:rsidRPr="001A2833">
        <w:rPr>
          <w:rFonts w:ascii="Calibri" w:hAnsi="Calibri" w:cs="Calibri"/>
          <w:noProof/>
          <w:vertAlign w:val="superscript"/>
          <w:lang w:val="en-GB"/>
        </w:rPr>
        <w:t>22</w:t>
      </w:r>
      <w:r>
        <w:rPr>
          <w:rFonts w:ascii="Calibri" w:hAnsi="Calibri" w:cs="Calibri"/>
          <w:lang w:val="en-GB"/>
        </w:rPr>
        <w:fldChar w:fldCharType="end"/>
      </w:r>
      <w:r>
        <w:rPr>
          <w:rFonts w:ascii="Calibri" w:hAnsi="Calibri" w:cs="Calibri"/>
          <w:lang w:val="en-GB"/>
        </w:rPr>
        <w:t xml:space="preserve">. QT </w:t>
      </w:r>
      <w:r w:rsidR="00165FDE">
        <w:rPr>
          <w:rFonts w:ascii="Calibri" w:hAnsi="Calibri" w:cs="Calibri"/>
          <w:lang w:val="en-GB"/>
        </w:rPr>
        <w:t>variability at prolonged monitoring has been shown to be of potential use in sudden</w:t>
      </w:r>
      <w:r w:rsidR="009235FE">
        <w:rPr>
          <w:rFonts w:ascii="Calibri" w:hAnsi="Calibri" w:cs="Calibri"/>
          <w:lang w:val="en-GB"/>
        </w:rPr>
        <w:t xml:space="preserve"> cardiac death (SCD)</w:t>
      </w:r>
      <w:r w:rsidR="00165FDE">
        <w:rPr>
          <w:rFonts w:ascii="Calibri" w:hAnsi="Calibri" w:cs="Calibri"/>
          <w:lang w:val="en-GB"/>
        </w:rPr>
        <w:t xml:space="preserve"> risk </w:t>
      </w:r>
      <w:r w:rsidR="00165FDE" w:rsidRPr="00165FDE">
        <w:rPr>
          <w:rFonts w:ascii="Calibri" w:hAnsi="Calibri" w:cs="Calibri"/>
          <w:lang w:val="en-GB"/>
        </w:rPr>
        <w:t>stratification</w:t>
      </w:r>
      <w:r w:rsidR="00165FDE">
        <w:rPr>
          <w:rFonts w:ascii="Calibri" w:hAnsi="Calibri" w:cs="Calibri"/>
          <w:lang w:val="en-GB"/>
        </w:rPr>
        <w:t xml:space="preserve"> in patients</w:t>
      </w:r>
      <w:r w:rsidR="00A1136F">
        <w:rPr>
          <w:rFonts w:ascii="Calibri" w:hAnsi="Calibri" w:cs="Calibri"/>
          <w:lang w:val="en-GB"/>
        </w:rPr>
        <w:t xml:space="preserve"> with DCM</w:t>
      </w:r>
      <w:r w:rsidR="00165FDE">
        <w:rPr>
          <w:rFonts w:ascii="Calibri" w:hAnsi="Calibri" w:cs="Calibri"/>
          <w:lang w:val="en-GB"/>
        </w:rPr>
        <w:fldChar w:fldCharType="begin" w:fldLock="1"/>
      </w:r>
      <w:r w:rsidR="001A2833">
        <w:rPr>
          <w:rFonts w:ascii="Calibri" w:hAnsi="Calibri" w:cs="Calibri"/>
          <w:lang w:val="en-GB"/>
        </w:rPr>
        <w:instrText>ADDIN CSL_CITATION {"citationItems":[{"id":"ITEM-1","itemData":{"DOI":"10.1088/0967-3334/36/4/699","ISSN":"1361-6579","PMID":"25799313","abstract":"Recently it could be demonstrated that systolic and diastolic blood pressure variability (BPV) as well as segmented Poincare plot analysis (SPPA) contribute to risk stratification in patients suffering from dilated cardiomyopathy (DCM). The aim of this study was to improve the risk stratification applying a multivariate technique including QT variability (QTV). We enrolled and significantly separated 56 low risk and 13 high risk DCM patients by nearly all applied BPV and QTV methods, but not with traditional heart rate variability analysis. The optimum set of two indices calculating the multivariate discriminate analysis (DA) included one BPV index calculated by symbolic dynamics method (DBP(Shannon)) and one index calculated from QTV (QTV(log)) achieving an area under the receiver operating characteristics curve (AUC) of 92%, sensitivity of 92.3% and specificity of 89.3%. Performing only electrocardiogram analysis, the optimum multivariate approach including indices from segmented Poincaré plot analysis and QTV still achieved a remarkable AUC of 88.3%. Increasing the number of indices for multivariate DA up to three, we achieved an AUC of 95.7%, sensitivity of 100% and specificity of 85.7% including one clinical, one BPV and one QTV index. Summarizing, we identified DCM patients with an increased risk of sudden cardiac death applying QTV analysis in a multivariate approach.","author":[{"dropping-particle":"","family":"Fischer","given":"C","non-dropping-particle":"","parse-names":false,"suffix":""},{"dropping-particle":"","family":"Seeck","given":"A","non-dropping-particle":"","parse-names":false,"suffix":""},{"dropping-particle":"","family":"Schroeder","given":"R","non-dropping-particle":"","parse-names":false,"suffix":""},{"dropping-particle":"","family":"Goernig","given":"M","non-dropping-particle":"","parse-names":false,"suffix":""},{"dropping-particle":"","family":"Schirdewan","given":"A","non-dropping-particle":"","parse-names":false,"suffix":""},{"dropping-particle":"","family":"Figulla","given":"H R","non-dropping-particle":"","parse-names":false,"suffix":""},{"dropping-particle":"","family":"Baumert","given":"M","non-dropping-particle":"","parse-names":false,"suffix":""},{"dropping-particle":"","family":"Voss","given":"A","non-dropping-particle":"","parse-names":false,"suffix":""}],"container-title":"Physiological measurement","id":"ITEM-1","issue":"4","issued":{"date-parts":[["2015","4"]]},"page":"699-713","title":"QT variability improves risk stratification in patients with dilated cardiomyopathy.","type":"article-journal","volume":"36"},"uris":["http://www.mendeley.com/documents/?uuid=272d8f35-895f-46da-bbfd-1a1aa3096afe"]}],"mendeley":{"formattedCitation":"&lt;sup&gt;23&lt;/sup&gt;","plainTextFormattedCitation":"23","previouslyFormattedCitation":"&lt;sup&gt;23&lt;/sup&gt;"},"properties":{"noteIndex":0},"schema":"https://github.com/citation-style-language/schema/raw/master/csl-citation.json"}</w:instrText>
      </w:r>
      <w:r w:rsidR="00165FDE">
        <w:rPr>
          <w:rFonts w:ascii="Calibri" w:hAnsi="Calibri" w:cs="Calibri"/>
          <w:lang w:val="en-GB"/>
        </w:rPr>
        <w:fldChar w:fldCharType="separate"/>
      </w:r>
      <w:r w:rsidR="001A2833" w:rsidRPr="001A2833">
        <w:rPr>
          <w:rFonts w:ascii="Calibri" w:hAnsi="Calibri" w:cs="Calibri"/>
          <w:noProof/>
          <w:vertAlign w:val="superscript"/>
          <w:lang w:val="en-GB"/>
        </w:rPr>
        <w:t>23</w:t>
      </w:r>
      <w:r w:rsidR="00165FDE">
        <w:rPr>
          <w:rFonts w:ascii="Calibri" w:hAnsi="Calibri" w:cs="Calibri"/>
          <w:lang w:val="en-GB"/>
        </w:rPr>
        <w:fldChar w:fldCharType="end"/>
      </w:r>
      <w:r w:rsidR="00165FDE">
        <w:rPr>
          <w:rFonts w:ascii="Calibri" w:hAnsi="Calibri" w:cs="Calibri"/>
          <w:lang w:val="en-GB"/>
        </w:rPr>
        <w:t>.</w:t>
      </w:r>
      <w:r>
        <w:rPr>
          <w:rFonts w:ascii="Calibri" w:hAnsi="Calibri" w:cs="Calibri"/>
          <w:lang w:val="en-GB"/>
        </w:rPr>
        <w:t xml:space="preserve"> </w:t>
      </w:r>
    </w:p>
    <w:p w14:paraId="1D343C89" w14:textId="758C551D" w:rsidR="00E61EFD" w:rsidRPr="004D197D" w:rsidRDefault="002068CE" w:rsidP="004D197D">
      <w:pPr>
        <w:spacing w:line="480" w:lineRule="auto"/>
        <w:ind w:left="-414" w:firstLine="414"/>
        <w:rPr>
          <w:rFonts w:ascii="Calibri" w:hAnsi="Calibri" w:cs="Calibri"/>
          <w:u w:val="single"/>
          <w:lang w:val="en-GB"/>
        </w:rPr>
      </w:pPr>
      <w:r>
        <w:rPr>
          <w:rFonts w:ascii="Calibri" w:hAnsi="Calibri" w:cs="Calibri"/>
          <w:u w:val="single"/>
          <w:lang w:val="en-GB"/>
        </w:rPr>
        <w:t>Ventricular premature beats (VPBs)</w:t>
      </w:r>
    </w:p>
    <w:p w14:paraId="57506660" w14:textId="3D304B5D" w:rsidR="00163142" w:rsidRDefault="002068CE" w:rsidP="00163142">
      <w:pPr>
        <w:spacing w:line="480" w:lineRule="auto"/>
        <w:ind w:firstLine="720"/>
        <w:rPr>
          <w:rFonts w:ascii="Calibri" w:hAnsi="Calibri" w:cs="Calibri"/>
          <w:bCs/>
          <w:lang w:val="en-US"/>
        </w:rPr>
      </w:pPr>
      <w:r w:rsidRPr="002068CE">
        <w:rPr>
          <w:rFonts w:ascii="Calibri" w:hAnsi="Calibri" w:cs="Calibri"/>
          <w:bCs/>
          <w:lang w:val="en-GB"/>
        </w:rPr>
        <w:t>Ventricular premature beats (VPBs)</w:t>
      </w:r>
      <w:r w:rsidR="004D197D" w:rsidRPr="0041574E">
        <w:rPr>
          <w:rFonts w:ascii="Calibri" w:hAnsi="Calibri" w:cs="Calibri"/>
          <w:bCs/>
          <w:lang w:val="en-GB"/>
        </w:rPr>
        <w:t xml:space="preserve"> </w:t>
      </w:r>
      <w:r>
        <w:rPr>
          <w:rFonts w:ascii="Calibri" w:hAnsi="Calibri" w:cs="Calibri"/>
          <w:bCs/>
          <w:lang w:val="en-GB"/>
        </w:rPr>
        <w:t>may be</w:t>
      </w:r>
      <w:r w:rsidR="004D197D" w:rsidRPr="0041574E">
        <w:rPr>
          <w:rFonts w:ascii="Calibri" w:hAnsi="Calibri" w:cs="Calibri"/>
          <w:bCs/>
          <w:lang w:val="en-GB"/>
        </w:rPr>
        <w:t xml:space="preserve"> </w:t>
      </w:r>
      <w:r>
        <w:rPr>
          <w:rFonts w:ascii="Calibri" w:hAnsi="Calibri" w:cs="Calibri"/>
          <w:bCs/>
          <w:lang w:val="en-GB"/>
        </w:rPr>
        <w:t>found</w:t>
      </w:r>
      <w:r w:rsidR="004D197D" w:rsidRPr="0041574E">
        <w:rPr>
          <w:rFonts w:ascii="Calibri" w:hAnsi="Calibri" w:cs="Calibri"/>
          <w:bCs/>
          <w:lang w:val="en-GB"/>
        </w:rPr>
        <w:t xml:space="preserve"> in up to 40% of patients</w:t>
      </w:r>
      <w:r w:rsidR="00E665C4">
        <w:rPr>
          <w:rFonts w:ascii="Calibri" w:hAnsi="Calibri" w:cs="Calibri"/>
          <w:bCs/>
          <w:lang w:val="en-GB"/>
        </w:rPr>
        <w:t xml:space="preserve"> with DCM</w:t>
      </w:r>
      <w:r w:rsidR="004D197D"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{"citationItems":[{"id":"ITEM-1","itemData":{"DOI":"10.1161/JAHA.115.002149","ISBN":"2047-9980","ISSN":"20479980","PMID":"26475296","abstract":"BACKGROUND: Patients with dilated cardiomyopathy (DCM) may present with ventricular arrhythmias early in the disease course, unrelated to the severity of left ventricular dysfunction. These patients may be classified as having an arrhythmogenic DCM (AR-DCM). We investigated the phenotype and natural history of patients with AR-DCM. METHODS AND RESULTS: Two hundred eighty-five patients with a recent diagnosis of DCM (median duration of the disease 1 month, range 0 to 7 months) and who had Holter monitoring at baseline were comprehensively evaluated and followed for 107 months (range 29 to 170 months). AR-DCM was defined by the presence of &gt;1 of the following: unexplained syncope, rapid nonsustained ventricular tachycardia (&gt;5 beats, &gt;150 bpm), &gt;1000 premature ventricular contractions/24 hours, and &gt;50 ventricular couplets/24 hours, in the absence of overt heart failure. The primary end points were sudden cardiac death (SCD), sustained ventricular tachycardia (SVT), or ventricular fibrillation (VF). The secondary end points were death from congestive heart failure or heart transplantation. Of the 285 patients, 109 (38.2%) met criteria for AR-DCM phenotype. AR-DCM subjects had a higher incidence of SCD/SVT/VF compared with non-AR-DCM patients (30.3% vs 17.6%, P=0.022), with no difference in the secondary end points. A family history of SCD/SVT/VF and the AR-DCM phenotype were statistically significant and cumulative predictors of SCD/SVT/VF. CONCLUSIONS: One-third of DCM patients may have an arrhythmogenic phenotype associated with increased risk of arrhythmias during follow-up. A family history of ventricular arrhythmias in DCM predicts a poor prognosis and increased risk of SCD.Copyright © 2015 The Authors. Published on behalf of the American Heart Association, Inc., by Wiley Blackwell.","author":[{"dropping-particle":"","family":"Spezzacatene","given":"Anita","non-dropping-particle":"","parse-names":false,"suffix":""},{"dropping-particle":"","family":"Sinagra","given":"Gianfranco","non-dropping-particle":"","parse-names":false,"suffix":""},{"dropping-particle":"","family":"Merlo","given":"Marco","non-dropping-particle":"","parse-names":false,"suffix":""},{"dropping-particle":"","family":"Barbati","given":"Giulia","non-dropping-particle":"","parse-names":false,"suffix":""},{"dropping-particle":"","family":"Graw","given":"Sharon L.","non-dropping-particle":"","parse-names":false,"suffix":""},{"dropping-particle":"","family":"Brun","given":"Francesca","non-dropping-particle":"","parse-names":false,"suffix":""},{"dropping-particle":"","family":"Slavov","given":"Dobromir","non-dropping-particle":"","parse-names":false,"suffix":""},{"dropping-particle":"","family":"Lenarda","given":"Andrea","non-dropping-particle":"Di","parse-names":false,"suffix":""},{"dropping-particle":"","family":"Salcedo","given":"Ernesto E.","non-dropping-particle":"","parse-names":false,"suffix":""},{"dropping-particle":"","family":"Towbin","given":"Jeffrey A.","non-dropping-particle":"","parse-names":false,"suffix":""},{"dropping-particle":"","family":"Saffitz","given":"Jeffrey E.","non-dropping-particle":"","parse-names":false,"suffix":""},{"dropping-particle":"","family":"Marcus","given":"Frank I.","non-dropping-particle":"","parse-names":false,"suffix":""},{"dropping-particle":"","family":"Zareba","given":"Wojciech","non-dropping-particle":"","parse-names":false,"suffix":""},{"dropping-particle":"","family":"Taylor","given":"Matthew R.G.","non-dropping-particle":"","parse-names":false,"suffix":""},{"dropping-particle":"","family":"Mestroni","given":"Luisa","non-dropping-particle":"","parse-names":false,"suffix":""}],"container-title":"Journal of the American Heart Association","id":"ITEM-1","issue":"10","issued":{"date-parts":[["2015"]]},"title":"Arrhythmogenic phenotype in dilated cardiomyopathy: Natural history and predictors of life-threatening arrhythmias","type":"article-journal","volume":"4"},"uris":["http://www.mendeley.com/documents/?uuid=c56fc9b8-73a6-4443-9b14-9942b6f7f0c1","http://www.mendeley.com/documents/?uuid=0aee4720-da35-4158-bb03-603575f01dfa"]}],"mendeley":{"formattedCitation":"&lt;sup&gt;24&lt;/sup&gt;","plainTextFormattedCitation":"24","previouslyFormattedCitation":"&lt;sup&gt;24&lt;/sup&gt;"},"properties":{"noteIndex":0},"schema":"https://github.com/citation-style-language/schema/raw/master/csl-citation.json"}</w:instrText>
      </w:r>
      <w:r w:rsidR="004D197D" w:rsidRPr="0041574E">
        <w:rPr>
          <w:rFonts w:ascii="Calibri" w:hAnsi="Calibri" w:cs="Calibri"/>
          <w:bCs/>
          <w:lang w:val="en-GB"/>
        </w:rPr>
        <w:fldChar w:fldCharType="separate"/>
      </w:r>
      <w:r w:rsidR="001A2833" w:rsidRPr="001A2833">
        <w:rPr>
          <w:rFonts w:ascii="Calibri" w:hAnsi="Calibri" w:cs="Calibri"/>
          <w:bCs/>
          <w:noProof/>
          <w:vertAlign w:val="superscript"/>
          <w:lang w:val="en-US"/>
        </w:rPr>
        <w:t>24</w:t>
      </w:r>
      <w:r w:rsidR="004D197D" w:rsidRPr="0041574E">
        <w:rPr>
          <w:rFonts w:ascii="Calibri" w:hAnsi="Calibri" w:cs="Calibri"/>
          <w:bCs/>
          <w:lang w:val="en-GB"/>
        </w:rPr>
        <w:fldChar w:fldCharType="end"/>
      </w:r>
      <w:r w:rsidR="004D197D" w:rsidRPr="0041574E">
        <w:rPr>
          <w:rFonts w:ascii="Calibri" w:hAnsi="Calibri" w:cs="Calibri"/>
          <w:bCs/>
          <w:lang w:val="en-US"/>
        </w:rPr>
        <w:t>.</w:t>
      </w:r>
      <w:r w:rsidR="00104955">
        <w:rPr>
          <w:rFonts w:ascii="Calibri" w:hAnsi="Calibri" w:cs="Calibri"/>
          <w:bCs/>
          <w:lang w:val="en-US"/>
        </w:rPr>
        <w:t xml:space="preserve"> Frequent VPBs may promote LV systolic dysfunction and in some cases it may be challenging to establish whether VPBs are the main driving force of LV systolic dysfunction</w:t>
      </w:r>
      <w:r w:rsidR="005F03D4">
        <w:rPr>
          <w:rFonts w:ascii="Calibri" w:hAnsi="Calibri" w:cs="Calibri"/>
          <w:bCs/>
          <w:lang w:val="en-US"/>
        </w:rPr>
        <w:t xml:space="preserve"> (</w:t>
      </w:r>
      <w:proofErr w:type="spellStart"/>
      <w:r w:rsidR="005F03D4">
        <w:rPr>
          <w:rFonts w:ascii="Calibri" w:hAnsi="Calibri" w:cs="Calibri"/>
          <w:bCs/>
          <w:lang w:val="en-US"/>
        </w:rPr>
        <w:t>tachycardi</w:t>
      </w:r>
      <w:r w:rsidR="006F3761">
        <w:rPr>
          <w:rFonts w:ascii="Calibri" w:hAnsi="Calibri" w:cs="Calibri"/>
          <w:bCs/>
          <w:lang w:val="en-US"/>
        </w:rPr>
        <w:t>o</w:t>
      </w:r>
      <w:r w:rsidR="005F03D4">
        <w:rPr>
          <w:rFonts w:ascii="Calibri" w:hAnsi="Calibri" w:cs="Calibri"/>
          <w:bCs/>
          <w:lang w:val="en-US"/>
        </w:rPr>
        <w:t>myopathy</w:t>
      </w:r>
      <w:proofErr w:type="spellEnd"/>
      <w:r w:rsidR="005F03D4">
        <w:rPr>
          <w:rFonts w:ascii="Calibri" w:hAnsi="Calibri" w:cs="Calibri"/>
          <w:bCs/>
          <w:lang w:val="en-US"/>
        </w:rPr>
        <w:t>)</w:t>
      </w:r>
      <w:r w:rsidR="00A1136F">
        <w:rPr>
          <w:rFonts w:ascii="Calibri" w:hAnsi="Calibri" w:cs="Calibri"/>
          <w:bCs/>
          <w:lang w:val="en-US"/>
        </w:rPr>
        <w:t>,</w:t>
      </w:r>
      <w:r w:rsidR="00104955">
        <w:rPr>
          <w:rFonts w:ascii="Calibri" w:hAnsi="Calibri" w:cs="Calibri"/>
          <w:bCs/>
          <w:lang w:val="en-US"/>
        </w:rPr>
        <w:t xml:space="preserve"> an arrhythmic manifestation of an underlying cardiomyopathy or an innocent by-stander. There is no consensus regarding the burden of VPBs considered to be sufficient to cause LV systolic dysfunction, however a</w:t>
      </w:r>
      <w:r w:rsidR="00104955" w:rsidRPr="00104955">
        <w:rPr>
          <w:rFonts w:ascii="Calibri" w:hAnsi="Calibri" w:cs="Calibri"/>
          <w:bCs/>
          <w:lang w:val="en-US"/>
        </w:rPr>
        <w:t xml:space="preserve"> high burden has been variably defined as ranging from &gt;10 000 to 25 000 </w:t>
      </w:r>
      <w:r w:rsidR="00104955">
        <w:rPr>
          <w:rFonts w:ascii="Calibri" w:hAnsi="Calibri" w:cs="Calibri"/>
          <w:bCs/>
          <w:lang w:val="en-US"/>
        </w:rPr>
        <w:t>V</w:t>
      </w:r>
      <w:r w:rsidR="00FC3FCD">
        <w:rPr>
          <w:rFonts w:ascii="Calibri" w:hAnsi="Calibri" w:cs="Calibri"/>
          <w:bCs/>
          <w:lang w:val="en-US"/>
        </w:rPr>
        <w:t>P</w:t>
      </w:r>
      <w:r w:rsidR="00104955">
        <w:rPr>
          <w:rFonts w:ascii="Calibri" w:hAnsi="Calibri" w:cs="Calibri"/>
          <w:bCs/>
          <w:lang w:val="en-US"/>
        </w:rPr>
        <w:t>Bs</w:t>
      </w:r>
      <w:r w:rsidR="00104955" w:rsidRPr="00104955">
        <w:rPr>
          <w:rFonts w:ascii="Calibri" w:hAnsi="Calibri" w:cs="Calibri"/>
          <w:bCs/>
          <w:lang w:val="en-US"/>
        </w:rPr>
        <w:t>/day and as &gt;10% to 24% of total heart</w:t>
      </w:r>
      <w:r w:rsidR="00104955">
        <w:rPr>
          <w:rFonts w:ascii="Calibri" w:hAnsi="Calibri" w:cs="Calibri"/>
          <w:bCs/>
          <w:lang w:val="en-US"/>
        </w:rPr>
        <w:t>-</w:t>
      </w:r>
      <w:r w:rsidR="00104955" w:rsidRPr="00104955">
        <w:rPr>
          <w:rFonts w:ascii="Calibri" w:hAnsi="Calibri" w:cs="Calibri"/>
          <w:bCs/>
          <w:lang w:val="en-US"/>
        </w:rPr>
        <w:t>beats</w:t>
      </w:r>
      <w:r w:rsidR="00104955">
        <w:rPr>
          <w:rFonts w:ascii="Calibri" w:hAnsi="Calibri" w:cs="Calibri"/>
          <w:bCs/>
          <w:lang w:val="en-US"/>
        </w:rPr>
        <w:t xml:space="preserve"> during the 24 hours</w:t>
      </w:r>
      <w:r w:rsidR="001A2833">
        <w:rPr>
          <w:rFonts w:ascii="Calibri" w:hAnsi="Calibri" w:cs="Calibri"/>
          <w:bCs/>
          <w:lang w:val="en-US"/>
        </w:rPr>
        <w:fldChar w:fldCharType="begin" w:fldLock="1"/>
      </w:r>
      <w:r w:rsidR="000E18FD">
        <w:rPr>
          <w:rFonts w:ascii="Calibri" w:hAnsi="Calibri" w:cs="Calibri"/>
          <w:bCs/>
          <w:lang w:val="en-US"/>
        </w:rPr>
        <w:instrText>ADDIN CSL_CITATION {"citationItems":[{"id":"ITEM-1","itemData":{"DOI":"10.1136/heartjnl-2016-310391","ISSN":"1468-201X","PMID":"28855272","author":[{"dropping-particle":"","family":"Martin","given":"Claire A","non-dropping-particle":"","parse-names":false,"suffix":""},{"dropping-particle":"","family":"Lambiase","given":"Pier D","non-dropping-particle":"","parse-names":false,"suffix":""}],"container-title":"Heart (British Cardiac Society)","id":"ITEM-1","issue":"19","issued":{"date-parts":[["2017"]]},"page":"1543-1552","title":"Pathophysiology, diagnosis and treatment of tachycardiomyopathy.","type":"article-journal","volume":"103"},"uris":["http://www.mendeley.com/documents/?uuid=6dae4da1-9596-4f65-9aff-26fcb75a22aa"]}],"mendeley":{"formattedCitation":"&lt;sup&gt;25&lt;/sup&gt;","plainTextFormattedCitation":"25","previouslyFormattedCitation":"&lt;sup&gt;25&lt;/sup&gt;"},"properties":{"noteIndex":0},"schema":"https://github.com/citation-style-language/schema/raw/master/csl-citation.json"}</w:instrText>
      </w:r>
      <w:r w:rsidR="001A2833">
        <w:rPr>
          <w:rFonts w:ascii="Calibri" w:hAnsi="Calibri" w:cs="Calibri"/>
          <w:bCs/>
          <w:lang w:val="en-US"/>
        </w:rPr>
        <w:fldChar w:fldCharType="separate"/>
      </w:r>
      <w:r w:rsidR="001A2833" w:rsidRPr="001A2833">
        <w:rPr>
          <w:rFonts w:ascii="Calibri" w:hAnsi="Calibri" w:cs="Calibri"/>
          <w:bCs/>
          <w:noProof/>
          <w:vertAlign w:val="superscript"/>
          <w:lang w:val="en-US"/>
        </w:rPr>
        <w:t>25</w:t>
      </w:r>
      <w:r w:rsidR="001A2833">
        <w:rPr>
          <w:rFonts w:ascii="Calibri" w:hAnsi="Calibri" w:cs="Calibri"/>
          <w:bCs/>
          <w:lang w:val="en-US"/>
        </w:rPr>
        <w:fldChar w:fldCharType="end"/>
      </w:r>
      <w:r w:rsidR="00104955">
        <w:rPr>
          <w:rFonts w:ascii="Calibri" w:hAnsi="Calibri" w:cs="Calibri"/>
          <w:bCs/>
          <w:lang w:val="en-US"/>
        </w:rPr>
        <w:t>.</w:t>
      </w:r>
      <w:r w:rsidR="00EE431C">
        <w:rPr>
          <w:rFonts w:ascii="Calibri" w:hAnsi="Calibri" w:cs="Calibri"/>
          <w:bCs/>
          <w:lang w:val="en-US"/>
        </w:rPr>
        <w:t xml:space="preserve"> The type and not only the burden of VPBs is relevant in the differential diagnosis between form</w:t>
      </w:r>
      <w:r w:rsidR="00F82EBB">
        <w:rPr>
          <w:rFonts w:ascii="Calibri" w:hAnsi="Calibri" w:cs="Calibri"/>
          <w:bCs/>
          <w:lang w:val="en-US"/>
        </w:rPr>
        <w:t>s</w:t>
      </w:r>
      <w:r w:rsidR="00EE431C">
        <w:rPr>
          <w:rFonts w:ascii="Calibri" w:hAnsi="Calibri" w:cs="Calibri"/>
          <w:bCs/>
          <w:lang w:val="en-US"/>
        </w:rPr>
        <w:t xml:space="preserve"> of DCM.</w:t>
      </w:r>
      <w:r w:rsidR="00F82EBB">
        <w:rPr>
          <w:rFonts w:ascii="Calibri" w:hAnsi="Calibri" w:cs="Calibri"/>
          <w:bCs/>
          <w:lang w:val="en-US"/>
        </w:rPr>
        <w:t xml:space="preserve"> Moreover, c</w:t>
      </w:r>
      <w:r w:rsidR="00EE431C">
        <w:rPr>
          <w:rFonts w:ascii="Calibri" w:hAnsi="Calibri" w:cs="Calibri"/>
          <w:bCs/>
          <w:lang w:val="en-US"/>
        </w:rPr>
        <w:t>ertain VPB</w:t>
      </w:r>
      <w:r w:rsidR="001A7D9B">
        <w:rPr>
          <w:rFonts w:ascii="Calibri" w:hAnsi="Calibri" w:cs="Calibri"/>
          <w:bCs/>
          <w:lang w:val="en-US"/>
        </w:rPr>
        <w:t>s morpholog</w:t>
      </w:r>
      <w:r w:rsidR="008C6650">
        <w:rPr>
          <w:rFonts w:ascii="Calibri" w:hAnsi="Calibri" w:cs="Calibri"/>
          <w:bCs/>
          <w:lang w:val="en-US"/>
        </w:rPr>
        <w:t>ies</w:t>
      </w:r>
      <w:r w:rsidR="001A7D9B">
        <w:rPr>
          <w:rFonts w:ascii="Calibri" w:hAnsi="Calibri" w:cs="Calibri"/>
          <w:bCs/>
          <w:lang w:val="en-US"/>
        </w:rPr>
        <w:t xml:space="preserve"> </w:t>
      </w:r>
      <w:r w:rsidR="008C6650">
        <w:rPr>
          <w:rFonts w:ascii="Calibri" w:hAnsi="Calibri" w:cs="Calibri"/>
          <w:bCs/>
          <w:lang w:val="en-US"/>
        </w:rPr>
        <w:t>are</w:t>
      </w:r>
      <w:r w:rsidR="001A7D9B">
        <w:rPr>
          <w:rFonts w:ascii="Calibri" w:hAnsi="Calibri" w:cs="Calibri"/>
          <w:bCs/>
          <w:lang w:val="en-US"/>
        </w:rPr>
        <w:t xml:space="preserve"> commonly identified in</w:t>
      </w:r>
      <w:r w:rsidR="008C6650">
        <w:rPr>
          <w:rFonts w:ascii="Calibri" w:hAnsi="Calibri" w:cs="Calibri"/>
          <w:bCs/>
          <w:lang w:val="en-US"/>
        </w:rPr>
        <w:t xml:space="preserve"> athletes </w:t>
      </w:r>
      <w:r w:rsidR="00163142">
        <w:rPr>
          <w:rFonts w:ascii="Calibri" w:hAnsi="Calibri" w:cs="Calibri"/>
          <w:bCs/>
          <w:lang w:val="en-US"/>
        </w:rPr>
        <w:t xml:space="preserve">and are considered benign. These include infundibular and fascicular </w:t>
      </w:r>
      <w:r w:rsidR="00163142">
        <w:rPr>
          <w:rFonts w:ascii="Calibri" w:hAnsi="Calibri" w:cs="Calibri"/>
          <w:bCs/>
          <w:lang w:val="en-US"/>
        </w:rPr>
        <w:lastRenderedPageBreak/>
        <w:t xml:space="preserve">morphologies. </w:t>
      </w:r>
      <w:r w:rsidR="00163142" w:rsidRPr="00163142">
        <w:rPr>
          <w:rFonts w:ascii="Calibri" w:hAnsi="Calibri" w:cs="Calibri"/>
          <w:bCs/>
          <w:lang w:val="en-US"/>
        </w:rPr>
        <w:t>On the contrary, other morphologies of V</w:t>
      </w:r>
      <w:r w:rsidR="00163142">
        <w:rPr>
          <w:rFonts w:ascii="Calibri" w:hAnsi="Calibri" w:cs="Calibri"/>
          <w:bCs/>
          <w:lang w:val="en-US"/>
        </w:rPr>
        <w:t>P</w:t>
      </w:r>
      <w:r w:rsidR="00163142" w:rsidRPr="00163142">
        <w:rPr>
          <w:rFonts w:ascii="Calibri" w:hAnsi="Calibri" w:cs="Calibri"/>
          <w:bCs/>
          <w:lang w:val="en-US"/>
        </w:rPr>
        <w:t>Bs such as LBBB/intermediate or superior axis or RBBB/intermediate or superior</w:t>
      </w:r>
      <w:r w:rsidR="00163142">
        <w:rPr>
          <w:rFonts w:ascii="Calibri" w:hAnsi="Calibri" w:cs="Calibri"/>
          <w:bCs/>
          <w:lang w:val="en-US"/>
        </w:rPr>
        <w:t xml:space="preserve"> </w:t>
      </w:r>
      <w:r w:rsidR="00163142" w:rsidRPr="00163142">
        <w:rPr>
          <w:rFonts w:ascii="Calibri" w:hAnsi="Calibri" w:cs="Calibri"/>
          <w:bCs/>
          <w:lang w:val="en-US"/>
        </w:rPr>
        <w:t xml:space="preserve">axis and wide QRS </w:t>
      </w:r>
      <w:r w:rsidR="00163142">
        <w:rPr>
          <w:rFonts w:ascii="Calibri" w:hAnsi="Calibri" w:cs="Calibri"/>
          <w:bCs/>
          <w:lang w:val="en-US"/>
        </w:rPr>
        <w:t>may be a sign of underlying myocardial disease</w:t>
      </w:r>
      <w:r w:rsidR="0028570D">
        <w:rPr>
          <w:rFonts w:ascii="Calibri" w:hAnsi="Calibri" w:cs="Calibri"/>
          <w:bCs/>
          <w:lang w:val="en-US"/>
        </w:rPr>
        <w:fldChar w:fldCharType="begin" w:fldLock="1"/>
      </w:r>
      <w:r w:rsidR="000E18FD">
        <w:rPr>
          <w:rFonts w:ascii="Calibri" w:hAnsi="Calibri" w:cs="Calibri"/>
          <w:bCs/>
          <w:lang w:val="en-US"/>
        </w:rPr>
        <w:instrText>ADDIN CSL_CITATION {"citationItems":[{"id":"ITEM-1","itemData":{"DOI":"10.1136/bjsports-2018-100529","ISSN":"1473-0480","PMID":"31481389","abstract":"Although premature ventricular beats (PVBs) in young people and athletes are usually benign, they may rarely mark underlying heart disease and risk of sudden cardiac death during sport. This review addresses the prevalence, clinical meaning and diagnostic/prognostic assessment of PVBs in the athlete. The article focuses on the characteristics of PVBs, such as the morphological pattern of the ectopic QRS and the response to exercise, which accurately stratify risk. We propose an algorithm to help the sport and exercise physician manage the athlete with PVBs. We also address (1) which athletes need more indepth investigation, including cardiac MRI to exclude an underlying pathological myocardial substrate, and (2) which athletes can remain eligible to competitive sports and who needs to be excluded.","author":[{"dropping-particle":"","family":"Corrado","given":"Domenico","non-dropping-particle":"","parse-names":false,"suffix":""},{"dropping-particle":"","family":"Drezner","given":"Jonathan A","non-dropping-particle":"","parse-names":false,"suffix":""},{"dropping-particle":"","family":"D'Ascenzi","given":"Flavio","non-dropping-particle":"","parse-names":false,"suffix":""},{"dropping-particle":"","family":"Zorzi","given":"Alessandro","non-dropping-particle":"","parse-names":false,"suffix":""}],"container-title":"British journal of sports medicine","id":"ITEM-1","issued":{"date-parts":[["2019","9","3"]]},"title":"How to evaluate premature ventricular beats in the athlete: critical review and proposal of a diagnostic algorithm.","type":"article-journal"},"uris":["http://www.mendeley.com/documents/?uuid=8588bf24-a946-411b-9186-e5f60f32ec6a"]}],"mendeley":{"formattedCitation":"&lt;sup&gt;26&lt;/sup&gt;","plainTextFormattedCitation":"26","previouslyFormattedCitation":"&lt;sup&gt;26&lt;/sup&gt;"},"properties":{"noteIndex":0},"schema":"https://github.com/citation-style-language/schema/raw/master/csl-citation.json"}</w:instrText>
      </w:r>
      <w:r w:rsidR="0028570D">
        <w:rPr>
          <w:rFonts w:ascii="Calibri" w:hAnsi="Calibri" w:cs="Calibri"/>
          <w:bCs/>
          <w:lang w:val="en-US"/>
        </w:rPr>
        <w:fldChar w:fldCharType="separate"/>
      </w:r>
      <w:r w:rsidR="001A2833" w:rsidRPr="001A2833">
        <w:rPr>
          <w:rFonts w:ascii="Calibri" w:hAnsi="Calibri" w:cs="Calibri"/>
          <w:bCs/>
          <w:noProof/>
          <w:vertAlign w:val="superscript"/>
          <w:lang w:val="en-US"/>
        </w:rPr>
        <w:t>26</w:t>
      </w:r>
      <w:r w:rsidR="0028570D">
        <w:rPr>
          <w:rFonts w:ascii="Calibri" w:hAnsi="Calibri" w:cs="Calibri"/>
          <w:bCs/>
          <w:lang w:val="en-US"/>
        </w:rPr>
        <w:fldChar w:fldCharType="end"/>
      </w:r>
      <w:r w:rsidR="00163142">
        <w:rPr>
          <w:rFonts w:ascii="Calibri" w:hAnsi="Calibri" w:cs="Calibri"/>
          <w:bCs/>
          <w:lang w:val="en-US"/>
        </w:rPr>
        <w:t xml:space="preserve">. </w:t>
      </w:r>
    </w:p>
    <w:p w14:paraId="4F060C1E" w14:textId="0BC345A5" w:rsidR="008E240D" w:rsidRPr="00DC586E" w:rsidRDefault="005F03D4" w:rsidP="008E240D">
      <w:pPr>
        <w:spacing w:line="480" w:lineRule="auto"/>
        <w:ind w:firstLine="720"/>
        <w:rPr>
          <w:rFonts w:ascii="Calibri" w:hAnsi="Calibri" w:cs="Calibri"/>
          <w:lang w:val="en-GB"/>
        </w:rPr>
      </w:pPr>
      <w:r>
        <w:rPr>
          <w:rFonts w:ascii="Calibri" w:hAnsi="Calibri" w:cs="Calibri"/>
          <w:bCs/>
          <w:lang w:val="en-US"/>
        </w:rPr>
        <w:t xml:space="preserve">An “arrhythmogenic” subset of genetic DCM, epitomized by </w:t>
      </w:r>
      <w:proofErr w:type="spellStart"/>
      <w:r>
        <w:rPr>
          <w:rFonts w:ascii="Calibri" w:hAnsi="Calibri" w:cs="Calibri"/>
          <w:bCs/>
          <w:lang w:val="en-US"/>
        </w:rPr>
        <w:t>lamin</w:t>
      </w:r>
      <w:proofErr w:type="spellEnd"/>
      <w:r>
        <w:rPr>
          <w:rFonts w:ascii="Calibri" w:hAnsi="Calibri" w:cs="Calibri"/>
          <w:bCs/>
          <w:lang w:val="en-US"/>
        </w:rPr>
        <w:t xml:space="preserve"> A/C</w:t>
      </w:r>
      <w:r w:rsidR="00F5047A">
        <w:rPr>
          <w:rFonts w:ascii="Calibri" w:hAnsi="Calibri" w:cs="Calibri"/>
          <w:bCs/>
          <w:lang w:val="en-US"/>
        </w:rPr>
        <w:t xml:space="preserve"> and</w:t>
      </w:r>
      <w:r>
        <w:rPr>
          <w:rFonts w:ascii="Calibri" w:hAnsi="Calibri" w:cs="Calibri"/>
          <w:bCs/>
          <w:lang w:val="en-US"/>
        </w:rPr>
        <w:t xml:space="preserve"> </w:t>
      </w:r>
      <w:proofErr w:type="spellStart"/>
      <w:r>
        <w:rPr>
          <w:rFonts w:ascii="Calibri" w:hAnsi="Calibri" w:cs="Calibri"/>
          <w:bCs/>
          <w:lang w:val="en-US"/>
        </w:rPr>
        <w:t>desmosomal</w:t>
      </w:r>
      <w:proofErr w:type="spellEnd"/>
      <w:r>
        <w:rPr>
          <w:rFonts w:ascii="Calibri" w:hAnsi="Calibri" w:cs="Calibri"/>
          <w:bCs/>
          <w:lang w:val="en-US"/>
        </w:rPr>
        <w:t xml:space="preserve"> forms of DCM is characterized by complex and polymorphic ventricular arrhythmias</w:t>
      </w:r>
      <w:r w:rsidR="00EE431C">
        <w:rPr>
          <w:rFonts w:ascii="Calibri" w:hAnsi="Calibri" w:cs="Calibri"/>
          <w:bCs/>
          <w:lang w:val="en-US"/>
        </w:rPr>
        <w:t xml:space="preserve"> (including frequent VPBs)</w:t>
      </w:r>
      <w:r>
        <w:rPr>
          <w:rFonts w:ascii="Calibri" w:hAnsi="Calibri" w:cs="Calibri"/>
          <w:bCs/>
          <w:lang w:val="en-US"/>
        </w:rPr>
        <w:t xml:space="preserve"> early in the course of the disease, heralding increased risk of sudden cardiac death. </w:t>
      </w:r>
      <w:r w:rsidR="008E240D">
        <w:rPr>
          <w:rFonts w:ascii="Calibri" w:hAnsi="Calibri" w:cs="Calibri"/>
          <w:lang w:val="en-GB"/>
        </w:rPr>
        <w:t>The presence VPBs and/or of NSVT does not generally dictate the choice of protecting a patient with DCM-phenotype with an implantable cardioverter defibrillator (ICD) in primary prevention</w:t>
      </w:r>
      <w:r w:rsidR="008E240D" w:rsidRPr="0041574E">
        <w:rPr>
          <w:rFonts w:ascii="Calibri" w:hAnsi="Calibri" w:cs="Calibri"/>
          <w:lang w:val="en-GB"/>
        </w:rPr>
        <w:t>.</w:t>
      </w:r>
      <w:r w:rsidR="008E240D">
        <w:rPr>
          <w:rFonts w:ascii="Calibri" w:hAnsi="Calibri" w:cs="Calibri"/>
          <w:lang w:val="en-GB"/>
        </w:rPr>
        <w:t xml:space="preserve"> However, the presence of frequent arrhythmias, especially if associated with pathogenic variants in </w:t>
      </w:r>
      <w:proofErr w:type="spellStart"/>
      <w:r w:rsidR="008E240D">
        <w:rPr>
          <w:rFonts w:ascii="Calibri" w:hAnsi="Calibri" w:cs="Calibri"/>
          <w:lang w:val="en-GB"/>
        </w:rPr>
        <w:t>desmosomal</w:t>
      </w:r>
      <w:proofErr w:type="spellEnd"/>
      <w:r w:rsidR="008E240D">
        <w:rPr>
          <w:rFonts w:ascii="Calibri" w:hAnsi="Calibri" w:cs="Calibri"/>
          <w:lang w:val="en-GB"/>
        </w:rPr>
        <w:t xml:space="preserve"> genes and/or myocardial fibrosis at </w:t>
      </w:r>
      <w:r w:rsidR="00095A7D">
        <w:rPr>
          <w:rFonts w:ascii="Calibri" w:hAnsi="Calibri" w:cs="Calibri"/>
          <w:lang w:val="en-GB"/>
        </w:rPr>
        <w:t>cardiovascular magnetic resonance (</w:t>
      </w:r>
      <w:r w:rsidR="008E240D">
        <w:rPr>
          <w:rFonts w:ascii="Calibri" w:hAnsi="Calibri" w:cs="Calibri"/>
          <w:lang w:val="en-GB"/>
        </w:rPr>
        <w:t>CMR</w:t>
      </w:r>
      <w:r w:rsidR="00095A7D">
        <w:rPr>
          <w:rFonts w:ascii="Calibri" w:hAnsi="Calibri" w:cs="Calibri"/>
          <w:lang w:val="en-GB"/>
        </w:rPr>
        <w:t>)</w:t>
      </w:r>
      <w:r w:rsidR="008E240D">
        <w:rPr>
          <w:rFonts w:ascii="Calibri" w:hAnsi="Calibri" w:cs="Calibri"/>
          <w:lang w:val="en-GB"/>
        </w:rPr>
        <w:t xml:space="preserve">, may suggest a high risk of SCD and therefore an ICD should be considered in this setting. </w:t>
      </w:r>
    </w:p>
    <w:p w14:paraId="159700BE" w14:textId="449E4E6E" w:rsidR="004E63AF" w:rsidRPr="008C16DE" w:rsidRDefault="008E240D" w:rsidP="008C16DE">
      <w:pPr>
        <w:spacing w:line="480" w:lineRule="auto"/>
        <w:ind w:firstLine="720"/>
        <w:rPr>
          <w:rFonts w:ascii="Calibri" w:hAnsi="Calibri" w:cs="Calibri"/>
          <w:lang w:val="en-GB"/>
        </w:rPr>
      </w:pPr>
      <w:r>
        <w:rPr>
          <w:rFonts w:ascii="Calibri" w:hAnsi="Calibri" w:cs="Calibri"/>
          <w:lang w:val="en-GB"/>
        </w:rPr>
        <w:t>The development of ventricular arrhythmias</w:t>
      </w:r>
      <w:r w:rsidR="00F51280">
        <w:rPr>
          <w:rFonts w:ascii="Calibri" w:hAnsi="Calibri" w:cs="Calibri"/>
          <w:lang w:val="en-GB"/>
        </w:rPr>
        <w:t xml:space="preserve"> at the </w:t>
      </w:r>
      <w:r w:rsidR="00F51280" w:rsidRPr="0041574E">
        <w:rPr>
          <w:rFonts w:ascii="Calibri" w:hAnsi="Calibri" w:cs="Calibri"/>
          <w:lang w:val="en-GB"/>
        </w:rPr>
        <w:t>exercise</w:t>
      </w:r>
      <w:r w:rsidR="00F51280">
        <w:rPr>
          <w:rFonts w:ascii="Calibri" w:hAnsi="Calibri" w:cs="Calibri"/>
          <w:lang w:val="en-GB"/>
        </w:rPr>
        <w:t xml:space="preserve"> tolerance test</w:t>
      </w:r>
      <w:r w:rsidR="00F51280" w:rsidRPr="0041574E">
        <w:rPr>
          <w:rFonts w:ascii="Calibri" w:hAnsi="Calibri" w:cs="Calibri"/>
          <w:lang w:val="en-GB"/>
        </w:rPr>
        <w:t xml:space="preserve"> </w:t>
      </w:r>
      <w:r w:rsidR="00F51280">
        <w:rPr>
          <w:rFonts w:ascii="Calibri" w:hAnsi="Calibri" w:cs="Calibri"/>
          <w:lang w:val="en-GB"/>
        </w:rPr>
        <w:t>(ETT)</w:t>
      </w:r>
      <w:r>
        <w:rPr>
          <w:rFonts w:ascii="Calibri" w:hAnsi="Calibri" w:cs="Calibri"/>
          <w:lang w:val="en-GB"/>
        </w:rPr>
        <w:t xml:space="preserve">, including an increase in VBPs or development of NSVT during exercise may be a sign of an arrhythmogenic phenotype with underlying </w:t>
      </w:r>
      <w:proofErr w:type="spellStart"/>
      <w:r>
        <w:rPr>
          <w:rFonts w:ascii="Calibri" w:hAnsi="Calibri" w:cs="Calibri"/>
          <w:lang w:val="en-GB"/>
        </w:rPr>
        <w:t>desmosomal</w:t>
      </w:r>
      <w:proofErr w:type="spellEnd"/>
      <w:r>
        <w:rPr>
          <w:rFonts w:ascii="Calibri" w:hAnsi="Calibri" w:cs="Calibri"/>
          <w:lang w:val="en-GB"/>
        </w:rPr>
        <w:t xml:space="preserve"> pathogenic variants. </w:t>
      </w:r>
    </w:p>
    <w:p w14:paraId="2FBE6A49" w14:textId="007ECAA3" w:rsidR="00B96C6C" w:rsidRPr="00B96C6C" w:rsidRDefault="00B96C6C" w:rsidP="00B96C6C">
      <w:pPr>
        <w:spacing w:line="480" w:lineRule="auto"/>
        <w:rPr>
          <w:rFonts w:ascii="Calibri" w:hAnsi="Calibri" w:cs="Calibri"/>
          <w:bCs/>
          <w:u w:val="single"/>
          <w:lang w:val="en-US"/>
        </w:rPr>
      </w:pPr>
      <w:r w:rsidRPr="00B96C6C">
        <w:rPr>
          <w:rFonts w:ascii="Calibri" w:hAnsi="Calibri" w:cs="Calibri"/>
          <w:bCs/>
          <w:u w:val="single"/>
          <w:lang w:val="en-US"/>
        </w:rPr>
        <w:t>Supraventricular arrhythmias</w:t>
      </w:r>
    </w:p>
    <w:p w14:paraId="1B307BCD" w14:textId="053254D6" w:rsidR="00B96C6C" w:rsidRDefault="00B96C6C" w:rsidP="00B96C6C">
      <w:pPr>
        <w:spacing w:line="480" w:lineRule="auto"/>
        <w:ind w:firstLine="720"/>
        <w:rPr>
          <w:rFonts w:ascii="Calibri" w:hAnsi="Calibri" w:cs="Calibri"/>
          <w:lang w:val="en-GB"/>
        </w:rPr>
      </w:pPr>
      <w:r w:rsidRPr="0041574E">
        <w:rPr>
          <w:rFonts w:ascii="Calibri" w:hAnsi="Calibri" w:cs="Calibri"/>
          <w:lang w:val="en-GB"/>
        </w:rPr>
        <w:t>The identification of AF</w:t>
      </w:r>
      <w:r>
        <w:rPr>
          <w:rFonts w:ascii="Calibri" w:hAnsi="Calibri" w:cs="Calibri"/>
          <w:lang w:val="en-GB"/>
        </w:rPr>
        <w:t xml:space="preserve"> through ambulatory monitoring</w:t>
      </w:r>
      <w:r w:rsidRPr="0041574E">
        <w:rPr>
          <w:rFonts w:ascii="Calibri" w:hAnsi="Calibri" w:cs="Calibri"/>
          <w:lang w:val="en-GB"/>
        </w:rPr>
        <w:t xml:space="preserve"> is an important aspect of management</w:t>
      </w:r>
      <w:r>
        <w:rPr>
          <w:rFonts w:ascii="Calibri" w:hAnsi="Calibri" w:cs="Calibri"/>
          <w:lang w:val="en-GB"/>
        </w:rPr>
        <w:t xml:space="preserve"> of DCM and may dictate important choices as commencement of anticoagulation therapy for stroke prevention</w:t>
      </w:r>
      <w:r w:rsidR="000E18FD">
        <w:rPr>
          <w:rFonts w:ascii="Calibri" w:hAnsi="Calibri" w:cs="Calibri"/>
          <w:lang w:val="en-GB"/>
        </w:rPr>
        <w:fldChar w:fldCharType="begin" w:fldLock="1"/>
      </w:r>
      <w:r w:rsidR="006A7DFE">
        <w:rPr>
          <w:rFonts w:ascii="Calibri" w:hAnsi="Calibri" w:cs="Calibri"/>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64f8d3f5-9841-461f-affa-396133521174"]}],"mendeley":{"formattedCitation":"&lt;sup&gt;1&lt;/sup&gt;","plainTextFormattedCitation":"1","previouslyFormattedCitation":"&lt;sup&gt;1&lt;/sup&gt;"},"properties":{"noteIndex":0},"schema":"https://github.com/citation-style-language/schema/raw/master/csl-citation.json"}</w:instrText>
      </w:r>
      <w:r w:rsidR="000E18FD">
        <w:rPr>
          <w:rFonts w:ascii="Calibri" w:hAnsi="Calibri" w:cs="Calibri"/>
          <w:lang w:val="en-GB"/>
        </w:rPr>
        <w:fldChar w:fldCharType="separate"/>
      </w:r>
      <w:r w:rsidR="000E18FD" w:rsidRPr="000E18FD">
        <w:rPr>
          <w:rFonts w:ascii="Calibri" w:hAnsi="Calibri" w:cs="Calibri"/>
          <w:noProof/>
          <w:vertAlign w:val="superscript"/>
          <w:lang w:val="en-GB"/>
        </w:rPr>
        <w:t>1</w:t>
      </w:r>
      <w:r w:rsidR="000E18FD">
        <w:rPr>
          <w:rFonts w:ascii="Calibri" w:hAnsi="Calibri" w:cs="Calibri"/>
          <w:lang w:val="en-GB"/>
        </w:rPr>
        <w:fldChar w:fldCharType="end"/>
      </w:r>
      <w:r>
        <w:rPr>
          <w:rFonts w:ascii="Calibri" w:hAnsi="Calibri" w:cs="Calibri"/>
          <w:lang w:val="en-GB"/>
        </w:rPr>
        <w:t>.</w:t>
      </w:r>
      <w:r w:rsidR="008E240D">
        <w:rPr>
          <w:rFonts w:ascii="Calibri" w:hAnsi="Calibri" w:cs="Calibri"/>
          <w:lang w:val="en-GB"/>
        </w:rPr>
        <w:t xml:space="preserve"> The detection of paroxysmal s</w:t>
      </w:r>
      <w:r w:rsidR="008E240D" w:rsidRPr="00670EB8">
        <w:rPr>
          <w:rFonts w:ascii="Calibri" w:hAnsi="Calibri" w:cs="Calibri"/>
          <w:lang w:val="en-GB"/>
        </w:rPr>
        <w:t xml:space="preserve">upraventricular arrhythmias </w:t>
      </w:r>
      <w:r w:rsidR="008E240D">
        <w:rPr>
          <w:rFonts w:ascii="Calibri" w:hAnsi="Calibri" w:cs="Calibri"/>
          <w:lang w:val="en-GB"/>
        </w:rPr>
        <w:t xml:space="preserve">in young patients with DCM </w:t>
      </w:r>
      <w:r w:rsidR="008E240D" w:rsidRPr="00670EB8">
        <w:rPr>
          <w:rFonts w:ascii="Calibri" w:hAnsi="Calibri" w:cs="Calibri"/>
          <w:lang w:val="en-GB"/>
        </w:rPr>
        <w:t>should prompt investigation for familial LMNA cardiomyopathy</w:t>
      </w:r>
      <w:r w:rsidR="000E18FD">
        <w:rPr>
          <w:rFonts w:ascii="Calibri" w:hAnsi="Calibri" w:cs="Calibri"/>
          <w:lang w:val="en-GB"/>
        </w:rPr>
        <w:fldChar w:fldCharType="begin" w:fldLock="1"/>
      </w:r>
      <w:r w:rsidR="000E18FD">
        <w:rPr>
          <w:rFonts w:ascii="Calibri" w:hAnsi="Calibri" w:cs="Calibri"/>
          <w:lang w:val="en-GB"/>
        </w:rPr>
        <w:instrText>ADDIN CSL_CITATION {"citationItems":[{"id":"ITEM-1","itemData":{"ISSN":"0735-1097","PMID":"12628721","abstract":"OBJECTIVES We examined the prevalence, genotype-phenotype correlation, and natural history of lamin A/C gene (LMNA) mutations in subjects with dilated cardiomyopathy (DCM). BACKGROUND Mutations in LMNA have been found in patients with DCM with familial conduction defects and muscular dystrophy, but the clinical spectrum, prognosis, and clinical relevance of laminopathies in DCM are unknown. BACKGROUND A cohort of 49 nuclear families, 40 with familial DCM and 9 with sporadic DCM (269 subjects, 105 affected), was screened for mutations in LMNA using denaturing high-performance liquid chromatography and sequence analysis. Bivariate analysis of clinical predictors of LMNA mutation carrier status and Kaplan-Meier survival analysis were performed. RESULTS Mutations in LMNA were detected in four families (8%), three with familial (R89L, 959delT, R377H) and one with sporadic DCM (S573L). There was significant phenotypic variability, but the presence of skeletal muscle involvement (p &lt; 0.001), supraventricular arrhythmia (p = 0.003), conduction defects (p = 0.01), and \"mildly\" DCM (p = 0.006) were predictors of LMNA mutations. The LMNA mutation carriers had a significantly poorer cumulative survival compared with non-carrier DCM patients: event-free survival at the age of 45 years was 31% versus 75% in non-carriers. CONCLUSIONS Mutations in LMNA cause a severe and progressive DCM in a relevant proportion of patients. Mutation screening should be considered in patients with DCM, in particular when clinical predictors of LMNA mutation are present, regardless of family history.","author":[{"dropping-particle":"","family":"Taylor","given":"Matthew R G","non-dropping-particle":"","parse-names":false,"suffix":""},{"dropping-particle":"","family":"Fain","given":"Pamela R","non-dropping-particle":"","parse-names":false,"suffix":""},{"dropping-particle":"","family":"Sinagra","given":"Gianfranco","non-dropping-particle":"","parse-names":false,"suffix":""},{"dropping-particle":"","family":"Robinson","given":"Misi L","non-dropping-particle":"","parse-names":false,"suffix":""},{"dropping-particle":"","family":"Robertson","given":"Alastair D","non-dropping-particle":"","parse-names":false,"suffix":""},{"dropping-particle":"","family":"Carniel","given":"Elisa","non-dropping-particle":"","parse-names":false,"suffix":""},{"dropping-particle":"","family":"Lenarda","given":"Andrea","non-dropping-particle":"Di","parse-names":false,"suffix":""},{"dropping-particle":"","family":"Bohlmeyer","given":"Teresa J","non-dropping-particle":"","parse-names":false,"suffix":""},{"dropping-particle":"","family":"Ferguson","given":"Debra A","non-dropping-particle":"","parse-names":false,"suffix":""},{"dropping-particle":"","family":"Brodsky","given":"Gary L","non-dropping-particle":"","parse-names":false,"suffix":""},{"dropping-particle":"","family":"Boucek","given":"Mark M","non-dropping-particle":"","parse-names":false,"suffix":""},{"dropping-particle":"","family":"Lascor","given":"Jean","non-dropping-particle":"","parse-names":false,"suffix":""},{"dropping-particle":"","family":"Moss","given":"Andrew C","non-dropping-particle":"","parse-names":false,"suffix":""},{"dropping-particle":"","family":"Li","given":"Wai Lun P","non-dropping-particle":"","parse-names":false,"suffix":""},{"dropping-particle":"","family":"Stetler","given":"Gary L","non-dropping-particle":"","parse-names":false,"suffix":""},{"dropping-particle":"","family":"Muntoni","given":"Francesco","non-dropping-particle":"","parse-names":false,"suffix":""},{"dropping-particle":"","family":"Bristow","given":"Michael R","non-dropping-particle":"","parse-names":false,"suffix":""},{"dropping-particle":"","family":"Mestroni","given":"Luisa","non-dropping-particle":"","parse-names":false,"suffix":""},{"dropping-particle":"","family":"Familial Dilated Cardiomyopathy Registry Research Group","given":"","non-dropping-particle":"","parse-names":false,"suffix":""}],"container-title":"Journal of the American College of Cardiology","id":"ITEM-1","issue":"5","issued":{"date-parts":[["2003","3","5"]]},"page":"771-80","title":"Natural history of dilated cardiomyopathy due to lamin A/C gene mutations.","type":"article-journal","volume":"41"},"uris":["http://www.mendeley.com/documents/?uuid=61141a5c-774a-43d4-9881-3c11cce6bff1"]}],"mendeley":{"formattedCitation":"&lt;sup&gt;7&lt;/sup&gt;","plainTextFormattedCitation":"7","previouslyFormattedCitation":"&lt;sup&gt;7&lt;/sup&gt;"},"properties":{"noteIndex":0},"schema":"https://github.com/citation-style-language/schema/raw/master/csl-citation.json"}</w:instrText>
      </w:r>
      <w:r w:rsidR="000E18FD">
        <w:rPr>
          <w:rFonts w:ascii="Calibri" w:hAnsi="Calibri" w:cs="Calibri"/>
          <w:lang w:val="en-GB"/>
        </w:rPr>
        <w:fldChar w:fldCharType="separate"/>
      </w:r>
      <w:r w:rsidR="000E18FD" w:rsidRPr="000E18FD">
        <w:rPr>
          <w:rFonts w:ascii="Calibri" w:hAnsi="Calibri" w:cs="Calibri"/>
          <w:noProof/>
          <w:vertAlign w:val="superscript"/>
          <w:lang w:val="en-GB"/>
        </w:rPr>
        <w:t>7</w:t>
      </w:r>
      <w:r w:rsidR="000E18FD">
        <w:rPr>
          <w:rFonts w:ascii="Calibri" w:hAnsi="Calibri" w:cs="Calibri"/>
          <w:lang w:val="en-GB"/>
        </w:rPr>
        <w:fldChar w:fldCharType="end"/>
      </w:r>
      <w:r w:rsidR="008E240D">
        <w:rPr>
          <w:rFonts w:ascii="Calibri" w:hAnsi="Calibri" w:cs="Calibri"/>
          <w:lang w:val="en-GB"/>
        </w:rPr>
        <w:t>.</w:t>
      </w:r>
    </w:p>
    <w:p w14:paraId="62982AC4" w14:textId="664BC524" w:rsidR="002A3D7A" w:rsidRDefault="002A3D7A" w:rsidP="00B96C6C">
      <w:pPr>
        <w:spacing w:line="480" w:lineRule="auto"/>
        <w:ind w:firstLine="720"/>
        <w:rPr>
          <w:rFonts w:ascii="Calibri" w:hAnsi="Calibri" w:cs="Calibri"/>
          <w:lang w:val="en-GB"/>
        </w:rPr>
      </w:pPr>
    </w:p>
    <w:p w14:paraId="03D6F3E3" w14:textId="7EF6F790" w:rsidR="002A3D7A" w:rsidRDefault="002A3D7A" w:rsidP="00B96C6C">
      <w:pPr>
        <w:spacing w:line="480" w:lineRule="auto"/>
        <w:ind w:firstLine="720"/>
        <w:rPr>
          <w:rFonts w:ascii="Calibri" w:hAnsi="Calibri" w:cs="Calibri"/>
          <w:lang w:val="en-GB"/>
        </w:rPr>
      </w:pPr>
      <w:r>
        <w:rPr>
          <w:rFonts w:ascii="Calibri" w:hAnsi="Calibri" w:cs="Calibri"/>
          <w:lang w:val="en-GB"/>
        </w:rPr>
        <w:t xml:space="preserve">In summary, from a practical standpoint, when approaching a patient with unexplained LV dilatation and/or systolic dysfunction, a systematic analysis of the ECG from </w:t>
      </w:r>
      <w:r>
        <w:rPr>
          <w:rFonts w:ascii="Calibri" w:hAnsi="Calibri" w:cs="Calibri"/>
          <w:lang w:val="en-GB"/>
        </w:rPr>
        <w:lastRenderedPageBreak/>
        <w:t xml:space="preserve">the beginning of the P wave to the end of the T wave may provide invaluable clues </w:t>
      </w:r>
      <w:r w:rsidR="00AB3E53">
        <w:rPr>
          <w:rFonts w:ascii="Calibri" w:hAnsi="Calibri" w:cs="Calibri"/>
          <w:lang w:val="en-GB"/>
        </w:rPr>
        <w:t xml:space="preserve">that may point toward </w:t>
      </w:r>
      <w:r w:rsidR="002C0464">
        <w:rPr>
          <w:rFonts w:ascii="Calibri" w:hAnsi="Calibri" w:cs="Calibri"/>
          <w:lang w:val="en-GB"/>
        </w:rPr>
        <w:t>the diagnosis of specific subtypes with implications for management and prognosis.</w:t>
      </w:r>
    </w:p>
    <w:p w14:paraId="121DA936" w14:textId="77777777" w:rsidR="006F3761" w:rsidRPr="0041574E" w:rsidRDefault="006F3761" w:rsidP="0041574E">
      <w:pPr>
        <w:spacing w:line="480" w:lineRule="auto"/>
        <w:rPr>
          <w:rFonts w:ascii="Calibri" w:hAnsi="Calibri" w:cs="Calibri"/>
          <w:bCs/>
          <w:lang w:val="en-US"/>
        </w:rPr>
      </w:pPr>
    </w:p>
    <w:p w14:paraId="5D044393" w14:textId="5446D9E2" w:rsidR="002221D7" w:rsidRPr="0041574E" w:rsidRDefault="004D197D" w:rsidP="0041574E">
      <w:pPr>
        <w:spacing w:line="480" w:lineRule="auto"/>
        <w:rPr>
          <w:rFonts w:ascii="Calibri" w:hAnsi="Calibri" w:cs="Calibri"/>
          <w:b/>
          <w:lang w:val="en-US"/>
        </w:rPr>
      </w:pPr>
      <w:r>
        <w:rPr>
          <w:rFonts w:ascii="Calibri" w:hAnsi="Calibri" w:cs="Calibri"/>
          <w:b/>
          <w:lang w:val="en-US"/>
        </w:rPr>
        <w:t xml:space="preserve">The </w:t>
      </w:r>
      <w:r w:rsidR="006E69AE" w:rsidRPr="0041574E">
        <w:rPr>
          <w:rFonts w:ascii="Calibri" w:hAnsi="Calibri" w:cs="Calibri"/>
          <w:b/>
          <w:lang w:val="en-US"/>
        </w:rPr>
        <w:t>ECG in</w:t>
      </w:r>
      <w:r w:rsidR="00F04842">
        <w:rPr>
          <w:rFonts w:ascii="Calibri" w:hAnsi="Calibri" w:cs="Calibri"/>
          <w:b/>
          <w:lang w:val="en-US"/>
        </w:rPr>
        <w:t xml:space="preserve"> specific</w:t>
      </w:r>
      <w:r w:rsidR="006E69AE" w:rsidRPr="0041574E">
        <w:rPr>
          <w:rFonts w:ascii="Calibri" w:hAnsi="Calibri" w:cs="Calibri"/>
          <w:b/>
          <w:lang w:val="en-US"/>
        </w:rPr>
        <w:t xml:space="preserve"> genetic</w:t>
      </w:r>
      <w:r>
        <w:rPr>
          <w:rFonts w:ascii="Calibri" w:hAnsi="Calibri" w:cs="Calibri"/>
          <w:b/>
          <w:lang w:val="en-US"/>
        </w:rPr>
        <w:t xml:space="preserve"> forms of</w:t>
      </w:r>
      <w:r w:rsidR="006E69AE" w:rsidRPr="0041574E">
        <w:rPr>
          <w:rFonts w:ascii="Calibri" w:hAnsi="Calibri" w:cs="Calibri"/>
          <w:b/>
          <w:lang w:val="en-US"/>
        </w:rPr>
        <w:t xml:space="preserve"> DCM</w:t>
      </w:r>
    </w:p>
    <w:p w14:paraId="54045381" w14:textId="68A3EF57" w:rsidR="006F3761" w:rsidRDefault="00771F17">
      <w:pPr>
        <w:spacing w:line="480" w:lineRule="auto"/>
        <w:ind w:firstLine="720"/>
        <w:rPr>
          <w:rFonts w:ascii="Calibri" w:hAnsi="Calibri" w:cs="Calibri"/>
          <w:bCs/>
          <w:lang w:val="en-GB"/>
        </w:rPr>
      </w:pPr>
      <w:r w:rsidRPr="0041574E">
        <w:rPr>
          <w:rFonts w:ascii="Calibri" w:hAnsi="Calibri" w:cs="Calibri"/>
          <w:bCs/>
          <w:lang w:val="en-GB"/>
        </w:rPr>
        <w:t>Some ECG features</w:t>
      </w:r>
      <w:r w:rsidR="00CB4BFA">
        <w:rPr>
          <w:rFonts w:ascii="Calibri" w:hAnsi="Calibri" w:cs="Calibri"/>
          <w:bCs/>
          <w:lang w:val="en-GB"/>
        </w:rPr>
        <w:t xml:space="preserve"> </w:t>
      </w:r>
      <w:r w:rsidRPr="0041574E">
        <w:rPr>
          <w:rFonts w:ascii="Calibri" w:hAnsi="Calibri" w:cs="Calibri"/>
          <w:bCs/>
          <w:lang w:val="en-GB"/>
        </w:rPr>
        <w:t xml:space="preserve">are </w:t>
      </w:r>
      <w:r w:rsidR="00F75563" w:rsidRPr="0041574E">
        <w:rPr>
          <w:rFonts w:ascii="Calibri" w:hAnsi="Calibri" w:cs="Calibri"/>
          <w:bCs/>
          <w:lang w:val="en-GB"/>
        </w:rPr>
        <w:t>clues of</w:t>
      </w:r>
      <w:r w:rsidRPr="0041574E">
        <w:rPr>
          <w:rFonts w:ascii="Calibri" w:hAnsi="Calibri" w:cs="Calibri"/>
          <w:bCs/>
          <w:lang w:val="en-GB"/>
        </w:rPr>
        <w:t xml:space="preserve"> specific </w:t>
      </w:r>
      <w:r w:rsidR="007B6095" w:rsidRPr="0041574E">
        <w:rPr>
          <w:rFonts w:ascii="Calibri" w:hAnsi="Calibri" w:cs="Calibri"/>
          <w:bCs/>
          <w:lang w:val="en-GB"/>
        </w:rPr>
        <w:t xml:space="preserve">genetic </w:t>
      </w:r>
      <w:r w:rsidRPr="0041574E">
        <w:rPr>
          <w:rFonts w:ascii="Calibri" w:hAnsi="Calibri" w:cs="Calibri"/>
          <w:bCs/>
          <w:lang w:val="en-GB"/>
        </w:rPr>
        <w:t>DCM subtypes</w:t>
      </w:r>
      <w:r w:rsidR="00AA4805">
        <w:rPr>
          <w:rFonts w:ascii="Calibri" w:hAnsi="Calibri" w:cs="Calibri"/>
          <w:bCs/>
          <w:lang w:val="en-GB"/>
        </w:rPr>
        <w:t>, as certain</w:t>
      </w:r>
      <w:r w:rsidR="006D4E35" w:rsidRPr="0041574E">
        <w:rPr>
          <w:rFonts w:ascii="Calibri" w:hAnsi="Calibri" w:cs="Calibri"/>
          <w:bCs/>
          <w:lang w:val="en-GB"/>
        </w:rPr>
        <w:t xml:space="preserve"> disease-causing genes are associated with characteristic ECG abnormalities</w:t>
      </w:r>
      <w:r w:rsidR="004470C5"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{"citationItems":[{"id":"ITEM-1","itemData":{"DOI":"10.1002/ejhf.1103","ISSN":"1879-0844","PMID":"29271570","abstract":"Dilated cardiomyopathy (DCM) represents a particular aetiology of systolic heart failure that frequently has a genetic background and usually affects young patients with few co-morbidities. The prognosis of DCM has improved substantially during the last decades due to more accurate aetiological characterization, the red-flag integrated approach to the disease, early diagnosis through systematic familial screening, and the concept of DCM as a dynamic disease requiring constant optimization of medical and non-pharmacological evidence-based treatments. However, some important issues in clinical management remain unresolved, including the role of cardiac magnetic resonance for diagnosis and risk categorization and the interaction between genotype and clinical phenotype, and arrhythmic risk stratification. This review offers a comprehensive survey of these and other emerging issues in the clinical management of DCM, providing where possible practical recommendations.","author":[{"dropping-particle":"","family":"Merlo","given":"Marco","non-dropping-particle":"","parse-names":false,"suffix":""},{"dropping-particle":"","family":"Cannatà","given":"Antonio","non-dropping-particle":"","parse-names":false,"suffix":""},{"dropping-particle":"","family":"Gobbo","given":"Marco","non-dropping-particle":"","parse-names":false,"suffix":""},{"dropping-particle":"","family":"Stolfo","given":"Davide","non-dropping-particle":"","parse-names":false,"suffix":""},{"dropping-particle":"","family":"Elliott","given":"Perry M","non-dropping-particle":"","parse-names":false,"suffix":""},{"dropping-particle":"","family":"Sinagra","given":"Gianfranco","non-dropping-particle":"","parse-names":false,"suffix":""}],"container-title":"European journal of heart failure","id":"ITEM-1","issue":"2","issued":{"date-parts":[["2018","2"]]},"page":"228-239","title":"Evolving concepts in dilated cardiomyopathy.","type":"article-journal","volume":"20"},"uris":["http://www.mendeley.com/documents/?uuid=48e869e7-3d7e-4135-b7c4-e4c3b6daa212"]}],"mendeley":{"formattedCitation":"&lt;sup&gt;28&lt;/sup&gt;","plainTextFormattedCitation":"28","previouslyFormattedCitation":"&lt;sup&gt;28&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28</w:t>
      </w:r>
      <w:r w:rsidR="004470C5" w:rsidRPr="0041574E">
        <w:rPr>
          <w:rFonts w:ascii="Calibri" w:hAnsi="Calibri" w:cs="Calibri"/>
          <w:bCs/>
          <w:lang w:val="en-GB"/>
        </w:rPr>
        <w:fldChar w:fldCharType="end"/>
      </w:r>
      <w:r w:rsidR="00C41DB1" w:rsidRPr="0041574E">
        <w:rPr>
          <w:rFonts w:ascii="Calibri" w:hAnsi="Calibri" w:cs="Calibri"/>
          <w:bCs/>
          <w:lang w:val="en-GB"/>
        </w:rPr>
        <w:t xml:space="preserve"> (</w:t>
      </w:r>
      <w:r w:rsidR="00C41DB1" w:rsidRPr="0041574E">
        <w:rPr>
          <w:rFonts w:ascii="Calibri" w:hAnsi="Calibri" w:cs="Calibri"/>
          <w:b/>
          <w:bCs/>
          <w:lang w:val="en-GB"/>
        </w:rPr>
        <w:t>Table 2</w:t>
      </w:r>
      <w:r w:rsidR="006D5CD4" w:rsidRPr="0041574E">
        <w:rPr>
          <w:rFonts w:ascii="Calibri" w:hAnsi="Calibri" w:cs="Calibri"/>
          <w:b/>
          <w:bCs/>
          <w:lang w:val="en-GB"/>
        </w:rPr>
        <w:t xml:space="preserve"> and Figure 1</w:t>
      </w:r>
      <w:r w:rsidR="00AA4805">
        <w:rPr>
          <w:rFonts w:ascii="Calibri" w:hAnsi="Calibri" w:cs="Calibri"/>
          <w:bCs/>
          <w:lang w:val="en-GB"/>
        </w:rPr>
        <w:t>) which may have</w:t>
      </w:r>
      <w:r w:rsidR="00810A9A" w:rsidRPr="0041574E">
        <w:rPr>
          <w:rFonts w:ascii="Calibri" w:hAnsi="Calibri" w:cs="Calibri"/>
          <w:bCs/>
          <w:lang w:val="en-GB"/>
        </w:rPr>
        <w:t xml:space="preserve"> </w:t>
      </w:r>
      <w:r w:rsidR="00AA4805">
        <w:rPr>
          <w:rFonts w:ascii="Calibri" w:hAnsi="Calibri" w:cs="Calibri"/>
          <w:bCs/>
          <w:lang w:val="en-GB"/>
        </w:rPr>
        <w:t xml:space="preserve">diagnostic as well as </w:t>
      </w:r>
      <w:r w:rsidR="00810A9A" w:rsidRPr="0041574E">
        <w:rPr>
          <w:rFonts w:ascii="Calibri" w:hAnsi="Calibri" w:cs="Calibri"/>
          <w:bCs/>
          <w:lang w:val="en-GB"/>
        </w:rPr>
        <w:t>prognostic value</w:t>
      </w:r>
      <w:r w:rsidR="00EE3A84" w:rsidRPr="0041574E">
        <w:rPr>
          <w:rFonts w:ascii="Calibri" w:hAnsi="Calibri" w:cs="Calibri"/>
          <w:bCs/>
          <w:lang w:val="en-GB"/>
        </w:rPr>
        <w:t xml:space="preserve"> for the patients and their relatives. </w:t>
      </w:r>
      <w:r w:rsidR="00AA4805">
        <w:rPr>
          <w:rFonts w:ascii="Calibri" w:hAnsi="Calibri" w:cs="Calibri"/>
          <w:bCs/>
          <w:lang w:val="en-GB"/>
        </w:rPr>
        <w:t>For example</w:t>
      </w:r>
      <w:r w:rsidR="00B55179" w:rsidRPr="0041574E">
        <w:rPr>
          <w:rFonts w:ascii="Calibri" w:hAnsi="Calibri" w:cs="Calibri"/>
          <w:bCs/>
          <w:lang w:val="en-GB"/>
        </w:rPr>
        <w:t xml:space="preserve">, </w:t>
      </w:r>
      <w:r w:rsidR="00482CAC" w:rsidRPr="0041574E">
        <w:rPr>
          <w:rFonts w:ascii="Calibri" w:hAnsi="Calibri" w:cs="Calibri"/>
          <w:bCs/>
          <w:lang w:val="en-GB"/>
        </w:rPr>
        <w:t xml:space="preserve">pathogenic variants in </w:t>
      </w:r>
      <w:r w:rsidR="0048691B">
        <w:rPr>
          <w:rFonts w:ascii="Calibri" w:hAnsi="Calibri" w:cs="Calibri"/>
          <w:bCs/>
          <w:lang w:val="en-GB"/>
        </w:rPr>
        <w:t>certain</w:t>
      </w:r>
      <w:r w:rsidR="00482CAC" w:rsidRPr="0041574E">
        <w:rPr>
          <w:rFonts w:ascii="Calibri" w:hAnsi="Calibri" w:cs="Calibri"/>
          <w:bCs/>
          <w:lang w:val="en-GB"/>
        </w:rPr>
        <w:t xml:space="preserve"> genes (</w:t>
      </w:r>
      <w:proofErr w:type="spellStart"/>
      <w:r w:rsidR="00E665C4">
        <w:rPr>
          <w:rFonts w:ascii="Calibri" w:hAnsi="Calibri" w:cs="Calibri"/>
          <w:bCs/>
          <w:lang w:val="en-GB"/>
        </w:rPr>
        <w:t>L</w:t>
      </w:r>
      <w:r w:rsidR="00482CAC" w:rsidRPr="0041574E">
        <w:rPr>
          <w:rFonts w:ascii="Calibri" w:hAnsi="Calibri" w:cs="Calibri"/>
          <w:bCs/>
          <w:lang w:val="en-GB"/>
        </w:rPr>
        <w:t>amin</w:t>
      </w:r>
      <w:proofErr w:type="spellEnd"/>
      <w:r w:rsidR="00482CAC" w:rsidRPr="0041574E">
        <w:rPr>
          <w:rFonts w:ascii="Calibri" w:hAnsi="Calibri" w:cs="Calibri"/>
          <w:bCs/>
          <w:lang w:val="en-GB"/>
        </w:rPr>
        <w:t xml:space="preserve"> A/C, </w:t>
      </w:r>
      <w:r w:rsidR="00E665C4">
        <w:rPr>
          <w:rFonts w:ascii="Calibri" w:hAnsi="Calibri" w:cs="Calibri"/>
          <w:bCs/>
          <w:lang w:val="en-GB"/>
        </w:rPr>
        <w:t>F</w:t>
      </w:r>
      <w:r w:rsidR="00482CAC" w:rsidRPr="0041574E">
        <w:rPr>
          <w:rFonts w:ascii="Calibri" w:hAnsi="Calibri" w:cs="Calibri"/>
          <w:bCs/>
          <w:lang w:val="en-GB"/>
        </w:rPr>
        <w:t>ilamin C</w:t>
      </w:r>
      <w:r w:rsidR="0048691B">
        <w:rPr>
          <w:rFonts w:ascii="Calibri" w:hAnsi="Calibri" w:cs="Calibri"/>
          <w:bCs/>
          <w:lang w:val="en-GB"/>
        </w:rPr>
        <w:t xml:space="preserve">, </w:t>
      </w:r>
      <w:proofErr w:type="spellStart"/>
      <w:r w:rsidR="0048691B">
        <w:rPr>
          <w:rFonts w:ascii="Calibri" w:hAnsi="Calibri" w:cs="Calibri"/>
          <w:bCs/>
          <w:lang w:val="en-GB"/>
        </w:rPr>
        <w:t>desmosomal</w:t>
      </w:r>
      <w:proofErr w:type="spellEnd"/>
      <w:r w:rsidR="0048691B">
        <w:rPr>
          <w:rFonts w:ascii="Calibri" w:hAnsi="Calibri" w:cs="Calibri"/>
          <w:bCs/>
          <w:lang w:val="en-GB"/>
        </w:rPr>
        <w:t xml:space="preserve"> genes</w:t>
      </w:r>
      <w:r w:rsidR="00482CAC" w:rsidRPr="0041574E">
        <w:rPr>
          <w:rFonts w:ascii="Calibri" w:hAnsi="Calibri" w:cs="Calibri"/>
          <w:bCs/>
          <w:lang w:val="en-GB"/>
        </w:rPr>
        <w:t xml:space="preserve"> and </w:t>
      </w:r>
      <w:proofErr w:type="spellStart"/>
      <w:r w:rsidR="00E665C4">
        <w:rPr>
          <w:rFonts w:ascii="Calibri" w:hAnsi="Calibri" w:cs="Calibri"/>
          <w:bCs/>
          <w:lang w:val="en-GB"/>
        </w:rPr>
        <w:t>P</w:t>
      </w:r>
      <w:r w:rsidR="00482CAC" w:rsidRPr="0041574E">
        <w:rPr>
          <w:rFonts w:ascii="Calibri" w:hAnsi="Calibri" w:cs="Calibri"/>
          <w:bCs/>
          <w:lang w:val="en-GB"/>
        </w:rPr>
        <w:t>hospholamban</w:t>
      </w:r>
      <w:proofErr w:type="spellEnd"/>
      <w:r w:rsidR="00482CAC" w:rsidRPr="0041574E">
        <w:rPr>
          <w:rFonts w:ascii="Calibri" w:hAnsi="Calibri" w:cs="Calibri"/>
          <w:bCs/>
          <w:lang w:val="en-GB"/>
        </w:rPr>
        <w:t>)</w:t>
      </w:r>
      <w:r w:rsidR="00E47BBE" w:rsidRPr="0041574E">
        <w:rPr>
          <w:rFonts w:ascii="Calibri" w:hAnsi="Calibri" w:cs="Calibri"/>
          <w:bCs/>
          <w:lang w:val="en-GB"/>
        </w:rPr>
        <w:t xml:space="preserve"> </w:t>
      </w:r>
      <w:r w:rsidR="0048691B">
        <w:rPr>
          <w:rFonts w:ascii="Calibri" w:hAnsi="Calibri" w:cs="Calibri"/>
          <w:bCs/>
          <w:lang w:val="en-GB"/>
        </w:rPr>
        <w:t xml:space="preserve">may </w:t>
      </w:r>
      <w:r w:rsidR="00E47BBE" w:rsidRPr="0041574E">
        <w:rPr>
          <w:rFonts w:ascii="Calibri" w:hAnsi="Calibri" w:cs="Calibri"/>
          <w:bCs/>
          <w:lang w:val="en-GB"/>
        </w:rPr>
        <w:t>express an arrhythmogenic phenotype, which should lead to early decision</w:t>
      </w:r>
      <w:r w:rsidR="002212E3">
        <w:rPr>
          <w:rFonts w:ascii="Calibri" w:hAnsi="Calibri" w:cs="Calibri"/>
          <w:bCs/>
          <w:lang w:val="en-GB"/>
        </w:rPr>
        <w:t>s</w:t>
      </w:r>
      <w:r w:rsidR="00E47BBE" w:rsidRPr="0041574E">
        <w:rPr>
          <w:rFonts w:ascii="Calibri" w:hAnsi="Calibri" w:cs="Calibri"/>
          <w:bCs/>
          <w:lang w:val="en-GB"/>
        </w:rPr>
        <w:t xml:space="preserve"> on implantable cardioverter defibrillator </w:t>
      </w:r>
      <w:r w:rsidR="002E7043" w:rsidRPr="0041574E">
        <w:rPr>
          <w:rFonts w:ascii="Calibri" w:hAnsi="Calibri" w:cs="Calibri"/>
          <w:bCs/>
          <w:lang w:val="en-GB"/>
        </w:rPr>
        <w:t>(ICD)</w:t>
      </w:r>
      <w:r w:rsidR="002212E3">
        <w:rPr>
          <w:rFonts w:ascii="Calibri" w:hAnsi="Calibri" w:cs="Calibri"/>
          <w:bCs/>
          <w:lang w:val="en-GB"/>
        </w:rPr>
        <w:t xml:space="preserve"> in primary prevention</w:t>
      </w:r>
      <w:r w:rsidR="00E47BBE" w:rsidRPr="0041574E">
        <w:rPr>
          <w:rFonts w:ascii="Calibri" w:hAnsi="Calibri" w:cs="Calibri"/>
          <w:bCs/>
          <w:lang w:val="en-GB"/>
        </w:rPr>
        <w:t>.</w:t>
      </w:r>
      <w:r w:rsidR="002536FA">
        <w:rPr>
          <w:rFonts w:ascii="Calibri" w:hAnsi="Calibri" w:cs="Calibri"/>
          <w:bCs/>
          <w:lang w:val="en-GB"/>
        </w:rPr>
        <w:t xml:space="preserve"> In the following lines we describe ECG patterns in some of the most common DCM associated genotypes.</w:t>
      </w:r>
    </w:p>
    <w:p w14:paraId="06C07A2E" w14:textId="7A2AB8E6" w:rsidR="00AA4805" w:rsidRDefault="00BD0B7D" w:rsidP="00E23ED8">
      <w:pPr>
        <w:spacing w:line="480" w:lineRule="auto"/>
        <w:ind w:firstLine="720"/>
        <w:rPr>
          <w:rFonts w:ascii="Calibri" w:hAnsi="Calibri" w:cs="Calibri"/>
          <w:bCs/>
          <w:u w:val="single"/>
          <w:lang w:val="en-GB"/>
        </w:rPr>
      </w:pPr>
      <w:r>
        <w:rPr>
          <w:rFonts w:ascii="Calibri" w:hAnsi="Calibri" w:cs="Calibri"/>
          <w:bCs/>
          <w:lang w:val="en-GB"/>
        </w:rPr>
        <w:t xml:space="preserve"> </w:t>
      </w:r>
    </w:p>
    <w:p w14:paraId="0DF2888F" w14:textId="1783B64F" w:rsidR="00D91674" w:rsidRDefault="00D91674" w:rsidP="00D91674">
      <w:pPr>
        <w:spacing w:line="480" w:lineRule="auto"/>
        <w:rPr>
          <w:rFonts w:ascii="Calibri" w:hAnsi="Calibri" w:cs="Calibri"/>
          <w:bCs/>
          <w:u w:val="single"/>
          <w:lang w:val="en-GB"/>
        </w:rPr>
      </w:pPr>
      <w:r w:rsidRPr="00D91674">
        <w:rPr>
          <w:rFonts w:ascii="Calibri" w:hAnsi="Calibri" w:cs="Calibri"/>
          <w:bCs/>
          <w:u w:val="single"/>
          <w:lang w:val="en-GB"/>
        </w:rPr>
        <w:t>Titin (TTN)</w:t>
      </w:r>
    </w:p>
    <w:p w14:paraId="74BA0C6B" w14:textId="6CFE4E3B" w:rsidR="00D91674" w:rsidRPr="00D91674" w:rsidRDefault="00D91674" w:rsidP="00714395">
      <w:pPr>
        <w:spacing w:line="480" w:lineRule="auto"/>
        <w:ind w:firstLine="720"/>
        <w:rPr>
          <w:rFonts w:ascii="Calibri" w:hAnsi="Calibri" w:cs="Calibri"/>
          <w:bCs/>
          <w:lang w:val="en-GB"/>
        </w:rPr>
      </w:pPr>
      <w:r>
        <w:rPr>
          <w:rFonts w:ascii="Calibri" w:hAnsi="Calibri" w:cs="Calibri"/>
          <w:bCs/>
          <w:lang w:val="en-GB"/>
        </w:rPr>
        <w:t>T</w:t>
      </w:r>
      <w:r w:rsidRPr="00D91674">
        <w:rPr>
          <w:rFonts w:ascii="Calibri" w:hAnsi="Calibri" w:cs="Calibri"/>
          <w:bCs/>
          <w:lang w:val="en-GB"/>
        </w:rPr>
        <w:t>runcating variants in the gene for the</w:t>
      </w:r>
      <w:r>
        <w:rPr>
          <w:rFonts w:ascii="Calibri" w:hAnsi="Calibri" w:cs="Calibri"/>
          <w:bCs/>
          <w:lang w:val="en-GB"/>
        </w:rPr>
        <w:t xml:space="preserve"> </w:t>
      </w:r>
      <w:proofErr w:type="spellStart"/>
      <w:r w:rsidRPr="00D91674">
        <w:rPr>
          <w:rFonts w:ascii="Calibri" w:hAnsi="Calibri" w:cs="Calibri"/>
          <w:bCs/>
          <w:lang w:val="en-GB"/>
        </w:rPr>
        <w:t>sarcomeric</w:t>
      </w:r>
      <w:proofErr w:type="spellEnd"/>
      <w:r w:rsidRPr="00D91674">
        <w:rPr>
          <w:rFonts w:ascii="Calibri" w:hAnsi="Calibri" w:cs="Calibri"/>
          <w:bCs/>
          <w:lang w:val="en-GB"/>
        </w:rPr>
        <w:t xml:space="preserve"> protein titin (TTN) have been identified</w:t>
      </w:r>
      <w:r>
        <w:rPr>
          <w:rFonts w:ascii="Calibri" w:hAnsi="Calibri" w:cs="Calibri"/>
          <w:bCs/>
          <w:lang w:val="en-GB"/>
        </w:rPr>
        <w:t xml:space="preserve"> </w:t>
      </w:r>
      <w:r w:rsidRPr="00D91674">
        <w:rPr>
          <w:rFonts w:ascii="Calibri" w:hAnsi="Calibri" w:cs="Calibri"/>
          <w:bCs/>
          <w:lang w:val="en-GB"/>
        </w:rPr>
        <w:t xml:space="preserve">as the </w:t>
      </w:r>
      <w:r w:rsidR="007C6242">
        <w:rPr>
          <w:rFonts w:ascii="Calibri" w:hAnsi="Calibri" w:cs="Calibri"/>
          <w:bCs/>
          <w:lang w:val="en-GB"/>
        </w:rPr>
        <w:t>most common</w:t>
      </w:r>
      <w:r w:rsidR="007C6242" w:rsidRPr="00D91674">
        <w:rPr>
          <w:rFonts w:ascii="Calibri" w:hAnsi="Calibri" w:cs="Calibri"/>
          <w:bCs/>
          <w:lang w:val="en-GB"/>
        </w:rPr>
        <w:t xml:space="preserve"> </w:t>
      </w:r>
      <w:r w:rsidRPr="00D91674">
        <w:rPr>
          <w:rFonts w:ascii="Calibri" w:hAnsi="Calibri" w:cs="Calibri"/>
          <w:bCs/>
          <w:lang w:val="en-GB"/>
        </w:rPr>
        <w:t>genetic cause of DCM</w:t>
      </w:r>
      <w:r>
        <w:rPr>
          <w:rFonts w:ascii="Calibri" w:hAnsi="Calibri" w:cs="Calibri"/>
          <w:bCs/>
          <w:lang w:val="en-GB"/>
        </w:rPr>
        <w:t xml:space="preserve"> and</w:t>
      </w:r>
      <w:r w:rsidRPr="00D91674">
        <w:rPr>
          <w:rFonts w:ascii="Calibri" w:hAnsi="Calibri" w:cs="Calibri"/>
          <w:bCs/>
          <w:lang w:val="en-GB"/>
        </w:rPr>
        <w:t xml:space="preserve"> </w:t>
      </w:r>
      <w:bookmarkStart w:id="9" w:name="_Hlk29992660"/>
      <w:r w:rsidRPr="00D91674">
        <w:rPr>
          <w:rFonts w:ascii="Calibri" w:hAnsi="Calibri" w:cs="Calibri"/>
          <w:bCs/>
          <w:lang w:val="en-GB"/>
        </w:rPr>
        <w:t>found in</w:t>
      </w:r>
      <w:r>
        <w:rPr>
          <w:rFonts w:ascii="Calibri" w:hAnsi="Calibri" w:cs="Calibri"/>
          <w:bCs/>
          <w:lang w:val="en-GB"/>
        </w:rPr>
        <w:t xml:space="preserve"> </w:t>
      </w:r>
      <w:r w:rsidRPr="00D91674">
        <w:rPr>
          <w:rFonts w:ascii="Calibri" w:hAnsi="Calibri" w:cs="Calibri"/>
          <w:bCs/>
          <w:lang w:val="en-GB"/>
        </w:rPr>
        <w:t>10 to 20% of cases</w:t>
      </w:r>
      <w:r>
        <w:rPr>
          <w:rFonts w:ascii="Calibri" w:hAnsi="Calibri" w:cs="Calibri"/>
          <w:bCs/>
          <w:lang w:val="en-GB"/>
        </w:rPr>
        <w:fldChar w:fldCharType="begin" w:fldLock="1"/>
      </w:r>
      <w:r w:rsidR="00083BAF">
        <w:rPr>
          <w:rFonts w:ascii="Calibri" w:hAnsi="Calibri" w:cs="Calibri"/>
          <w:bCs/>
          <w:lang w:val="en-GB"/>
        </w:rPr>
        <w:instrText>ADDIN CSL_CITATION {"citationItems":[{"id":"ITEM-1","itemData":{"DOI":"10.1056/NEJMoa1110186","ISSN":"1533-4406","PMID":"22335739","abstract":"BACKGROUND Dilated cardiomyopathy and hypertrophic cardiomyopathy arise from mutations in many genes. TTN, the gene encoding the sarcomere protein titin, has been insufficiently analyzed for cardiomyopathy mutations because of its enormous size. METHODS We analyzed TTN in 312 subjects with dilated cardiomyopathy, 231 subjects with hypertrophic cardiomyopathy, and 249 controls by using next-generation or dideoxy sequencing. We evaluated deleterious variants for cosegregation in families and assessed clinical characteristics. RESULTS We identified 72 unique mutations (25 nonsense, 23 frameshift, 23 splicing, and 1 large tandem insertion) that altered full-length titin. Among subjects studied by means of next-generation sequencing, the frequency of TTN mutations was significantly higher among subjects with dilated cardiomyopathy (54 of 203 [27%]) than among subjects with hypertrophic cardiomyopathy (3 of 231 [1%], P=3×10(-16)) or controls (7 of 249 [3%], P=9×10(-14)). TTN mutations cosegregated with dilated cardiomyopathy in families (combined lod score, 11.1) with high (&gt;95%) observed penetrance after the age of 40 years. Mutations associated with dilated cardiomyopathy were overrepresented in the titin A-band but were absent from the Z-disk and M-band regions of titin (P≤0.01 for all comparisons). Overall, the rates of cardiac outcomes were similar in subjects with and those without TTN mutations, but adverse events occurred earlier in male mutation carriers than in female carriers (P=4×10(-5)). CONCLUSIONS TTN truncating mutations are a common cause of dilated cardiomyopathy, occurring in approximately 25% of familial cases of idiopathic dilated cardiomyopathy and in 18% of sporadic cases. Incorporation of sequencing approaches that detect TTN truncations into genetic testing for dilated cardiomyopathy should substantially increase test sensitivity, thereby allowing earlier diagnosis and therapeutic intervention for many patients with dilated cardiomyopathy. Defining the functional effects of TTN truncating mutations should improve our understanding of the pathophysiology of dilated cardiomyopathy. (Funded by the Howard Hughes Medical Institute and others.).","author":[{"dropping-particle":"","family":"Herman","given":"Daniel S","non-dropping-particle":"","parse-names":false,"suffix":""},{"dropping-particle":"","family":"Lam","given":"Lien","non-dropping-particle":"","parse-names":false,"suffix":""},{"dropping-particle":"","family":"Taylor","given":"Matthew R G","non-dropping-particle":"","parse-names":false,"suffix":""},{"dropping-particle":"","family":"Wang","given":"Libin","non-dropping-particle":"","parse-names":false,"suffix":""},{"dropping-particle":"","family":"Teekakirikul","given":"Polakit","non-dropping-particle":"","parse-names":false,"suffix":""},{"dropping-particle":"","family":"Christodoulou","given":"Danos","non-dropping-particle":"","parse-names":false,"suffix":""},{"dropping-particle":"","family":"Conner","given":"Lauren","non-dropping-particle":"","parse-names":false,"suffix":""},{"dropping-particle":"","family":"DePalma","given":"Steven R","non-dropping-particle":"","parse-names":false,"suffix":""},{"dropping-particle":"","family":"McDonough","given":"Barbara","non-dropping-particle":"","parse-names":false,"suffix":""},{"dropping-particle":"","family":"Sparks","given":"Elizabeth","non-dropping-particle":"","parse-names":false,"suffix":""},{"dropping-particle":"","family":"Teodorescu","given":"Debbie Lin","non-dropping-particle":"","parse-names":false,"suffix":""},{"dropping-particle":"","family":"Cirino","given":"Allison L","non-dropping-particle":"","parse-names":false,"suffix":""},{"dropping-particle":"","family":"Banner","given":"Nicholas R","non-dropping-particle":"","parse-names":false,"suffix":""},{"dropping-particle":"","family":"Pennell","given":"Dudley J","non-dropping-particle":"","parse-names":false,"suffix":""},{"dropping-particle":"","family":"Graw","given":"Sharon","non-dropping-particle":"","parse-names":false,"suffix":""},{"dropping-particle":"","family":"Merlo","given":"Marco","non-dropping-particle":"","parse-names":false,"suffix":""},{"dropping-particle":"","family":"Lenarda","given":"Andrea","non-dropping-particle":"Di","parse-names":false,"suffix":""},{"dropping-particle":"","family":"Sinagra","given":"Gianfranco","non-dropping-particle":"","parse-names":false,"suffix":""},{"dropping-particle":"","family":"Bos","given":"J Martijn","non-dropping-particle":"","parse-names":false,"suffix":""},{"dropping-particle":"","family":"Ackerman","given":"Michael J","non-dropping-particle":"","parse-names":false,"suffix":""},{"dropping-particle":"","family":"Mitchell","given":"Richard N","non-dropping-particle":"","parse-names":false,"suffix":""},{"dropping-particle":"","family":"Murry","given":"Charles E","non-dropping-particle":"","parse-names":false,"suffix":""},{"dropping-particle":"","family":"Lakdawala","given":"Neal K","non-dropping-particle":"","parse-names":false,"suffix":""},{"dropping-particle":"","family":"Ho","given":"Carolyn Y","non-dropping-particle":"","parse-names":false,"suffix":""},{"dropping-particle":"","family":"Barton","given":"Paul J R","non-dropping-particle":"","parse-names":false,"suffix":""},{"dropping-particle":"","family":"Cook","given":"Stuart A","non-dropping-particle":"","parse-names":false,"suffix":""},{"dropping-particle":"","family":"Mestroni","given":"Luisa","non-dropping-particle":"","parse-names":false,"suffix":""},{"dropping-particle":"","family":"Seidman","given":"J G","non-dropping-particle":"","parse-names":false,"suffix":""},{"dropping-particle":"","family":"Seidman","given":"Christine E","non-dropping-particle":"","parse-names":false,"suffix":""}],"container-title":"The New England journal of medicine","id":"ITEM-1","issue":"7","issued":{"date-parts":[["2012","2","16"]]},"page":"619-28","title":"Truncations of titin causing dilated cardiomyopathy.","type":"article-journal","volume":"366"},"uris":["http://www.mendeley.com/documents/?uuid=63812853-f353-4499-b04d-42664339683b"]}],"mendeley":{"formattedCitation":"&lt;sup&gt;29&lt;/sup&gt;","plainTextFormattedCitation":"29","previouslyFormattedCitation":"&lt;sup&gt;29&lt;/sup&gt;"},"properties":{"noteIndex":0},"schema":"https://github.com/citation-style-language/schema/raw/master/csl-citation.json"}</w:instrText>
      </w:r>
      <w:r>
        <w:rPr>
          <w:rFonts w:ascii="Calibri" w:hAnsi="Calibri" w:cs="Calibri"/>
          <w:bCs/>
          <w:lang w:val="en-GB"/>
        </w:rPr>
        <w:fldChar w:fldCharType="separate"/>
      </w:r>
      <w:r w:rsidR="00ED51EF" w:rsidRPr="00ED51EF">
        <w:rPr>
          <w:rFonts w:ascii="Calibri" w:hAnsi="Calibri" w:cs="Calibri"/>
          <w:bCs/>
          <w:noProof/>
          <w:vertAlign w:val="superscript"/>
          <w:lang w:val="en-GB"/>
        </w:rPr>
        <w:t>29</w:t>
      </w:r>
      <w:r>
        <w:rPr>
          <w:rFonts w:ascii="Calibri" w:hAnsi="Calibri" w:cs="Calibri"/>
          <w:bCs/>
          <w:lang w:val="en-GB"/>
        </w:rPr>
        <w:fldChar w:fldCharType="end"/>
      </w:r>
      <w:bookmarkEnd w:id="9"/>
      <w:r>
        <w:rPr>
          <w:rFonts w:ascii="Calibri" w:hAnsi="Calibri" w:cs="Calibri"/>
          <w:bCs/>
          <w:lang w:val="en-GB"/>
        </w:rPr>
        <w:t xml:space="preserve">. </w:t>
      </w:r>
      <w:r w:rsidR="00714395">
        <w:rPr>
          <w:rFonts w:ascii="Calibri" w:hAnsi="Calibri" w:cs="Calibri"/>
          <w:bCs/>
          <w:lang w:val="en-GB"/>
        </w:rPr>
        <w:t xml:space="preserve">A typical ECG pattern of patients harbouring pathogenic variants in </w:t>
      </w:r>
      <w:r w:rsidR="00EF1682">
        <w:rPr>
          <w:rFonts w:ascii="Calibri" w:hAnsi="Calibri" w:cs="Calibri"/>
          <w:bCs/>
          <w:lang w:val="en-GB"/>
        </w:rPr>
        <w:t>TTN</w:t>
      </w:r>
      <w:r w:rsidR="00714395">
        <w:rPr>
          <w:rFonts w:ascii="Calibri" w:hAnsi="Calibri" w:cs="Calibri"/>
          <w:bCs/>
          <w:lang w:val="en-GB"/>
        </w:rPr>
        <w:t xml:space="preserve"> has not been described. A recent study</w:t>
      </w:r>
      <w:r w:rsidR="00714395">
        <w:rPr>
          <w:rFonts w:ascii="Calibri" w:hAnsi="Calibri" w:cs="Calibri"/>
          <w:bCs/>
          <w:lang w:val="en-GB"/>
        </w:rPr>
        <w:fldChar w:fldCharType="begin" w:fldLock="1"/>
      </w:r>
      <w:r w:rsidR="00083BAF">
        <w:rPr>
          <w:rFonts w:ascii="Calibri" w:hAnsi="Calibri" w:cs="Calibri"/>
          <w:bCs/>
          <w:lang w:val="en-GB"/>
        </w:rPr>
        <w:instrText>ADDIN CSL_CITATION {"citationItems":[{"id":"ITEM-1","itemData":{"DOI":"10.1016/j.jacc.2017.08.063","ISSN":"1558-3597","PMID":"29073955","abstract":"BACKGROUND Improved understanding of dilated cardiomyopathy (DCM) due to titin truncation (TTNtv) may help guide patient stratification. OBJECTIVES The purpose of this study was to establish relationships among TTNtv genotype, cardiac phenotype, and outcomes in DCM. METHODS In this prospective, observational cohort study, DCM patients underwent clinical evaluation, late gadolinium enhancement cardiovascular magnetic resonance, TTN sequencing, and adjudicated follow-up blinded to genotype for the primary composite endpoint of cardiovascular death, and major arrhythmic and major heart failure events. RESULTS Of 716 subjects recruited (mean age 53.5 ± 14.3 years; 469 men [65.5%]; 577 [80.6%] New York Heart Association function class I/II), 83 (11.6%) had TTNtv. Patients with TTNtv were younger at enrollment (49.0 years vs. 54.1 years; p = 0.002) and had lower indexed left ventricular mass (5.1 g/m2 reduction; padjusted = 0.03) compared with patients without TTNtv. There was no difference in biventricular ejection fraction between TTNtv+/- groups. Overall, 78 of 604 patients (12.9%) met the primary endpoint (median follow-up 3.9 years; interquartile range: 2.0 to 5.8 years), including 9 of 71 patients with TTNtv (12.7%) and 69 of 533 (12.9%) without. There was no difference in the composite primary outcome of cardiovascular death, heart failure, or arrhythmic events, for patients with or without TTNtv (hazard ratio adjusted for primary endpoint: 0.92 [95% confidence interval: 0.45 to 1.87]; p = 0.82). CONCLUSIONS In this large, prospective, genotype-phenotype study of ambulatory DCM patients, we show that prognostic factors for all-cause DCM also predict outcome in TTNtv DCM, and that TTNtv DCM does not appear to be associated with worse medium-term prognosis.","author":[{"dropping-particle":"","family":"Tayal","given":"Upasana","non-dropping-particle":"","parse-names":false,"suffix":""},{"dropping-particle":"","family":"Newsome","given":"Simon","non-dropping-particle":"","parse-names":false,"suffix":""},{"dropping-particle":"","family":"Buchan","given":"Rachel","non-dropping-particle":"","parse-names":false,"suffix":""},{"dropping-particle":"","family":"Whiffin","given":"Nicola","non-dropping-particle":"","parse-names":false,"suffix":""},{"dropping-particle":"","family":"Halliday","given":"Brian","non-dropping-particle":"","parse-names":false,"suffix":""},{"dropping-particle":"","family":"Lota","given":"Amrit","non-dropping-particle":"","parse-names":false,"suffix":""},{"dropping-particle":"","family":"Roberts","given":"Angharad","non-dropping-particle":"","parse-names":false,"suffix":""},{"dropping-particle":"","family":"Baksi","given":"A John","non-dropping-particle":"","parse-names":false,"suffix":""},{"dropping-particle":"","family":"Voges","given":"Inga","non-dropping-particle":"","parse-names":false,"suffix":""},{"dropping-particle":"","family":"Midwinter","given":"Will","non-dropping-particle":"","parse-names":false,"suffix":""},{"dropping-particle":"","family":"Wilk","given":"Alijca","non-dropping-particle":"","parse-names":false,"suffix":""},{"dropping-particle":"","family":"Govind","given":"Risha","non-dropping-particle":"","parse-names":false,"suffix":""},{"dropping-particle":"","family":"Walsh","given":"Roddy","non-dropping-particle":"","parse-names":false,"suffix":""},{"dropping-particle":"","family":"Daubeney","given":"Piers","non-dropping-particle":"","parse-names":false,"suffix":""},{"dropping-particle":"","family":"Jarman","given":"Julian W E","non-dropping-particle":"","parse-names":false,"suffix":""},{"dropping-particle":"","family":"Baruah","given":"Resham","non-dropping-particle":"","parse-names":false,"suffix":""},{"dropping-particle":"","family":"Frenneaux","given":"Michael","non-dropping-particle":"","parse-names":false,"suffix":""},{"dropping-particle":"","family":"Barton","given":"Paul J","non-dropping-particle":"","parse-names":false,"suffix":""},{"dropping-particle":"","family":"Pennell","given":"Dudley","non-dropping-particle":"","parse-names":false,"suffix":""},{"dropping-particle":"","family":"Ware","given":"James S","non-dropping-particle":"","parse-names":false,"suffix":""},{"dropping-particle":"","family":"Prasad","given":"Sanjay K","non-dropping-particle":"","parse-names":false,"suffix":""},{"dropping-particle":"","family":"Cook","given":"Stuart A","non-dropping-particle":"","parse-names":false,"suffix":""}],"container-title":"Journal of the American College of Cardiology","id":"ITEM-1","issue":"18","issued":{"date-parts":[["2017","10","31"]]},"page":"2264-2274","title":"Phenotype and Clinical Outcomes of Titin Cardiomyopathy.","type":"article-journal","volume":"70"},"uris":["http://www.mendeley.com/documents/?uuid=98294df1-b551-4ca2-afa1-213ded4225b6"]}],"mendeley":{"formattedCitation":"&lt;sup&gt;30&lt;/sup&gt;","plainTextFormattedCitation":"30","previouslyFormattedCitation":"&lt;sup&gt;30&lt;/sup&gt;"},"properties":{"noteIndex":0},"schema":"https://github.com/citation-style-language/schema/raw/master/csl-citation.json"}</w:instrText>
      </w:r>
      <w:r w:rsidR="00714395">
        <w:rPr>
          <w:rFonts w:ascii="Calibri" w:hAnsi="Calibri" w:cs="Calibri"/>
          <w:bCs/>
          <w:lang w:val="en-GB"/>
        </w:rPr>
        <w:fldChar w:fldCharType="separate"/>
      </w:r>
      <w:r w:rsidR="00ED51EF" w:rsidRPr="00ED51EF">
        <w:rPr>
          <w:rFonts w:ascii="Calibri" w:hAnsi="Calibri" w:cs="Calibri"/>
          <w:bCs/>
          <w:noProof/>
          <w:vertAlign w:val="superscript"/>
          <w:lang w:val="en-GB"/>
        </w:rPr>
        <w:t>30</w:t>
      </w:r>
      <w:r w:rsidR="00714395">
        <w:rPr>
          <w:rFonts w:ascii="Calibri" w:hAnsi="Calibri" w:cs="Calibri"/>
          <w:bCs/>
          <w:lang w:val="en-GB"/>
        </w:rPr>
        <w:fldChar w:fldCharType="end"/>
      </w:r>
      <w:r w:rsidR="00714395">
        <w:rPr>
          <w:rFonts w:ascii="Calibri" w:hAnsi="Calibri" w:cs="Calibri"/>
          <w:bCs/>
          <w:lang w:val="en-GB"/>
        </w:rPr>
        <w:t xml:space="preserve"> on one of the largest cohort</w:t>
      </w:r>
      <w:r w:rsidR="007C6242">
        <w:rPr>
          <w:rFonts w:ascii="Calibri" w:hAnsi="Calibri" w:cs="Calibri"/>
          <w:bCs/>
          <w:lang w:val="en-GB"/>
        </w:rPr>
        <w:t>s</w:t>
      </w:r>
      <w:r w:rsidR="00714395">
        <w:rPr>
          <w:rFonts w:ascii="Calibri" w:hAnsi="Calibri" w:cs="Calibri"/>
          <w:bCs/>
          <w:lang w:val="en-GB"/>
        </w:rPr>
        <w:t xml:space="preserve"> </w:t>
      </w:r>
      <w:r w:rsidR="007C6242">
        <w:rPr>
          <w:rFonts w:ascii="Calibri" w:hAnsi="Calibri" w:cs="Calibri"/>
          <w:bCs/>
          <w:lang w:val="en-GB"/>
        </w:rPr>
        <w:t>to date</w:t>
      </w:r>
      <w:r w:rsidR="00F51280">
        <w:rPr>
          <w:rFonts w:ascii="Calibri" w:hAnsi="Calibri" w:cs="Calibri"/>
          <w:bCs/>
          <w:lang w:val="en-GB"/>
        </w:rPr>
        <w:t>,</w:t>
      </w:r>
      <w:r w:rsidR="007C6242">
        <w:rPr>
          <w:rFonts w:ascii="Calibri" w:hAnsi="Calibri" w:cs="Calibri"/>
          <w:bCs/>
          <w:lang w:val="en-GB"/>
        </w:rPr>
        <w:t xml:space="preserve"> </w:t>
      </w:r>
      <w:r w:rsidR="00714395">
        <w:rPr>
          <w:rFonts w:ascii="Calibri" w:hAnsi="Calibri" w:cs="Calibri"/>
          <w:bCs/>
          <w:lang w:val="en-GB"/>
        </w:rPr>
        <w:t xml:space="preserve">showed that patients with TTN truncating variants </w:t>
      </w:r>
      <w:r w:rsidR="007C6242">
        <w:rPr>
          <w:rFonts w:ascii="Calibri" w:hAnsi="Calibri" w:cs="Calibri"/>
          <w:bCs/>
          <w:lang w:val="en-GB"/>
        </w:rPr>
        <w:t>had a higher prevalence of AF and ventricular arrhythmias than DCM patients with other</w:t>
      </w:r>
      <w:r w:rsidR="00F51280">
        <w:rPr>
          <w:rFonts w:ascii="Calibri" w:hAnsi="Calibri" w:cs="Calibri"/>
          <w:bCs/>
          <w:lang w:val="en-GB"/>
        </w:rPr>
        <w:t xml:space="preserve"> a</w:t>
      </w:r>
      <w:r w:rsidR="007C6242">
        <w:rPr>
          <w:rFonts w:ascii="Calibri" w:hAnsi="Calibri" w:cs="Calibri"/>
          <w:bCs/>
          <w:lang w:val="en-GB"/>
        </w:rPr>
        <w:t xml:space="preserve">etiologies, while the prevalence of </w:t>
      </w:r>
      <w:r w:rsidR="00714395">
        <w:rPr>
          <w:rFonts w:ascii="Calibri" w:hAnsi="Calibri" w:cs="Calibri"/>
          <w:bCs/>
          <w:lang w:val="en-GB"/>
        </w:rPr>
        <w:t xml:space="preserve">LBBB and conduction </w:t>
      </w:r>
      <w:r w:rsidR="00A1136F">
        <w:rPr>
          <w:rFonts w:ascii="Calibri" w:hAnsi="Calibri" w:cs="Calibri"/>
          <w:bCs/>
          <w:lang w:val="en-GB"/>
        </w:rPr>
        <w:t>abnormalities</w:t>
      </w:r>
      <w:r w:rsidR="00714395">
        <w:rPr>
          <w:rFonts w:ascii="Calibri" w:hAnsi="Calibri" w:cs="Calibri"/>
          <w:bCs/>
          <w:lang w:val="en-GB"/>
        </w:rPr>
        <w:t xml:space="preserve"> </w:t>
      </w:r>
      <w:r w:rsidR="007C6242">
        <w:rPr>
          <w:rFonts w:ascii="Calibri" w:hAnsi="Calibri" w:cs="Calibri"/>
          <w:bCs/>
          <w:lang w:val="en-GB"/>
        </w:rPr>
        <w:t>was lower</w:t>
      </w:r>
      <w:r w:rsidR="00714395">
        <w:rPr>
          <w:rFonts w:ascii="Calibri" w:hAnsi="Calibri" w:cs="Calibri"/>
          <w:bCs/>
          <w:lang w:val="en-GB"/>
        </w:rPr>
        <w:t>.</w:t>
      </w:r>
    </w:p>
    <w:p w14:paraId="0F56988E" w14:textId="77777777" w:rsidR="00F04AFA" w:rsidRPr="0041574E" w:rsidRDefault="00F04AFA" w:rsidP="0041574E">
      <w:pPr>
        <w:spacing w:line="480" w:lineRule="auto"/>
        <w:rPr>
          <w:rFonts w:ascii="Calibri" w:hAnsi="Calibri" w:cs="Calibri"/>
          <w:bCs/>
          <w:u w:val="single"/>
          <w:lang w:val="en-GB"/>
        </w:rPr>
      </w:pPr>
      <w:proofErr w:type="spellStart"/>
      <w:r w:rsidRPr="0041574E">
        <w:rPr>
          <w:rFonts w:ascii="Calibri" w:hAnsi="Calibri" w:cs="Calibri"/>
          <w:bCs/>
          <w:u w:val="single"/>
          <w:lang w:val="en-GB"/>
        </w:rPr>
        <w:t>Lamin</w:t>
      </w:r>
      <w:proofErr w:type="spellEnd"/>
      <w:r w:rsidRPr="0041574E">
        <w:rPr>
          <w:rFonts w:ascii="Calibri" w:hAnsi="Calibri" w:cs="Calibri"/>
          <w:bCs/>
          <w:u w:val="single"/>
          <w:lang w:val="en-GB"/>
        </w:rPr>
        <w:t xml:space="preserve"> A/C (</w:t>
      </w:r>
      <w:r w:rsidRPr="0041574E">
        <w:rPr>
          <w:rFonts w:ascii="Calibri" w:hAnsi="Calibri" w:cs="Calibri"/>
          <w:bCs/>
          <w:i/>
          <w:iCs/>
          <w:u w:val="single"/>
          <w:lang w:val="en-GB"/>
        </w:rPr>
        <w:t>LMNA</w:t>
      </w:r>
      <w:r w:rsidRPr="0041574E">
        <w:rPr>
          <w:rFonts w:ascii="Calibri" w:hAnsi="Calibri" w:cs="Calibri"/>
          <w:bCs/>
          <w:u w:val="single"/>
          <w:lang w:val="en-GB"/>
        </w:rPr>
        <w:t>)</w:t>
      </w:r>
    </w:p>
    <w:p w14:paraId="082740DA" w14:textId="3B873ADF" w:rsidR="0041238A" w:rsidRPr="0041574E" w:rsidRDefault="00C30FF2" w:rsidP="0048691B">
      <w:pPr>
        <w:spacing w:line="480" w:lineRule="auto"/>
        <w:ind w:firstLine="720"/>
        <w:rPr>
          <w:rFonts w:ascii="Calibri" w:hAnsi="Calibri" w:cs="Calibri"/>
          <w:bCs/>
          <w:lang w:val="en-GB"/>
        </w:rPr>
      </w:pPr>
      <w:r w:rsidRPr="0041574E">
        <w:rPr>
          <w:rFonts w:ascii="Calibri" w:hAnsi="Calibri" w:cs="Calibri"/>
          <w:bCs/>
          <w:i/>
          <w:iCs/>
          <w:lang w:val="en-GB"/>
        </w:rPr>
        <w:lastRenderedPageBreak/>
        <w:t>LMN</w:t>
      </w:r>
      <w:r w:rsidR="00F04AFA" w:rsidRPr="0041574E">
        <w:rPr>
          <w:rFonts w:ascii="Calibri" w:hAnsi="Calibri" w:cs="Calibri"/>
          <w:bCs/>
          <w:i/>
          <w:iCs/>
          <w:lang w:val="en-GB"/>
        </w:rPr>
        <w:t>A</w:t>
      </w:r>
      <w:r w:rsidR="00F04AFA" w:rsidRPr="0041574E">
        <w:rPr>
          <w:rFonts w:ascii="Calibri" w:hAnsi="Calibri" w:cs="Calibri"/>
          <w:bCs/>
          <w:lang w:val="en-GB"/>
        </w:rPr>
        <w:t xml:space="preserve"> variants</w:t>
      </w:r>
      <w:r w:rsidR="00184CAC" w:rsidRPr="0041574E">
        <w:rPr>
          <w:rFonts w:ascii="Calibri" w:hAnsi="Calibri" w:cs="Calibri"/>
          <w:bCs/>
          <w:lang w:val="en-GB"/>
        </w:rPr>
        <w:t xml:space="preserve"> are </w:t>
      </w:r>
      <w:r w:rsidR="00A1136F">
        <w:rPr>
          <w:rFonts w:ascii="Calibri" w:hAnsi="Calibri" w:cs="Calibri"/>
          <w:bCs/>
          <w:lang w:val="en-GB"/>
        </w:rPr>
        <w:t>found</w:t>
      </w:r>
      <w:r w:rsidR="00184CAC" w:rsidRPr="0041574E">
        <w:rPr>
          <w:rFonts w:ascii="Calibri" w:hAnsi="Calibri" w:cs="Calibri"/>
          <w:bCs/>
          <w:lang w:val="en-GB"/>
        </w:rPr>
        <w:t xml:space="preserve"> </w:t>
      </w:r>
      <w:r w:rsidR="00A1136F">
        <w:rPr>
          <w:rFonts w:ascii="Calibri" w:hAnsi="Calibri" w:cs="Calibri"/>
          <w:bCs/>
          <w:lang w:val="en-GB"/>
        </w:rPr>
        <w:t>in</w:t>
      </w:r>
      <w:r w:rsidR="00184CAC" w:rsidRPr="0041574E">
        <w:rPr>
          <w:rFonts w:ascii="Calibri" w:hAnsi="Calibri" w:cs="Calibri"/>
          <w:bCs/>
          <w:lang w:val="en-GB"/>
        </w:rPr>
        <w:t xml:space="preserve"> up to 8% of DCM</w:t>
      </w:r>
      <w:r w:rsidR="00D350A9" w:rsidRPr="0041574E">
        <w:rPr>
          <w:rFonts w:ascii="Calibri" w:hAnsi="Calibri" w:cs="Calibri"/>
          <w:bCs/>
          <w:lang w:val="en-GB"/>
        </w:rPr>
        <w:t xml:space="preserve"> cases</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{"citationItems":[{"id":"ITEM-1","itemData":{"DOI":"10.1007/s11886-018-1030-7","ISSN":"15343170","PMID":"30105555","abstract":"PURPOSE OF REVIEW This review aims to summarize the current knowledge on the genetic background of dilated cardiomyopathy (DCM), with particular attention to the genotype-phenotype correlations and the possible implications for clinical management. RECENT FINDINGS Next generation sequencing (NGS) has led to the identification of an increasing number of genes and mutations responsible for DCM. This genetic variability is probably related to the extreme heterogeneity of disease manifestation. Important findings have associated mutations of Lamin A/C (LMNA) and Filamin C (FLNC) to poor prognosis and the propensity to cause an arrhythmic phenotype, respectively. However, a deeper understanding of the genotype-phenotype correlation is necessary, because it could have several implications for the clinical management of the patients. Furthermore, the correct interpretation of pathogenicity of mutations and the clinical impact of genetic testing in DCM patients still represent important fields to be implemented. A pathogenic gene mutation can be identified in almost 40% of DCM patients. The recent discoveries and future research in the field of genotype-phenotype correlation may lead to a more personalized management of the mutation carriers towards the application of precision medicine in DCM.","author":[{"dropping-particle":"","family":"Paldino","given":"A.","non-dropping-particle":"","parse-names":false,"suffix":""},{"dropping-particle":"","family":"Angelis","given":"G.","non-dropping-particle":"De","parse-names":false,"suffix":""},{"dropping-particle":"","family":"Merlo","given":"M.","non-dropping-particle":"","parse-names":false,"suffix":""},{"dropping-particle":"","family":"Gigli","given":"M.","non-dropping-particle":"","parse-names":false,"suffix":""},{"dropping-particle":"","family":"Dal Ferro","given":"M.","non-dropping-particle":"","parse-names":false,"suffix":""},{"dropping-particle":"","family":"Severini","given":"G. M.","non-dropping-particle":"","parse-names":false,"suffix":""},{"dropping-particle":"","family":"Mestroni","given":"L.","non-dropping-particle":"","parse-names":false,"suffix":""},{"dropping-particle":"","family":"Sinagra","given":"G.","non-dropping-particle":"","parse-names":false,"suffix":""}],"container-title":"Current Cardiology Reports","id":"ITEM-1","issue":"10","issued":{"date-parts":[["2018"]]},"title":"Genetics of Dilated Cardiomyopathy: Clinical Implications","type":"article","volume":"20"},"uris":["http://www.mendeley.com/documents/?uuid=3c48f5bf-0656-4645-af4f-8ad594e872fc","http://www.mendeley.com/documents/?uuid=f08f5935-6fbc-45ad-b67c-603126a53a10"]}],"mendeley":{"formattedCitation":"&lt;sup&gt;31&lt;/sup&gt;","plainTextFormattedCitation":"31","previouslyFormattedCitation":"&lt;sup&gt;31&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31</w:t>
      </w:r>
      <w:r w:rsidR="004470C5" w:rsidRPr="0041574E">
        <w:rPr>
          <w:rFonts w:ascii="Calibri" w:hAnsi="Calibri" w:cs="Calibri"/>
          <w:bCs/>
          <w:lang w:val="en-GB"/>
        </w:rPr>
        <w:fldChar w:fldCharType="end"/>
      </w:r>
      <w:r w:rsidR="00C32A39" w:rsidRPr="0041574E">
        <w:rPr>
          <w:rFonts w:ascii="Calibri" w:hAnsi="Calibri" w:cs="Calibri"/>
          <w:bCs/>
          <w:lang w:val="en-GB"/>
        </w:rPr>
        <w:t>. Early conduction disease</w:t>
      </w:r>
      <w:r w:rsidR="00182A2B" w:rsidRPr="0041574E">
        <w:rPr>
          <w:rFonts w:ascii="Calibri" w:hAnsi="Calibri" w:cs="Calibri"/>
          <w:bCs/>
          <w:lang w:val="en-GB"/>
        </w:rPr>
        <w:t>, manifest</w:t>
      </w:r>
      <w:r w:rsidR="00F62A0F" w:rsidRPr="0041574E">
        <w:rPr>
          <w:rFonts w:ascii="Calibri" w:hAnsi="Calibri" w:cs="Calibri"/>
          <w:bCs/>
          <w:lang w:val="en-GB"/>
        </w:rPr>
        <w:t>ing</w:t>
      </w:r>
      <w:r w:rsidR="00182A2B" w:rsidRPr="0041574E">
        <w:rPr>
          <w:rFonts w:ascii="Calibri" w:hAnsi="Calibri" w:cs="Calibri"/>
          <w:bCs/>
          <w:lang w:val="en-GB"/>
        </w:rPr>
        <w:t xml:space="preserve"> as sinus bradycardia, sinus node arrest</w:t>
      </w:r>
      <w:r w:rsidR="001418F8" w:rsidRPr="0041574E">
        <w:rPr>
          <w:rFonts w:ascii="Calibri" w:hAnsi="Calibri" w:cs="Calibri"/>
          <w:bCs/>
          <w:lang w:val="en-GB"/>
        </w:rPr>
        <w:t>,</w:t>
      </w:r>
      <w:r w:rsidR="00182A2B" w:rsidRPr="0041574E">
        <w:rPr>
          <w:rFonts w:ascii="Calibri" w:hAnsi="Calibri" w:cs="Calibri"/>
          <w:bCs/>
          <w:lang w:val="en-GB"/>
        </w:rPr>
        <w:t xml:space="preserve"> AV-block</w:t>
      </w:r>
      <w:r w:rsidR="00A1136F">
        <w:rPr>
          <w:rFonts w:ascii="Calibri" w:hAnsi="Calibri" w:cs="Calibri"/>
          <w:bCs/>
          <w:lang w:val="en-GB"/>
        </w:rPr>
        <w:t>s</w:t>
      </w:r>
      <w:r w:rsidR="00182A2B" w:rsidRPr="0041574E">
        <w:rPr>
          <w:rFonts w:ascii="Calibri" w:hAnsi="Calibri" w:cs="Calibri"/>
          <w:bCs/>
          <w:lang w:val="en-GB"/>
        </w:rPr>
        <w:t xml:space="preserve"> (</w:t>
      </w:r>
      <w:r w:rsidR="00E415B6" w:rsidRPr="0041574E">
        <w:rPr>
          <w:rFonts w:ascii="Calibri" w:hAnsi="Calibri" w:cs="Calibri"/>
          <w:bCs/>
          <w:lang w:val="en-GB"/>
        </w:rPr>
        <w:t>first</w:t>
      </w:r>
      <w:r w:rsidR="00182A2B" w:rsidRPr="0041574E">
        <w:rPr>
          <w:rFonts w:ascii="Calibri" w:hAnsi="Calibri" w:cs="Calibri"/>
          <w:bCs/>
          <w:lang w:val="en-GB"/>
        </w:rPr>
        <w:t xml:space="preserve"> or </w:t>
      </w:r>
      <w:r w:rsidR="00E415B6" w:rsidRPr="0041574E">
        <w:rPr>
          <w:rFonts w:ascii="Calibri" w:hAnsi="Calibri" w:cs="Calibri"/>
          <w:bCs/>
          <w:lang w:val="en-GB"/>
        </w:rPr>
        <w:t>second</w:t>
      </w:r>
      <w:r w:rsidR="00182A2B" w:rsidRPr="0041574E">
        <w:rPr>
          <w:rFonts w:ascii="Calibri" w:hAnsi="Calibri" w:cs="Calibri"/>
          <w:bCs/>
          <w:lang w:val="en-GB"/>
        </w:rPr>
        <w:t xml:space="preserve"> degree AV-block, later progressing to complete heart block)</w:t>
      </w:r>
      <w:r w:rsidR="00E665C4">
        <w:rPr>
          <w:rFonts w:ascii="Calibri" w:hAnsi="Calibri" w:cs="Calibri"/>
          <w:bCs/>
          <w:lang w:val="en-GB"/>
        </w:rPr>
        <w:t xml:space="preserve"> or LBBB</w:t>
      </w:r>
      <w:r w:rsidR="00182A2B" w:rsidRPr="0041574E">
        <w:rPr>
          <w:rFonts w:ascii="Calibri" w:hAnsi="Calibri" w:cs="Calibri"/>
          <w:bCs/>
          <w:lang w:val="en-GB"/>
        </w:rPr>
        <w:t xml:space="preserve"> </w:t>
      </w:r>
      <w:r w:rsidR="00B45422" w:rsidRPr="0041574E">
        <w:rPr>
          <w:rFonts w:ascii="Calibri" w:hAnsi="Calibri" w:cs="Calibri"/>
          <w:bCs/>
          <w:lang w:val="en-GB"/>
        </w:rPr>
        <w:t>are relatively</w:t>
      </w:r>
      <w:r w:rsidR="00182A2B" w:rsidRPr="0041574E">
        <w:rPr>
          <w:rFonts w:ascii="Calibri" w:hAnsi="Calibri" w:cs="Calibri"/>
          <w:bCs/>
          <w:lang w:val="en-GB"/>
        </w:rPr>
        <w:t xml:space="preserve"> common </w:t>
      </w:r>
      <w:r w:rsidR="00B45422" w:rsidRPr="0041574E">
        <w:rPr>
          <w:rFonts w:ascii="Calibri" w:hAnsi="Calibri" w:cs="Calibri"/>
          <w:bCs/>
          <w:lang w:val="en-GB"/>
        </w:rPr>
        <w:t>in</w:t>
      </w:r>
      <w:r w:rsidR="00182A2B" w:rsidRPr="0041574E">
        <w:rPr>
          <w:rFonts w:ascii="Calibri" w:hAnsi="Calibri" w:cs="Calibri"/>
          <w:bCs/>
          <w:lang w:val="en-GB"/>
        </w:rPr>
        <w:t xml:space="preserve"> </w:t>
      </w:r>
      <w:r w:rsidR="0048691B">
        <w:rPr>
          <w:rFonts w:ascii="Calibri" w:hAnsi="Calibri" w:cs="Calibri"/>
          <w:bCs/>
          <w:lang w:val="en-GB"/>
        </w:rPr>
        <w:t>this form of DCM</w:t>
      </w:r>
      <w:r w:rsidR="00A1136F">
        <w:rPr>
          <w:rFonts w:ascii="Calibri" w:hAnsi="Calibri" w:cs="Calibri"/>
          <w:bCs/>
          <w:lang w:val="en-GB"/>
        </w:rPr>
        <w:fldChar w:fldCharType="begin" w:fldLock="1"/>
      </w:r>
      <w:r w:rsidR="00561592">
        <w:rPr>
          <w:rFonts w:ascii="Calibri" w:hAnsi="Calibri" w:cs="Calibri"/>
          <w:bCs/>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A1136F">
        <w:rPr>
          <w:rFonts w:ascii="Calibri" w:hAnsi="Calibri" w:cs="Calibri"/>
          <w:bCs/>
          <w:lang w:val="en-GB"/>
        </w:rPr>
        <w:fldChar w:fldCharType="separate"/>
      </w:r>
      <w:r w:rsidR="00326362" w:rsidRPr="00326362">
        <w:rPr>
          <w:rFonts w:ascii="Calibri" w:hAnsi="Calibri" w:cs="Calibri"/>
          <w:bCs/>
          <w:noProof/>
          <w:vertAlign w:val="superscript"/>
          <w:lang w:val="en-GB"/>
        </w:rPr>
        <w:t>1</w:t>
      </w:r>
      <w:r w:rsidR="00A1136F">
        <w:rPr>
          <w:rFonts w:ascii="Calibri" w:hAnsi="Calibri" w:cs="Calibri"/>
          <w:bCs/>
          <w:lang w:val="en-GB"/>
        </w:rPr>
        <w:fldChar w:fldCharType="end"/>
      </w:r>
      <w:r w:rsidR="00182A2B" w:rsidRPr="0041574E">
        <w:rPr>
          <w:rFonts w:ascii="Calibri" w:hAnsi="Calibri" w:cs="Calibri"/>
          <w:bCs/>
          <w:lang w:val="en-GB"/>
        </w:rPr>
        <w:t>.</w:t>
      </w:r>
      <w:r w:rsidR="00C544EA" w:rsidRPr="0041574E">
        <w:rPr>
          <w:rFonts w:ascii="Calibri" w:hAnsi="Calibri" w:cs="Calibri"/>
          <w:bCs/>
          <w:lang w:val="en-GB"/>
        </w:rPr>
        <w:t xml:space="preserve"> </w:t>
      </w:r>
      <w:r w:rsidR="00B50A30">
        <w:rPr>
          <w:rFonts w:ascii="Calibri" w:hAnsi="Calibri" w:cs="Calibri"/>
          <w:bCs/>
          <w:lang w:val="en-GB"/>
        </w:rPr>
        <w:t>Such</w:t>
      </w:r>
      <w:r w:rsidR="00B50A30" w:rsidRPr="0041574E">
        <w:rPr>
          <w:rFonts w:ascii="Calibri" w:hAnsi="Calibri" w:cs="Calibri"/>
          <w:bCs/>
          <w:lang w:val="en-GB"/>
        </w:rPr>
        <w:t xml:space="preserve"> </w:t>
      </w:r>
      <w:r w:rsidR="00C544EA" w:rsidRPr="0041574E">
        <w:rPr>
          <w:rFonts w:ascii="Calibri" w:hAnsi="Calibri" w:cs="Calibri"/>
          <w:bCs/>
          <w:lang w:val="en-GB"/>
        </w:rPr>
        <w:t>findings often precede the development of a</w:t>
      </w:r>
      <w:r w:rsidR="003124E6" w:rsidRPr="0041574E">
        <w:rPr>
          <w:rFonts w:ascii="Calibri" w:hAnsi="Calibri" w:cs="Calibri"/>
          <w:bCs/>
          <w:lang w:val="en-GB"/>
        </w:rPr>
        <w:t>n overt</w:t>
      </w:r>
      <w:r w:rsidR="00C544EA" w:rsidRPr="0041574E">
        <w:rPr>
          <w:rFonts w:ascii="Calibri" w:hAnsi="Calibri" w:cs="Calibri"/>
          <w:bCs/>
          <w:lang w:val="en-GB"/>
        </w:rPr>
        <w:t xml:space="preserve"> dilated phenotype</w:t>
      </w:r>
      <w:r w:rsidR="00A1136F" w:rsidRPr="0041574E">
        <w:rPr>
          <w:rFonts w:ascii="Calibri" w:hAnsi="Calibri" w:cs="Calibri"/>
          <w:b/>
          <w:lang w:val="en-GB"/>
        </w:rPr>
        <w:t xml:space="preserve"> </w:t>
      </w:r>
      <w:r w:rsidR="00D32EB6" w:rsidRPr="0041574E">
        <w:rPr>
          <w:rFonts w:ascii="Calibri" w:hAnsi="Calibri" w:cs="Calibri"/>
          <w:b/>
          <w:lang w:val="en-GB"/>
        </w:rPr>
        <w:t>(Figure 1A)</w:t>
      </w:r>
      <w:r w:rsidR="00C544EA" w:rsidRPr="0041574E">
        <w:rPr>
          <w:rFonts w:ascii="Calibri" w:hAnsi="Calibri" w:cs="Calibri"/>
          <w:bCs/>
          <w:lang w:val="en-GB"/>
        </w:rPr>
        <w:t>.</w:t>
      </w:r>
      <w:r w:rsidR="00D350A9" w:rsidRPr="0041574E">
        <w:rPr>
          <w:rFonts w:ascii="Calibri" w:hAnsi="Calibri" w:cs="Calibri"/>
          <w:bCs/>
          <w:lang w:val="en-GB"/>
        </w:rPr>
        <w:t xml:space="preserve"> </w:t>
      </w:r>
      <w:r w:rsidR="00780A74">
        <w:rPr>
          <w:rFonts w:ascii="Calibri" w:hAnsi="Calibri" w:cs="Calibri"/>
          <w:bCs/>
          <w:lang w:val="en-GB"/>
        </w:rPr>
        <w:t>These p</w:t>
      </w:r>
      <w:r w:rsidR="008E55DA" w:rsidRPr="0041574E">
        <w:rPr>
          <w:rFonts w:ascii="Calibri" w:hAnsi="Calibri" w:cs="Calibri"/>
          <w:bCs/>
          <w:lang w:val="en-GB"/>
        </w:rPr>
        <w:t xml:space="preserve">atients </w:t>
      </w:r>
      <w:r w:rsidR="00780A74">
        <w:rPr>
          <w:rFonts w:ascii="Calibri" w:hAnsi="Calibri" w:cs="Calibri"/>
          <w:bCs/>
          <w:lang w:val="en-GB"/>
        </w:rPr>
        <w:t>exhibit</w:t>
      </w:r>
      <w:r w:rsidR="008E55DA" w:rsidRPr="0041574E">
        <w:rPr>
          <w:rFonts w:ascii="Calibri" w:hAnsi="Calibri" w:cs="Calibri"/>
          <w:bCs/>
          <w:lang w:val="en-GB"/>
        </w:rPr>
        <w:t xml:space="preserve"> a high </w:t>
      </w:r>
      <w:r w:rsidR="00780A74">
        <w:rPr>
          <w:rFonts w:ascii="Calibri" w:hAnsi="Calibri" w:cs="Calibri"/>
          <w:bCs/>
          <w:lang w:val="en-GB"/>
        </w:rPr>
        <w:t>prevalence</w:t>
      </w:r>
      <w:r w:rsidR="008E55DA" w:rsidRPr="0041574E">
        <w:rPr>
          <w:rFonts w:ascii="Calibri" w:hAnsi="Calibri" w:cs="Calibri"/>
          <w:bCs/>
          <w:lang w:val="en-GB"/>
        </w:rPr>
        <w:t xml:space="preserve"> of supraventricular arrhythmias, in particular AF </w:t>
      </w:r>
      <w:r w:rsidR="0048691B">
        <w:rPr>
          <w:rFonts w:ascii="Calibri" w:hAnsi="Calibri" w:cs="Calibri"/>
          <w:bCs/>
          <w:lang w:val="en-GB"/>
        </w:rPr>
        <w:t>(</w:t>
      </w:r>
      <w:r w:rsidR="00AA4737" w:rsidRPr="0041574E">
        <w:rPr>
          <w:rFonts w:ascii="Calibri" w:hAnsi="Calibri" w:cs="Calibri"/>
          <w:bCs/>
          <w:lang w:val="en-GB"/>
        </w:rPr>
        <w:t xml:space="preserve">present in </w:t>
      </w:r>
      <w:r w:rsidR="0048691B">
        <w:rPr>
          <w:rFonts w:ascii="Calibri" w:hAnsi="Calibri" w:cs="Calibri"/>
          <w:bCs/>
          <w:lang w:val="en-GB"/>
        </w:rPr>
        <w:t xml:space="preserve">almost half of the patients </w:t>
      </w:r>
      <w:r w:rsidR="00AA4737" w:rsidRPr="0041574E">
        <w:rPr>
          <w:rFonts w:ascii="Calibri" w:hAnsi="Calibri" w:cs="Calibri"/>
          <w:bCs/>
          <w:lang w:val="en-GB"/>
        </w:rPr>
        <w:t xml:space="preserve">at their first </w:t>
      </w:r>
      <w:r w:rsidR="0048691B">
        <w:rPr>
          <w:rFonts w:ascii="Calibri" w:hAnsi="Calibri" w:cs="Calibri"/>
          <w:bCs/>
          <w:lang w:val="en-GB"/>
        </w:rPr>
        <w:t>presentation)</w:t>
      </w:r>
      <w:r w:rsidR="00AA4737" w:rsidRPr="0041574E">
        <w:rPr>
          <w:rFonts w:ascii="Calibri" w:hAnsi="Calibri" w:cs="Calibri"/>
          <w:bCs/>
          <w:lang w:val="en-GB"/>
        </w:rPr>
        <w:t xml:space="preserve">, but also </w:t>
      </w:r>
      <w:r w:rsidR="008E55DA" w:rsidRPr="0041574E">
        <w:rPr>
          <w:rFonts w:ascii="Calibri" w:hAnsi="Calibri" w:cs="Calibri"/>
          <w:bCs/>
          <w:lang w:val="en-GB"/>
        </w:rPr>
        <w:t>atrial flutter and atrial tachycardia</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{"citationItems":[{"id":"ITEM-1","itemData":{"DOI":"10.1016/j.jacc.2016.08.058","ISSN":"15583597","abstract":"Background Mutations in LMNA are variably expressed and may cause cardiomyopathy, atrioventricular block (AVB), or atrial arrhythmias (AAs) and ventricular arrhythmias (VA). Detailed natural history studies of LMNA-associated arrhythmic and nonarrhythmic outcomes are limited, and the prognostic significance of the index cardiac phenotype remains uncertain. Objectives This study sought to describe the arrhythmic and nonarrhythmic outcomes of LMNA mutation carriers and to assess the prognostic significance of the index cardiac phenotype. Methods The incidence of AVB, AA, sustained VA, left ventricular systolic dysfunction (LVD) (= left ventricular ejection fraction ≤50%), and end-stage heart failure (HF) was retrospectively determined in 122 consecutive LMNA mutation carriers followed at 5 referral centers for a median of 7 years from first clinical contact. Predictors of VA and end-stage HF or death were determined. Results The prevalence of clinical manifestations increased broadly from index evaluation to median follow-up: AVB, 46% to 57%; AA, 39% to 63%; VA, 16% to 34%; and LVD, 44% to 57%. Implantable cardioverter-defibrillators were placed in 59% of patients for new LVD or AVB. End-stage HF developed in 19% of patients, and 13% died. In patients without LVD at presentation, 24% developed new LVD, and 7% developed end-stage HF. Male sex (p = 0.01), nonmissense mutations (p = 0.03), and LVD at index evaluation (p = 0.004) were associated with development of VA, whereas LVD was associated with end-stage HF or death (p &lt; 0.001). Mode of presentation (with isolated or combination of clinical features) did not predict sustained VA or end-stage HF or death. Conclusions LMNA-related heart disease was associated with a high incidence of phenotypic progression and adverse arrhythmic and nonarrhythmic events over long-term follow-up. The index cardiac phenotype did not predict adverse events. Genetic diagnosis and subsequent follow-up, including anticipatory planning for therapies to prevent sudden death and manage HF, is warranted.","author":[{"dropping-particle":"","family":"Kumar","given":"Saurabh","non-dropping-particle":"","parse-names":false,"suffix":""},{"dropping-particle":"","family":"Baldinger","given":"Samuel H.","non-dropping-particle":"","parse-names":false,"suffix":""},{"dropping-particle":"","family":"Gandjbakhch","given":"Estelle","non-dropping-particle":"","parse-names":false,"suffix":""},{"dropping-particle":"","family":"Maury","given":"Philippe","non-dropping-particle":"","parse-names":false,"suffix":""},{"dropping-particle":"","family":"Sellal","given":"Jean Marc","non-dropping-particle":"","parse-names":false,"suffix":""},{"dropping-particle":"","family":"Androulakis","given":"Alexander F.A.","non-dropping-particle":"","parse-names":false,"suffix":""},{"dropping-particle":"","family":"Waintraub","given":"Xavier","non-dropping-particle":"","parse-names":false,"suffix":""},{"dropping-particle":"","family":"Charron","given":"Philippe","non-dropping-particle":"","parse-names":false,"suffix":""},{"dropping-particle":"","family":"Rollin","given":"Anne","non-dropping-particle":"","parse-names":false,"suffix":""},{"dropping-particle":"","family":"Richard","given":"Pascale","non-dropping-particle":"","parse-names":false,"suffix":""},{"dropping-particle":"","family":"Stevenson","given":"William G.","non-dropping-particle":"","parse-names":false,"suffix":""},{"dropping-particle":"","family":"Macintyre","given":"Ciorsti J.","non-dropping-particle":"","parse-names":false,"suffix":""},{"dropping-particle":"","family":"Ho","given":"Carolyn Y.","non-dropping-particle":"","parse-names":false,"suffix":""},{"dropping-particle":"","family":"Thompson","given":"Tina","non-dropping-particle":"","parse-names":false,"suffix":""},{"dropping-particle":"","family":"Vohra","given":"Jitendra K.","non-dropping-particle":"","parse-names":false,"suffix":""},{"dropping-particle":"","family":"Kalman","given":"Jonathan M.","non-dropping-particle":"","parse-names":false,"suffix":""},{"dropping-particle":"","family":"Zeppenfeld","given":"Katja","non-dropping-particle":"","parse-names":false,"suffix":""},{"dropping-particle":"","family":"Sacher","given":"Frederic","non-dropping-particle":"","parse-names":false,"suffix":""},{"dropping-particle":"","family":"Tedrow","given":"Usha B.","non-dropping-particle":"","parse-names":false,"suffix":""},{"dropping-particle":"","family":"Lakdawala","given":"Neal K.","non-dropping-particle":"","parse-names":false,"suffix":""}],"container-title":"Journal of the American College of Cardiology","id":"ITEM-1","issue":"21","issued":{"date-parts":[["2016"]]},"page":"2299-2307","title":"Long-Term Arrhythmic and Nonarrhythmic Outcomes of Lamin A/C Mutation Carriers","type":"article-journal","volume":"68"},"uris":["http://www.mendeley.com/documents/?uuid=504214e8-7e62-4ec4-a3a9-0ff859a27aa9","http://www.mendeley.com/documents/?uuid=7c1014b9-6e7b-4c11-a517-b1d34a38dc66"]}],"mendeley":{"formattedCitation":"&lt;sup&gt;32&lt;/sup&gt;","plainTextFormattedCitation":"32","previouslyFormattedCitation":"&lt;sup&gt;32&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32</w:t>
      </w:r>
      <w:r w:rsidR="004470C5" w:rsidRPr="0041574E">
        <w:rPr>
          <w:rFonts w:ascii="Calibri" w:hAnsi="Calibri" w:cs="Calibri"/>
          <w:bCs/>
          <w:lang w:val="en-GB"/>
        </w:rPr>
        <w:fldChar w:fldCharType="end"/>
      </w:r>
      <w:r w:rsidR="008E55DA" w:rsidRPr="0041574E">
        <w:rPr>
          <w:rFonts w:ascii="Calibri" w:hAnsi="Calibri" w:cs="Calibri"/>
          <w:bCs/>
          <w:lang w:val="en-GB"/>
        </w:rPr>
        <w:t>.</w:t>
      </w:r>
      <w:r w:rsidR="00E46707" w:rsidRPr="0041574E">
        <w:rPr>
          <w:rFonts w:ascii="Calibri" w:hAnsi="Calibri" w:cs="Calibri"/>
          <w:bCs/>
          <w:lang w:val="en-GB"/>
        </w:rPr>
        <w:t xml:space="preserve"> </w:t>
      </w:r>
      <w:r w:rsidR="00130A35" w:rsidRPr="0041574E">
        <w:rPr>
          <w:rFonts w:ascii="Calibri" w:hAnsi="Calibri" w:cs="Calibri"/>
          <w:bCs/>
          <w:lang w:val="en-GB"/>
        </w:rPr>
        <w:t xml:space="preserve">Frequent </w:t>
      </w:r>
      <w:r w:rsidR="00A1136F">
        <w:rPr>
          <w:rFonts w:ascii="Calibri" w:hAnsi="Calibri" w:cs="Calibri"/>
          <w:bCs/>
          <w:lang w:val="en-GB"/>
        </w:rPr>
        <w:t>VPB</w:t>
      </w:r>
      <w:r w:rsidR="00130A35" w:rsidRPr="0041574E">
        <w:rPr>
          <w:rFonts w:ascii="Calibri" w:hAnsi="Calibri" w:cs="Calibri"/>
          <w:bCs/>
          <w:lang w:val="en-GB"/>
        </w:rPr>
        <w:t xml:space="preserve">s and </w:t>
      </w:r>
      <w:r w:rsidR="00A1136F">
        <w:rPr>
          <w:rFonts w:ascii="Calibri" w:hAnsi="Calibri" w:cs="Calibri"/>
          <w:bCs/>
          <w:lang w:val="en-GB"/>
        </w:rPr>
        <w:t>episodes of non-sustained ventricular tachycardia (</w:t>
      </w:r>
      <w:r w:rsidR="00130A35" w:rsidRPr="0041574E">
        <w:rPr>
          <w:rFonts w:ascii="Calibri" w:hAnsi="Calibri" w:cs="Calibri"/>
          <w:bCs/>
          <w:lang w:val="en-GB"/>
        </w:rPr>
        <w:t>NSVT</w:t>
      </w:r>
      <w:r w:rsidR="00A1136F">
        <w:rPr>
          <w:rFonts w:ascii="Calibri" w:hAnsi="Calibri" w:cs="Calibri"/>
          <w:bCs/>
          <w:lang w:val="en-GB"/>
        </w:rPr>
        <w:t>)</w:t>
      </w:r>
      <w:r w:rsidR="00130A35" w:rsidRPr="0041574E">
        <w:rPr>
          <w:rFonts w:ascii="Calibri" w:hAnsi="Calibri" w:cs="Calibri"/>
          <w:bCs/>
          <w:lang w:val="en-GB"/>
        </w:rPr>
        <w:t xml:space="preserve"> may also be </w:t>
      </w:r>
      <w:r w:rsidR="0048691B">
        <w:rPr>
          <w:rFonts w:ascii="Calibri" w:hAnsi="Calibri" w:cs="Calibri"/>
          <w:bCs/>
          <w:lang w:val="en-GB"/>
        </w:rPr>
        <w:t>found at</w:t>
      </w:r>
      <w:r w:rsidR="00130A35" w:rsidRPr="0041574E">
        <w:rPr>
          <w:rFonts w:ascii="Calibri" w:hAnsi="Calibri" w:cs="Calibri"/>
          <w:bCs/>
          <w:lang w:val="en-GB"/>
        </w:rPr>
        <w:t xml:space="preserve"> the ECG</w:t>
      </w:r>
      <w:r w:rsidR="0048691B">
        <w:rPr>
          <w:rFonts w:ascii="Calibri" w:hAnsi="Calibri" w:cs="Calibri"/>
          <w:bCs/>
          <w:lang w:val="en-GB"/>
        </w:rPr>
        <w:t xml:space="preserve"> or at </w:t>
      </w:r>
      <w:r w:rsidR="00A1136F">
        <w:rPr>
          <w:rFonts w:ascii="Calibri" w:hAnsi="Calibri" w:cs="Calibri"/>
          <w:bCs/>
          <w:lang w:val="en-GB"/>
        </w:rPr>
        <w:t>ambulatory</w:t>
      </w:r>
      <w:r w:rsidR="0048691B">
        <w:rPr>
          <w:rFonts w:ascii="Calibri" w:hAnsi="Calibri" w:cs="Calibri"/>
          <w:bCs/>
          <w:lang w:val="en-GB"/>
        </w:rPr>
        <w:t xml:space="preserve"> monitoring.</w:t>
      </w:r>
      <w:r w:rsidR="00B50A30">
        <w:rPr>
          <w:rFonts w:ascii="Calibri" w:hAnsi="Calibri" w:cs="Calibri"/>
          <w:bCs/>
          <w:lang w:val="en-GB"/>
        </w:rPr>
        <w:t xml:space="preserve"> Risk of sudden cardiac death and progression to refractory heart failure is consistently high is this genetic subset.</w:t>
      </w:r>
    </w:p>
    <w:p w14:paraId="64EFA6B0" w14:textId="52F6BE12" w:rsidR="005C36F0" w:rsidRPr="0041574E" w:rsidRDefault="005C36F0" w:rsidP="0048691B">
      <w:pPr>
        <w:spacing w:line="480" w:lineRule="auto"/>
        <w:ind w:firstLine="720"/>
        <w:rPr>
          <w:rFonts w:ascii="Calibri" w:hAnsi="Calibri" w:cs="Calibri"/>
          <w:bCs/>
          <w:lang w:val="en-GB"/>
        </w:rPr>
      </w:pPr>
      <w:r w:rsidRPr="0041574E">
        <w:rPr>
          <w:rFonts w:ascii="Calibri" w:hAnsi="Calibri" w:cs="Calibri"/>
          <w:bCs/>
          <w:lang w:val="en-GB"/>
        </w:rPr>
        <w:t xml:space="preserve">Similar to the </w:t>
      </w:r>
      <w:r w:rsidRPr="0041574E">
        <w:rPr>
          <w:rFonts w:ascii="Calibri" w:hAnsi="Calibri" w:cs="Calibri"/>
          <w:bCs/>
          <w:i/>
          <w:iCs/>
          <w:lang w:val="en-GB"/>
        </w:rPr>
        <w:t>LMNA</w:t>
      </w:r>
      <w:r w:rsidRPr="0041574E">
        <w:rPr>
          <w:rFonts w:ascii="Calibri" w:hAnsi="Calibri" w:cs="Calibri"/>
          <w:bCs/>
          <w:lang w:val="en-GB"/>
        </w:rPr>
        <w:t xml:space="preserve"> </w:t>
      </w:r>
      <w:r w:rsidR="00B30A51" w:rsidRPr="0041574E">
        <w:rPr>
          <w:rFonts w:ascii="Calibri" w:hAnsi="Calibri" w:cs="Calibri"/>
          <w:bCs/>
          <w:lang w:val="en-GB"/>
        </w:rPr>
        <w:t>variants</w:t>
      </w:r>
      <w:r w:rsidRPr="0041574E">
        <w:rPr>
          <w:rFonts w:ascii="Calibri" w:hAnsi="Calibri" w:cs="Calibri"/>
          <w:bCs/>
          <w:lang w:val="en-GB"/>
        </w:rPr>
        <w:t xml:space="preserve">, </w:t>
      </w:r>
      <w:r w:rsidR="00EF1682">
        <w:rPr>
          <w:rFonts w:ascii="Calibri" w:hAnsi="Calibri" w:cs="Calibri"/>
          <w:bCs/>
          <w:lang w:val="en-GB"/>
        </w:rPr>
        <w:t>variants</w:t>
      </w:r>
      <w:r w:rsidR="00B30A51" w:rsidRPr="0041574E">
        <w:rPr>
          <w:rFonts w:ascii="Calibri" w:hAnsi="Calibri" w:cs="Calibri"/>
          <w:bCs/>
          <w:lang w:val="en-GB"/>
        </w:rPr>
        <w:t xml:space="preserve"> in the </w:t>
      </w:r>
      <w:proofErr w:type="spellStart"/>
      <w:r w:rsidR="00B30A51" w:rsidRPr="0041574E">
        <w:rPr>
          <w:rFonts w:ascii="Calibri" w:hAnsi="Calibri" w:cs="Calibri"/>
          <w:bCs/>
          <w:lang w:val="en-GB"/>
        </w:rPr>
        <w:t>emerin</w:t>
      </w:r>
      <w:proofErr w:type="spellEnd"/>
      <w:r w:rsidR="00B30A51" w:rsidRPr="0041574E">
        <w:rPr>
          <w:rFonts w:ascii="Calibri" w:hAnsi="Calibri" w:cs="Calibri"/>
          <w:bCs/>
          <w:lang w:val="en-GB"/>
        </w:rPr>
        <w:t xml:space="preserve"> gene (</w:t>
      </w:r>
      <w:r w:rsidR="00B30A51" w:rsidRPr="0041574E">
        <w:rPr>
          <w:rFonts w:ascii="Calibri" w:hAnsi="Calibri" w:cs="Calibri"/>
          <w:bCs/>
          <w:i/>
          <w:iCs/>
          <w:lang w:val="en-GB"/>
        </w:rPr>
        <w:t>EMD</w:t>
      </w:r>
      <w:r w:rsidR="00B30A51" w:rsidRPr="0041574E">
        <w:rPr>
          <w:rFonts w:ascii="Calibri" w:hAnsi="Calibri" w:cs="Calibri"/>
          <w:bCs/>
          <w:lang w:val="en-GB"/>
        </w:rPr>
        <w:t xml:space="preserve"> or </w:t>
      </w:r>
      <w:r w:rsidR="00B30A51" w:rsidRPr="0041574E">
        <w:rPr>
          <w:rFonts w:ascii="Calibri" w:hAnsi="Calibri" w:cs="Calibri"/>
          <w:bCs/>
          <w:i/>
          <w:iCs/>
          <w:lang w:val="en-GB"/>
        </w:rPr>
        <w:t>STA</w:t>
      </w:r>
      <w:r w:rsidR="00B30A51" w:rsidRPr="0041574E">
        <w:rPr>
          <w:rFonts w:ascii="Calibri" w:hAnsi="Calibri" w:cs="Calibri"/>
          <w:bCs/>
          <w:lang w:val="en-GB"/>
        </w:rPr>
        <w:t>), responsible for Emery-</w:t>
      </w:r>
      <w:proofErr w:type="spellStart"/>
      <w:r w:rsidR="00B30A51" w:rsidRPr="0041574E">
        <w:rPr>
          <w:rFonts w:ascii="Calibri" w:hAnsi="Calibri" w:cs="Calibri"/>
          <w:bCs/>
          <w:lang w:val="en-GB"/>
        </w:rPr>
        <w:t>Dreifuss</w:t>
      </w:r>
      <w:proofErr w:type="spellEnd"/>
      <w:r w:rsidR="00B30A51" w:rsidRPr="0041574E">
        <w:rPr>
          <w:rFonts w:ascii="Calibri" w:hAnsi="Calibri" w:cs="Calibri"/>
          <w:bCs/>
          <w:lang w:val="en-GB"/>
        </w:rPr>
        <w:t xml:space="preserve"> muscular dystrophy, </w:t>
      </w:r>
      <w:r w:rsidR="009F14F9" w:rsidRPr="0041574E">
        <w:rPr>
          <w:rFonts w:ascii="Calibri" w:hAnsi="Calibri" w:cs="Calibri"/>
          <w:bCs/>
          <w:lang w:val="en-GB"/>
        </w:rPr>
        <w:t xml:space="preserve">frequently </w:t>
      </w:r>
      <w:r w:rsidR="00B30A51" w:rsidRPr="0041574E">
        <w:rPr>
          <w:rFonts w:ascii="Calibri" w:hAnsi="Calibri" w:cs="Calibri"/>
          <w:bCs/>
          <w:lang w:val="en-GB"/>
        </w:rPr>
        <w:t>lead to conduction disturbances</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{"citationItems":[{"id":"ITEM-1","itemData":{"DOI":"10.1111/j.1540-8159.1995.tb06996.x","ISSN":"15408159","abstract":"RAKOVEC, P., et al.: Cardiac Involvement in Emery‐Dreifuss Muscular Dystrophy: Role of a Diagnostic Pacemaker. Emery‐Dreifuss muscular dystrophy is an X‐linked recessive myopathy. Its progression is slow, and it rarely leads to cessation of walking; therefore, it has often been called “benign.” On the other hand, cardiac involvement is often severe and sudden death is not uncommon. We describe a family with four affected males, two of whom died suddenly. The case of an affected man with first‐degree AV block, incomplete right bundle branch block, and left anterior fascicular block is described in detail. The prophylactic insertion of a diagnostic pacemaker enabled us to follow the progress of conduction disturbances without leaving the patient unprotected. While AV and intraventricular conduction defects were more prominent before pacemaker implantation, sinus node dysfunction became more important during the follow‐up. Copyright © 1995, Wiley Blackwell. All rights reserved","author":[{"dropping-particle":"","family":"Rakovec","given":"PETER","non-dropping-particle":"","parse-names":false,"suffix":""},{"dropping-particle":"","family":"Zidar","given":"JANEZ","non-dropping-particle":"","parse-names":false,"suffix":""},{"dropping-particle":"","family":"Šinkovec","given":"MATJAŽ","non-dropping-particle":"","parse-names":false,"suffix":""},{"dropping-particle":"","family":"Zupan","given":"IGOR","non-dropping-particle":"","parse-names":false,"suffix":""},{"dropping-particle":"","family":"Brecelj","given":"ALEŠ","non-dropping-particle":"","parse-names":false,"suffix":""}],"container-title":"Pacing and Clinical Electrophysiology","id":"ITEM-1","issued":{"date-parts":[["1995"]]},"title":"Cardiac Involvement in Emery‐Dreifuss Muscular Dystrophy: Role of a Diagnostic Pacemaker","type":"article-journal"},"uris":["http://www.mendeley.com/documents/?uuid=defabfc2-6823-4b35-9007-e1576bf55275","http://www.mendeley.com/documents/?uuid=775084cd-3546-40b3-a4b7-ecd77442cca2"]}],"mendeley":{"formattedCitation":"&lt;sup&gt;33&lt;/sup&gt;","plainTextFormattedCitation":"33","previouslyFormattedCitation":"&lt;sup&gt;33&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33</w:t>
      </w:r>
      <w:r w:rsidR="004470C5" w:rsidRPr="0041574E">
        <w:rPr>
          <w:rFonts w:ascii="Calibri" w:hAnsi="Calibri" w:cs="Calibri"/>
          <w:bCs/>
          <w:lang w:val="en-GB"/>
        </w:rPr>
        <w:fldChar w:fldCharType="end"/>
      </w:r>
      <w:r w:rsidR="00B30A51" w:rsidRPr="0041574E">
        <w:rPr>
          <w:rFonts w:ascii="Calibri" w:hAnsi="Calibri" w:cs="Calibri"/>
          <w:bCs/>
          <w:lang w:val="en-GB"/>
        </w:rPr>
        <w:t xml:space="preserve"> and supraventricular arrhythmias</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{"citationItems":[{"id":"ITEM-1","itemData":{"DOI":"10.1161/CIRCULATIONAHA.104.527184","ISSN":"00097322","abstract":"Background - The STA gene encodes emerin and is one of the genes that is affected in Emery-Dreifuss muscular dystrophy (EDMD). Although it has been reported that EDMD caused by the STA gene mutation is associated with X-linked recessive inheritance, the genotype-phenotype correlations, with special reference to cardiac manifestations, are not well defined. Methods and Results - We identified 16 carriers (7 male and 9 female) with a nonsense mutation in exon 6 of the STA gene in 2 EDMD families. Pacemakers were required for treatment of bradyarrhythmias in all 7 male carriers and in 2 of the 9 female carriers. In addition, 2 of the 9 female carriers displayed atrial fibrillation. In these 2 families, 3 males without pacemaker implantation, who were not tested genetically, had died suddenly. In these family members, the majority of carriers with the mutation had not been clinically diagnosed as having EDMD before genetic testing because of extremely mild or nonexistent skeletal myopathy. Conclusions - EDMD caused by this mutation is characterized by atypical clinical features and incomplete penetrance of the clinical phenotype and may result in serious cardiac complications, including sudden death. Approaches to preventing possible sudden death in carriers with the STA gene mutation require further study. © 2005 American Heart Association, Inc.","author":[{"dropping-particle":"","family":"Sakata","given":"Kenji","non-dropping-particle":"","parse-names":false,"suffix":""},{"dropping-particle":"","family":"Shimizu","given":"Masami","non-dropping-particle":"","parse-names":false,"suffix":""},{"dropping-particle":"","family":"Ino","given":"Hidekazu","non-dropping-particle":"","parse-names":false,"suffix":""},{"dropping-particle":"","family":"Yamaguchi","given":"Masato","non-dropping-particle":"","parse-names":false,"suffix":""},{"dropping-particle":"","family":"Terai","given":"Hidenobu","non-dropping-particle":"","parse-names":false,"suffix":""},{"dropping-particle":"","family":"Fujino","given":"Noboru","non-dropping-particle":"","parse-names":false,"suffix":""},{"dropping-particle":"","family":"Hayashi","given":"Kenshi","non-dropping-particle":"","parse-names":false,"suffix":""},{"dropping-particle":"","family":"Kaneda","given":"Tomoya","non-dropping-particle":"","parse-names":false,"suffix":""},{"dropping-particle":"","family":"Inoue","given":"Masaru","non-dropping-particle":"","parse-names":false,"suffix":""},{"dropping-particle":"","family":"Oda","given":"Yoshio","non-dropping-particle":"","parse-names":false,"suffix":""},{"dropping-particle":"","family":"Fujita","given":"Takashi","non-dropping-particle":"","parse-names":false,"suffix":""},{"dropping-particle":"","family":"Kaku","given":"Bunji","non-dropping-particle":"","parse-names":false,"suffix":""},{"dropping-particle":"","family":"Kanaya","given":"Hounin","non-dropping-particle":"","parse-names":false,"suffix":""},{"dropping-particle":"","family":"Mabuchi","given":"Hiroshi","non-dropping-particle":"","parse-names":false,"suffix":""}],"container-title":"Circulation","id":"ITEM-1","issued":{"date-parts":[["2005"]]},"title":"High incidence of sudden cardiac death with conduction disturbances and atrial cardiomyopathy caused by a nonsense mutation in the STA gene","type":"article-journal"},"uris":["http://www.mendeley.com/documents/?uuid=a6f49369-f57e-4c3c-8246-d0f57825496e","http://www.mendeley.com/documents/?uuid=6f9fdc08-dccd-43f6-b634-e2418744b1f7"]}],"mendeley":{"formattedCitation":"&lt;sup&gt;34&lt;/sup&gt;","plainTextFormattedCitation":"34","previouslyFormattedCitation":"&lt;sup&gt;34&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34</w:t>
      </w:r>
      <w:r w:rsidR="004470C5" w:rsidRPr="0041574E">
        <w:rPr>
          <w:rFonts w:ascii="Calibri" w:hAnsi="Calibri" w:cs="Calibri"/>
          <w:bCs/>
          <w:lang w:val="en-GB"/>
        </w:rPr>
        <w:fldChar w:fldCharType="end"/>
      </w:r>
      <w:r w:rsidR="00B30A51" w:rsidRPr="0041574E">
        <w:rPr>
          <w:rFonts w:ascii="Calibri" w:hAnsi="Calibri" w:cs="Calibri"/>
          <w:bCs/>
          <w:lang w:val="en-GB"/>
        </w:rPr>
        <w:t>.</w:t>
      </w:r>
    </w:p>
    <w:p w14:paraId="58DA9051" w14:textId="77777777" w:rsidR="00497E9C" w:rsidRPr="0041574E" w:rsidRDefault="00497E9C" w:rsidP="0041574E">
      <w:pPr>
        <w:spacing w:line="480" w:lineRule="auto"/>
        <w:rPr>
          <w:rFonts w:ascii="Calibri" w:hAnsi="Calibri" w:cs="Calibri"/>
          <w:bCs/>
          <w:u w:val="single"/>
          <w:lang w:val="en-GB"/>
        </w:rPr>
      </w:pPr>
      <w:r w:rsidRPr="0041574E">
        <w:rPr>
          <w:rFonts w:ascii="Calibri" w:hAnsi="Calibri" w:cs="Calibri"/>
          <w:bCs/>
          <w:u w:val="single"/>
          <w:lang w:val="en-GB"/>
        </w:rPr>
        <w:t>Filamin C (</w:t>
      </w:r>
      <w:r w:rsidRPr="0041574E">
        <w:rPr>
          <w:rFonts w:ascii="Calibri" w:hAnsi="Calibri" w:cs="Calibri"/>
          <w:bCs/>
          <w:i/>
          <w:iCs/>
          <w:u w:val="single"/>
          <w:lang w:val="en-GB"/>
        </w:rPr>
        <w:t>FLNC</w:t>
      </w:r>
      <w:r w:rsidRPr="0041574E">
        <w:rPr>
          <w:rFonts w:ascii="Calibri" w:hAnsi="Calibri" w:cs="Calibri"/>
          <w:bCs/>
          <w:u w:val="single"/>
          <w:lang w:val="en-GB"/>
        </w:rPr>
        <w:t>)</w:t>
      </w:r>
    </w:p>
    <w:p w14:paraId="53DF6039" w14:textId="56D3E05D" w:rsidR="00983E79" w:rsidRPr="00FA12D0" w:rsidRDefault="00FA12D0" w:rsidP="00FA12D0">
      <w:pPr>
        <w:spacing w:line="480" w:lineRule="auto"/>
        <w:ind w:firstLine="720"/>
        <w:rPr>
          <w:rFonts w:ascii="Calibri" w:hAnsi="Calibri" w:cs="Calibri"/>
          <w:bCs/>
          <w:iCs/>
          <w:lang w:val="en-GB"/>
        </w:rPr>
      </w:pPr>
      <w:r>
        <w:rPr>
          <w:rFonts w:ascii="Calibri" w:hAnsi="Calibri" w:cs="Calibri"/>
          <w:bCs/>
          <w:iCs/>
          <w:lang w:val="en-GB"/>
        </w:rPr>
        <w:t>F</w:t>
      </w:r>
      <w:r w:rsidRPr="00FA12D0">
        <w:rPr>
          <w:rFonts w:ascii="Calibri" w:hAnsi="Calibri" w:cs="Calibri"/>
          <w:bCs/>
          <w:iCs/>
          <w:lang w:val="en-GB"/>
        </w:rPr>
        <w:t>ilamin C</w:t>
      </w:r>
      <w:r>
        <w:rPr>
          <w:rFonts w:ascii="Calibri" w:hAnsi="Calibri" w:cs="Calibri"/>
          <w:bCs/>
          <w:iCs/>
          <w:lang w:val="en-GB"/>
        </w:rPr>
        <w:t xml:space="preserve"> is</w:t>
      </w:r>
      <w:r w:rsidRPr="00FA12D0">
        <w:rPr>
          <w:rFonts w:ascii="Calibri" w:hAnsi="Calibri" w:cs="Calibri"/>
          <w:bCs/>
          <w:iCs/>
          <w:lang w:val="en-GB"/>
        </w:rPr>
        <w:t xml:space="preserve"> an intermediate filament that cross-links polymerized</w:t>
      </w:r>
      <w:r>
        <w:rPr>
          <w:rFonts w:ascii="Calibri" w:hAnsi="Calibri" w:cs="Calibri"/>
          <w:bCs/>
          <w:iCs/>
          <w:lang w:val="en-GB"/>
        </w:rPr>
        <w:t xml:space="preserve"> </w:t>
      </w:r>
      <w:r w:rsidRPr="00FA12D0">
        <w:rPr>
          <w:rFonts w:ascii="Calibri" w:hAnsi="Calibri" w:cs="Calibri"/>
          <w:bCs/>
          <w:iCs/>
          <w:lang w:val="en-GB"/>
        </w:rPr>
        <w:t>actin, contributing in anchoring cellular membrane proteins to</w:t>
      </w:r>
      <w:r w:rsidR="00B50A30">
        <w:rPr>
          <w:rFonts w:ascii="Calibri" w:hAnsi="Calibri" w:cs="Calibri"/>
          <w:bCs/>
          <w:iCs/>
          <w:lang w:val="en-GB"/>
        </w:rPr>
        <w:t xml:space="preserve"> the</w:t>
      </w:r>
      <w:r w:rsidRPr="00FA12D0">
        <w:rPr>
          <w:rFonts w:ascii="Calibri" w:hAnsi="Calibri" w:cs="Calibri"/>
          <w:bCs/>
          <w:iCs/>
          <w:lang w:val="en-GB"/>
        </w:rPr>
        <w:t xml:space="preserve"> cytoskeleton</w:t>
      </w:r>
      <w:r>
        <w:rPr>
          <w:rFonts w:ascii="Calibri" w:hAnsi="Calibri" w:cs="Calibri"/>
          <w:bCs/>
          <w:iCs/>
          <w:lang w:val="en-GB"/>
        </w:rPr>
        <w:t>.</w:t>
      </w:r>
      <w:r>
        <w:rPr>
          <w:rFonts w:ascii="Calibri" w:hAnsi="Calibri" w:cs="Calibri"/>
          <w:bCs/>
          <w:i/>
          <w:iCs/>
          <w:lang w:val="en-GB"/>
        </w:rPr>
        <w:t xml:space="preserve"> </w:t>
      </w:r>
      <w:r w:rsidR="006877D4" w:rsidRPr="0041574E">
        <w:rPr>
          <w:rFonts w:ascii="Calibri" w:hAnsi="Calibri" w:cs="Calibri"/>
          <w:bCs/>
          <w:i/>
          <w:iCs/>
          <w:lang w:val="en-GB"/>
        </w:rPr>
        <w:t>FLNC</w:t>
      </w:r>
      <w:r w:rsidR="006877D4" w:rsidRPr="0041574E">
        <w:rPr>
          <w:rFonts w:ascii="Calibri" w:hAnsi="Calibri" w:cs="Calibri"/>
          <w:bCs/>
          <w:lang w:val="en-GB"/>
        </w:rPr>
        <w:t xml:space="preserve"> variants </w:t>
      </w:r>
      <w:r w:rsidR="00B72A1C" w:rsidRPr="0041574E">
        <w:rPr>
          <w:rFonts w:ascii="Calibri" w:hAnsi="Calibri" w:cs="Calibri"/>
          <w:bCs/>
          <w:lang w:val="en-GB"/>
        </w:rPr>
        <w:t>accoun</w:t>
      </w:r>
      <w:r w:rsidR="006877D4" w:rsidRPr="0041574E">
        <w:rPr>
          <w:rFonts w:ascii="Calibri" w:hAnsi="Calibri" w:cs="Calibri"/>
          <w:bCs/>
          <w:lang w:val="en-GB"/>
        </w:rPr>
        <w:t>t for about 4% of DCM cases</w:t>
      </w:r>
      <w:r w:rsidR="00735367">
        <w:rPr>
          <w:rFonts w:ascii="Calibri" w:hAnsi="Calibri" w:cs="Calibri"/>
          <w:bCs/>
          <w:lang w:val="en-GB"/>
        </w:rPr>
        <w:fldChar w:fldCharType="begin" w:fldLock="1"/>
      </w:r>
      <w:r w:rsidR="00083BAF">
        <w:rPr>
          <w:rFonts w:ascii="Calibri" w:hAnsi="Calibri" w:cs="Calibri"/>
          <w:bCs/>
          <w:lang w:val="en-GB"/>
        </w:rPr>
        <w:instrText>ADDIN CSL_CITATION {"citationItems":[{"id":"ITEM-1","itemData":{"DOI":"10.1007/s11886-018-1030-7","ISSN":"15343170","PMID":"30105555","abstract":"PURPOSE OF REVIEW This review aims to summarize the current knowledge on the genetic background of dilated cardiomyopathy (DCM), with particular attention to the genotype-phenotype correlations and the possible implications for clinical management. RECENT FINDINGS Next generation sequencing (NGS) has led to the identification of an increasing number of genes and mutations responsible for DCM. This genetic variability is probably related to the extreme heterogeneity of disease manifestation. Important findings have associated mutations of Lamin A/C (LMNA) and Filamin C (FLNC) to poor prognosis and the propensity to cause an arrhythmic phenotype, respectively. However, a deeper understanding of the genotype-phenotype correlation is necessary, because it could have several implications for the clinical management of the patients. Furthermore, the correct interpretation of pathogenicity of mutations and the clinical impact of genetic testing in DCM patients still represent important fields to be implemented. A pathogenic gene mutation can be identified in almost 40% of DCM patients. The recent discoveries and future research in the field of genotype-phenotype correlation may lead to a more personalized management of the mutation carriers towards the application of precision medicine in DCM.","author":[{"dropping-particle":"","family":"Paldino","given":"A.","non-dropping-particle":"","parse-names":false,"suffix":""},{"dropping-particle":"","family":"Angelis","given":"G.","non-dropping-particle":"De","parse-names":false,"suffix":""},{"dropping-particle":"","family":"Merlo","given":"M.","non-dropping-particle":"","parse-names":false,"suffix":""},{"dropping-particle":"","family":"Gigli","given":"M.","non-dropping-particle":"","parse-names":false,"suffix":""},{"dropping-particle":"","family":"Dal Ferro","given":"M.","non-dropping-particle":"","parse-names":false,"suffix":""},{"dropping-particle":"","family":"Severini","given":"G. M.","non-dropping-particle":"","parse-names":false,"suffix":""},{"dropping-particle":"","family":"Mestroni","given":"L.","non-dropping-particle":"","parse-names":false,"suffix":""},{"dropping-particle":"","family":"Sinagra","given":"G.","non-dropping-particle":"","parse-names":false,"suffix":""}],"container-title":"Current Cardiology Reports","id":"ITEM-1","issue":"10","issued":{"date-parts":[["2018"]]},"title":"Genetics of Dilated Cardiomyopathy: Clinical Implications","type":"article","volume":"20"},"uris":["http://www.mendeley.com/documents/?uuid=3c48f5bf-0656-4645-af4f-8ad594e872fc","http://www.mendeley.com/documents/?uuid=f08f5935-6fbc-45ad-b67c-603126a53a10"]},{"id":"ITEM-2","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Cardiology","id":"ITEM-2","issue":"11","issued":{"date-parts":[["2019","9","17"]]},"page":"1480-1490","title":"Genetic Risk of Arrhythmic Phenotypes in Patients With Dilated Cardiomyopathy.","type":"article-journal","volume":"74"},"uris":["http://www.mendeley.com/documents/?uuid=39fdd594-dfc9-434f-9394-92777b6f2a44"]},{"id":"ITEM-3","itemData":{"DOI":"10.1016/j.jacep.2017.12.003","ISSN":"2405-5018","PMID":"30067491","abstract":"OBJECTIVES The purpose of this study was to assess the phenotype of Filamin C (FLNC) truncating variants in dilated cardiomyopathy (DCM) and understand the mechanism leading to an arrhythmogenic phenotype. BACKGROUND Mutations in FLNC are known to lead to skeletal myopathies, which may have an associated cardiac component. Recently, the clinical spectrum of FLNC mutations has been recognized to include a cardiac-restricted presentation in the absence of skeletal muscle involvement. METHODS A population of 319 U.S. and European DCM cardiomyopathy families was evaluated using whole-exome and targeted next-generation sequencing. FLNC truncation probands were identified and evaluated by clinical examination, histology, transmission electron microscopy, and immunohistochemistry. RESULTS A total of 13 individuals in 7 families (2.2%) were found to harbor 6 different FLNC truncation variants (2 stopgain, 1 frameshift, and 3 splicing). Of the 13 FLNC truncation carriers, 11 (85%) had either ventricular arrhythmias or sudden cardiac death, and 5 (38%) presented with evidence of right ventricular dilation. Pathology analysis of 2 explanted hearts from affected FLNC truncation carriers showed interstitial fibrosis in the right ventricle and epicardial fibrofatty infiltration in the left ventricle. Ultrastructural findings included occasional disarray of Z-discs within the sarcomere. Immunohistochemistry showed normal plakoglobin signal at cell-cell junctions, but decreased signals for desmoplakin and synapse-associated protein 97 in the myocardium and buccal mucosa. CONCLUSIONS We found FLNC truncating variants, present in 2.2% of DCM families, to be associated with a cardiac-restricted arrhythmogenic DCM phenotype characterized by a high risk of life-threatening ventricular arrhythmias and a pathological cellular phenotype partially overlapping with arrhythmogenic right ventricular cardiomyopathy.","author":[{"dropping-particle":"","family":"Begay","given":"Rene L","non-dropping-particle":"","parse-names":false,"suffix":""},{"dropping-particle":"","family":"Graw","given":"Sharon L","non-dropping-particle":"","parse-names":false,"suffix":""},{"dropping-particle":"","family":"Sinagra","given":"Gianfranco","non-dropping-particle":"","parse-names":false,"suffix":""},{"dropping-particle":"","family":"Asimaki","given":"Angeliki","non-dropping-particle":"","parse-names":false,"suffix":""},{"dropping-particle":"","family":"Rowland","given":"Teisha J","non-dropping-particle":"","parse-names":false,"suffix":""},{"dropping-particle":"","family":"Slavov","given":"Dobromir B","non-dropping-particle":"","parse-names":false,"suffix":""},{"dropping-particle":"","family":"Gowan","given":"Katherine","non-dropping-particle":"","parse-names":false,"suffix":""},{"dropping-particle":"","family":"Jones","given":"Kenneth L","non-dropping-particle":"","parse-names":false,"suffix":""},{"dropping-particle":"","family":"Brun","given":"Francesca","non-dropping-particle":"","parse-names":false,"suffix":""},{"dropping-particle":"","family":"Merlo","given":"Marco","non-dropping-particle":"","parse-names":false,"suffix":""},{"dropping-particle":"","family":"Miani","given":"Daniela","non-dropping-particle":"","parse-names":false,"suffix":""},{"dropping-particle":"","family":"Sweet","given":"Mary","non-dropping-particle":"","parse-names":false,"suffix":""},{"dropping-particle":"","family":"Devaraj","given":"Kalpana","non-dropping-particle":"","parse-names":false,"suffix":""},{"dropping-particle":"","family":"Wartchow","given":"Eric P","non-dropping-particle":"","parse-names":false,"suffix":""},{"dropping-particle":"","family":"Gigli","given":"Marta","non-dropping-particle":"","parse-names":false,"suffix":""},{"dropping-particle":"","family":"Puggia","given":"Ilaria","non-dropping-particle":"","parse-names":false,"suffix":""},{"dropping-particle":"","family":"Salcedo","given":"Ernesto E","non-dropping-particle":"","parse-names":false,"suffix":""},{"dropping-particle":"","family":"Garrity","given":"Deborah M","non-dropping-particle":"","parse-names":false,"suffix":""},{"dropping-particle":"V","family":"Ambardekar","given":"Amrut","non-dropping-particle":"","parse-names":false,"suffix":""},{"dropping-particle":"","family":"Buttrick","given":"Peter","non-dropping-particle":"","parse-names":false,"suffix":""},{"dropping-particle":"","family":"Reece","given":"T Brett","non-dropping-particle":"","parse-names":false,"suffix":""},{"dropping-particle":"","family":"Bristow","given":"Michael R","non-dropping-particle":"","parse-names":false,"suffix":""},{"dropping-particle":"","family":"Saffitz","given":"Jeffrey E","non-dropping-particle":"","parse-names":false,"suffix":""},{"dropping-particle":"","family":"Mestroni","given":"Luisa","non-dropping-particle":"","parse-names":false,"suffix":""},{"dropping-particle":"","family":"Taylor","given":"Matthew R G","non-dropping-particle":"","parse-names":false,"suffix":""}],"container-title":"JACC. Clinical electrophysiology","id":"ITEM-3","issue":"4","issued":{"date-parts":[["2018"]]},"page":"504-514","title":"Filamin C Truncation Mutations Are Associated With Arrhythmogenic Dilated Cardiomyopathy and Changes in the Cell-Cell Adhesion Structures.","type":"article-journal","volume":"4"},"uris":["http://www.mendeley.com/documents/?uuid=5eb3dcd3-a7c7-483b-9139-1c5aae800b03"]}],"mendeley":{"formattedCitation":"&lt;sup&gt;19,31,35&lt;/sup&gt;","plainTextFormattedCitation":"19,31,35","previouslyFormattedCitation":"&lt;sup&gt;19,31,35&lt;/sup&gt;"},"properties":{"noteIndex":0},"schema":"https://github.com/citation-style-language/schema/raw/master/csl-citation.json"}</w:instrText>
      </w:r>
      <w:r w:rsidR="00735367">
        <w:rPr>
          <w:rFonts w:ascii="Calibri" w:hAnsi="Calibri" w:cs="Calibri"/>
          <w:bCs/>
          <w:lang w:val="en-GB"/>
        </w:rPr>
        <w:fldChar w:fldCharType="separate"/>
      </w:r>
      <w:r w:rsidR="00ED51EF" w:rsidRPr="00ED51EF">
        <w:rPr>
          <w:rFonts w:ascii="Calibri" w:hAnsi="Calibri" w:cs="Calibri"/>
          <w:bCs/>
          <w:noProof/>
          <w:vertAlign w:val="superscript"/>
          <w:lang w:val="en-GB"/>
        </w:rPr>
        <w:t>19,31,35</w:t>
      </w:r>
      <w:r w:rsidR="00735367">
        <w:rPr>
          <w:rFonts w:ascii="Calibri" w:hAnsi="Calibri" w:cs="Calibri"/>
          <w:bCs/>
          <w:lang w:val="en-GB"/>
        </w:rPr>
        <w:fldChar w:fldCharType="end"/>
      </w:r>
      <w:r w:rsidR="006877D4" w:rsidRPr="0041574E">
        <w:rPr>
          <w:rFonts w:ascii="Calibri" w:hAnsi="Calibri" w:cs="Calibri"/>
          <w:bCs/>
          <w:lang w:val="en-GB"/>
        </w:rPr>
        <w:t>.</w:t>
      </w:r>
      <w:r w:rsidR="00AB19B3" w:rsidRPr="0041574E">
        <w:rPr>
          <w:rFonts w:ascii="Calibri" w:hAnsi="Calibri" w:cs="Calibri"/>
          <w:bCs/>
          <w:lang w:val="en-GB"/>
        </w:rPr>
        <w:t xml:space="preserve"> </w:t>
      </w:r>
      <w:r w:rsidR="00EF1682">
        <w:rPr>
          <w:rFonts w:ascii="Calibri" w:hAnsi="Calibri" w:cs="Calibri"/>
          <w:bCs/>
          <w:lang w:val="en-GB"/>
        </w:rPr>
        <w:t xml:space="preserve">Repolarization abnormalities, especially TWI </w:t>
      </w:r>
      <w:r w:rsidR="00EF1682" w:rsidRPr="0041574E">
        <w:rPr>
          <w:rFonts w:ascii="Calibri" w:hAnsi="Calibri" w:cs="Calibri"/>
          <w:bCs/>
          <w:lang w:val="en-GB"/>
        </w:rPr>
        <w:t>in the precordial or in the inferolateral leads</w:t>
      </w:r>
      <w:r w:rsidR="00EF1682">
        <w:rPr>
          <w:rFonts w:ascii="Calibri" w:hAnsi="Calibri" w:cs="Calibri"/>
          <w:bCs/>
          <w:lang w:val="en-GB"/>
        </w:rPr>
        <w:t xml:space="preserve"> </w:t>
      </w:r>
      <w:r w:rsidR="00B50A30">
        <w:rPr>
          <w:rFonts w:ascii="Calibri" w:hAnsi="Calibri" w:cs="Calibri"/>
          <w:bCs/>
          <w:lang w:val="en-GB"/>
        </w:rPr>
        <w:t xml:space="preserve">are </w:t>
      </w:r>
      <w:r w:rsidR="00EF1682">
        <w:rPr>
          <w:rFonts w:ascii="Calibri" w:hAnsi="Calibri" w:cs="Calibri"/>
          <w:bCs/>
          <w:lang w:val="en-GB"/>
        </w:rPr>
        <w:t>a</w:t>
      </w:r>
      <w:r w:rsidR="00992E1F" w:rsidRPr="0041574E">
        <w:rPr>
          <w:rFonts w:ascii="Calibri" w:hAnsi="Calibri" w:cs="Calibri"/>
          <w:bCs/>
          <w:lang w:val="en-GB"/>
        </w:rPr>
        <w:t xml:space="preserve"> </w:t>
      </w:r>
      <w:r>
        <w:rPr>
          <w:rFonts w:ascii="Calibri" w:hAnsi="Calibri" w:cs="Calibri"/>
          <w:bCs/>
          <w:lang w:val="en-GB"/>
        </w:rPr>
        <w:t>common</w:t>
      </w:r>
      <w:r w:rsidR="00992E1F" w:rsidRPr="0041574E">
        <w:rPr>
          <w:rFonts w:ascii="Calibri" w:hAnsi="Calibri" w:cs="Calibri"/>
          <w:bCs/>
          <w:lang w:val="en-GB"/>
        </w:rPr>
        <w:t xml:space="preserve"> finding in </w:t>
      </w:r>
      <w:r w:rsidR="00EF1682">
        <w:rPr>
          <w:rFonts w:ascii="Calibri" w:hAnsi="Calibri" w:cs="Calibri"/>
          <w:bCs/>
          <w:lang w:val="en-GB"/>
        </w:rPr>
        <w:t xml:space="preserve">patients with </w:t>
      </w:r>
      <w:r w:rsidR="00992E1F" w:rsidRPr="0041574E">
        <w:rPr>
          <w:rFonts w:ascii="Calibri" w:hAnsi="Calibri" w:cs="Calibri"/>
          <w:bCs/>
          <w:i/>
          <w:iCs/>
          <w:lang w:val="en-GB"/>
        </w:rPr>
        <w:t>FLNC</w:t>
      </w:r>
      <w:r w:rsidR="00992E1F" w:rsidRPr="0041574E">
        <w:rPr>
          <w:rFonts w:ascii="Calibri" w:hAnsi="Calibri" w:cs="Calibri"/>
          <w:bCs/>
          <w:lang w:val="en-GB"/>
        </w:rPr>
        <w:t xml:space="preserve"> </w:t>
      </w:r>
      <w:r w:rsidR="00EF1682">
        <w:rPr>
          <w:rFonts w:ascii="Calibri" w:hAnsi="Calibri" w:cs="Calibri"/>
          <w:bCs/>
          <w:lang w:val="en-GB"/>
        </w:rPr>
        <w:t>variants</w:t>
      </w:r>
      <w:r w:rsidR="004470C5"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Cardiology","id":"ITEM-1","issue":"22","issued":{"date-parts":[["2016"]]},"page":"2440-2451","title":"Truncating FLNC Mutations Are Associated With High-Risk Dilated and Arrhythmogenic Cardiomyopathies","type":"article-journal","volume":"68"},"uris":["http://www.mendeley.com/documents/?uuid=960c9d41-e4ec-4d55-b0e2-f7931827c749","http://www.mendeley.com/documents/?uuid=f19b7278-7f60-4d40-8d3f-2ada5182bc26"]}],"mendeley":{"formattedCitation":"&lt;sup&gt;21&lt;/sup&gt;","plainTextFormattedCitation":"21","previouslyFormattedCitation":"&lt;sup&gt;21&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21</w:t>
      </w:r>
      <w:r w:rsidR="004470C5" w:rsidRPr="0041574E">
        <w:rPr>
          <w:rFonts w:ascii="Calibri" w:hAnsi="Calibri" w:cs="Calibri"/>
          <w:bCs/>
          <w:lang w:val="en-GB"/>
        </w:rPr>
        <w:fldChar w:fldCharType="end"/>
      </w:r>
      <w:r w:rsidR="00D422B4" w:rsidRPr="0041574E">
        <w:rPr>
          <w:rFonts w:ascii="Calibri" w:hAnsi="Calibri" w:cs="Calibri"/>
          <w:bCs/>
          <w:lang w:val="en-GB"/>
        </w:rPr>
        <w:t>.</w:t>
      </w:r>
      <w:r w:rsidR="00360BC1" w:rsidRPr="0041574E">
        <w:rPr>
          <w:rFonts w:ascii="Calibri" w:hAnsi="Calibri" w:cs="Calibri"/>
          <w:bCs/>
          <w:lang w:val="en-GB"/>
        </w:rPr>
        <w:t xml:space="preserve"> </w:t>
      </w:r>
      <w:r w:rsidR="00B50A30">
        <w:rPr>
          <w:rFonts w:ascii="Calibri" w:hAnsi="Calibri" w:cs="Calibri"/>
          <w:bCs/>
          <w:lang w:val="en-GB"/>
        </w:rPr>
        <w:t>A</w:t>
      </w:r>
      <w:r w:rsidR="00360BC1" w:rsidRPr="0041574E">
        <w:rPr>
          <w:rFonts w:ascii="Calibri" w:hAnsi="Calibri" w:cs="Calibri"/>
          <w:bCs/>
          <w:lang w:val="en-GB"/>
        </w:rPr>
        <w:t xml:space="preserve">pproximately </w:t>
      </w:r>
      <w:r w:rsidR="00E665C4">
        <w:rPr>
          <w:rFonts w:ascii="Calibri" w:hAnsi="Calibri" w:cs="Calibri"/>
          <w:bCs/>
          <w:lang w:val="en-GB"/>
        </w:rPr>
        <w:t>25% of</w:t>
      </w:r>
      <w:r w:rsidR="00360BC1" w:rsidRPr="0041574E">
        <w:rPr>
          <w:rFonts w:ascii="Calibri" w:hAnsi="Calibri" w:cs="Calibri"/>
          <w:bCs/>
          <w:lang w:val="en-GB"/>
        </w:rPr>
        <w:t xml:space="preserve"> carriers show low voltages in the limb leads</w:t>
      </w:r>
      <w:r w:rsidR="004470C5"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Cardiology","id":"ITEM-1","issue":"22","issued":{"date-parts":[["2016"]]},"page":"2440-2451","title":"Truncating FLNC Mutations Are Associated With High-Risk Dilated and Arrhythmogenic Cardiomyopathies","type":"article-journal","volume":"68"},"uris":["http://www.mendeley.com/documents/?uuid=f19b7278-7f60-4d40-8d3f-2ada5182bc26","http://www.mendeley.com/documents/?uuid=960c9d41-e4ec-4d55-b0e2-f7931827c749"]}],"mendeley":{"formattedCitation":"&lt;sup&gt;21&lt;/sup&gt;","plainTextFormattedCitation":"21","previouslyFormattedCitation":"&lt;sup&gt;21&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21</w:t>
      </w:r>
      <w:r w:rsidR="004470C5" w:rsidRPr="0041574E">
        <w:rPr>
          <w:rFonts w:ascii="Calibri" w:hAnsi="Calibri" w:cs="Calibri"/>
          <w:bCs/>
          <w:lang w:val="en-GB"/>
        </w:rPr>
        <w:fldChar w:fldCharType="end"/>
      </w:r>
      <w:r w:rsidR="00905FED" w:rsidRPr="0041574E">
        <w:rPr>
          <w:rFonts w:ascii="Calibri" w:hAnsi="Calibri" w:cs="Calibri"/>
          <w:bCs/>
          <w:lang w:val="en-GB"/>
        </w:rPr>
        <w:t xml:space="preserve"> </w:t>
      </w:r>
      <w:r w:rsidR="00905FED" w:rsidRPr="0041574E">
        <w:rPr>
          <w:rFonts w:ascii="Calibri" w:hAnsi="Calibri" w:cs="Calibri"/>
          <w:b/>
          <w:lang w:val="en-GB"/>
        </w:rPr>
        <w:t>(Figure 1B)</w:t>
      </w:r>
      <w:r w:rsidR="00A1136F">
        <w:rPr>
          <w:rFonts w:ascii="Calibri" w:hAnsi="Calibri" w:cs="Calibri"/>
          <w:bCs/>
          <w:lang w:val="en-GB"/>
        </w:rPr>
        <w:t xml:space="preserve"> and</w:t>
      </w:r>
      <w:r w:rsidR="00B32372" w:rsidRPr="0041574E">
        <w:rPr>
          <w:rFonts w:ascii="Calibri" w:hAnsi="Calibri" w:cs="Calibri"/>
          <w:bCs/>
          <w:lang w:val="en-GB"/>
        </w:rPr>
        <w:t xml:space="preserve"> </w:t>
      </w:r>
      <w:r w:rsidR="00A1136F">
        <w:rPr>
          <w:rFonts w:ascii="Calibri" w:hAnsi="Calibri" w:cs="Calibri"/>
          <w:bCs/>
          <w:lang w:val="en-GB"/>
        </w:rPr>
        <w:t>f</w:t>
      </w:r>
      <w:r w:rsidR="00B32372" w:rsidRPr="0041574E">
        <w:rPr>
          <w:rFonts w:ascii="Calibri" w:hAnsi="Calibri" w:cs="Calibri"/>
          <w:bCs/>
          <w:lang w:val="en-GB"/>
        </w:rPr>
        <w:t xml:space="preserve">requent </w:t>
      </w:r>
      <w:r w:rsidR="00E125E2">
        <w:rPr>
          <w:rFonts w:ascii="Calibri" w:hAnsi="Calibri" w:cs="Calibri"/>
          <w:bCs/>
          <w:lang w:val="en-GB"/>
        </w:rPr>
        <w:t>VPB</w:t>
      </w:r>
      <w:r w:rsidR="00B32372" w:rsidRPr="0041574E">
        <w:rPr>
          <w:rFonts w:ascii="Calibri" w:hAnsi="Calibri" w:cs="Calibri"/>
          <w:bCs/>
          <w:lang w:val="en-GB"/>
        </w:rPr>
        <w:t xml:space="preserve">s and NSVT are </w:t>
      </w:r>
      <w:r w:rsidR="00A1136F">
        <w:rPr>
          <w:rFonts w:ascii="Calibri" w:hAnsi="Calibri" w:cs="Calibri"/>
          <w:bCs/>
          <w:lang w:val="en-GB"/>
        </w:rPr>
        <w:t>common</w:t>
      </w:r>
      <w:r w:rsidR="004470C5" w:rsidRPr="0041574E">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Cardiology","id":"ITEM-1","issue":"22","issued":{"date-parts":[["2016"]]},"page":"2440-2451","title":"Truncating FLNC Mutations Are Associated With High-Risk Dilated and Arrhythmogenic Cardiomyopathies","type":"article-journal","volume":"68"},"uris":["http://www.mendeley.com/documents/?uuid=f19b7278-7f60-4d40-8d3f-2ada5182bc26","http://www.mendeley.com/documents/?uuid=960c9d41-e4ec-4d55-b0e2-f7931827c749"]}],"mendeley":{"formattedCitation":"&lt;sup&gt;21&lt;/sup&gt;","plainTextFormattedCitation":"21","previouslyFormattedCitation":"&lt;sup&gt;21&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21</w:t>
      </w:r>
      <w:r w:rsidR="004470C5" w:rsidRPr="0041574E">
        <w:rPr>
          <w:rFonts w:ascii="Calibri" w:hAnsi="Calibri" w:cs="Calibri"/>
          <w:bCs/>
          <w:lang w:val="en-GB"/>
        </w:rPr>
        <w:fldChar w:fldCharType="end"/>
      </w:r>
      <w:r w:rsidR="00B32372" w:rsidRPr="0041574E">
        <w:rPr>
          <w:rFonts w:ascii="Calibri" w:hAnsi="Calibri" w:cs="Calibri"/>
          <w:bCs/>
          <w:lang w:val="en-GB"/>
        </w:rPr>
        <w:t>.</w:t>
      </w:r>
    </w:p>
    <w:p w14:paraId="3B7B3AA8" w14:textId="77777777" w:rsidR="00AB19B3" w:rsidRPr="0041574E" w:rsidRDefault="00AB19B3" w:rsidP="0041574E">
      <w:pPr>
        <w:spacing w:line="480" w:lineRule="auto"/>
        <w:rPr>
          <w:rFonts w:ascii="Calibri" w:hAnsi="Calibri" w:cs="Calibri"/>
          <w:bCs/>
          <w:u w:val="single"/>
          <w:lang w:val="en-GB"/>
        </w:rPr>
      </w:pPr>
      <w:r w:rsidRPr="0041574E">
        <w:rPr>
          <w:rFonts w:ascii="Calibri" w:hAnsi="Calibri" w:cs="Calibri"/>
          <w:bCs/>
          <w:u w:val="single"/>
          <w:lang w:val="en-GB"/>
        </w:rPr>
        <w:t>Dystrophin (</w:t>
      </w:r>
      <w:r w:rsidRPr="0041574E">
        <w:rPr>
          <w:rFonts w:ascii="Calibri" w:hAnsi="Calibri" w:cs="Calibri"/>
          <w:bCs/>
          <w:i/>
          <w:iCs/>
          <w:u w:val="single"/>
          <w:lang w:val="en-GB"/>
        </w:rPr>
        <w:t>DMD</w:t>
      </w:r>
      <w:r w:rsidRPr="0041574E">
        <w:rPr>
          <w:rFonts w:ascii="Calibri" w:hAnsi="Calibri" w:cs="Calibri"/>
          <w:bCs/>
          <w:u w:val="single"/>
          <w:lang w:val="en-GB"/>
        </w:rPr>
        <w:t>)</w:t>
      </w:r>
    </w:p>
    <w:p w14:paraId="0186119B" w14:textId="10A19D27" w:rsidR="0042713E" w:rsidRPr="0041574E" w:rsidRDefault="00E125E2" w:rsidP="00E125E2">
      <w:pPr>
        <w:spacing w:line="480" w:lineRule="auto"/>
        <w:ind w:firstLine="720"/>
        <w:rPr>
          <w:rFonts w:ascii="Calibri" w:hAnsi="Calibri" w:cs="Calibri"/>
          <w:bCs/>
          <w:lang w:val="en-GB"/>
        </w:rPr>
      </w:pPr>
      <w:r w:rsidRPr="00E125E2">
        <w:rPr>
          <w:rFonts w:ascii="Calibri" w:hAnsi="Calibri" w:cs="Calibri"/>
          <w:bCs/>
          <w:lang w:val="en-GB"/>
        </w:rPr>
        <w:t>The Dystrophin gene is located on the short arm of the X</w:t>
      </w:r>
      <w:r>
        <w:rPr>
          <w:rFonts w:ascii="Calibri" w:hAnsi="Calibri" w:cs="Calibri"/>
          <w:bCs/>
          <w:lang w:val="en-GB"/>
        </w:rPr>
        <w:t xml:space="preserve"> </w:t>
      </w:r>
      <w:r w:rsidRPr="00E125E2">
        <w:rPr>
          <w:rFonts w:ascii="Calibri" w:hAnsi="Calibri" w:cs="Calibri"/>
          <w:bCs/>
          <w:lang w:val="en-GB"/>
        </w:rPr>
        <w:t xml:space="preserve">chromosome and shows an </w:t>
      </w:r>
      <w:r>
        <w:rPr>
          <w:rFonts w:ascii="Calibri" w:hAnsi="Calibri" w:cs="Calibri"/>
          <w:bCs/>
          <w:lang w:val="en-GB"/>
        </w:rPr>
        <w:t>X</w:t>
      </w:r>
      <w:r w:rsidRPr="00E125E2">
        <w:rPr>
          <w:rFonts w:ascii="Calibri" w:hAnsi="Calibri" w:cs="Calibri"/>
          <w:bCs/>
          <w:lang w:val="en-GB"/>
        </w:rPr>
        <w:t>-linked pattern of inheritance.</w:t>
      </w:r>
      <w:r>
        <w:rPr>
          <w:rFonts w:ascii="Calibri" w:hAnsi="Calibri" w:cs="Calibri"/>
          <w:bCs/>
          <w:lang w:val="en-GB"/>
        </w:rPr>
        <w:t xml:space="preserve"> </w:t>
      </w:r>
      <w:r w:rsidRPr="00E125E2">
        <w:rPr>
          <w:rFonts w:ascii="Calibri" w:hAnsi="Calibri" w:cs="Calibri"/>
          <w:bCs/>
          <w:lang w:val="en-GB"/>
        </w:rPr>
        <w:t>Cardiac involvement is present</w:t>
      </w:r>
      <w:r>
        <w:rPr>
          <w:rFonts w:ascii="Calibri" w:hAnsi="Calibri" w:cs="Calibri"/>
          <w:bCs/>
          <w:lang w:val="en-GB"/>
        </w:rPr>
        <w:t xml:space="preserve"> </w:t>
      </w:r>
      <w:r w:rsidRPr="00E125E2">
        <w:rPr>
          <w:rFonts w:ascii="Calibri" w:hAnsi="Calibri" w:cs="Calibri"/>
          <w:bCs/>
          <w:lang w:val="en-GB"/>
        </w:rPr>
        <w:t>in approximately 90% of the cases of Duchenne’s muscular dystrophy and 70% of</w:t>
      </w:r>
      <w:r>
        <w:rPr>
          <w:rFonts w:ascii="Calibri" w:hAnsi="Calibri" w:cs="Calibri"/>
          <w:bCs/>
          <w:lang w:val="en-GB"/>
        </w:rPr>
        <w:t xml:space="preserve"> </w:t>
      </w:r>
      <w:r w:rsidRPr="00E125E2">
        <w:rPr>
          <w:rFonts w:ascii="Calibri" w:hAnsi="Calibri" w:cs="Calibri"/>
          <w:bCs/>
          <w:lang w:val="en-GB"/>
        </w:rPr>
        <w:t>Becker’s muscular dystrophy</w:t>
      </w:r>
      <w:r w:rsidR="00A1136F">
        <w:rPr>
          <w:rFonts w:ascii="Calibri" w:hAnsi="Calibri" w:cs="Calibri"/>
          <w:bCs/>
          <w:lang w:val="en-GB"/>
        </w:rPr>
        <w:fldChar w:fldCharType="begin" w:fldLock="1"/>
      </w:r>
      <w:r w:rsidR="00561592">
        <w:rPr>
          <w:rFonts w:ascii="Calibri" w:hAnsi="Calibri" w:cs="Calibri"/>
          <w:bCs/>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A1136F">
        <w:rPr>
          <w:rFonts w:ascii="Calibri" w:hAnsi="Calibri" w:cs="Calibri"/>
          <w:bCs/>
          <w:lang w:val="en-GB"/>
        </w:rPr>
        <w:fldChar w:fldCharType="separate"/>
      </w:r>
      <w:r w:rsidR="00326362" w:rsidRPr="00326362">
        <w:rPr>
          <w:rFonts w:ascii="Calibri" w:hAnsi="Calibri" w:cs="Calibri"/>
          <w:bCs/>
          <w:noProof/>
          <w:vertAlign w:val="superscript"/>
          <w:lang w:val="en-GB"/>
        </w:rPr>
        <w:t>1</w:t>
      </w:r>
      <w:r w:rsidR="00A1136F">
        <w:rPr>
          <w:rFonts w:ascii="Calibri" w:hAnsi="Calibri" w:cs="Calibri"/>
          <w:bCs/>
          <w:lang w:val="en-GB"/>
        </w:rPr>
        <w:fldChar w:fldCharType="end"/>
      </w:r>
      <w:r w:rsidRPr="00E125E2">
        <w:rPr>
          <w:rFonts w:ascii="Calibri" w:hAnsi="Calibri" w:cs="Calibri"/>
          <w:bCs/>
          <w:lang w:val="en-GB"/>
        </w:rPr>
        <w:t xml:space="preserve">. </w:t>
      </w:r>
      <w:r w:rsidR="0042713E" w:rsidRPr="0041574E">
        <w:rPr>
          <w:rFonts w:ascii="Calibri" w:hAnsi="Calibri" w:cs="Calibri"/>
          <w:bCs/>
          <w:lang w:val="en-GB"/>
        </w:rPr>
        <w:t xml:space="preserve">The </w:t>
      </w:r>
      <w:r w:rsidR="0001371E" w:rsidRPr="0041574E">
        <w:rPr>
          <w:rFonts w:ascii="Calibri" w:hAnsi="Calibri" w:cs="Calibri"/>
          <w:bCs/>
          <w:lang w:val="en-GB"/>
        </w:rPr>
        <w:t xml:space="preserve">ECG </w:t>
      </w:r>
      <w:r w:rsidR="0001371E" w:rsidRPr="0041574E">
        <w:rPr>
          <w:rFonts w:ascii="Calibri" w:hAnsi="Calibri" w:cs="Calibri"/>
          <w:bCs/>
          <w:lang w:val="en-GB"/>
        </w:rPr>
        <w:lastRenderedPageBreak/>
        <w:t xml:space="preserve">in </w:t>
      </w:r>
      <w:r w:rsidR="00E92D21" w:rsidRPr="0041574E">
        <w:rPr>
          <w:rFonts w:ascii="Calibri" w:hAnsi="Calibri" w:cs="Calibri"/>
          <w:bCs/>
          <w:lang w:val="en-GB"/>
        </w:rPr>
        <w:t xml:space="preserve">DCM </w:t>
      </w:r>
      <w:r w:rsidR="002A2CBC" w:rsidRPr="0041574E">
        <w:rPr>
          <w:rFonts w:ascii="Calibri" w:hAnsi="Calibri" w:cs="Calibri"/>
          <w:bCs/>
          <w:lang w:val="en-GB"/>
        </w:rPr>
        <w:t>due</w:t>
      </w:r>
      <w:r w:rsidR="00E92D21" w:rsidRPr="0041574E">
        <w:rPr>
          <w:rFonts w:ascii="Calibri" w:hAnsi="Calibri" w:cs="Calibri"/>
          <w:bCs/>
          <w:lang w:val="en-GB"/>
        </w:rPr>
        <w:t xml:space="preserve"> to </w:t>
      </w:r>
      <w:r w:rsidR="00E92D21" w:rsidRPr="0041574E">
        <w:rPr>
          <w:rFonts w:ascii="Calibri" w:hAnsi="Calibri" w:cs="Calibri"/>
          <w:bCs/>
          <w:i/>
          <w:iCs/>
          <w:lang w:val="en-GB"/>
        </w:rPr>
        <w:t>DMD</w:t>
      </w:r>
      <w:r w:rsidR="00E92D21" w:rsidRPr="0041574E">
        <w:rPr>
          <w:rFonts w:ascii="Calibri" w:hAnsi="Calibri" w:cs="Calibri"/>
          <w:bCs/>
          <w:lang w:val="en-GB"/>
        </w:rPr>
        <w:t xml:space="preserve"> </w:t>
      </w:r>
      <w:r w:rsidR="00EF1682">
        <w:rPr>
          <w:rFonts w:ascii="Calibri" w:hAnsi="Calibri" w:cs="Calibri"/>
          <w:bCs/>
          <w:lang w:val="en-GB"/>
        </w:rPr>
        <w:t>pathogenic variants</w:t>
      </w:r>
      <w:r w:rsidR="00E92D21" w:rsidRPr="0041574E">
        <w:rPr>
          <w:rFonts w:ascii="Calibri" w:hAnsi="Calibri" w:cs="Calibri"/>
          <w:bCs/>
          <w:lang w:val="en-GB"/>
        </w:rPr>
        <w:t xml:space="preserve"> </w:t>
      </w:r>
      <w:r w:rsidR="002A2CBC" w:rsidRPr="0041574E">
        <w:rPr>
          <w:rFonts w:ascii="Calibri" w:hAnsi="Calibri" w:cs="Calibri"/>
          <w:bCs/>
          <w:lang w:val="en-GB"/>
        </w:rPr>
        <w:t xml:space="preserve">classically mimics </w:t>
      </w:r>
      <w:r w:rsidR="00A1136F">
        <w:rPr>
          <w:rFonts w:ascii="Calibri" w:hAnsi="Calibri" w:cs="Calibri"/>
          <w:bCs/>
          <w:lang w:val="en-GB"/>
        </w:rPr>
        <w:t>a posterior</w:t>
      </w:r>
      <w:r w:rsidR="002536FA">
        <w:rPr>
          <w:rFonts w:ascii="Calibri" w:hAnsi="Calibri" w:cs="Calibri"/>
          <w:bCs/>
          <w:lang w:val="en-GB"/>
        </w:rPr>
        <w:t xml:space="preserve">, </w:t>
      </w:r>
      <w:r w:rsidR="00A1136F">
        <w:rPr>
          <w:rFonts w:ascii="Calibri" w:hAnsi="Calibri" w:cs="Calibri"/>
          <w:bCs/>
          <w:lang w:val="en-GB"/>
        </w:rPr>
        <w:t>inferior</w:t>
      </w:r>
      <w:r w:rsidR="002536FA">
        <w:rPr>
          <w:rFonts w:ascii="Calibri" w:hAnsi="Calibri" w:cs="Calibri"/>
          <w:bCs/>
          <w:lang w:val="en-GB"/>
        </w:rPr>
        <w:t xml:space="preserve"> and/or </w:t>
      </w:r>
      <w:r w:rsidR="00A1136F">
        <w:rPr>
          <w:rFonts w:ascii="Calibri" w:hAnsi="Calibri" w:cs="Calibri"/>
          <w:bCs/>
          <w:lang w:val="en-GB"/>
        </w:rPr>
        <w:t>lateral myocardial infarction</w:t>
      </w:r>
      <w:r w:rsidR="002A2CBC" w:rsidRPr="0041574E">
        <w:rPr>
          <w:rFonts w:ascii="Calibri" w:hAnsi="Calibri" w:cs="Calibri"/>
          <w:bCs/>
          <w:lang w:val="en-GB"/>
        </w:rPr>
        <w:t xml:space="preserve">, </w:t>
      </w:r>
      <w:r w:rsidR="004D7F71" w:rsidRPr="0041574E">
        <w:rPr>
          <w:rFonts w:ascii="Calibri" w:hAnsi="Calibri" w:cs="Calibri"/>
          <w:bCs/>
          <w:lang w:val="en-GB"/>
        </w:rPr>
        <w:t xml:space="preserve">with abnormal Q waves in leads I, </w:t>
      </w:r>
      <w:proofErr w:type="spellStart"/>
      <w:r w:rsidR="004D7F71" w:rsidRPr="0041574E">
        <w:rPr>
          <w:rFonts w:ascii="Calibri" w:hAnsi="Calibri" w:cs="Calibri"/>
          <w:bCs/>
          <w:lang w:val="en-GB"/>
        </w:rPr>
        <w:t>aVL</w:t>
      </w:r>
      <w:proofErr w:type="spellEnd"/>
      <w:r w:rsidR="004D7F71" w:rsidRPr="0041574E">
        <w:rPr>
          <w:rFonts w:ascii="Calibri" w:hAnsi="Calibri" w:cs="Calibri"/>
          <w:bCs/>
          <w:lang w:val="en-GB"/>
        </w:rPr>
        <w:t xml:space="preserve"> and V6 or in leads II, III and </w:t>
      </w:r>
      <w:proofErr w:type="spellStart"/>
      <w:r w:rsidR="004D7F71" w:rsidRPr="0041574E">
        <w:rPr>
          <w:rFonts w:ascii="Calibri" w:hAnsi="Calibri" w:cs="Calibri"/>
          <w:bCs/>
          <w:lang w:val="en-GB"/>
        </w:rPr>
        <w:t>aVF</w:t>
      </w:r>
      <w:proofErr w:type="spellEnd"/>
      <w:r w:rsidR="00086C09" w:rsidRPr="0041574E">
        <w:rPr>
          <w:rFonts w:ascii="Calibri" w:hAnsi="Calibri" w:cs="Calibri"/>
          <w:bCs/>
          <w:lang w:val="en-GB"/>
        </w:rPr>
        <w:t>, associated with high voltage R waves in leads V1 and V2</w:t>
      </w:r>
      <w:r w:rsidR="004579EF">
        <w:rPr>
          <w:rFonts w:ascii="Calibri" w:hAnsi="Calibri" w:cs="Calibri"/>
          <w:bCs/>
          <w:lang w:val="en-GB"/>
        </w:rPr>
        <w:t xml:space="preserve"> which </w:t>
      </w:r>
      <w:r w:rsidR="004579EF" w:rsidRPr="004579EF">
        <w:rPr>
          <w:rFonts w:ascii="Calibri" w:hAnsi="Calibri" w:cs="Calibri"/>
          <w:bCs/>
          <w:lang w:val="en-GB"/>
        </w:rPr>
        <w:t>is due to the progressive accumulation of a transmural scar in the posterolateral region of the LV</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10.1016/j.nmd.2016.06.131","ISSN":"09608966","author":[{"dropping-particle":"","family":"Hor","given":"K.","non-dropping-particle":"","parse-names":false,"suffix":""},{"dropping-particle":"","family":"Raman","given":"S.","non-dropping-particle":"","parse-names":false,"suffix":""},{"dropping-particle":"","family":"Subramanian","given":"S.","non-dropping-particle":"","parse-names":false,"suffix":""},{"dropping-particle":"","family":"Moran","given":"T.","non-dropping-particle":"","parse-names":false,"suffix":""},{"dropping-particle":"","family":"Gnyawali","given":"T.","non-dropping-particle":"","parse-names":false,"suffix":""},{"dropping-particle":"","family":"Lao","given":"K.","non-dropping-particle":"","parse-names":false,"suffix":""},{"dropping-particle":"","family":"Benson","given":"W.","non-dropping-particle":"","parse-names":false,"suffix":""},{"dropping-particle":"","family":"Cripe","given":"L.","non-dropping-particle":"","parse-names":false,"suffix":""}],"container-title":"Neuromuscular Disorders","id":"ITEM-1","issued":{"date-parts":[["2016"]]},"title":"ECG abnormalities correlate with myocardial fibrosis by cardiac magnetic resonance imaging in DMD","type":"article-journal"},"uris":["http://www.mendeley.com/documents/?uuid=73736831-eadc-440b-8781-c5028cf20f2b","http://www.mendeley.com/documents/?uuid=6f8327df-4ed3-42ff-ac2b-db3fa5d837c9"]}],"mendeley":{"formattedCitation":"&lt;sup&gt;36&lt;/sup&gt;","plainTextFormattedCitation":"36","previouslyFormattedCitation":"&lt;sup&gt;36&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36</w:t>
      </w:r>
      <w:r w:rsidR="004470C5" w:rsidRPr="0041574E">
        <w:rPr>
          <w:rFonts w:ascii="Calibri" w:hAnsi="Calibri" w:cs="Calibri"/>
          <w:bCs/>
          <w:lang w:val="en-GB"/>
        </w:rPr>
        <w:fldChar w:fldCharType="end"/>
      </w:r>
      <w:r w:rsidR="0067797D" w:rsidRPr="0041574E">
        <w:rPr>
          <w:rFonts w:ascii="Calibri" w:hAnsi="Calibri" w:cs="Calibri"/>
          <w:bCs/>
          <w:lang w:val="en-GB"/>
        </w:rPr>
        <w:t xml:space="preserve"> </w:t>
      </w:r>
      <w:r w:rsidR="0067797D" w:rsidRPr="0041574E">
        <w:rPr>
          <w:rFonts w:ascii="Calibri" w:hAnsi="Calibri" w:cs="Calibri"/>
          <w:b/>
          <w:lang w:val="en-GB"/>
        </w:rPr>
        <w:t>(Figure 1C)</w:t>
      </w:r>
      <w:r w:rsidR="00086C09" w:rsidRPr="0041574E">
        <w:rPr>
          <w:rFonts w:ascii="Calibri" w:hAnsi="Calibri" w:cs="Calibri"/>
          <w:bCs/>
          <w:lang w:val="en-GB"/>
        </w:rPr>
        <w:t>.</w:t>
      </w:r>
      <w:r w:rsidR="00855C68" w:rsidRPr="0041574E">
        <w:rPr>
          <w:rFonts w:ascii="Calibri" w:hAnsi="Calibri" w:cs="Calibri"/>
          <w:bCs/>
          <w:lang w:val="en-GB"/>
        </w:rPr>
        <w:t xml:space="preserve"> </w:t>
      </w:r>
      <w:r w:rsidR="00A707B1" w:rsidRPr="0041574E">
        <w:rPr>
          <w:rFonts w:ascii="Calibri" w:hAnsi="Calibri" w:cs="Calibri"/>
          <w:bCs/>
          <w:lang w:val="en-GB"/>
        </w:rPr>
        <w:t>Short PR interval and sinus tachycardia are also frequent</w:t>
      </w:r>
      <w:r w:rsidR="000C7882" w:rsidRPr="0041574E">
        <w:rPr>
          <w:rFonts w:ascii="Calibri" w:hAnsi="Calibri" w:cs="Calibri"/>
          <w:bCs/>
          <w:lang w:val="en-GB"/>
        </w:rPr>
        <w:t xml:space="preserve">, along with right axis deviation and </w:t>
      </w:r>
      <w:r w:rsidR="00064BD9" w:rsidRPr="0041574E">
        <w:rPr>
          <w:rFonts w:ascii="Calibri" w:hAnsi="Calibri" w:cs="Calibri"/>
          <w:bCs/>
          <w:lang w:val="en-GB"/>
        </w:rPr>
        <w:t>RBBB</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{"citationItems":[{"id":"ITEM-1","itemData":{"DOI":"10.1016/0002-9343(67)90017-4","ISSN":"00029343","abstract":"The clinical, electrocardiographic, hemodynamic and cardiac pathologic features are described in two patients with the rapidly progressive, pseudohypertrophic, sexlinked form of Duchenne's muscular dystrophy. Previous studies have shown that the electrocardiogram is distinctive enough to aid in identifying this particular type of heredofamilial myopathic disorder even when the clinical features of the systemic myopathy are inconclusive. Tall right precordial R waves and deep limb lead and left precordial Q waves characterize these electrocardiograms. Information thus far has not provided explanations for either the distinctive morphology of the Duchenne electrocardiogram or for the variety of rhythm disturbances that have been observed. Accordingly, an electrocardiographic-pathologic correlative study was undertaken in order to determine whether a relationship existed between the distribution of myocardial dystrophy, the presence of an unusual type of small vessel coronary arteriopathy, and the electrocardiographic abnormalities of both QRS configuration and rhythm. The present study indicates that the anterior shift of the QRS (tall right precordial R waves) relates to a loss of posteriorly directed electrical forces caused by selective scarring of the posterobasal portion of the left ventricle. The abnormally deep Q waves appeared to reflect lateral extension of this scarring. These areas of myocardial fibrosis corresponded precisely to the locations of altered electrical activity demonstrated by the electrocardiogram. The reason for this unusual focal location of myocardial fibrosis was not determined. Although striking abnormalities were found in small intramural coronary arteries, the distribution of scarring was unrelated to the arteriopathy. The pathologic observations provided only scanty information regarding the rhythm disturbances. Degeneration of neurogenic fibers of the sinus or atrioventricular nodes could not be held responsible, but in one patient the arteries to both cardiac nodes were abnormal and may have contributed to the clinical arrhythmias.","author":[{"dropping-particle":"","family":"Perloff","given":"Joseph K.","non-dropping-particle":"","parse-names":false,"suffix":""},{"dropping-particle":"","family":"Roberts","given":"William C.","non-dropping-particle":"","parse-names":false,"suffix":""},{"dropping-particle":"","family":"Leon","given":"Antonio C.","non-dropping-particle":"de","parse-names":false,"suffix":""},{"dropping-particle":"","family":"O'Doherty","given":"Desmond","non-dropping-particle":"","parse-names":false,"suffix":""}],"container-title":"The American Journal of Medicine","id":"ITEM-1","issued":{"date-parts":[["2004"]]},"title":"The distinctive electrocardiogram of Duchenne's progressive muscular dystrophy","type":"article-journal"},"uris":["http://www.mendeley.com/documents/?uuid=e04d3270-51a6-4a02-8023-f09c13c74854","http://www.mendeley.com/documents/?uuid=4a0ed19d-99fb-4e3d-a6b2-bfe48cdd551b"]}],"mendeley":{"formattedCitation":"&lt;sup&gt;37&lt;/sup&gt;","plainTextFormattedCitation":"37","previouslyFormattedCitation":"&lt;sup&gt;37&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37</w:t>
      </w:r>
      <w:r w:rsidR="004470C5" w:rsidRPr="0041574E">
        <w:rPr>
          <w:rFonts w:ascii="Calibri" w:hAnsi="Calibri" w:cs="Calibri"/>
          <w:bCs/>
          <w:lang w:val="en-GB"/>
        </w:rPr>
        <w:fldChar w:fldCharType="end"/>
      </w:r>
      <w:r w:rsidR="000C7882" w:rsidRPr="0041574E">
        <w:rPr>
          <w:rFonts w:ascii="Calibri" w:hAnsi="Calibri" w:cs="Calibri"/>
          <w:bCs/>
          <w:lang w:val="en-GB"/>
        </w:rPr>
        <w:t>.</w:t>
      </w:r>
    </w:p>
    <w:p w14:paraId="0F5E213B" w14:textId="77777777" w:rsidR="00AB19B3" w:rsidRPr="0041574E" w:rsidRDefault="00AB19B3" w:rsidP="0041574E">
      <w:pPr>
        <w:spacing w:line="480" w:lineRule="auto"/>
        <w:rPr>
          <w:rFonts w:ascii="Calibri" w:hAnsi="Calibri" w:cs="Calibri"/>
          <w:bCs/>
          <w:u w:val="single"/>
          <w:lang w:val="en-GB"/>
        </w:rPr>
      </w:pPr>
      <w:proofErr w:type="spellStart"/>
      <w:r w:rsidRPr="0041574E">
        <w:rPr>
          <w:rFonts w:ascii="Calibri" w:hAnsi="Calibri" w:cs="Calibri"/>
          <w:bCs/>
          <w:u w:val="single"/>
          <w:lang w:val="en-GB"/>
        </w:rPr>
        <w:t>Desmin</w:t>
      </w:r>
      <w:proofErr w:type="spellEnd"/>
      <w:r w:rsidRPr="0041574E">
        <w:rPr>
          <w:rFonts w:ascii="Calibri" w:hAnsi="Calibri" w:cs="Calibri"/>
          <w:bCs/>
          <w:u w:val="single"/>
          <w:lang w:val="en-GB"/>
        </w:rPr>
        <w:t xml:space="preserve"> (</w:t>
      </w:r>
      <w:r w:rsidRPr="0041574E">
        <w:rPr>
          <w:rFonts w:ascii="Calibri" w:hAnsi="Calibri" w:cs="Calibri"/>
          <w:bCs/>
          <w:i/>
          <w:iCs/>
          <w:u w:val="single"/>
          <w:lang w:val="en-GB"/>
        </w:rPr>
        <w:t>DES</w:t>
      </w:r>
      <w:r w:rsidRPr="0041574E">
        <w:rPr>
          <w:rFonts w:ascii="Calibri" w:hAnsi="Calibri" w:cs="Calibri"/>
          <w:bCs/>
          <w:u w:val="single"/>
          <w:lang w:val="en-GB"/>
        </w:rPr>
        <w:t>)</w:t>
      </w:r>
    </w:p>
    <w:p w14:paraId="3142A15B" w14:textId="4B287775" w:rsidR="00E125E2" w:rsidRPr="00E125E2" w:rsidRDefault="00E125E2" w:rsidP="00E125E2">
      <w:pPr>
        <w:spacing w:line="480" w:lineRule="auto"/>
        <w:ind w:firstLine="720"/>
        <w:rPr>
          <w:rFonts w:ascii="Calibri" w:hAnsi="Calibri" w:cs="Calibri"/>
          <w:bCs/>
          <w:lang w:val="en-GB"/>
        </w:rPr>
      </w:pPr>
      <w:proofErr w:type="spellStart"/>
      <w:r w:rsidRPr="00E125E2">
        <w:rPr>
          <w:rFonts w:ascii="Calibri" w:hAnsi="Calibri" w:cs="Calibri"/>
          <w:bCs/>
          <w:lang w:val="en-GB"/>
        </w:rPr>
        <w:t>Desmin</w:t>
      </w:r>
      <w:proofErr w:type="spellEnd"/>
      <w:r w:rsidRPr="00E125E2">
        <w:rPr>
          <w:rFonts w:ascii="Calibri" w:hAnsi="Calibri" w:cs="Calibri"/>
          <w:bCs/>
          <w:lang w:val="en-GB"/>
        </w:rPr>
        <w:t xml:space="preserve"> is a cytoskeletal protein which forms muscle-specific</w:t>
      </w:r>
      <w:r>
        <w:rPr>
          <w:rFonts w:ascii="Calibri" w:hAnsi="Calibri" w:cs="Calibri"/>
          <w:bCs/>
          <w:lang w:val="en-GB"/>
        </w:rPr>
        <w:t xml:space="preserve"> </w:t>
      </w:r>
      <w:r w:rsidRPr="00E125E2">
        <w:rPr>
          <w:rFonts w:ascii="Calibri" w:hAnsi="Calibri" w:cs="Calibri"/>
          <w:bCs/>
          <w:lang w:val="en-GB"/>
        </w:rPr>
        <w:t>intermediate filaments.</w:t>
      </w:r>
    </w:p>
    <w:p w14:paraId="6434EB0F" w14:textId="08273BB9" w:rsidR="00E125E2" w:rsidRPr="00E125E2" w:rsidRDefault="00EF1682" w:rsidP="00E125E2">
      <w:pPr>
        <w:spacing w:line="480" w:lineRule="auto"/>
        <w:rPr>
          <w:rFonts w:ascii="Calibri" w:hAnsi="Calibri" w:cs="Calibri"/>
          <w:bCs/>
          <w:lang w:val="en-GB"/>
        </w:rPr>
      </w:pPr>
      <w:r>
        <w:rPr>
          <w:rFonts w:ascii="Calibri" w:hAnsi="Calibri" w:cs="Calibri"/>
          <w:bCs/>
          <w:lang w:val="en-GB"/>
        </w:rPr>
        <w:t xml:space="preserve">Pathogenic variants </w:t>
      </w:r>
      <w:r w:rsidR="00E125E2" w:rsidRPr="00E125E2">
        <w:rPr>
          <w:rFonts w:ascii="Calibri" w:hAnsi="Calibri" w:cs="Calibri"/>
          <w:bCs/>
          <w:lang w:val="en-GB"/>
        </w:rPr>
        <w:t xml:space="preserve">in the gene encoding </w:t>
      </w:r>
      <w:proofErr w:type="spellStart"/>
      <w:r w:rsidR="00E125E2" w:rsidRPr="00E125E2">
        <w:rPr>
          <w:rFonts w:ascii="Calibri" w:hAnsi="Calibri" w:cs="Calibri"/>
          <w:bCs/>
          <w:lang w:val="en-GB"/>
        </w:rPr>
        <w:t>Desmin</w:t>
      </w:r>
      <w:proofErr w:type="spellEnd"/>
      <w:r w:rsidR="00E125E2" w:rsidRPr="00E125E2">
        <w:rPr>
          <w:rFonts w:ascii="Calibri" w:hAnsi="Calibri" w:cs="Calibri"/>
          <w:bCs/>
          <w:lang w:val="en-GB"/>
        </w:rPr>
        <w:t xml:space="preserve"> cause a wide spectrum of phenotypes of</w:t>
      </w:r>
    </w:p>
    <w:p w14:paraId="5D2A97D5" w14:textId="77777777" w:rsidR="00E125E2" w:rsidRPr="00E125E2" w:rsidRDefault="00E125E2" w:rsidP="00E125E2">
      <w:pPr>
        <w:spacing w:line="480" w:lineRule="auto"/>
        <w:rPr>
          <w:rFonts w:ascii="Calibri" w:hAnsi="Calibri" w:cs="Calibri"/>
          <w:bCs/>
          <w:lang w:val="en-GB"/>
        </w:rPr>
      </w:pPr>
      <w:r w:rsidRPr="00E125E2">
        <w:rPr>
          <w:rFonts w:ascii="Calibri" w:hAnsi="Calibri" w:cs="Calibri"/>
          <w:bCs/>
          <w:lang w:val="en-GB"/>
        </w:rPr>
        <w:t>different cardiomyopathies, skeletal myopathies, and mixed skeletal and cardiac</w:t>
      </w:r>
    </w:p>
    <w:p w14:paraId="292D9792" w14:textId="66615C1B" w:rsidR="008C2F67" w:rsidRDefault="00E125E2" w:rsidP="00E125E2">
      <w:pPr>
        <w:spacing w:line="480" w:lineRule="auto"/>
        <w:rPr>
          <w:rFonts w:ascii="Calibri" w:hAnsi="Calibri" w:cs="Calibri"/>
          <w:bCs/>
          <w:lang w:val="en-GB"/>
        </w:rPr>
      </w:pPr>
      <w:r w:rsidRPr="00E125E2">
        <w:rPr>
          <w:rFonts w:ascii="Calibri" w:hAnsi="Calibri" w:cs="Calibri"/>
          <w:bCs/>
          <w:lang w:val="en-GB"/>
        </w:rPr>
        <w:t xml:space="preserve">myopathies. </w:t>
      </w:r>
      <w:proofErr w:type="spellStart"/>
      <w:r w:rsidRPr="00E125E2">
        <w:rPr>
          <w:rFonts w:ascii="Calibri" w:hAnsi="Calibri" w:cs="Calibri"/>
          <w:bCs/>
          <w:lang w:val="en-GB"/>
        </w:rPr>
        <w:t>Desmin</w:t>
      </w:r>
      <w:proofErr w:type="spellEnd"/>
      <w:r w:rsidRPr="00E125E2">
        <w:rPr>
          <w:rFonts w:ascii="Calibri" w:hAnsi="Calibri" w:cs="Calibri"/>
          <w:bCs/>
          <w:lang w:val="en-GB"/>
        </w:rPr>
        <w:t xml:space="preserve"> mutations account for 1–2% of all cases of DCM</w:t>
      </w:r>
      <w:r w:rsidR="004570C0">
        <w:rPr>
          <w:rFonts w:ascii="Calibri" w:hAnsi="Calibri" w:cs="Calibri"/>
          <w:bCs/>
          <w:lang w:val="en-GB"/>
        </w:rPr>
        <w:fldChar w:fldCharType="begin" w:fldLock="1"/>
      </w:r>
      <w:r w:rsidR="00561592">
        <w:rPr>
          <w:rFonts w:ascii="Calibri" w:hAnsi="Calibri" w:cs="Calibri"/>
          <w:bCs/>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mendeley":{"formattedCitation":"&lt;sup&gt;1&lt;/sup&gt;","plainTextFormattedCitation":"1","previouslyFormattedCitation":"&lt;sup&gt;1&lt;/sup&gt;"},"properties":{"noteIndex":0},"schema":"https://github.com/citation-style-language/schema/raw/master/csl-citation.json"}</w:instrText>
      </w:r>
      <w:r w:rsidR="004570C0">
        <w:rPr>
          <w:rFonts w:ascii="Calibri" w:hAnsi="Calibri" w:cs="Calibri"/>
          <w:bCs/>
          <w:lang w:val="en-GB"/>
        </w:rPr>
        <w:fldChar w:fldCharType="separate"/>
      </w:r>
      <w:r w:rsidR="00326362" w:rsidRPr="00326362">
        <w:rPr>
          <w:rFonts w:ascii="Calibri" w:hAnsi="Calibri" w:cs="Calibri"/>
          <w:bCs/>
          <w:noProof/>
          <w:vertAlign w:val="superscript"/>
          <w:lang w:val="en-GB"/>
        </w:rPr>
        <w:t>1</w:t>
      </w:r>
      <w:r w:rsidR="004570C0">
        <w:rPr>
          <w:rFonts w:ascii="Calibri" w:hAnsi="Calibri" w:cs="Calibri"/>
          <w:bCs/>
          <w:lang w:val="en-GB"/>
        </w:rPr>
        <w:fldChar w:fldCharType="end"/>
      </w:r>
      <w:r w:rsidRPr="00E125E2">
        <w:rPr>
          <w:rFonts w:ascii="Calibri" w:hAnsi="Calibri" w:cs="Calibri"/>
          <w:bCs/>
          <w:lang w:val="en-GB"/>
        </w:rPr>
        <w:t xml:space="preserve">. </w:t>
      </w:r>
      <w:r w:rsidR="001655ED" w:rsidRPr="0041574E">
        <w:rPr>
          <w:rFonts w:ascii="Calibri" w:hAnsi="Calibri" w:cs="Calibri"/>
          <w:bCs/>
          <w:lang w:val="en-GB"/>
        </w:rPr>
        <w:t xml:space="preserve">ECG abnormalities are </w:t>
      </w:r>
      <w:r w:rsidR="001A2F37" w:rsidRPr="0041574E">
        <w:rPr>
          <w:rFonts w:ascii="Calibri" w:hAnsi="Calibri" w:cs="Calibri"/>
          <w:bCs/>
          <w:lang w:val="en-GB"/>
        </w:rPr>
        <w:t>common</w:t>
      </w:r>
      <w:r w:rsidR="001655ED" w:rsidRPr="0041574E">
        <w:rPr>
          <w:rFonts w:ascii="Calibri" w:hAnsi="Calibri" w:cs="Calibri"/>
          <w:bCs/>
          <w:lang w:val="en-GB"/>
        </w:rPr>
        <w:t xml:space="preserve"> </w:t>
      </w:r>
      <w:r w:rsidR="00EF1682">
        <w:rPr>
          <w:rFonts w:ascii="Calibri" w:hAnsi="Calibri" w:cs="Calibri"/>
          <w:bCs/>
          <w:lang w:val="en-GB"/>
        </w:rPr>
        <w:t xml:space="preserve">in this setting </w:t>
      </w:r>
      <w:r w:rsidR="00EF47F9" w:rsidRPr="0041574E">
        <w:rPr>
          <w:rFonts w:ascii="Calibri" w:hAnsi="Calibri" w:cs="Calibri"/>
          <w:bCs/>
          <w:lang w:val="en-GB"/>
        </w:rPr>
        <w:t>(</w:t>
      </w:r>
      <w:r w:rsidR="00BD0B7D">
        <w:rPr>
          <w:rFonts w:ascii="Calibri" w:hAnsi="Calibri" w:cs="Calibri"/>
          <w:bCs/>
          <w:lang w:val="en-GB"/>
        </w:rPr>
        <w:t xml:space="preserve">up to </w:t>
      </w:r>
      <w:r w:rsidR="00EF47F9" w:rsidRPr="0041574E">
        <w:rPr>
          <w:rFonts w:ascii="Calibri" w:hAnsi="Calibri" w:cs="Calibri"/>
          <w:bCs/>
          <w:lang w:val="en-GB"/>
        </w:rPr>
        <w:t>6</w:t>
      </w:r>
      <w:r w:rsidR="00BD0B7D">
        <w:rPr>
          <w:rFonts w:ascii="Calibri" w:hAnsi="Calibri" w:cs="Calibri"/>
          <w:bCs/>
          <w:lang w:val="en-GB"/>
        </w:rPr>
        <w:t>0</w:t>
      </w:r>
      <w:r w:rsidR="00EF47F9" w:rsidRPr="0041574E">
        <w:rPr>
          <w:rFonts w:ascii="Calibri" w:hAnsi="Calibri" w:cs="Calibri"/>
          <w:bCs/>
          <w:lang w:val="en-GB"/>
        </w:rPr>
        <w:t>%</w:t>
      </w:r>
      <w:r w:rsidR="00BD0B7D">
        <w:rPr>
          <w:rFonts w:ascii="Calibri" w:hAnsi="Calibri" w:cs="Calibri"/>
          <w:bCs/>
          <w:lang w:val="en-GB"/>
        </w:rPr>
        <w:t xml:space="preserve"> of the cases</w:t>
      </w:r>
      <w:r w:rsidR="00EF47F9" w:rsidRPr="0041574E">
        <w:rPr>
          <w:rFonts w:ascii="Calibri" w:hAnsi="Calibri" w:cs="Calibri"/>
          <w:bCs/>
          <w:lang w:val="en-GB"/>
        </w:rPr>
        <w:t>)</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{"citationItems":[{"id":"ITEM-1","itemData":{"DOI":"10.1007/s00401-012-1057-6","ISSN":"00016322","abstract":"The myosin heavy chain (MyHC) is the molecular motor of muscle and forms the backbone of the sarcomere thick filaments. Different MyHC isoforms are of importance for the physiological properties of different muscle fiber types. Hereditary myosin myopathies have emerged as an important group of diseases with variable clinical and morphological expression depending on the mutated isoform and type and location of the mutation. Dominant mutations in developmental MyHC isoform genes (MYH3 and MYH8) are associated with distal arthrogryposis syndromes. Dominant or recessive mutations affecting the type IIa MyHC (MYH2) are associated with early-onset myopathies with variable muscle weakness and ophthalmoplegia as a consistent finding. Myopathies with scapuloperoneal, distal or limb-girdle muscle weakness including entities, such as myosin storage myopathy and Laing distal myopathy are the result of usually dominant mutations in the gene for slow/β cardiac MyHC (MYH7). Protein aggregation is part of the features in some of these myopathies. In myosin storage myopathy protein aggregates are formed by accumulation of myosin beneath the sarcolemma and between myofibrils. In vitro studies on the effects of different mutations associated with myosin storage myopathy and Laing distal myopathy indicate altered biochemical and biophysical properties of the light meromyosin, which is essential for thick filament assembly. Protein aggregates in the form of tubulofilamentous inclusions in association with vacuolated muscle fibers are present at late stage of dominant myosin IIa myopathy and sometimes in Laing distal myopathy. These protein aggregates exhibit features indicating defective degradation of misfolded proteins. In addition to protein aggregation and muscle fiber degeneration some of the myosin mutations cause functional impairment of the molecular motor adding to the pathogenesis of myosinopathies.© 2012 Springer-Verlag Berlin Heidelberg.","author":[{"dropping-particle":"","family":"Clemen","given":"Christoph S.","non-dropping-particle":"","parse-names":false,"suffix":""},{"dropping-particle":"","family":"Herrmann","given":"Harald","non-dropping-particle":"","parse-names":false,"suffix":""},{"dropping-particle":"V.","family":"Strelkov","given":"Sergei","non-dropping-particle":"","parse-names":false,"suffix":""},{"dropping-particle":"","family":"Schröder","given":"Rolf","non-dropping-particle":"","parse-names":false,"suffix":""}],"container-title":"Acta Neuropathologica","id":"ITEM-1","issue":"1","issued":{"date-parts":[["2013"]]},"page":"47-75","title":"Desminopathies: Pathology and mechanisms","type":"article-journal","volume":"125"},"uris":["http://www.mendeley.com/documents/?uuid=84ec814f-3014-43db-be93-ea2bdc951194","http://www.mendeley.com/documents/?uuid=d9858679-2af7-4f2c-a9e3-421add8f8f32"]}],"mendeley":{"formattedCitation":"&lt;sup&gt;38&lt;/sup&gt;","plainTextFormattedCitation":"38","previouslyFormattedCitation":"&lt;sup&gt;38&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38</w:t>
      </w:r>
      <w:r w:rsidR="004470C5" w:rsidRPr="0041574E">
        <w:rPr>
          <w:rFonts w:ascii="Calibri" w:hAnsi="Calibri" w:cs="Calibri"/>
          <w:bCs/>
          <w:lang w:val="en-GB"/>
        </w:rPr>
        <w:fldChar w:fldCharType="end"/>
      </w:r>
      <w:r w:rsidR="00EF47F9" w:rsidRPr="0041574E">
        <w:rPr>
          <w:rFonts w:ascii="Calibri" w:hAnsi="Calibri" w:cs="Calibri"/>
          <w:bCs/>
          <w:lang w:val="en-GB"/>
        </w:rPr>
        <w:t>.</w:t>
      </w:r>
      <w:r w:rsidR="00D21226" w:rsidRPr="0041574E">
        <w:rPr>
          <w:rFonts w:ascii="Calibri" w:hAnsi="Calibri" w:cs="Calibri"/>
          <w:bCs/>
          <w:lang w:val="en-GB"/>
        </w:rPr>
        <w:t xml:space="preserve"> </w:t>
      </w:r>
      <w:r w:rsidR="008C2F67" w:rsidRPr="0041574E">
        <w:rPr>
          <w:rFonts w:ascii="Calibri" w:hAnsi="Calibri" w:cs="Calibri"/>
          <w:bCs/>
          <w:lang w:val="en-GB"/>
        </w:rPr>
        <w:t xml:space="preserve">Conduction </w:t>
      </w:r>
      <w:r w:rsidR="00BD0B7D">
        <w:rPr>
          <w:rFonts w:ascii="Calibri" w:hAnsi="Calibri" w:cs="Calibri"/>
          <w:bCs/>
          <w:lang w:val="en-GB"/>
        </w:rPr>
        <w:t>abnormalities</w:t>
      </w:r>
      <w:r w:rsidR="00E566BD" w:rsidRPr="0041574E">
        <w:rPr>
          <w:rFonts w:ascii="Calibri" w:hAnsi="Calibri" w:cs="Calibri"/>
          <w:bCs/>
          <w:lang w:val="en-GB"/>
        </w:rPr>
        <w:t xml:space="preserve"> </w:t>
      </w:r>
      <w:r w:rsidR="002212E3">
        <w:rPr>
          <w:rFonts w:ascii="Calibri" w:hAnsi="Calibri" w:cs="Calibri"/>
          <w:bCs/>
          <w:lang w:val="en-GB"/>
        </w:rPr>
        <w:t xml:space="preserve">are </w:t>
      </w:r>
      <w:r w:rsidR="00F51280">
        <w:rPr>
          <w:rFonts w:ascii="Calibri" w:hAnsi="Calibri" w:cs="Calibri"/>
          <w:bCs/>
          <w:lang w:val="en-GB"/>
        </w:rPr>
        <w:t>frequently observed</w:t>
      </w:r>
      <w:r w:rsidR="008C2F67" w:rsidRPr="0041574E">
        <w:rPr>
          <w:rFonts w:ascii="Calibri" w:hAnsi="Calibri" w:cs="Calibri"/>
          <w:bCs/>
          <w:lang w:val="en-GB"/>
        </w:rPr>
        <w:t xml:space="preserve"> (AV</w:t>
      </w:r>
      <w:r w:rsidR="00C10DCA" w:rsidRPr="0041574E">
        <w:rPr>
          <w:rFonts w:ascii="Calibri" w:hAnsi="Calibri" w:cs="Calibri"/>
          <w:bCs/>
          <w:lang w:val="en-GB"/>
        </w:rPr>
        <w:t>-</w:t>
      </w:r>
      <w:r w:rsidR="008C2F67" w:rsidRPr="0041574E">
        <w:rPr>
          <w:rFonts w:ascii="Calibri" w:hAnsi="Calibri" w:cs="Calibri"/>
          <w:bCs/>
          <w:lang w:val="en-GB"/>
        </w:rPr>
        <w:t>block</w:t>
      </w:r>
      <w:r w:rsidR="004570C0">
        <w:rPr>
          <w:rFonts w:ascii="Calibri" w:hAnsi="Calibri" w:cs="Calibri"/>
          <w:bCs/>
          <w:lang w:val="en-GB"/>
        </w:rPr>
        <w:t>s</w:t>
      </w:r>
      <w:r w:rsidR="00064BD9" w:rsidRPr="0041574E">
        <w:rPr>
          <w:rFonts w:ascii="Calibri" w:hAnsi="Calibri" w:cs="Calibri"/>
          <w:bCs/>
          <w:lang w:val="en-GB"/>
        </w:rPr>
        <w:t xml:space="preserve"> and RBBB</w:t>
      </w:r>
      <w:r w:rsidR="008C2F67" w:rsidRPr="0041574E">
        <w:rPr>
          <w:rFonts w:ascii="Calibri" w:hAnsi="Calibri" w:cs="Calibri"/>
          <w:bCs/>
          <w:lang w:val="en-GB"/>
        </w:rPr>
        <w:t>)</w:t>
      </w:r>
      <w:r w:rsidR="004570C0">
        <w:rPr>
          <w:rFonts w:ascii="Calibri" w:hAnsi="Calibri" w:cs="Calibri"/>
          <w:bCs/>
          <w:lang w:val="en-GB"/>
        </w:rPr>
        <w:t>, followed by</w:t>
      </w:r>
      <w:r w:rsidR="00494441" w:rsidRPr="0041574E">
        <w:rPr>
          <w:rFonts w:ascii="Calibri" w:hAnsi="Calibri" w:cs="Calibri"/>
          <w:bCs/>
          <w:lang w:val="en-GB"/>
        </w:rPr>
        <w:t xml:space="preserve"> </w:t>
      </w:r>
      <w:r w:rsidR="00D21226" w:rsidRPr="0041574E">
        <w:rPr>
          <w:rFonts w:ascii="Calibri" w:hAnsi="Calibri" w:cs="Calibri"/>
          <w:bCs/>
          <w:lang w:val="en-GB"/>
        </w:rPr>
        <w:t>supraventricular</w:t>
      </w:r>
      <w:r w:rsidR="00982810" w:rsidRPr="0041574E">
        <w:rPr>
          <w:rFonts w:ascii="Calibri" w:hAnsi="Calibri" w:cs="Calibri"/>
          <w:bCs/>
          <w:lang w:val="en-GB"/>
        </w:rPr>
        <w:t xml:space="preserve"> </w:t>
      </w:r>
      <w:r w:rsidR="00D21226" w:rsidRPr="0041574E">
        <w:rPr>
          <w:rFonts w:ascii="Calibri" w:hAnsi="Calibri" w:cs="Calibri"/>
          <w:bCs/>
          <w:lang w:val="en-GB"/>
        </w:rPr>
        <w:t>and ventricular</w:t>
      </w:r>
      <w:r w:rsidR="005752F6" w:rsidRPr="0041574E">
        <w:rPr>
          <w:rFonts w:ascii="Calibri" w:hAnsi="Calibri" w:cs="Calibri"/>
          <w:bCs/>
          <w:lang w:val="en-GB"/>
        </w:rPr>
        <w:t xml:space="preserve"> </w:t>
      </w:r>
      <w:r w:rsidR="00D21226" w:rsidRPr="0041574E">
        <w:rPr>
          <w:rFonts w:ascii="Calibri" w:hAnsi="Calibri" w:cs="Calibri"/>
          <w:bCs/>
          <w:lang w:val="en-GB"/>
        </w:rPr>
        <w:t>arrhythmias</w:t>
      </w:r>
      <w:r w:rsidR="004470C5"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{"citationItems":[{"id":"ITEM-1","itemData":{"DOI":"10.1007/s00401-012-1057-6","ISSN":"00016322","abstract":"The myosin heavy chain (MyHC) is the molecular motor of muscle and forms the backbone of the sarcomere thick filaments. Different MyHC isoforms are of importance for the physiological properties of different muscle fiber types. Hereditary myosin myopathies have emerged as an important group of diseases with variable clinical and morphological expression depending on the mutated isoform and type and location of the mutation. Dominant mutations in developmental MyHC isoform genes (MYH3 and MYH8) are associated with distal arthrogryposis syndromes. Dominant or recessive mutations affecting the type IIa MyHC (MYH2) are associated with early-onset myopathies with variable muscle weakness and ophthalmoplegia as a consistent finding. Myopathies with scapuloperoneal, distal or limb-girdle muscle weakness including entities, such as myosin storage myopathy and Laing distal myopathy are the result of usually dominant mutations in the gene for slow/β cardiac MyHC (MYH7). Protein aggregation is part of the features in some of these myopathies. In myosin storage myopathy protein aggregates are formed by accumulation of myosin beneath the sarcolemma and between myofibrils. In vitro studies on the effects of different mutations associated with myosin storage myopathy and Laing distal myopathy indicate altered biochemical and biophysical properties of the light meromyosin, which is essential for thick filament assembly. Protein aggregates in the form of tubulofilamentous inclusions in association with vacuolated muscle fibers are present at late stage of dominant myosin IIa myopathy and sometimes in Laing distal myopathy. These protein aggregates exhibit features indicating defective degradation of misfolded proteins. In addition to protein aggregation and muscle fiber degeneration some of the myosin mutations cause functional impairment of the molecular motor adding to the pathogenesis of myosinopathies.© 2012 Springer-Verlag Berlin Heidelberg.","author":[{"dropping-particle":"","family":"Clemen","given":"Christoph S.","non-dropping-particle":"","parse-names":false,"suffix":""},{"dropping-particle":"","family":"Herrmann","given":"Harald","non-dropping-particle":"","parse-names":false,"suffix":""},{"dropping-particle":"V.","family":"Strelkov","given":"Sergei","non-dropping-particle":"","parse-names":false,"suffix":""},{"dropping-particle":"","family":"Schröder","given":"Rolf","non-dropping-particle":"","parse-names":false,"suffix":""}],"container-title":"Acta Neuropathologica","id":"ITEM-1","issue":"1","issued":{"date-parts":[["2013"]]},"page":"47-75","title":"Desminopathies: Pathology and mechanisms","type":"article-journal","volume":"125"},"uris":["http://www.mendeley.com/documents/?uuid=d9858679-2af7-4f2c-a9e3-421add8f8f32","http://www.mendeley.com/documents/?uuid=84ec814f-3014-43db-be93-ea2bdc951194"]}],"mendeley":{"formattedCitation":"&lt;sup&gt;38&lt;/sup&gt;","plainTextFormattedCitation":"38","previouslyFormattedCitation":"&lt;sup&gt;38&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38</w:t>
      </w:r>
      <w:r w:rsidR="004470C5" w:rsidRPr="0041574E">
        <w:rPr>
          <w:rFonts w:ascii="Calibri" w:hAnsi="Calibri" w:cs="Calibri"/>
          <w:bCs/>
          <w:lang w:val="en-GB"/>
        </w:rPr>
        <w:fldChar w:fldCharType="end"/>
      </w:r>
      <w:r w:rsidR="00D21226" w:rsidRPr="0041574E">
        <w:rPr>
          <w:rFonts w:ascii="Calibri" w:hAnsi="Calibri" w:cs="Calibri"/>
          <w:bCs/>
          <w:lang w:val="en-GB"/>
        </w:rPr>
        <w:t>.</w:t>
      </w:r>
      <w:r w:rsidR="00982810" w:rsidRPr="0041574E">
        <w:rPr>
          <w:rFonts w:ascii="Calibri" w:hAnsi="Calibri" w:cs="Calibri"/>
          <w:bCs/>
          <w:lang w:val="en-GB"/>
        </w:rPr>
        <w:t xml:space="preserve"> </w:t>
      </w:r>
    </w:p>
    <w:p w14:paraId="5E474990" w14:textId="77777777" w:rsidR="0077499E" w:rsidRPr="0041574E" w:rsidRDefault="0077499E" w:rsidP="0077499E">
      <w:pPr>
        <w:spacing w:line="480" w:lineRule="auto"/>
        <w:rPr>
          <w:rFonts w:ascii="Calibri" w:hAnsi="Calibri" w:cs="Calibri"/>
          <w:bCs/>
          <w:u w:val="single"/>
          <w:lang w:val="en-GB"/>
        </w:rPr>
      </w:pPr>
      <w:r w:rsidRPr="0041574E">
        <w:rPr>
          <w:rFonts w:ascii="Calibri" w:hAnsi="Calibri" w:cs="Calibri"/>
          <w:bCs/>
          <w:u w:val="single"/>
          <w:lang w:val="en-GB"/>
        </w:rPr>
        <w:t xml:space="preserve">Cardiac sodium channel type 5 </w:t>
      </w:r>
      <w:r w:rsidRPr="0041574E">
        <w:rPr>
          <w:rFonts w:ascii="Calibri" w:hAnsi="Calibri" w:cs="Calibri"/>
          <w:bCs/>
          <w:u w:val="single"/>
          <w:lang w:val="en-GB"/>
        </w:rPr>
        <w:sym w:font="Symbol" w:char="F061"/>
      </w:r>
      <w:r w:rsidRPr="0041574E">
        <w:rPr>
          <w:rFonts w:ascii="Calibri" w:hAnsi="Calibri" w:cs="Calibri"/>
          <w:bCs/>
          <w:u w:val="single"/>
          <w:lang w:val="en-GB"/>
        </w:rPr>
        <w:t>-subunit (</w:t>
      </w:r>
      <w:r w:rsidRPr="0041574E">
        <w:rPr>
          <w:rFonts w:ascii="Calibri" w:hAnsi="Calibri" w:cs="Calibri"/>
          <w:bCs/>
          <w:i/>
          <w:iCs/>
          <w:u w:val="single"/>
          <w:lang w:val="en-GB"/>
        </w:rPr>
        <w:t>SCN5A</w:t>
      </w:r>
      <w:r w:rsidRPr="0041574E">
        <w:rPr>
          <w:rFonts w:ascii="Calibri" w:hAnsi="Calibri" w:cs="Calibri"/>
          <w:bCs/>
          <w:u w:val="single"/>
          <w:lang w:val="en-GB"/>
        </w:rPr>
        <w:t>)</w:t>
      </w:r>
    </w:p>
    <w:p w14:paraId="40177098" w14:textId="345AE796" w:rsidR="0077499E" w:rsidRPr="0077499E" w:rsidRDefault="0077499E" w:rsidP="0077499E">
      <w:pPr>
        <w:spacing w:line="480" w:lineRule="auto"/>
        <w:ind w:firstLine="720"/>
        <w:rPr>
          <w:rFonts w:ascii="Calibri" w:hAnsi="Calibri" w:cs="Calibri"/>
          <w:bCs/>
          <w:lang w:val="en-US"/>
        </w:rPr>
      </w:pPr>
      <w:r w:rsidRPr="00483823">
        <w:rPr>
          <w:rFonts w:ascii="Calibri" w:hAnsi="Calibri" w:cs="Calibri"/>
          <w:bCs/>
          <w:iCs/>
          <w:lang w:val="en-GB"/>
        </w:rPr>
        <w:t>SCN5A encodes the major sodium</w:t>
      </w:r>
      <w:r w:rsidRPr="00C0358F">
        <w:rPr>
          <w:rFonts w:ascii="Calibri" w:hAnsi="Calibri" w:cs="Calibri"/>
          <w:bCs/>
          <w:iCs/>
          <w:lang w:val="en-GB"/>
        </w:rPr>
        <w:t xml:space="preserve"> channel expressed in the heart. Variants in SCN5A gene have been associated</w:t>
      </w:r>
      <w:r>
        <w:rPr>
          <w:rFonts w:ascii="Calibri" w:hAnsi="Calibri" w:cs="Calibri"/>
          <w:bCs/>
          <w:iCs/>
          <w:lang w:val="en-GB"/>
        </w:rPr>
        <w:t xml:space="preserve"> with</w:t>
      </w:r>
      <w:r w:rsidRPr="00C0358F">
        <w:rPr>
          <w:rFonts w:ascii="Calibri" w:hAnsi="Calibri" w:cs="Calibri"/>
          <w:bCs/>
          <w:iCs/>
          <w:lang w:val="en-GB"/>
        </w:rPr>
        <w:t xml:space="preserve"> primary arrhythmia syndromes, including the</w:t>
      </w:r>
      <w:r>
        <w:rPr>
          <w:rFonts w:ascii="Calibri" w:hAnsi="Calibri" w:cs="Calibri"/>
          <w:bCs/>
          <w:iCs/>
          <w:lang w:val="en-GB"/>
        </w:rPr>
        <w:t xml:space="preserve"> </w:t>
      </w:r>
      <w:r w:rsidRPr="00C0358F">
        <w:rPr>
          <w:rFonts w:ascii="Calibri" w:hAnsi="Calibri" w:cs="Calibri"/>
          <w:bCs/>
          <w:iCs/>
          <w:lang w:val="en-GB"/>
        </w:rPr>
        <w:t xml:space="preserve">long QT and </w:t>
      </w:r>
      <w:proofErr w:type="spellStart"/>
      <w:r w:rsidRPr="00C0358F">
        <w:rPr>
          <w:rFonts w:ascii="Calibri" w:hAnsi="Calibri" w:cs="Calibri"/>
          <w:bCs/>
          <w:iCs/>
          <w:lang w:val="en-GB"/>
        </w:rPr>
        <w:t>Brugada</w:t>
      </w:r>
      <w:proofErr w:type="spellEnd"/>
      <w:r w:rsidRPr="00C0358F">
        <w:rPr>
          <w:rFonts w:ascii="Calibri" w:hAnsi="Calibri" w:cs="Calibri"/>
          <w:bCs/>
          <w:iCs/>
          <w:lang w:val="en-GB"/>
        </w:rPr>
        <w:t xml:space="preserve"> syndromes</w:t>
      </w:r>
      <w:r>
        <w:rPr>
          <w:rFonts w:ascii="Calibri" w:hAnsi="Calibri" w:cs="Calibri"/>
          <w:bCs/>
          <w:iCs/>
          <w:lang w:val="en-GB"/>
        </w:rPr>
        <w:t xml:space="preserve"> and missense variants have been described also in familial DCM</w:t>
      </w:r>
      <w:r w:rsidRPr="00C0358F">
        <w:rPr>
          <w:rFonts w:ascii="Calibri" w:hAnsi="Calibri" w:cs="Calibri"/>
          <w:bCs/>
          <w:iCs/>
          <w:lang w:val="en-GB"/>
        </w:rPr>
        <w:t>.</w:t>
      </w:r>
      <w:r>
        <w:rPr>
          <w:rFonts w:ascii="Calibri" w:hAnsi="Calibri" w:cs="Calibri"/>
          <w:bCs/>
          <w:iCs/>
          <w:lang w:val="en-GB"/>
        </w:rPr>
        <w:t xml:space="preserve"> </w:t>
      </w:r>
      <w:r w:rsidRPr="0041574E">
        <w:rPr>
          <w:rFonts w:ascii="Calibri" w:hAnsi="Calibri" w:cs="Calibri"/>
          <w:bCs/>
          <w:i/>
          <w:iCs/>
          <w:lang w:val="en-GB"/>
        </w:rPr>
        <w:t>SCN5A</w:t>
      </w:r>
      <w:r w:rsidRPr="0041574E">
        <w:rPr>
          <w:rFonts w:ascii="Calibri" w:hAnsi="Calibri" w:cs="Calibri"/>
          <w:bCs/>
          <w:lang w:val="en-GB"/>
        </w:rPr>
        <w:t xml:space="preserve"> </w:t>
      </w:r>
      <w:r>
        <w:rPr>
          <w:rFonts w:ascii="Calibri" w:hAnsi="Calibri" w:cs="Calibri"/>
          <w:bCs/>
          <w:lang w:val="en-GB"/>
        </w:rPr>
        <w:t>variants</w:t>
      </w:r>
      <w:r w:rsidRPr="0041574E">
        <w:rPr>
          <w:rFonts w:ascii="Calibri" w:hAnsi="Calibri" w:cs="Calibri"/>
          <w:bCs/>
          <w:lang w:val="en-GB"/>
        </w:rPr>
        <w:t xml:space="preserve"> lead to various phenotypical expressions, including isolated conduction defects</w:t>
      </w:r>
      <w:r>
        <w:rPr>
          <w:rFonts w:ascii="Calibri" w:hAnsi="Calibri" w:cs="Calibri"/>
          <w:bCs/>
          <w:lang w:val="en-GB"/>
        </w:rPr>
        <w:t>, NSVT</w:t>
      </w:r>
      <w:r w:rsidRPr="0041574E">
        <w:rPr>
          <w:rFonts w:ascii="Calibri" w:hAnsi="Calibri" w:cs="Calibri"/>
          <w:bCs/>
          <w:lang w:val="en-GB"/>
        </w:rPr>
        <w:t xml:space="preserve"> and </w:t>
      </w:r>
      <w:r>
        <w:rPr>
          <w:rFonts w:ascii="Calibri" w:hAnsi="Calibri" w:cs="Calibri"/>
          <w:bCs/>
          <w:lang w:val="en-GB"/>
        </w:rPr>
        <w:t xml:space="preserve">familial, early-onset </w:t>
      </w:r>
      <w:r w:rsidRPr="0041574E">
        <w:rPr>
          <w:rFonts w:ascii="Calibri" w:hAnsi="Calibri" w:cs="Calibri"/>
          <w:bCs/>
          <w:lang w:val="en-GB"/>
        </w:rPr>
        <w:t>AF</w:t>
      </w:r>
      <w:r>
        <w:rPr>
          <w:rFonts w:ascii="Calibri" w:hAnsi="Calibri" w:cs="Calibri"/>
          <w:bCs/>
          <w:lang w:val="en-GB"/>
        </w:rPr>
        <w:t xml:space="preserve"> which may be associated with LV systolic dysfunction</w:t>
      </w:r>
      <w:r>
        <w:rPr>
          <w:rFonts w:ascii="Calibri" w:hAnsi="Calibri" w:cs="Calibri"/>
          <w:bCs/>
          <w:lang w:val="en-GB"/>
        </w:rPr>
        <w:fldChar w:fldCharType="begin" w:fldLock="1"/>
      </w:r>
      <w:r>
        <w:rPr>
          <w:rFonts w:ascii="Calibri" w:hAnsi="Calibri" w:cs="Calibri"/>
          <w:bCs/>
          <w:lang w:val="en-GB"/>
        </w:rPr>
        <w:instrText>ADDIN CSL_CITATION {"citationItems":[{"id":"ITEM-1","itemData":{"DOI":"10.1113/jphysiol.2013.256461","ISSN":"00223751","abstract":"Over the last two decades, an increasing number of SCN5A mutations have been described in patients with long QT syndrome type 3 (LQT3), Brugada syndrome, (progressive) conduction disease, sick sinus syndrome, atrial standstill, atrial fibrillation, dilated cardiomyopathy, and sudden infant death syndrome (SIDS). Combined genetic, electrophysiological and molecular studies have provided insight into the dysfunction and dysregulation of the cardiac sodium channel in the setting of SCN5A mutations identified in patients with these inherited arrhythmia syndromes. However, risk stratification and patient management is hindered by the reduced penetrance and variable disease expressivity in sodium channelopathies. Furthermore, various SCN5A-related arrhythmia syndromes are known to display mixed phenotypes, known as cardiac sodium channel overlap syndromes. Determinants of variable disease expressivity, including genetic background and environmental factors, are suspected but still largely unknown. Moreover, it has become increasingly clear that sodium channel function and regulation is more complicated than previously assumed, and the sodium channel may play additional, as of yet unrecognized roles in cardiac structure and function. Development of cardiac structural abnormalities secondary to SCN5A mutations has been reported, but the clinical relevance and underlying mechanisms are unclear. Increased insight into these issues would enable a major next step in research related to cardiac sodium channel disease, ultimately enabling improved diagnosis, risk stratification and treatment strategies","author":[{"dropping-particle":"","family":"Remme","given":"Carol Ann","non-dropping-particle":"","parse-names":false,"suffix":""}],"container-title":"Journal of Physiology","id":"ITEM-1","issued":{"date-parts":[["2013"]]},"title":"Cardiac sodium channelopathy associated with SCN5A mutations: Electrophysiological, molecular and genetic aspects","type":"article-journal"},"uris":["http://www.mendeley.com/documents/?uuid=4d94ca6e-8283-4465-9fd1-c3b9795de238","http://www.mendeley.com/documents/?uuid=ba880dfd-c404-44ae-a7f3-aa6660bd7865"]},{"id":"ITEM-2","itemData":{"DOI":"10.1016/j.jacc.2010.09.084","ISSN":"07351097","abstract":"Objectives: The aim of this study was to discern the role of the cardiac voltage-gated sodium ion channel SCN5A in the etiology of dilated cardiomyopathy (DCM). Background: Dilated cardiomyopathy associates with mutations in the SCN5A gene, but the frequency, phenotype, and causative nature of these associations remain the focus of ongoing investigation. Methods: Since 1991, DCM probands and family members have been enrolled in the Familial Cardiomyopathy Registry and extensively evaluated by clinical phenotype. Genomic deoxyribonucleic acid samples from 338 individuals among 289 DCM families were obtained and screened for SCN5A mutations by denaturing high-performance liquid chromatography and sequence analysis. Results: We identified 5 missense SCN5A mutations among our DCM families, including novel mutations E446K, F1520L, and V1279I, as well as previously reported mutations D1275N and R222Q. Of 15 SCN5A mutation carriers in our study, 14 (93%) manifested arrhythmia: supraventricular arrhythmia (13 of 15), including sick sinus syndrome (5 of 15) and atrial fibrillation (9 of 15), ventricular tachycardia (5 of 15), and conduction disease (9 of 15). Conclusions: Mutations in SCN5A were detected in 1.7% of DCM families. Two-thirds (6 of 9) of all reported DCM mutations in SCN5A localize to the highly conserved homologous S3 and S4 transmembrane segments, suggesting a shared mechanism of disruption of the voltage-sensing mechanism of this channel leading to DCM. Not surprisingly, SCN5A mutation carriers show a strong arrhythmic pattern that has clinical and diagnostic implications. © 2011 American College of Cardiology Foundation.","author":[{"dropping-particle":"","family":"McNair","given":"William P.","non-dropping-particle":"","parse-names":false,"suffix":""},{"dropping-particle":"","family":"Sinagra","given":"Gianfranco","non-dropping-particle":"","parse-names":false,"suffix":""},{"dropping-particle":"","family":"Taylor","given":"Matthew R.G.","non-dropping-particle":"","parse-names":false,"suffix":""},{"dropping-particle":"","family":"Lenarda","given":"Andrea","non-dropping-particle":"Di","parse-names":false,"suffix":""},{"dropping-particle":"","family":"Ferguson","given":"Debra A.","non-dropping-particle":"","parse-names":false,"suffix":""},{"dropping-particle":"","family":"Salcedo","given":"Ernesto E.","non-dropping-particle":"","parse-names":false,"suffix":""},{"dropping-particle":"","family":"Slavov","given":"Dobromir","non-dropping-particle":"","parse-names":false,"suffix":""},{"dropping-particle":"","family":"Zhu","given":"Xiao","non-dropping-particle":"","parse-names":false,"suffix":""},{"dropping-particle":"","family":"Caldwell","given":"John H.","non-dropping-particle":"","parse-names":false,"suffix":""},{"dropping-particle":"","family":"Mestroni","given":"Luisa","non-dropping-particle":"","parse-names":false,"suffix":""}],"container-title":"Journal of the American College of Cardiology","id":"ITEM-2","issued":{"date-parts":[["2011"]]},"title":"SCN5A mutations associate with arrhythmic dilated cardiomyopathy and commonly localize to the voltage-sensing mechanism","type":"article-journal"},"uris":["http://www.mendeley.com/documents/?uuid=8561195c-065b-4a26-bf77-8f13653d8577","http://www.mendeley.com/documents/?uuid=7d2cddc0-276e-438b-83f8-1290e81782ac"]}],"mendeley":{"formattedCitation":"&lt;sup&gt;42,43&lt;/sup&gt;","plainTextFormattedCitation":"42,43","previouslyFormattedCitation":"&lt;sup&gt;42,43&lt;/sup&gt;"},"properties":{"noteIndex":0},"schema":"https://github.com/citation-style-language/schema/raw/master/csl-citation.json"}</w:instrText>
      </w:r>
      <w:r>
        <w:rPr>
          <w:rFonts w:ascii="Calibri" w:hAnsi="Calibri" w:cs="Calibri"/>
          <w:bCs/>
          <w:lang w:val="en-GB"/>
        </w:rPr>
        <w:fldChar w:fldCharType="separate"/>
      </w:r>
      <w:r w:rsidRPr="00ED51EF">
        <w:rPr>
          <w:rFonts w:ascii="Calibri" w:hAnsi="Calibri" w:cs="Calibri"/>
          <w:bCs/>
          <w:noProof/>
          <w:vertAlign w:val="superscript"/>
          <w:lang w:val="en-GB"/>
        </w:rPr>
        <w:t>42,43</w:t>
      </w:r>
      <w:r>
        <w:rPr>
          <w:rFonts w:ascii="Calibri" w:hAnsi="Calibri" w:cs="Calibri"/>
          <w:bCs/>
          <w:lang w:val="en-GB"/>
        </w:rPr>
        <w:fldChar w:fldCharType="end"/>
      </w:r>
      <w:r w:rsidRPr="0041574E">
        <w:rPr>
          <w:rFonts w:ascii="Calibri" w:hAnsi="Calibri" w:cs="Calibri"/>
          <w:b/>
          <w:lang w:val="en-GB"/>
        </w:rPr>
        <w:t>(Figure 1D)</w:t>
      </w:r>
      <w:r w:rsidRPr="0041574E">
        <w:rPr>
          <w:rFonts w:ascii="Calibri" w:hAnsi="Calibri" w:cs="Calibri"/>
          <w:bCs/>
          <w:lang w:val="en-US"/>
        </w:rPr>
        <w:t>.</w:t>
      </w:r>
    </w:p>
    <w:p w14:paraId="2FA76A92" w14:textId="002EDA6A" w:rsidR="00023F8E" w:rsidRDefault="00D26ABD" w:rsidP="0041574E">
      <w:pPr>
        <w:spacing w:line="480" w:lineRule="auto"/>
        <w:rPr>
          <w:rFonts w:ascii="Calibri" w:hAnsi="Calibri" w:cs="Calibri"/>
          <w:bCs/>
          <w:u w:val="single"/>
          <w:lang w:val="en-GB"/>
        </w:rPr>
      </w:pPr>
      <w:proofErr w:type="spellStart"/>
      <w:r>
        <w:rPr>
          <w:rFonts w:ascii="Calibri" w:hAnsi="Calibri" w:cs="Calibri"/>
          <w:bCs/>
          <w:u w:val="single"/>
          <w:lang w:val="en-GB"/>
        </w:rPr>
        <w:t>Desmosomal</w:t>
      </w:r>
      <w:proofErr w:type="spellEnd"/>
      <w:r>
        <w:rPr>
          <w:rFonts w:ascii="Calibri" w:hAnsi="Calibri" w:cs="Calibri"/>
          <w:bCs/>
          <w:u w:val="single"/>
          <w:lang w:val="en-GB"/>
        </w:rPr>
        <w:t xml:space="preserve"> genes </w:t>
      </w:r>
    </w:p>
    <w:p w14:paraId="3E22CDB8" w14:textId="40A3C347" w:rsidR="00735367" w:rsidRPr="00735367" w:rsidRDefault="00023F8E" w:rsidP="00387A99">
      <w:pPr>
        <w:spacing w:line="480" w:lineRule="auto"/>
        <w:ind w:firstLine="720"/>
        <w:rPr>
          <w:rFonts w:ascii="Calibri" w:hAnsi="Calibri" w:cs="Calibri"/>
          <w:bCs/>
          <w:lang w:val="en-GB"/>
        </w:rPr>
      </w:pPr>
      <w:r w:rsidRPr="004570C0">
        <w:rPr>
          <w:rFonts w:ascii="Calibri" w:hAnsi="Calibri" w:cs="Calibri"/>
          <w:bCs/>
          <w:lang w:val="en-GB"/>
        </w:rPr>
        <w:t xml:space="preserve">Although </w:t>
      </w:r>
      <w:proofErr w:type="spellStart"/>
      <w:r w:rsidRPr="004570C0">
        <w:rPr>
          <w:rFonts w:ascii="Calibri" w:hAnsi="Calibri" w:cs="Calibri"/>
          <w:bCs/>
          <w:lang w:val="en-GB"/>
        </w:rPr>
        <w:t>desmosomal</w:t>
      </w:r>
      <w:proofErr w:type="spellEnd"/>
      <w:r w:rsidRPr="004570C0">
        <w:rPr>
          <w:rFonts w:ascii="Calibri" w:hAnsi="Calibri" w:cs="Calibri"/>
          <w:bCs/>
          <w:lang w:val="en-GB"/>
        </w:rPr>
        <w:t xml:space="preserve"> variants have been historically associated with </w:t>
      </w:r>
      <w:r w:rsidR="00F829AA">
        <w:rPr>
          <w:rFonts w:ascii="Calibri" w:hAnsi="Calibri" w:cs="Calibri"/>
          <w:bCs/>
          <w:lang w:val="en-GB"/>
        </w:rPr>
        <w:t>ARVC</w:t>
      </w:r>
      <w:r w:rsidRPr="004570C0">
        <w:rPr>
          <w:rFonts w:ascii="Calibri" w:hAnsi="Calibri" w:cs="Calibri"/>
          <w:bCs/>
          <w:lang w:val="en-GB"/>
        </w:rPr>
        <w:t xml:space="preserve">, </w:t>
      </w:r>
      <w:r w:rsidRPr="004570C0">
        <w:rPr>
          <w:rFonts w:ascii="Calibri" w:hAnsi="Calibri" w:cs="Calibri"/>
          <w:color w:val="2A2A2A"/>
          <w:shd w:val="clear" w:color="auto" w:fill="FFFFFF"/>
          <w:lang w:val="en-GB"/>
        </w:rPr>
        <w:t>th</w:t>
      </w:r>
      <w:r w:rsidR="00F829AA">
        <w:rPr>
          <w:rFonts w:ascii="Calibri" w:hAnsi="Calibri" w:cs="Calibri"/>
          <w:color w:val="2A2A2A"/>
          <w:shd w:val="clear" w:color="auto" w:fill="FFFFFF"/>
          <w:lang w:val="en-GB"/>
        </w:rPr>
        <w:t>is</w:t>
      </w:r>
      <w:r w:rsidRPr="004570C0">
        <w:rPr>
          <w:rFonts w:ascii="Calibri" w:hAnsi="Calibri" w:cs="Calibri"/>
          <w:color w:val="2A2A2A"/>
          <w:shd w:val="clear" w:color="auto" w:fill="FFFFFF"/>
          <w:lang w:val="en-GB"/>
        </w:rPr>
        <w:t xml:space="preserve"> disease has been</w:t>
      </w:r>
      <w:r w:rsidR="00EF1682">
        <w:rPr>
          <w:rFonts w:ascii="Calibri" w:hAnsi="Calibri" w:cs="Calibri"/>
          <w:color w:val="2A2A2A"/>
          <w:shd w:val="clear" w:color="auto" w:fill="FFFFFF"/>
          <w:lang w:val="en-GB"/>
        </w:rPr>
        <w:t xml:space="preserve"> </w:t>
      </w:r>
      <w:r w:rsidR="00EF1682" w:rsidRPr="004570C0">
        <w:rPr>
          <w:rFonts w:ascii="Calibri" w:hAnsi="Calibri" w:cs="Calibri"/>
          <w:bCs/>
          <w:lang w:val="en-GB"/>
        </w:rPr>
        <w:t>recently</w:t>
      </w:r>
      <w:r w:rsidRPr="004570C0">
        <w:rPr>
          <w:rFonts w:ascii="Calibri" w:hAnsi="Calibri" w:cs="Calibri"/>
          <w:color w:val="2A2A2A"/>
          <w:shd w:val="clear" w:color="auto" w:fill="FFFFFF"/>
          <w:lang w:val="en-GB"/>
        </w:rPr>
        <w:t xml:space="preserve"> shown to affect the left ventricle (LV) not only at the end stage </w:t>
      </w:r>
      <w:r w:rsidRPr="004570C0">
        <w:rPr>
          <w:rFonts w:ascii="Calibri" w:hAnsi="Calibri" w:cs="Calibri"/>
          <w:color w:val="2A2A2A"/>
          <w:shd w:val="clear" w:color="auto" w:fill="FFFFFF"/>
          <w:lang w:val="en-GB"/>
        </w:rPr>
        <w:lastRenderedPageBreak/>
        <w:t>but also as a primary target</w:t>
      </w:r>
      <w:r w:rsidR="00735367">
        <w:rPr>
          <w:rFonts w:ascii="Calibri" w:hAnsi="Calibri" w:cs="Calibri"/>
          <w:color w:val="2A2A2A"/>
          <w:shd w:val="clear" w:color="auto" w:fill="FFFFFF"/>
          <w:lang w:val="en-GB"/>
        </w:rPr>
        <w:fldChar w:fldCharType="begin" w:fldLock="1"/>
      </w:r>
      <w:r w:rsidR="001A2833">
        <w:rPr>
          <w:rFonts w:ascii="Calibri" w:hAnsi="Calibri" w:cs="Calibri"/>
          <w:color w:val="2A2A2A"/>
          <w:shd w:val="clear" w:color="auto" w:fill="FFFFFF"/>
          <w:lang w:val="en-GB"/>
        </w:rPr>
        <w:instrText>ADDIN CSL_CITATION {"citationItems":[{"id":"ITEM-1","itemData":{"DOI":"10.1093/ehjci/jez188","ISSN":"2047-2412","PMID":"31317183","abstract":"AIMS Myocardial scar detected by cardiovascular magnetic resonance has been associated with sudden cardiac death in dilated cardiomyopathy (DCM). Certain genetic causes of DCM may cause a malignant arrhythmogenic phenotype. The concepts of arrhythmogenic left ventricular (LV) cardiomyopathy (ALVC) and arrhythmogenic DCM are currently ill-defined. We hypothesized that a distinctive imaging phenotype defines ALVC. METHODS AND RESULTS Eighty-nine patients with DCM-associated mutations [desmoplakin (DSP) n = 25, filamin C (FLNC) n = 7, titin n = 30, lamin A/C n = 12, bcl2-associated athanogene 3 n = 3, RNA binding motif protein 20 n = 3, cardiac sodium channel NAv1.5 n = 2, and sarcomeric genes n = 7] were comprehensively phenotyped. Clustering analysis resulted in two groups: 'DSP/FLNC genotypes' and 'non-DSP/FLNC'. There were no significant differences in age, sex, symptoms, baseline electrocardiography, arrhythmia burden, or ventricular volumes between the two groups. Subepicardial LV late gadolinium enhancement with ring-like pattern (at least three contiguous segments in the same short-axis slice) was observed in 78.1% of DSP/FLNC genotypes but was absent in the other DCM genotypes (P &lt; 0.001). Left ventricular ejection fraction (LVEF) and global longitudinal strain were lower in other DCM genotypes (P = 0.053 and P = 0.015, respectively), but LV regional wall motion abnormalities were more common in DSP/FLNC genotypes (P &lt; 0.001). DSP/FLNC patients with non-sustained ventricular tachycardia (NSVT) had more LV scar (P = 0.010), whereas other DCM genotypes patients with NSVT had lower LVEF (P = 0.001) than patients without NSVT. CONCLUSION DSP/FLNC genotypes cause more regionality in LV impairment. The most defining characteristic is a subepicardial ring-like scar pattern in DSP/FLNC, which should be considered in future diagnostic criteria for ALVC.","author":[{"dropping-particle":"","family":"Augusto","given":"João B","non-dropping-particle":"","parse-names":false,"suffix":""},{"dropping-particle":"","family":"Eiros","given":"Rocio","non-dropping-particle":"","parse-names":false,"suffix":""},{"dropping-particle":"","family":"Nakou","given":"Eleni","non-dropping-particle":"","parse-names":false,"suffix":""},{"dropping-particle":"","family":"Moura-Ferreira","given":"Sara","non-dropping-particle":"","parse-names":false,"suffix":""},{"dropping-particle":"","family":"Treibel","given":"Thomas A","non-dropping-particle":"","parse-names":false,"suffix":""},{"dropping-particle":"","family":"Captur","given":"Gabriella","non-dropping-particle":"","parse-names":false,"suffix":""},{"dropping-particle":"","family":"Akhtar","given":"Mohammed A","non-dropping-particle":"","parse-names":false,"suffix":""},{"dropping-particle":"","family":"Protonotarios","given":"Alexandros","non-dropping-particle":"","parse-names":false,"suffix":""},{"dropping-particle":"","family":"Gossios","given":"Thomas D","non-dropping-particle":"","parse-names":false,"suffix":""},{"dropping-particle":"","family":"Savvatis","given":"Konstantinos","non-dropping-particle":"","parse-names":false,"suffix":""},{"dropping-particle":"","family":"Syrris","given":"Petros","non-dropping-particle":"","parse-names":false,"suffix":""},{"dropping-particle":"","family":"Mohiddin","given":"Saidi","non-dropping-particle":"","parse-names":false,"suffix":""},{"dropping-particle":"","family":"Moon","given":"James C","non-dropping-particle":"","parse-names":false,"suffix":""},{"dropping-particle":"","family":"Elliott","given":"Perry M","non-dropping-particle":"","parse-names":false,"suffix":""},{"dropping-particle":"","family":"Lopes","given":"Luis R","non-dropping-particle":"","parse-names":false,"suffix":""}],"container-title":"European heart journal cardiovascular Imaging","id":"ITEM-1","issued":{"date-parts":[["2019","7","16"]]},"title":"Dilated cardiomyopathy and arrhythmogenic left ventricular cardiomyopathy: a comprehensive genotype-imaging phenotype study.","type":"article-journal"},"uris":["http://www.mendeley.com/documents/?uuid=a054bfc2-4203-4c35-aa55-7573aec9f4ee"]},{"id":"ITEM-2","itemData":{"DOI":"10.1016/j.jacc.2019.06.072","ISSN":"1558-3597","PMID":"31514951","abstract":"BACKGROUND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Cardiology","id":"ITEM-2","issue":"11","issued":{"date-parts":[["2019","9","17"]]},"page":"1480-1490","title":"Genetic Risk of Arrhythmic Phenotypes in Patients With Dilated Cardiomyopathy.","type":"article-journal","volume":"74"},"uris":["http://www.mendeley.com/documents/?uuid=39fdd594-dfc9-434f-9394-92777b6f2a44"]}],"mendeley":{"formattedCitation":"&lt;sup&gt;8,19&lt;/sup&gt;","plainTextFormattedCitation":"8,19","previouslyFormattedCitation":"&lt;sup&gt;8,19&lt;/sup&gt;"},"properties":{"noteIndex":0},"schema":"https://github.com/citation-style-language/schema/raw/master/csl-citation.json"}</w:instrText>
      </w:r>
      <w:r w:rsidR="00735367">
        <w:rPr>
          <w:rFonts w:ascii="Calibri" w:hAnsi="Calibri" w:cs="Calibri"/>
          <w:color w:val="2A2A2A"/>
          <w:shd w:val="clear" w:color="auto" w:fill="FFFFFF"/>
          <w:lang w:val="en-GB"/>
        </w:rPr>
        <w:fldChar w:fldCharType="separate"/>
      </w:r>
      <w:r w:rsidR="001A2833" w:rsidRPr="001A2833">
        <w:rPr>
          <w:rFonts w:ascii="Calibri" w:hAnsi="Calibri" w:cs="Calibri"/>
          <w:noProof/>
          <w:color w:val="2A2A2A"/>
          <w:shd w:val="clear" w:color="auto" w:fill="FFFFFF"/>
          <w:vertAlign w:val="superscript"/>
          <w:lang w:val="en-GB"/>
        </w:rPr>
        <w:t>8,19</w:t>
      </w:r>
      <w:r w:rsidR="00735367">
        <w:rPr>
          <w:rFonts w:ascii="Calibri" w:hAnsi="Calibri" w:cs="Calibri"/>
          <w:color w:val="2A2A2A"/>
          <w:shd w:val="clear" w:color="auto" w:fill="FFFFFF"/>
          <w:lang w:val="en-GB"/>
        </w:rPr>
        <w:fldChar w:fldCharType="end"/>
      </w:r>
      <w:r w:rsidRPr="004570C0">
        <w:rPr>
          <w:rFonts w:ascii="Calibri" w:hAnsi="Calibri" w:cs="Calibri"/>
          <w:color w:val="2A2A2A"/>
          <w:shd w:val="clear" w:color="auto" w:fill="FFFFFF"/>
          <w:lang w:val="en-GB"/>
        </w:rPr>
        <w:t>.</w:t>
      </w:r>
      <w:r w:rsidR="00946158">
        <w:rPr>
          <w:rFonts w:ascii="Calibri" w:hAnsi="Calibri" w:cs="Calibri"/>
          <w:color w:val="2A2A2A"/>
          <w:shd w:val="clear" w:color="auto" w:fill="FFFFFF"/>
          <w:lang w:val="en-GB"/>
        </w:rPr>
        <w:t xml:space="preserve"> A recent study reported </w:t>
      </w:r>
      <w:proofErr w:type="spellStart"/>
      <w:r w:rsidR="00946158">
        <w:rPr>
          <w:rFonts w:ascii="Calibri" w:hAnsi="Calibri" w:cs="Calibri"/>
          <w:color w:val="2A2A2A"/>
          <w:shd w:val="clear" w:color="auto" w:fill="FFFFFF"/>
          <w:lang w:val="en-GB"/>
        </w:rPr>
        <w:t>desmosomal</w:t>
      </w:r>
      <w:proofErr w:type="spellEnd"/>
      <w:r w:rsidR="00946158">
        <w:rPr>
          <w:rFonts w:ascii="Calibri" w:hAnsi="Calibri" w:cs="Calibri"/>
          <w:color w:val="2A2A2A"/>
          <w:shd w:val="clear" w:color="auto" w:fill="FFFFFF"/>
          <w:lang w:val="en-GB"/>
        </w:rPr>
        <w:t xml:space="preserve"> genes pathogenic </w:t>
      </w:r>
      <w:r w:rsidR="006A7DFE">
        <w:rPr>
          <w:rFonts w:ascii="Calibri" w:hAnsi="Calibri" w:cs="Calibri"/>
          <w:color w:val="2A2A2A"/>
          <w:shd w:val="clear" w:color="auto" w:fill="FFFFFF"/>
          <w:lang w:val="en-GB"/>
        </w:rPr>
        <w:t>variants in 3.5% of patients with DCM</w:t>
      </w:r>
      <w:r w:rsidR="006A7DFE">
        <w:rPr>
          <w:rFonts w:ascii="Calibri" w:hAnsi="Calibri" w:cs="Calibri"/>
          <w:color w:val="2A2A2A"/>
          <w:shd w:val="clear" w:color="auto" w:fill="FFFFFF"/>
          <w:lang w:val="en-GB"/>
        </w:rPr>
        <w:fldChar w:fldCharType="begin" w:fldLock="1"/>
      </w:r>
      <w:r w:rsidR="00ED51EF">
        <w:rPr>
          <w:rFonts w:ascii="Calibri" w:hAnsi="Calibri" w:cs="Calibri"/>
          <w:color w:val="2A2A2A"/>
          <w:shd w:val="clear" w:color="auto" w:fill="FFFFFF"/>
          <w:lang w:val="en-GB"/>
        </w:rPr>
        <w:instrText>ADDIN CSL_CITATION {"citationItems":[{"id":"ITEM-1","itemData":{"DOI":"10.1016/j.jacc.2019.06.072","ISSN":"1558-3597","PMID":"31514951","abstract":"BACKGROUND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Cardiology","id":"ITEM-1","issue":"11","issued":{"date-parts":[["2019","9","17"]]},"page":"1480-1490","title":"Genetic Risk of Arrhythmic Phenotypes in Patients With Dilated Cardiomyopathy.","type":"article-journal","volume":"74"},"uris":["http://www.mendeley.com/documents/?uuid=39fdd594-dfc9-434f-9394-92777b6f2a44"]}],"mendeley":{"formattedCitation":"&lt;sup&gt;19&lt;/sup&gt;","plainTextFormattedCitation":"19","previouslyFormattedCitation":"&lt;sup&gt;19&lt;/sup&gt;"},"properties":{"noteIndex":0},"schema":"https://github.com/citation-style-language/schema/raw/master/csl-citation.json"}</w:instrText>
      </w:r>
      <w:r w:rsidR="006A7DFE">
        <w:rPr>
          <w:rFonts w:ascii="Calibri" w:hAnsi="Calibri" w:cs="Calibri"/>
          <w:color w:val="2A2A2A"/>
          <w:shd w:val="clear" w:color="auto" w:fill="FFFFFF"/>
          <w:lang w:val="en-GB"/>
        </w:rPr>
        <w:fldChar w:fldCharType="separate"/>
      </w:r>
      <w:r w:rsidR="006A7DFE" w:rsidRPr="006A7DFE">
        <w:rPr>
          <w:rFonts w:ascii="Calibri" w:hAnsi="Calibri" w:cs="Calibri"/>
          <w:noProof/>
          <w:color w:val="2A2A2A"/>
          <w:shd w:val="clear" w:color="auto" w:fill="FFFFFF"/>
          <w:vertAlign w:val="superscript"/>
          <w:lang w:val="en-GB"/>
        </w:rPr>
        <w:t>19</w:t>
      </w:r>
      <w:r w:rsidR="006A7DFE">
        <w:rPr>
          <w:rFonts w:ascii="Calibri" w:hAnsi="Calibri" w:cs="Calibri"/>
          <w:color w:val="2A2A2A"/>
          <w:shd w:val="clear" w:color="auto" w:fill="FFFFFF"/>
          <w:lang w:val="en-GB"/>
        </w:rPr>
        <w:fldChar w:fldCharType="end"/>
      </w:r>
      <w:r w:rsidR="006A7DFE">
        <w:rPr>
          <w:rFonts w:ascii="Calibri" w:hAnsi="Calibri" w:cs="Calibri"/>
          <w:color w:val="2A2A2A"/>
          <w:shd w:val="clear" w:color="auto" w:fill="FFFFFF"/>
          <w:lang w:val="en-GB"/>
        </w:rPr>
        <w:t>.</w:t>
      </w:r>
      <w:r w:rsidRPr="004570C0">
        <w:rPr>
          <w:rFonts w:ascii="Calibri" w:hAnsi="Calibri" w:cs="Calibri"/>
          <w:color w:val="2A2A2A"/>
          <w:shd w:val="clear" w:color="auto" w:fill="FFFFFF"/>
          <w:lang w:val="en-GB"/>
        </w:rPr>
        <w:t xml:space="preserve"> </w:t>
      </w:r>
      <w:r w:rsidR="00E125E2" w:rsidRPr="004570C0">
        <w:rPr>
          <w:rFonts w:ascii="Calibri" w:hAnsi="Calibri" w:cs="Calibri"/>
          <w:color w:val="2A2A2A"/>
          <w:shd w:val="clear" w:color="auto" w:fill="FFFFFF"/>
          <w:lang w:val="en-GB"/>
        </w:rPr>
        <w:t>The ECG in patients harbouring v</w:t>
      </w:r>
      <w:r w:rsidR="00A32167" w:rsidRPr="004570C0">
        <w:rPr>
          <w:rFonts w:ascii="Calibri" w:hAnsi="Calibri" w:cs="Calibri"/>
          <w:color w:val="2A2A2A"/>
          <w:shd w:val="clear" w:color="auto" w:fill="FFFFFF"/>
          <w:lang w:val="en-GB"/>
        </w:rPr>
        <w:t xml:space="preserve">ariants in </w:t>
      </w:r>
      <w:proofErr w:type="spellStart"/>
      <w:r w:rsidR="00A32167" w:rsidRPr="004570C0">
        <w:rPr>
          <w:rFonts w:ascii="Calibri" w:hAnsi="Calibri" w:cs="Calibri"/>
          <w:bCs/>
          <w:lang w:val="en-GB"/>
        </w:rPr>
        <w:t>d</w:t>
      </w:r>
      <w:r w:rsidRPr="004570C0">
        <w:rPr>
          <w:rFonts w:ascii="Calibri" w:hAnsi="Calibri" w:cs="Calibri"/>
          <w:bCs/>
          <w:lang w:val="en-GB"/>
        </w:rPr>
        <w:t>esmo</w:t>
      </w:r>
      <w:r w:rsidR="00D26ABD">
        <w:rPr>
          <w:rFonts w:ascii="Calibri" w:hAnsi="Calibri" w:cs="Calibri"/>
          <w:bCs/>
          <w:lang w:val="en-GB"/>
        </w:rPr>
        <w:t>somal</w:t>
      </w:r>
      <w:proofErr w:type="spellEnd"/>
      <w:r w:rsidR="00E125E2" w:rsidRPr="004570C0">
        <w:rPr>
          <w:rFonts w:ascii="Calibri" w:hAnsi="Calibri" w:cs="Calibri"/>
          <w:bCs/>
          <w:lang w:val="en-GB"/>
        </w:rPr>
        <w:t xml:space="preserve"> gene</w:t>
      </w:r>
      <w:r w:rsidR="00D26ABD">
        <w:rPr>
          <w:rFonts w:ascii="Calibri" w:hAnsi="Calibri" w:cs="Calibri"/>
          <w:bCs/>
          <w:lang w:val="en-GB"/>
        </w:rPr>
        <w:t>s</w:t>
      </w:r>
      <w:r w:rsidR="00A32167" w:rsidRPr="004570C0">
        <w:rPr>
          <w:rFonts w:ascii="Calibri" w:hAnsi="Calibri" w:cs="Calibri"/>
          <w:bCs/>
          <w:lang w:val="en-GB"/>
        </w:rPr>
        <w:t xml:space="preserve"> </w:t>
      </w:r>
      <w:r w:rsidR="00D26ABD">
        <w:rPr>
          <w:rFonts w:ascii="Calibri" w:hAnsi="Calibri" w:cs="Calibri"/>
          <w:bCs/>
          <w:lang w:val="en-GB"/>
        </w:rPr>
        <w:t>may be</w:t>
      </w:r>
      <w:r w:rsidR="00E125E2" w:rsidRPr="004570C0">
        <w:rPr>
          <w:rFonts w:ascii="Calibri" w:hAnsi="Calibri" w:cs="Calibri"/>
          <w:bCs/>
          <w:lang w:val="en-GB"/>
        </w:rPr>
        <w:t xml:space="preserve"> characterized by </w:t>
      </w:r>
      <w:r w:rsidR="00A32167" w:rsidRPr="004570C0">
        <w:rPr>
          <w:rFonts w:ascii="Calibri" w:hAnsi="Calibri" w:cs="Calibri"/>
          <w:bCs/>
          <w:lang w:val="en-GB"/>
        </w:rPr>
        <w:t xml:space="preserve">low </w:t>
      </w:r>
      <w:r w:rsidR="00E125E2" w:rsidRPr="004570C0">
        <w:rPr>
          <w:rFonts w:ascii="Calibri" w:hAnsi="Calibri" w:cs="Calibri"/>
          <w:bCs/>
          <w:lang w:val="en-GB"/>
        </w:rPr>
        <w:t>voltages on both limb and precordial leads</w:t>
      </w:r>
      <w:r w:rsidR="00A32167" w:rsidRPr="004570C0">
        <w:rPr>
          <w:rFonts w:ascii="Calibri" w:hAnsi="Calibri" w:cs="Calibri"/>
          <w:bCs/>
          <w:lang w:val="en-GB"/>
        </w:rPr>
        <w:t>, delayed ventricular</w:t>
      </w:r>
      <w:r w:rsidR="00E125E2" w:rsidRPr="004570C0">
        <w:rPr>
          <w:rFonts w:ascii="Calibri" w:hAnsi="Calibri" w:cs="Calibri"/>
          <w:color w:val="2A2A2A"/>
          <w:shd w:val="clear" w:color="auto" w:fill="FFFFFF"/>
          <w:lang w:val="en-GB"/>
        </w:rPr>
        <w:t xml:space="preserve"> </w:t>
      </w:r>
      <w:r w:rsidR="00A32167" w:rsidRPr="004570C0">
        <w:rPr>
          <w:rFonts w:ascii="Calibri" w:hAnsi="Calibri" w:cs="Calibri"/>
          <w:bCs/>
          <w:lang w:val="en-GB"/>
        </w:rPr>
        <w:t xml:space="preserve">depolarization </w:t>
      </w:r>
      <w:r w:rsidR="00E125E2" w:rsidRPr="004570C0">
        <w:rPr>
          <w:rFonts w:ascii="Calibri" w:hAnsi="Calibri" w:cs="Calibri"/>
          <w:bCs/>
          <w:lang w:val="en-GB"/>
        </w:rPr>
        <w:t>and repolarization abnormalities including TWI that may extend to the lateral leads (V5-V6)</w:t>
      </w:r>
      <w:r w:rsidR="00D26ABD">
        <w:rPr>
          <w:rFonts w:ascii="Calibri" w:hAnsi="Calibri" w:cs="Calibri"/>
          <w:bCs/>
          <w:lang w:val="en-GB"/>
        </w:rPr>
        <w:fldChar w:fldCharType="begin" w:fldLock="1"/>
      </w:r>
      <w:r w:rsidR="00083BAF">
        <w:rPr>
          <w:rFonts w:ascii="Calibri" w:hAnsi="Calibri" w:cs="Calibri"/>
          <w:bCs/>
          <w:lang w:val="en-GB"/>
        </w:rPr>
        <w:instrText>ADDIN CSL_CITATION {"citationItems":[{"id":"ITEM-1","itemData":{"DOI":"10.1093/europace/euy179","ISSN":"1532-2092","PMID":"30169617","abstract":"Aims To characterize the most common electrocardiographic (ECG) abnormalities in patients with arrhythmogenic right ventricular cardiomyopathy (ARVC), including anterior T-wave inversion (TWI) and to compare the characteristics of TWI in patients with ARVC and in a cohort of young healthy athletes and sedentary individuals. Methods and results The study population consisted of 162 patients with a definite diagnosis of ARVC and 129 young controls with anterior TWI. Cardiac disease was excluded in all controls after a comprehensive diagnostic work-up. The ECG was abnormal in 131 patients with ARVC (81%). Abnormalities included anterior TWI (n = 82, 51%), QRS duration ratio V2:V5 &gt;1.2 (n = 51, 31%), prolonged terminal S wave activation duration in V2 &gt;55 ms (n = 42, 26%), inferior TWI (n = 30, 18%), and lateral TWI (n = 26, 16%). The J-point preceding anterior TWI was &lt;0.1 mV in 80/82 (98%) patients with ARVC and in 98 (76%) controls. Among the ARVC patients with anterior TWI, 62 (77%) showed at least one additional abnormal feature, most commonly QRS duration ratio V2:V5 &gt; 1.2 (52%) and inferior or lateral TWI (47%). Conclusion The ECG is frequently abnormal in patients with ARVC and anterior TWI is the most common feature. Anterior TWI is usually accompanied by other abnormalities in ARVC, which are uncommon in healthy individuals. J point &lt;0.1 mV preceding anterior TWI is not specific to ARVC and is observed in the majority of healthy individuals, including athletes, indicating a limited role for differentiating physiology or normal variants from ARVC.","author":[{"dropping-particle":"","family":"Finocchiaro","given":"Gherardo","non-dropping-particle":"","parse-names":false,"suffix":""},{"dropping-particle":"","family":"Papadakis","given":"Michael","non-dropping-particle":"","parse-names":false,"suffix":""},{"dropping-particle":"","family":"Dhutia","given":"Harshil","non-dropping-particle":"","parse-names":false,"suffix":""},{"dropping-particle":"","family":"Zaidi","given":"Abbas","non-dropping-particle":"","parse-names":false,"suffix":""},{"dropping-particle":"","family":"Malhotra","given":"Aneil","non-dropping-particle":"","parse-names":false,"suffix":""},{"dropping-particle":"","family":"Fabi","given":"Elena","non-dropping-particle":"","parse-names":false,"suffix":""},{"dropping-particle":"","family":"Cappelletto","given":"Chiara","non-dropping-particle":"","parse-names":false,"suffix":""},{"dropping-particle":"","family":"Brook","given":"Joe","non-dropping-particle":"","parse-names":false,"suffix":""},{"dropping-particle":"","family":"Papatheodorou","given":"Efstathios","non-dropping-particle":"","parse-names":false,"suffix":""},{"dropping-particle":"","family":"Ensam","given":"Bode","non-dropping-particle":"","parse-names":false,"suffix":""},{"dropping-particle":"","family":"Miles","given":"Christopher J","non-dropping-particle":"","parse-names":false,"suffix":""},{"dropping-particle":"","family":"Bastiaenen","given":"Rachel","non-dropping-particle":"","parse-names":false,"suffix":""},{"dropping-particle":"","family":"Attard","given":"Virginia","non-dropping-particle":"","parse-names":false,"suffix":""},{"dropping-particle":"","family":"Homfray","given":"Tessa","non-dropping-particle":"","parse-names":false,"suffix":""},{"dropping-particle":"","family":"Sharma","given":"Rajan","non-dropping-particle":"","parse-names":false,"suffix":""},{"dropping-particle":"","family":"Tome","given":"Maite","non-dropping-particle":"","parse-names":false,"suffix":""},{"dropping-particle":"","family":"Carr-White","given":"Gerald","non-dropping-particle":"","parse-names":false,"suffix":""},{"dropping-particle":"","family":"Merlo","given":"Marco","non-dropping-particle":"","parse-names":false,"suffix":""},{"dropping-particle":"","family":"Behr","given":"Elijah R","non-dropping-particle":"","parse-names":false,"suffix":""},{"dropping-particle":"","family":"Sinagra","given":"Gianfranco","non-dropping-particle":"","parse-names":false,"suffix":""},{"dropping-particle":"","family":"Sharma","given":"Sanjay","non-dropping-particle":"","parse-names":false,"suffix":""}],"container-title":"Europace : European pacing, arrhythmias, and cardiac electrophysiology : journal of the working groups on cardiac pacing, arrhythmias, and cardiac cellular electrophysiology of the European Society of Cardiology","id":"ITEM-1","issued":{"date-parts":[["2018","8","29"]]},"title":"Electrocardiographic differentiation between 'benign T-wave inversion' and arrhythmogenic right ventricular cardiomyopathy.","type":"article-journal"},"uris":["http://www.mendeley.com/documents/?uuid=47c15bac-d966-4e06-a42f-9ac4945b81e2"]}],"mendeley":{"formattedCitation":"&lt;sup&gt;39&lt;/sup&gt;","plainTextFormattedCitation":"39","previouslyFormattedCitation":"&lt;sup&gt;39&lt;/sup&gt;"},"properties":{"noteIndex":0},"schema":"https://github.com/citation-style-language/schema/raw/master/csl-citation.json"}</w:instrText>
      </w:r>
      <w:r w:rsidR="00D26ABD">
        <w:rPr>
          <w:rFonts w:ascii="Calibri" w:hAnsi="Calibri" w:cs="Calibri"/>
          <w:bCs/>
          <w:lang w:val="en-GB"/>
        </w:rPr>
        <w:fldChar w:fldCharType="separate"/>
      </w:r>
      <w:r w:rsidR="00ED51EF" w:rsidRPr="00ED51EF">
        <w:rPr>
          <w:rFonts w:ascii="Calibri" w:hAnsi="Calibri" w:cs="Calibri"/>
          <w:bCs/>
          <w:noProof/>
          <w:vertAlign w:val="superscript"/>
          <w:lang w:val="en-GB"/>
        </w:rPr>
        <w:t>39</w:t>
      </w:r>
      <w:r w:rsidR="00D26ABD">
        <w:rPr>
          <w:rFonts w:ascii="Calibri" w:hAnsi="Calibri" w:cs="Calibri"/>
          <w:bCs/>
          <w:lang w:val="en-GB"/>
        </w:rPr>
        <w:fldChar w:fldCharType="end"/>
      </w:r>
      <w:r w:rsidR="00E04E06">
        <w:rPr>
          <w:rFonts w:ascii="Calibri" w:hAnsi="Calibri" w:cs="Calibri"/>
          <w:bCs/>
          <w:lang w:val="en-GB"/>
        </w:rPr>
        <w:t xml:space="preserve"> </w:t>
      </w:r>
      <w:r w:rsidR="00E04E06" w:rsidRPr="00E04E06">
        <w:rPr>
          <w:rFonts w:ascii="Calibri" w:hAnsi="Calibri" w:cs="Calibri"/>
          <w:b/>
          <w:bCs/>
          <w:lang w:val="en-GB"/>
        </w:rPr>
        <w:t>(Figure 2).</w:t>
      </w:r>
      <w:r w:rsidR="003A4AFD">
        <w:rPr>
          <w:rFonts w:ascii="Calibri" w:hAnsi="Calibri" w:cs="Calibri"/>
          <w:b/>
          <w:bCs/>
          <w:lang w:val="en-GB"/>
        </w:rPr>
        <w:t xml:space="preserve"> </w:t>
      </w:r>
      <w:r w:rsidR="003A4AFD">
        <w:rPr>
          <w:rFonts w:ascii="Calibri" w:hAnsi="Calibri" w:cs="Calibri"/>
          <w:bCs/>
          <w:lang w:val="en-GB"/>
        </w:rPr>
        <w:t xml:space="preserve">Low voltages are due to the typical subepicardial distribution of fibrofatty replacement within the LV, often circumferential, preventing electrical transmission from the inner layers. </w:t>
      </w:r>
      <w:r w:rsidR="00735367" w:rsidRPr="001958CC">
        <w:rPr>
          <w:rFonts w:ascii="Calibri" w:hAnsi="Calibri" w:cs="Calibri"/>
          <w:bCs/>
          <w:lang w:val="en-GB"/>
        </w:rPr>
        <w:t>Patients</w:t>
      </w:r>
      <w:r w:rsidR="00735367">
        <w:rPr>
          <w:rFonts w:ascii="Calibri" w:hAnsi="Calibri" w:cs="Calibri"/>
          <w:bCs/>
          <w:lang w:val="en-GB"/>
        </w:rPr>
        <w:t xml:space="preserve"> with DCM</w:t>
      </w:r>
      <w:r w:rsidR="00735367" w:rsidRPr="001958CC">
        <w:rPr>
          <w:rFonts w:ascii="Calibri" w:hAnsi="Calibri" w:cs="Calibri"/>
          <w:bCs/>
          <w:lang w:val="en-GB"/>
        </w:rPr>
        <w:t xml:space="preserve"> </w:t>
      </w:r>
      <w:r w:rsidR="00735367">
        <w:rPr>
          <w:rFonts w:ascii="Calibri" w:hAnsi="Calibri" w:cs="Calibri"/>
          <w:bCs/>
          <w:lang w:val="en-GB"/>
        </w:rPr>
        <w:t>harbouring</w:t>
      </w:r>
      <w:r w:rsidR="00735367" w:rsidRPr="001958CC">
        <w:rPr>
          <w:rFonts w:ascii="Calibri" w:hAnsi="Calibri" w:cs="Calibri"/>
          <w:bCs/>
          <w:lang w:val="en-GB"/>
        </w:rPr>
        <w:t xml:space="preserve"> desmosome gene variants </w:t>
      </w:r>
      <w:r w:rsidR="00735367">
        <w:rPr>
          <w:rFonts w:ascii="Calibri" w:hAnsi="Calibri" w:cs="Calibri"/>
          <w:bCs/>
          <w:lang w:val="en-GB"/>
        </w:rPr>
        <w:t>often develop</w:t>
      </w:r>
      <w:r w:rsidR="00735367" w:rsidRPr="001958CC">
        <w:rPr>
          <w:rFonts w:ascii="Calibri" w:hAnsi="Calibri" w:cs="Calibri"/>
          <w:bCs/>
          <w:lang w:val="en-GB"/>
        </w:rPr>
        <w:t xml:space="preserve"> ventricular arrhythmia</w:t>
      </w:r>
      <w:r w:rsidR="00735367">
        <w:rPr>
          <w:rFonts w:ascii="Calibri" w:hAnsi="Calibri" w:cs="Calibri"/>
          <w:bCs/>
          <w:lang w:val="en-GB"/>
        </w:rPr>
        <w:t>s</w:t>
      </w:r>
      <w:r w:rsidR="00735367" w:rsidRPr="001958CC">
        <w:rPr>
          <w:rFonts w:ascii="Calibri" w:hAnsi="Calibri" w:cs="Calibri"/>
          <w:bCs/>
          <w:lang w:val="en-GB"/>
        </w:rPr>
        <w:t xml:space="preserve"> and</w:t>
      </w:r>
      <w:r w:rsidR="00735367">
        <w:rPr>
          <w:rFonts w:ascii="Calibri" w:hAnsi="Calibri" w:cs="Calibri"/>
          <w:bCs/>
          <w:lang w:val="en-GB"/>
        </w:rPr>
        <w:t xml:space="preserve"> are</w:t>
      </w:r>
      <w:r w:rsidR="00735367" w:rsidRPr="001958CC">
        <w:rPr>
          <w:rFonts w:ascii="Calibri" w:hAnsi="Calibri" w:cs="Calibri"/>
          <w:bCs/>
          <w:lang w:val="en-GB"/>
        </w:rPr>
        <w:t xml:space="preserve"> </w:t>
      </w:r>
      <w:r w:rsidR="00735367">
        <w:rPr>
          <w:rFonts w:ascii="Calibri" w:hAnsi="Calibri" w:cs="Calibri"/>
          <w:bCs/>
          <w:lang w:val="en-GB"/>
        </w:rPr>
        <w:t>at</w:t>
      </w:r>
      <w:r w:rsidR="00735367" w:rsidRPr="001958CC">
        <w:rPr>
          <w:rFonts w:ascii="Calibri" w:hAnsi="Calibri" w:cs="Calibri"/>
          <w:bCs/>
          <w:lang w:val="en-GB"/>
        </w:rPr>
        <w:t xml:space="preserve"> risk of sudden cardiac death</w:t>
      </w:r>
      <w:r w:rsidR="00735367">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Cardiology","id":"ITEM-1","issue":"11","issued":{"date-parts":[["2019","9","17"]]},"page":"1480-1490","title":"Genetic Risk of Arrhythmic Phenotypes in Patients With Dilated Cardiomyopathy.","type":"article-journal","volume":"74"},"uris":["http://www.mendeley.com/documents/?uuid=39fdd594-dfc9-434f-9394-92777b6f2a44"]}],"mendeley":{"formattedCitation":"&lt;sup&gt;19&lt;/sup&gt;","plainTextFormattedCitation":"19","previouslyFormattedCitation":"&lt;sup&gt;19&lt;/sup&gt;"},"properties":{"noteIndex":0},"schema":"https://github.com/citation-style-language/schema/raw/master/csl-citation.json"}</w:instrText>
      </w:r>
      <w:r w:rsidR="00735367">
        <w:rPr>
          <w:rFonts w:ascii="Calibri" w:hAnsi="Calibri" w:cs="Calibri"/>
          <w:bCs/>
          <w:lang w:val="en-GB"/>
        </w:rPr>
        <w:fldChar w:fldCharType="separate"/>
      </w:r>
      <w:r w:rsidR="001A2833" w:rsidRPr="001A2833">
        <w:rPr>
          <w:rFonts w:ascii="Calibri" w:hAnsi="Calibri" w:cs="Calibri"/>
          <w:bCs/>
          <w:noProof/>
          <w:vertAlign w:val="superscript"/>
          <w:lang w:val="en-GB"/>
        </w:rPr>
        <w:t>19</w:t>
      </w:r>
      <w:r w:rsidR="00735367">
        <w:rPr>
          <w:rFonts w:ascii="Calibri" w:hAnsi="Calibri" w:cs="Calibri"/>
          <w:bCs/>
          <w:lang w:val="en-GB"/>
        </w:rPr>
        <w:fldChar w:fldCharType="end"/>
      </w:r>
      <w:r w:rsidR="00735367" w:rsidRPr="001958CC">
        <w:rPr>
          <w:rFonts w:ascii="Calibri" w:hAnsi="Calibri" w:cs="Calibri"/>
          <w:bCs/>
          <w:lang w:val="en-GB"/>
        </w:rPr>
        <w:t>.</w:t>
      </w:r>
    </w:p>
    <w:p w14:paraId="5F4BECCE" w14:textId="27BAA398" w:rsidR="00FA12D0" w:rsidRDefault="0034762D" w:rsidP="00735367">
      <w:pPr>
        <w:spacing w:line="480" w:lineRule="auto"/>
        <w:rPr>
          <w:rFonts w:ascii="Calibri" w:hAnsi="Calibri" w:cs="Calibri"/>
          <w:color w:val="2A2A2A"/>
          <w:u w:val="single"/>
          <w:shd w:val="clear" w:color="auto" w:fill="FFFFFF"/>
          <w:lang w:val="en-GB"/>
        </w:rPr>
      </w:pPr>
      <w:r w:rsidRPr="004570C0">
        <w:rPr>
          <w:rFonts w:ascii="Calibri" w:hAnsi="Calibri" w:cs="Calibri"/>
          <w:color w:val="2A2A2A"/>
          <w:u w:val="single"/>
          <w:shd w:val="clear" w:color="auto" w:fill="FFFFFF"/>
          <w:lang w:val="en-GB"/>
        </w:rPr>
        <w:t>RNA-bi</w:t>
      </w:r>
      <w:r w:rsidRPr="0034762D">
        <w:rPr>
          <w:rFonts w:ascii="Calibri" w:hAnsi="Calibri" w:cs="Calibri"/>
          <w:color w:val="2A2A2A"/>
          <w:u w:val="single"/>
          <w:shd w:val="clear" w:color="auto" w:fill="FFFFFF"/>
          <w:lang w:val="en-GB"/>
        </w:rPr>
        <w:t xml:space="preserve">nding motif 20 </w:t>
      </w:r>
      <w:r>
        <w:rPr>
          <w:rFonts w:ascii="Calibri" w:hAnsi="Calibri" w:cs="Calibri"/>
          <w:color w:val="2A2A2A"/>
          <w:u w:val="single"/>
          <w:shd w:val="clear" w:color="auto" w:fill="FFFFFF"/>
          <w:lang w:val="en-GB"/>
        </w:rPr>
        <w:t>(</w:t>
      </w:r>
      <w:r w:rsidR="00FA12D0" w:rsidRPr="00FA12D0">
        <w:rPr>
          <w:rFonts w:ascii="Calibri" w:hAnsi="Calibri" w:cs="Calibri"/>
          <w:color w:val="2A2A2A"/>
          <w:u w:val="single"/>
          <w:shd w:val="clear" w:color="auto" w:fill="FFFFFF"/>
          <w:lang w:val="en-GB"/>
        </w:rPr>
        <w:t>RBM20</w:t>
      </w:r>
      <w:r>
        <w:rPr>
          <w:rFonts w:ascii="Calibri" w:hAnsi="Calibri" w:cs="Calibri"/>
          <w:color w:val="2A2A2A"/>
          <w:u w:val="single"/>
          <w:shd w:val="clear" w:color="auto" w:fill="FFFFFF"/>
          <w:lang w:val="en-GB"/>
        </w:rPr>
        <w:t>)</w:t>
      </w:r>
    </w:p>
    <w:p w14:paraId="3191C0A9" w14:textId="1B1862C8" w:rsidR="0034762D" w:rsidRDefault="0034762D" w:rsidP="00227823">
      <w:pPr>
        <w:spacing w:line="480" w:lineRule="auto"/>
        <w:rPr>
          <w:rFonts w:ascii="Calibri" w:hAnsi="Calibri" w:cs="Calibri"/>
          <w:color w:val="2A2A2A"/>
          <w:shd w:val="clear" w:color="auto" w:fill="FFFFFF"/>
          <w:lang w:val="en-GB"/>
        </w:rPr>
      </w:pPr>
      <w:r w:rsidRPr="0034762D">
        <w:rPr>
          <w:rFonts w:ascii="Calibri" w:hAnsi="Calibri" w:cs="Calibri"/>
          <w:color w:val="2A2A2A"/>
          <w:shd w:val="clear" w:color="auto" w:fill="FFFFFF"/>
          <w:lang w:val="en-GB"/>
        </w:rPr>
        <w:tab/>
        <w:t>RBM20 is an RNA binding protein</w:t>
      </w:r>
      <w:r>
        <w:rPr>
          <w:rFonts w:ascii="Calibri" w:hAnsi="Calibri" w:cs="Calibri"/>
          <w:color w:val="2A2A2A"/>
          <w:shd w:val="clear" w:color="auto" w:fill="FFFFFF"/>
          <w:lang w:val="en-GB"/>
        </w:rPr>
        <w:t xml:space="preserve"> </w:t>
      </w:r>
      <w:r w:rsidRPr="0034762D">
        <w:rPr>
          <w:rFonts w:ascii="Calibri" w:hAnsi="Calibri" w:cs="Calibri"/>
          <w:color w:val="2A2A2A"/>
          <w:shd w:val="clear" w:color="auto" w:fill="FFFFFF"/>
          <w:lang w:val="en-GB"/>
        </w:rPr>
        <w:t>expressed</w:t>
      </w:r>
      <w:r>
        <w:rPr>
          <w:rFonts w:ascii="Calibri" w:hAnsi="Calibri" w:cs="Calibri"/>
          <w:color w:val="2A2A2A"/>
          <w:shd w:val="clear" w:color="auto" w:fill="FFFFFF"/>
          <w:lang w:val="en-GB"/>
        </w:rPr>
        <w:t xml:space="preserve"> </w:t>
      </w:r>
      <w:r w:rsidRPr="0034762D">
        <w:rPr>
          <w:rFonts w:ascii="Calibri" w:hAnsi="Calibri" w:cs="Calibri"/>
          <w:color w:val="2A2A2A"/>
          <w:shd w:val="clear" w:color="auto" w:fill="FFFFFF"/>
          <w:lang w:val="en-GB"/>
        </w:rPr>
        <w:t>highly in both atria and ventricle involved in alternative</w:t>
      </w:r>
      <w:r>
        <w:rPr>
          <w:rFonts w:ascii="Calibri" w:hAnsi="Calibri" w:cs="Calibri"/>
          <w:color w:val="2A2A2A"/>
          <w:shd w:val="clear" w:color="auto" w:fill="FFFFFF"/>
          <w:lang w:val="en-GB"/>
        </w:rPr>
        <w:t xml:space="preserve"> </w:t>
      </w:r>
      <w:r w:rsidRPr="0034762D">
        <w:rPr>
          <w:rFonts w:ascii="Calibri" w:hAnsi="Calibri" w:cs="Calibri"/>
          <w:color w:val="2A2A2A"/>
          <w:shd w:val="clear" w:color="auto" w:fill="FFFFFF"/>
          <w:lang w:val="en-GB"/>
        </w:rPr>
        <w:t xml:space="preserve">splicing process. DCM </w:t>
      </w:r>
      <w:r w:rsidR="00E665C4">
        <w:rPr>
          <w:rFonts w:ascii="Calibri" w:hAnsi="Calibri" w:cs="Calibri"/>
          <w:color w:val="2A2A2A"/>
          <w:shd w:val="clear" w:color="auto" w:fill="FFFFFF"/>
          <w:lang w:val="en-GB"/>
        </w:rPr>
        <w:t>in</w:t>
      </w:r>
      <w:r w:rsidRPr="0034762D">
        <w:rPr>
          <w:rFonts w:ascii="Calibri" w:hAnsi="Calibri" w:cs="Calibri"/>
          <w:color w:val="2A2A2A"/>
          <w:shd w:val="clear" w:color="auto" w:fill="FFFFFF"/>
          <w:lang w:val="en-GB"/>
        </w:rPr>
        <w:t xml:space="preserve"> RBM20 </w:t>
      </w:r>
      <w:r w:rsidR="00E665C4">
        <w:rPr>
          <w:rFonts w:ascii="Calibri" w:hAnsi="Calibri" w:cs="Calibri"/>
          <w:color w:val="2A2A2A"/>
          <w:shd w:val="clear" w:color="auto" w:fill="FFFFFF"/>
          <w:lang w:val="en-GB"/>
        </w:rPr>
        <w:t>variant</w:t>
      </w:r>
      <w:r w:rsidRPr="0034762D">
        <w:rPr>
          <w:rFonts w:ascii="Calibri" w:hAnsi="Calibri" w:cs="Calibri"/>
          <w:color w:val="2A2A2A"/>
          <w:shd w:val="clear" w:color="auto" w:fill="FFFFFF"/>
          <w:lang w:val="en-GB"/>
        </w:rPr>
        <w:t>s is frequently associated</w:t>
      </w:r>
      <w:r>
        <w:rPr>
          <w:rFonts w:ascii="Calibri" w:hAnsi="Calibri" w:cs="Calibri"/>
          <w:color w:val="2A2A2A"/>
          <w:shd w:val="clear" w:color="auto" w:fill="FFFFFF"/>
          <w:lang w:val="en-GB"/>
        </w:rPr>
        <w:t xml:space="preserve"> </w:t>
      </w:r>
      <w:r w:rsidRPr="0034762D">
        <w:rPr>
          <w:rFonts w:ascii="Calibri" w:hAnsi="Calibri" w:cs="Calibri"/>
          <w:color w:val="2A2A2A"/>
          <w:shd w:val="clear" w:color="auto" w:fill="FFFFFF"/>
          <w:lang w:val="en-GB"/>
        </w:rPr>
        <w:t>with early onset, severe heart failure, and arrhythmic potential</w:t>
      </w:r>
      <w:r w:rsidR="000A12BC">
        <w:rPr>
          <w:rFonts w:ascii="Calibri" w:hAnsi="Calibri" w:cs="Calibri"/>
          <w:color w:val="2A2A2A"/>
          <w:shd w:val="clear" w:color="auto" w:fill="FFFFFF"/>
          <w:lang w:val="en-GB"/>
        </w:rPr>
        <w:fldChar w:fldCharType="begin" w:fldLock="1"/>
      </w:r>
      <w:r w:rsidR="00561592">
        <w:rPr>
          <w:rFonts w:ascii="Calibri" w:hAnsi="Calibri" w:cs="Calibri"/>
          <w:color w:val="2A2A2A"/>
          <w:shd w:val="clear" w:color="auto" w:fill="FFFFFF"/>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64f8d3f5-9841-461f-affa-396133521174"]}],"mendeley":{"formattedCitation":"&lt;sup&gt;1&lt;/sup&gt;","plainTextFormattedCitation":"1","previouslyFormattedCitation":"&lt;sup&gt;1&lt;/sup&gt;"},"properties":{"noteIndex":0},"schema":"https://github.com/citation-style-language/schema/raw/master/csl-citation.json"}</w:instrText>
      </w:r>
      <w:r w:rsidR="000A12BC">
        <w:rPr>
          <w:rFonts w:ascii="Calibri" w:hAnsi="Calibri" w:cs="Calibri"/>
          <w:color w:val="2A2A2A"/>
          <w:shd w:val="clear" w:color="auto" w:fill="FFFFFF"/>
          <w:lang w:val="en-GB"/>
        </w:rPr>
        <w:fldChar w:fldCharType="separate"/>
      </w:r>
      <w:r w:rsidR="00326362" w:rsidRPr="00326362">
        <w:rPr>
          <w:rFonts w:ascii="Calibri" w:hAnsi="Calibri" w:cs="Calibri"/>
          <w:noProof/>
          <w:color w:val="2A2A2A"/>
          <w:shd w:val="clear" w:color="auto" w:fill="FFFFFF"/>
          <w:vertAlign w:val="superscript"/>
          <w:lang w:val="en-GB"/>
        </w:rPr>
        <w:t>1</w:t>
      </w:r>
      <w:r w:rsidR="000A12BC">
        <w:rPr>
          <w:rFonts w:ascii="Calibri" w:hAnsi="Calibri" w:cs="Calibri"/>
          <w:color w:val="2A2A2A"/>
          <w:shd w:val="clear" w:color="auto" w:fill="FFFFFF"/>
          <w:lang w:val="en-GB"/>
        </w:rPr>
        <w:fldChar w:fldCharType="end"/>
      </w:r>
      <w:r w:rsidRPr="0034762D">
        <w:rPr>
          <w:rFonts w:ascii="Calibri" w:hAnsi="Calibri" w:cs="Calibri"/>
          <w:color w:val="2A2A2A"/>
          <w:shd w:val="clear" w:color="auto" w:fill="FFFFFF"/>
          <w:lang w:val="en-GB"/>
        </w:rPr>
        <w:t>.</w:t>
      </w:r>
      <w:r w:rsidR="00227823">
        <w:rPr>
          <w:rFonts w:ascii="Calibri" w:hAnsi="Calibri" w:cs="Calibri"/>
          <w:color w:val="2A2A2A"/>
          <w:shd w:val="clear" w:color="auto" w:fill="FFFFFF"/>
          <w:lang w:val="en-GB"/>
        </w:rPr>
        <w:t xml:space="preserve"> Although</w:t>
      </w:r>
      <w:r w:rsidR="00227823" w:rsidRPr="00227823">
        <w:rPr>
          <w:rFonts w:ascii="Calibri" w:hAnsi="Calibri" w:cs="Calibri"/>
          <w:color w:val="2A2A2A"/>
          <w:shd w:val="clear" w:color="auto" w:fill="FFFFFF"/>
          <w:lang w:val="en-GB"/>
        </w:rPr>
        <w:t xml:space="preserve"> </w:t>
      </w:r>
      <w:r w:rsidR="00227823" w:rsidRPr="0034762D">
        <w:rPr>
          <w:rFonts w:ascii="Calibri" w:hAnsi="Calibri" w:cs="Calibri"/>
          <w:color w:val="2A2A2A"/>
          <w:shd w:val="clear" w:color="auto" w:fill="FFFFFF"/>
          <w:lang w:val="en-GB"/>
        </w:rPr>
        <w:t>RBM20</w:t>
      </w:r>
      <w:r w:rsidR="00227823">
        <w:rPr>
          <w:rFonts w:ascii="Calibri" w:hAnsi="Calibri" w:cs="Calibri"/>
          <w:color w:val="2A2A2A"/>
          <w:shd w:val="clear" w:color="auto" w:fill="FFFFFF"/>
          <w:lang w:val="en-GB"/>
        </w:rPr>
        <w:t xml:space="preserve"> mouse models </w:t>
      </w:r>
      <w:r w:rsidR="00227823" w:rsidRPr="00227823">
        <w:rPr>
          <w:rFonts w:ascii="Calibri" w:hAnsi="Calibri" w:cs="Calibri"/>
          <w:color w:val="2A2A2A"/>
          <w:shd w:val="clear" w:color="auto" w:fill="FFFFFF"/>
          <w:lang w:val="en-GB"/>
        </w:rPr>
        <w:t>showed a prolonged PR and</w:t>
      </w:r>
      <w:r w:rsidR="00227823">
        <w:rPr>
          <w:rFonts w:ascii="Calibri" w:hAnsi="Calibri" w:cs="Calibri"/>
          <w:color w:val="2A2A2A"/>
          <w:shd w:val="clear" w:color="auto" w:fill="FFFFFF"/>
          <w:lang w:val="en-GB"/>
        </w:rPr>
        <w:t xml:space="preserve"> </w:t>
      </w:r>
      <w:r w:rsidR="00227823" w:rsidRPr="00227823">
        <w:rPr>
          <w:rFonts w:ascii="Calibri" w:hAnsi="Calibri" w:cs="Calibri"/>
          <w:color w:val="2A2A2A"/>
          <w:shd w:val="clear" w:color="auto" w:fill="FFFFFF"/>
          <w:lang w:val="en-GB"/>
        </w:rPr>
        <w:t>heart rate–corrected QT interval</w:t>
      </w:r>
      <w:r w:rsidR="00227823">
        <w:rPr>
          <w:rFonts w:ascii="Calibri" w:hAnsi="Calibri" w:cs="Calibri"/>
          <w:color w:val="2A2A2A"/>
          <w:shd w:val="clear" w:color="auto" w:fill="FFFFFF"/>
          <w:lang w:val="en-GB"/>
        </w:rPr>
        <w:t xml:space="preserve">, these features </w:t>
      </w:r>
      <w:r w:rsidR="00E665C4">
        <w:rPr>
          <w:rFonts w:ascii="Calibri" w:hAnsi="Calibri" w:cs="Calibri"/>
          <w:color w:val="2A2A2A"/>
          <w:shd w:val="clear" w:color="auto" w:fill="FFFFFF"/>
          <w:lang w:val="en-GB"/>
        </w:rPr>
        <w:t>are not exhibited</w:t>
      </w:r>
      <w:r w:rsidR="00227823">
        <w:rPr>
          <w:rFonts w:ascii="Calibri" w:hAnsi="Calibri" w:cs="Calibri"/>
          <w:color w:val="2A2A2A"/>
          <w:shd w:val="clear" w:color="auto" w:fill="FFFFFF"/>
          <w:lang w:val="en-GB"/>
        </w:rPr>
        <w:t xml:space="preserve"> in humans and a typical ECG pattern has not been described</w:t>
      </w:r>
      <w:r w:rsidR="003A4AFD">
        <w:rPr>
          <w:rFonts w:ascii="Calibri" w:hAnsi="Calibri" w:cs="Calibri"/>
          <w:color w:val="2A2A2A"/>
          <w:shd w:val="clear" w:color="auto" w:fill="FFFFFF"/>
          <w:lang w:val="en-GB"/>
        </w:rPr>
        <w:t xml:space="preserve">. A genetic diagnosis is important as </w:t>
      </w:r>
      <w:r w:rsidR="00227823">
        <w:rPr>
          <w:rFonts w:ascii="Calibri" w:hAnsi="Calibri" w:cs="Calibri"/>
          <w:color w:val="2A2A2A"/>
          <w:shd w:val="clear" w:color="auto" w:fill="FFFFFF"/>
          <w:lang w:val="en-GB"/>
        </w:rPr>
        <w:t xml:space="preserve">a </w:t>
      </w:r>
      <w:r w:rsidR="003A4AFD">
        <w:rPr>
          <w:rFonts w:ascii="Calibri" w:hAnsi="Calibri" w:cs="Calibri"/>
          <w:color w:val="2A2A2A"/>
          <w:shd w:val="clear" w:color="auto" w:fill="FFFFFF"/>
          <w:lang w:val="en-GB"/>
        </w:rPr>
        <w:t xml:space="preserve">distinct </w:t>
      </w:r>
      <w:r w:rsidR="00227823">
        <w:rPr>
          <w:rFonts w:ascii="Calibri" w:hAnsi="Calibri" w:cs="Calibri"/>
          <w:color w:val="2A2A2A"/>
          <w:shd w:val="clear" w:color="auto" w:fill="FFFFFF"/>
          <w:lang w:val="en-GB"/>
        </w:rPr>
        <w:t xml:space="preserve">propensity to sustained ventricular arrhythmias has been </w:t>
      </w:r>
      <w:r w:rsidR="00EE775B">
        <w:rPr>
          <w:rFonts w:ascii="Calibri" w:hAnsi="Calibri" w:cs="Calibri"/>
          <w:color w:val="2A2A2A"/>
          <w:shd w:val="clear" w:color="auto" w:fill="FFFFFF"/>
          <w:lang w:val="en-GB"/>
        </w:rPr>
        <w:t>observed</w:t>
      </w:r>
      <w:r w:rsidR="00227823">
        <w:rPr>
          <w:rFonts w:ascii="Calibri" w:hAnsi="Calibri" w:cs="Calibri"/>
          <w:color w:val="2A2A2A"/>
          <w:shd w:val="clear" w:color="auto" w:fill="FFFFFF"/>
          <w:lang w:val="en-GB"/>
        </w:rPr>
        <w:t xml:space="preserve"> in patients harbouring </w:t>
      </w:r>
      <w:r w:rsidR="00227823" w:rsidRPr="0034762D">
        <w:rPr>
          <w:rFonts w:ascii="Calibri" w:hAnsi="Calibri" w:cs="Calibri"/>
          <w:color w:val="2A2A2A"/>
          <w:shd w:val="clear" w:color="auto" w:fill="FFFFFF"/>
          <w:lang w:val="en-GB"/>
        </w:rPr>
        <w:t>RBM20</w:t>
      </w:r>
      <w:r w:rsidR="00227823">
        <w:rPr>
          <w:rFonts w:ascii="Calibri" w:hAnsi="Calibri" w:cs="Calibri"/>
          <w:color w:val="2A2A2A"/>
          <w:shd w:val="clear" w:color="auto" w:fill="FFFFFF"/>
          <w:lang w:val="en-GB"/>
        </w:rPr>
        <w:t xml:space="preserve"> variants</w:t>
      </w:r>
      <w:r w:rsidR="00483823">
        <w:rPr>
          <w:rFonts w:ascii="Calibri" w:hAnsi="Calibri" w:cs="Calibri"/>
          <w:color w:val="2A2A2A"/>
          <w:shd w:val="clear" w:color="auto" w:fill="FFFFFF"/>
          <w:lang w:val="en-GB"/>
        </w:rPr>
        <w:fldChar w:fldCharType="begin" w:fldLock="1"/>
      </w:r>
      <w:r w:rsidR="00083BAF">
        <w:rPr>
          <w:rFonts w:ascii="Calibri" w:hAnsi="Calibri" w:cs="Calibri"/>
          <w:color w:val="2A2A2A"/>
          <w:shd w:val="clear" w:color="auto" w:fill="FFFFFF"/>
          <w:lang w:val="en-GB"/>
        </w:rPr>
        <w:instrText>ADDIN CSL_CITATION {"citationItems":[{"id":"ITEM-1","itemData":{"DOI":"10.1161/CIRCULATIONAHA.117.031947","ISSN":"1524-4539","PMID":"29650543","abstract":"BACKGROUND Mutations in RBM20 (RNA-binding motif protein 20) cause a clinically aggressive form of dilated cardiomyopathy, with an increased risk of malignant ventricular arrhythmias. RBM20 is a splicing factor that targets multiple pivotal cardiac genes, such as Titin (TTN) and CAMK2D (calcium/calmodulin-dependent kinase II delta). Aberrant TTN splicing is thought to be the main determinant of RBM20-induced dilated cardiomyopathy, but is not likely to explain the increased risk of arrhythmias. Here, we investigated the extent to which RBM20 mutation carriers have an increased risk of arrhythmias and explore the underlying molecular mechanism. METHODS We compared clinical characteristics of RBM20 and TTN mutation carriers and used our previously generated Rbm20 knockout (KO) mice to investigate downstream effects of Rbm20-dependent splicing. Cellular electrophysiology and Ca2+ measurements were performed on isolated cardiomyocytes from Rbm20 KO mice to determine the intracellular consequences of reduced Rbm20 levels. RESULTS Sustained ventricular arrhythmias were more frequent in human RBM20 mutation carriers than in TTN mutation carriers (44% versus 5%, respectively, P=0.006). Splicing events that affected Ca2+- and ion-handling genes were enriched in Rbm20 KO mice, most notably in the genes CamkIIδ and RyR2. Aberrant splicing of CamkIIδ in Rbm20 KO mice resulted in a remarkable shift of CamkIIδ toward the δ-A isoform that is known to activate the L-type Ca2+ current ( ICa,L). In line with this, we found an increased ICa,L, intracellular Ca2+ overload and increased sarcoplasmic reticulum Ca2+ content in Rbm20 KO myocytes. In addition, not only complete loss of Rbm20, but also heterozygous loss of Rbm20 increased spontaneous sarcoplasmic reticulum Ca2+ releases, which could be attenuated by treatment with the ICa,L antagonist verapamil. CONCLUSIONS We show that loss of Rbm20 disturbs Ca2+ handling and leads to more proarrhythmic Ca2+ releases from the sarcoplasmic reticulum. Patients that carry a pathogenic RBM20 mutation have more ventricular arrhythmias despite a similar left ventricular function, in comparison with patients with a TTN mutation. Our experimental data suggest that RBM20 mutation carriers may benefit from treatment with an ICa,L blocker to reduce their arrhythmia burden.","author":[{"dropping-particle":"","family":"Hoogenhof","given":"Maarten M G","non-dropping-particle":"van den","parse-names":false,"suffix":""},{"dropping-particle":"","family":"Beqqali","given":"Abdelaziz","non-dropping-particle":"","parse-names":false,"suffix":""},{"dropping-particle":"","family":"Amin","given":"Ahmad S","non-dropping-particle":"","parse-names":false,"suffix":""},{"dropping-particle":"","family":"Made","given":"Ingeborg","non-dropping-particle":"van der","parse-names":false,"suffix":""},{"dropping-particle":"","family":"Aufiero","given":"Simona","non-dropping-particle":"","parse-names":false,"suffix":""},{"dropping-particle":"","family":"Khan","given":"Mohsin A F","non-dropping-particle":"","parse-names":false,"suffix":""},{"dropping-particle":"","family":"Schumacher","given":"Cees A","non-dropping-particle":"","parse-names":false,"suffix":""},{"dropping-particle":"","family":"Jansweijer","given":"Joeri A","non-dropping-particle":"","parse-names":false,"suffix":""},{"dropping-particle":"","family":"Spaendonck-Zwarts","given":"Karin Y","non-dropping-particle":"van","parse-names":false,"suffix":""},{"dropping-particle":"","family":"Remme","given":"Carol Ann","non-dropping-particle":"","parse-names":false,"suffix":""},{"dropping-particle":"","family":"Backs","given":"Johannes","non-dropping-particle":"","parse-names":false,"suffix":""},{"dropping-particle":"","family":"Verkerk","given":"Arie O","non-dropping-particle":"","parse-names":false,"suffix":""},{"dropping-particle":"","family":"Baartscheer","given":"Antonius","non-dropping-particle":"","parse-names":false,"suffix":""},{"dropping-particle":"","family":"Pinto","given":"Yigal M","non-dropping-particle":"","parse-names":false,"suffix":""},{"dropping-particle":"","family":"Creemers","given":"Esther E","non-dropping-particle":"","parse-names":false,"suffix":""}],"container-title":"Circulation","id":"ITEM-1","issue":"13","issued":{"date-parts":[["2018"]]},"page":"1330-1342","title":"RBM20 Mutations Induce an Arrhythmogenic Dilated Cardiomyopathy Related to Disturbed Calcium Handling.","type":"article-journal","volume":"138"},"uris":["http://www.mendeley.com/documents/?uuid=2b7ff6b7-cfa8-40cc-b257-3a22c8087185"]}],"mendeley":{"formattedCitation":"&lt;sup&gt;40&lt;/sup&gt;","plainTextFormattedCitation":"40","previouslyFormattedCitation":"&lt;sup&gt;40&lt;/sup&gt;"},"properties":{"noteIndex":0},"schema":"https://github.com/citation-style-language/schema/raw/master/csl-citation.json"}</w:instrText>
      </w:r>
      <w:r w:rsidR="00483823">
        <w:rPr>
          <w:rFonts w:ascii="Calibri" w:hAnsi="Calibri" w:cs="Calibri"/>
          <w:color w:val="2A2A2A"/>
          <w:shd w:val="clear" w:color="auto" w:fill="FFFFFF"/>
          <w:lang w:val="en-GB"/>
        </w:rPr>
        <w:fldChar w:fldCharType="separate"/>
      </w:r>
      <w:r w:rsidR="00ED51EF" w:rsidRPr="00ED51EF">
        <w:rPr>
          <w:rFonts w:ascii="Calibri" w:hAnsi="Calibri" w:cs="Calibri"/>
          <w:noProof/>
          <w:color w:val="2A2A2A"/>
          <w:shd w:val="clear" w:color="auto" w:fill="FFFFFF"/>
          <w:vertAlign w:val="superscript"/>
          <w:lang w:val="en-GB"/>
        </w:rPr>
        <w:t>40</w:t>
      </w:r>
      <w:r w:rsidR="00483823">
        <w:rPr>
          <w:rFonts w:ascii="Calibri" w:hAnsi="Calibri" w:cs="Calibri"/>
          <w:color w:val="2A2A2A"/>
          <w:shd w:val="clear" w:color="auto" w:fill="FFFFFF"/>
          <w:lang w:val="en-GB"/>
        </w:rPr>
        <w:fldChar w:fldCharType="end"/>
      </w:r>
      <w:r w:rsidR="00227823">
        <w:rPr>
          <w:rFonts w:ascii="Calibri" w:hAnsi="Calibri" w:cs="Calibri"/>
          <w:color w:val="2A2A2A"/>
          <w:shd w:val="clear" w:color="auto" w:fill="FFFFFF"/>
          <w:lang w:val="en-GB"/>
        </w:rPr>
        <w:t xml:space="preserve">. </w:t>
      </w:r>
    </w:p>
    <w:p w14:paraId="4C087083" w14:textId="72AD4478" w:rsidR="00227823" w:rsidRPr="001C407B" w:rsidRDefault="00227823" w:rsidP="00227823">
      <w:pPr>
        <w:spacing w:line="480" w:lineRule="auto"/>
        <w:rPr>
          <w:rFonts w:ascii="Calibri" w:hAnsi="Calibri" w:cs="Calibri"/>
          <w:color w:val="2A2A2A"/>
          <w:u w:val="single"/>
          <w:shd w:val="clear" w:color="auto" w:fill="FFFFFF"/>
          <w:lang w:val="en-GB"/>
        </w:rPr>
      </w:pPr>
      <w:proofErr w:type="spellStart"/>
      <w:r w:rsidRPr="001C407B">
        <w:rPr>
          <w:rFonts w:ascii="Calibri" w:hAnsi="Calibri" w:cs="Calibri"/>
          <w:color w:val="2A2A2A"/>
          <w:u w:val="single"/>
          <w:shd w:val="clear" w:color="auto" w:fill="FFFFFF"/>
          <w:lang w:val="en-GB"/>
        </w:rPr>
        <w:t>Phospholamban</w:t>
      </w:r>
      <w:proofErr w:type="spellEnd"/>
      <w:r w:rsidRPr="001C407B">
        <w:rPr>
          <w:rFonts w:ascii="Calibri" w:hAnsi="Calibri" w:cs="Calibri"/>
          <w:color w:val="2A2A2A"/>
          <w:u w:val="single"/>
          <w:shd w:val="clear" w:color="auto" w:fill="FFFFFF"/>
          <w:lang w:val="en-GB"/>
        </w:rPr>
        <w:t xml:space="preserve"> </w:t>
      </w:r>
      <w:r w:rsidRPr="001C407B">
        <w:rPr>
          <w:rFonts w:ascii="Calibri" w:hAnsi="Calibri" w:cs="Calibri"/>
          <w:i/>
          <w:color w:val="2A2A2A"/>
          <w:u w:val="single"/>
          <w:shd w:val="clear" w:color="auto" w:fill="FFFFFF"/>
          <w:lang w:val="en-GB"/>
        </w:rPr>
        <w:t>(PLN)</w:t>
      </w:r>
    </w:p>
    <w:p w14:paraId="761B9868" w14:textId="5FDC1554" w:rsidR="001C407B" w:rsidRPr="001C407B" w:rsidRDefault="00227823" w:rsidP="001C407B">
      <w:pPr>
        <w:spacing w:line="480" w:lineRule="auto"/>
        <w:ind w:firstLine="720"/>
        <w:rPr>
          <w:rFonts w:ascii="Calibri" w:hAnsi="Calibri" w:cs="Calibri"/>
          <w:color w:val="2A2A2A"/>
          <w:shd w:val="clear" w:color="auto" w:fill="FFFFFF"/>
          <w:lang w:val="en-GB"/>
        </w:rPr>
      </w:pPr>
      <w:r w:rsidRPr="00227823">
        <w:rPr>
          <w:rFonts w:ascii="Calibri" w:hAnsi="Calibri" w:cs="Calibri"/>
          <w:color w:val="2A2A2A"/>
          <w:shd w:val="clear" w:color="auto" w:fill="FFFFFF"/>
          <w:lang w:val="en-GB"/>
        </w:rPr>
        <w:t xml:space="preserve">The PLN gene encodes </w:t>
      </w:r>
      <w:proofErr w:type="spellStart"/>
      <w:r w:rsidRPr="00227823">
        <w:rPr>
          <w:rFonts w:ascii="Calibri" w:hAnsi="Calibri" w:cs="Calibri"/>
          <w:color w:val="2A2A2A"/>
          <w:shd w:val="clear" w:color="auto" w:fill="FFFFFF"/>
          <w:lang w:val="en-GB"/>
        </w:rPr>
        <w:t>phospholamban</w:t>
      </w:r>
      <w:proofErr w:type="spellEnd"/>
      <w:r w:rsidR="001C407B">
        <w:rPr>
          <w:rFonts w:ascii="Calibri" w:hAnsi="Calibri" w:cs="Calibri"/>
          <w:color w:val="2A2A2A"/>
          <w:shd w:val="clear" w:color="auto" w:fill="FFFFFF"/>
          <w:lang w:val="en-GB"/>
        </w:rPr>
        <w:t xml:space="preserve">, a protein </w:t>
      </w:r>
      <w:r w:rsidR="001C407B" w:rsidRPr="001C407B">
        <w:rPr>
          <w:rFonts w:ascii="Calibri" w:hAnsi="Calibri" w:cs="Calibri"/>
          <w:color w:val="2A2A2A"/>
          <w:shd w:val="clear" w:color="auto" w:fill="FFFFFF"/>
          <w:lang w:val="en-GB"/>
        </w:rPr>
        <w:t xml:space="preserve">responsible for inhibition of sarco-/endoplasmic reticulum Ca2+ –ATPase (SERCA) function. </w:t>
      </w:r>
      <w:r w:rsidR="00EE775B">
        <w:rPr>
          <w:rFonts w:ascii="Calibri" w:hAnsi="Calibri" w:cs="Calibri"/>
          <w:color w:val="2A2A2A"/>
          <w:shd w:val="clear" w:color="auto" w:fill="FFFFFF"/>
          <w:lang w:val="en-GB"/>
        </w:rPr>
        <w:t>Variants</w:t>
      </w:r>
      <w:r w:rsidR="001C407B" w:rsidRPr="001C407B">
        <w:rPr>
          <w:rFonts w:ascii="Calibri" w:hAnsi="Calibri" w:cs="Calibri"/>
          <w:color w:val="2A2A2A"/>
          <w:shd w:val="clear" w:color="auto" w:fill="FFFFFF"/>
          <w:lang w:val="en-GB"/>
        </w:rPr>
        <w:t xml:space="preserve"> in the</w:t>
      </w:r>
      <w:r w:rsidR="002212E3">
        <w:rPr>
          <w:rFonts w:ascii="Calibri" w:hAnsi="Calibri" w:cs="Calibri"/>
          <w:color w:val="2A2A2A"/>
          <w:shd w:val="clear" w:color="auto" w:fill="FFFFFF"/>
          <w:lang w:val="en-GB"/>
        </w:rPr>
        <w:t xml:space="preserve"> PLN</w:t>
      </w:r>
      <w:r w:rsidR="001C407B" w:rsidRPr="001C407B">
        <w:rPr>
          <w:rFonts w:ascii="Calibri" w:hAnsi="Calibri" w:cs="Calibri"/>
          <w:color w:val="2A2A2A"/>
          <w:shd w:val="clear" w:color="auto" w:fill="FFFFFF"/>
          <w:lang w:val="en-GB"/>
        </w:rPr>
        <w:t xml:space="preserve"> gene</w:t>
      </w:r>
    </w:p>
    <w:p w14:paraId="1BB2BF4D" w14:textId="77777777" w:rsidR="001C407B" w:rsidRPr="001C407B" w:rsidRDefault="001C407B" w:rsidP="001C407B">
      <w:pPr>
        <w:spacing w:line="480" w:lineRule="auto"/>
        <w:rPr>
          <w:rFonts w:ascii="Calibri" w:hAnsi="Calibri" w:cs="Calibri"/>
          <w:color w:val="2A2A2A"/>
          <w:shd w:val="clear" w:color="auto" w:fill="FFFFFF"/>
          <w:lang w:val="en-GB"/>
        </w:rPr>
      </w:pPr>
      <w:r w:rsidRPr="001C407B">
        <w:rPr>
          <w:rFonts w:ascii="Calibri" w:hAnsi="Calibri" w:cs="Calibri"/>
          <w:color w:val="2A2A2A"/>
          <w:shd w:val="clear" w:color="auto" w:fill="FFFFFF"/>
          <w:lang w:val="en-GB"/>
        </w:rPr>
        <w:t>result in increased SERCA inhibition with defective calcium reuptake, with consequent</w:t>
      </w:r>
    </w:p>
    <w:p w14:paraId="44485A79" w14:textId="53D65945" w:rsidR="00227823" w:rsidRPr="00227823" w:rsidRDefault="001C407B" w:rsidP="001C407B">
      <w:pPr>
        <w:spacing w:line="480" w:lineRule="auto"/>
        <w:rPr>
          <w:rFonts w:ascii="Calibri" w:hAnsi="Calibri" w:cs="Calibri"/>
          <w:color w:val="2A2A2A"/>
          <w:shd w:val="clear" w:color="auto" w:fill="FFFFFF"/>
          <w:lang w:val="en-GB"/>
        </w:rPr>
      </w:pPr>
      <w:r w:rsidRPr="001C407B">
        <w:rPr>
          <w:rFonts w:ascii="Calibri" w:hAnsi="Calibri" w:cs="Calibri"/>
          <w:color w:val="2A2A2A"/>
          <w:shd w:val="clear" w:color="auto" w:fill="FFFFFF"/>
          <w:lang w:val="en-GB"/>
        </w:rPr>
        <w:t xml:space="preserve">reduction in contractility and </w:t>
      </w:r>
      <w:r>
        <w:rPr>
          <w:rFonts w:ascii="Calibri" w:hAnsi="Calibri" w:cs="Calibri"/>
          <w:color w:val="2A2A2A"/>
          <w:shd w:val="clear" w:color="auto" w:fill="FFFFFF"/>
          <w:lang w:val="en-GB"/>
        </w:rPr>
        <w:t>DCM phenotypic expression</w:t>
      </w:r>
      <w:r w:rsidR="00227823">
        <w:rPr>
          <w:rFonts w:ascii="Calibri" w:hAnsi="Calibri" w:cs="Calibri"/>
          <w:color w:val="2A2A2A"/>
          <w:shd w:val="clear" w:color="auto" w:fill="FFFFFF"/>
          <w:lang w:val="en-GB"/>
        </w:rPr>
        <w:t>.</w:t>
      </w:r>
      <w:r>
        <w:rPr>
          <w:rFonts w:ascii="Calibri" w:hAnsi="Calibri" w:cs="Calibri"/>
          <w:color w:val="2A2A2A"/>
          <w:shd w:val="clear" w:color="auto" w:fill="FFFFFF"/>
          <w:lang w:val="en-GB"/>
        </w:rPr>
        <w:t xml:space="preserve"> In some DCM cohorts, especially in The Netherlands and in Germany</w:t>
      </w:r>
      <w:r w:rsidR="003A4AFD">
        <w:rPr>
          <w:rFonts w:ascii="Calibri" w:hAnsi="Calibri" w:cs="Calibri"/>
          <w:color w:val="2A2A2A"/>
          <w:shd w:val="clear" w:color="auto" w:fill="FFFFFF"/>
          <w:lang w:val="en-GB"/>
        </w:rPr>
        <w:t xml:space="preserve"> (due to f</w:t>
      </w:r>
      <w:r w:rsidR="003A4AFD" w:rsidRPr="001C407B">
        <w:rPr>
          <w:rFonts w:ascii="Calibri" w:hAnsi="Calibri" w:cs="Calibri"/>
          <w:color w:val="2A2A2A"/>
          <w:shd w:val="clear" w:color="auto" w:fill="FFFFFF"/>
          <w:lang w:val="en-GB"/>
        </w:rPr>
        <w:t>ounder mutation</w:t>
      </w:r>
      <w:r w:rsidR="003A4AFD">
        <w:rPr>
          <w:rFonts w:ascii="Calibri" w:hAnsi="Calibri" w:cs="Calibri"/>
          <w:color w:val="2A2A2A"/>
          <w:shd w:val="clear" w:color="auto" w:fill="FFFFFF"/>
          <w:lang w:val="en-GB"/>
        </w:rPr>
        <w:t>s)</w:t>
      </w:r>
      <w:r>
        <w:rPr>
          <w:rFonts w:ascii="Calibri" w:hAnsi="Calibri" w:cs="Calibri"/>
          <w:color w:val="2A2A2A"/>
          <w:shd w:val="clear" w:color="auto" w:fill="FFFFFF"/>
          <w:lang w:val="en-GB"/>
        </w:rPr>
        <w:t xml:space="preserve">, the prevalence of </w:t>
      </w:r>
      <w:r w:rsidRPr="001C407B">
        <w:rPr>
          <w:rFonts w:ascii="Calibri" w:hAnsi="Calibri" w:cs="Calibri"/>
          <w:color w:val="2A2A2A"/>
          <w:shd w:val="clear" w:color="auto" w:fill="FFFFFF"/>
          <w:lang w:val="en-GB"/>
        </w:rPr>
        <w:t xml:space="preserve">PLN </w:t>
      </w:r>
      <w:r w:rsidR="00F829AA">
        <w:rPr>
          <w:rFonts w:ascii="Calibri" w:hAnsi="Calibri" w:cs="Calibri"/>
          <w:color w:val="2A2A2A"/>
          <w:shd w:val="clear" w:color="auto" w:fill="FFFFFF"/>
          <w:lang w:val="en-GB"/>
        </w:rPr>
        <w:lastRenderedPageBreak/>
        <w:t>variants</w:t>
      </w:r>
      <w:r w:rsidRPr="001C407B">
        <w:rPr>
          <w:rFonts w:ascii="Calibri" w:hAnsi="Calibri" w:cs="Calibri"/>
          <w:color w:val="2A2A2A"/>
          <w:shd w:val="clear" w:color="auto" w:fill="FFFFFF"/>
          <w:lang w:val="en-GB"/>
        </w:rPr>
        <w:t xml:space="preserve"> is high</w:t>
      </w:r>
      <w:r>
        <w:rPr>
          <w:rFonts w:ascii="Calibri" w:hAnsi="Calibri" w:cs="Calibri"/>
          <w:color w:val="2A2A2A"/>
          <w:shd w:val="clear" w:color="auto" w:fill="FFFFFF"/>
          <w:lang w:val="en-GB"/>
        </w:rPr>
        <w:t>.</w:t>
      </w:r>
      <w:r w:rsidR="00227823">
        <w:rPr>
          <w:rFonts w:ascii="Calibri" w:hAnsi="Calibri" w:cs="Calibri"/>
          <w:color w:val="2A2A2A"/>
          <w:shd w:val="clear" w:color="auto" w:fill="FFFFFF"/>
          <w:lang w:val="en-GB"/>
        </w:rPr>
        <w:t xml:space="preserve"> </w:t>
      </w:r>
      <w:r w:rsidR="00483823">
        <w:rPr>
          <w:rFonts w:ascii="Calibri" w:hAnsi="Calibri" w:cs="Calibri"/>
          <w:color w:val="2A2A2A"/>
          <w:shd w:val="clear" w:color="auto" w:fill="FFFFFF"/>
          <w:lang w:val="en-GB"/>
        </w:rPr>
        <w:t>Typical ECG features are</w:t>
      </w:r>
      <w:r w:rsidR="00227823" w:rsidRPr="00227823">
        <w:rPr>
          <w:rFonts w:ascii="Calibri" w:hAnsi="Calibri" w:cs="Calibri"/>
          <w:color w:val="2A2A2A"/>
          <w:shd w:val="clear" w:color="auto" w:fill="FFFFFF"/>
          <w:lang w:val="en-GB"/>
        </w:rPr>
        <w:t xml:space="preserve"> low QRS complex potentials and decreased R wave amplitude, mainly in anterior-lateral precordial leads</w:t>
      </w:r>
      <w:r w:rsidR="00483823">
        <w:rPr>
          <w:rFonts w:ascii="Calibri" w:hAnsi="Calibri" w:cs="Calibri"/>
          <w:color w:val="2A2A2A"/>
          <w:shd w:val="clear" w:color="auto" w:fill="FFFFFF"/>
          <w:lang w:val="en-GB"/>
        </w:rPr>
        <w:fldChar w:fldCharType="begin" w:fldLock="1"/>
      </w:r>
      <w:r w:rsidR="00083BAF">
        <w:rPr>
          <w:rFonts w:ascii="Calibri" w:hAnsi="Calibri" w:cs="Calibri"/>
          <w:color w:val="2A2A2A"/>
          <w:shd w:val="clear" w:color="auto" w:fill="FFFFFF"/>
          <w:lang w:val="en-GB"/>
        </w:rPr>
        <w:instrText>ADDIN CSL_CITATION {"citationItems":[{"id":"ITEM-1","itemData":{"DOI":"10.1073/pnas.0510519103","ISSN":"0027-8424","PMID":"16432188","abstract":"The sarcoplasmic reticulum Ca(2+)-cycling proteins are key regulators of cardiac contractility, and alterations in sarcoplasmic reticulum Ca(2+)-cycling properties have been shown to be causal of familial cardiomyopathies. Through genetic screening of dilated cardiomyopathy patients, we identified a previously uncharacterized deletion of arginine 14 (PLN-R14Del) in the coding region of the phospholamban (PLN) gene in a large family with hereditary heart failure. No homozygous individuals were identified. By middle age, heterozygous individuals developed left ventricular dilation, contractile dysfunction, and episodic ventricular arrhythmias, with overt heart failure in some cases. Transgenic mice overexpressing the mutant PLN-R14Del recapitulated human cardiomyopathy exhibiting similar histopathologic abnormalities and premature death. Coexpression of the normal and mutant-PLN in HEK-293 cells resulted in sarcoplasmic reticulum Ca(2+)-ATPase superinhibition. The dominant effect of the PLN-R14Del mutation could not be fully removed, even upon phosphorylation by protein kinase A. Thus, by chronic suppression of sarcoplasmic reticulum Ca(2+)-ATPase activity, the nonreversible superinhibitory function of mutant PLN-R14Del may lead to inherited dilated cardiomyopathy and premature death in both humans and mice.","author":[{"dropping-particle":"","family":"Haghighi","given":"Kobra","non-dropping-particle":"","parse-names":false,"suffix":""},{"dropping-particle":"","family":"Kolokathis","given":"Fotis","non-dropping-particle":"","parse-names":false,"suffix":""},{"dropping-particle":"","family":"Gramolini","given":"Anthony O","non-dropping-particle":"","parse-names":false,"suffix":""},{"dropping-particle":"","family":"Waggoner","given":"Jason R","non-dropping-particle":"","parse-names":false,"suffix":""},{"dropping-particle":"","family":"Pater","given":"Luke","non-dropping-particle":"","parse-names":false,"suffix":""},{"dropping-particle":"","family":"Lynch","given":"Roy A","non-dropping-particle":"","parse-names":false,"suffix":""},{"dropping-particle":"","family":"Fan","given":"Guo-Chang","non-dropping-particle":"","parse-names":false,"suffix":""},{"dropping-particle":"","family":"Tsiapras","given":"Dimitris","non-dropping-particle":"","parse-names":false,"suffix":""},{"dropping-particle":"","family":"Parekh","given":"Rohan R","non-dropping-particle":"","parse-names":false,"suffix":""},{"dropping-particle":"","family":"Dorn","given":"Gerald W","non-dropping-particle":"","parse-names":false,"suffix":""},{"dropping-particle":"","family":"MacLennan","given":"David H","non-dropping-particle":"","parse-names":false,"suffix":""},{"dropping-particle":"","family":"Kremastinos","given":"Dimitrios Th","non-dropping-particle":"","parse-names":false,"suffix":""},{"dropping-particle":"","family":"Kranias","given":"Evangelia G","non-dropping-particle":"","parse-names":false,"suffix":""}],"container-title":"Proceedings of the National Academy of Sciences of the United States of America","id":"ITEM-1","issue":"5","issued":{"date-parts":[["2006","1","31"]]},"page":"1388-93","title":"A mutation in the human phospholamban gene, deleting arginine 14, results in lethal, hereditary cardiomyopathy.","type":"article-journal","volume":"103"},"uris":["http://www.mendeley.com/documents/?uuid=5f8209c5-cf24-438e-af7e-9c40fd5a9561"]}],"mendeley":{"formattedCitation":"&lt;sup&gt;41&lt;/sup&gt;","plainTextFormattedCitation":"41","previouslyFormattedCitation":"&lt;sup&gt;41&lt;/sup&gt;"},"properties":{"noteIndex":0},"schema":"https://github.com/citation-style-language/schema/raw/master/csl-citation.json"}</w:instrText>
      </w:r>
      <w:r w:rsidR="00483823">
        <w:rPr>
          <w:rFonts w:ascii="Calibri" w:hAnsi="Calibri" w:cs="Calibri"/>
          <w:color w:val="2A2A2A"/>
          <w:shd w:val="clear" w:color="auto" w:fill="FFFFFF"/>
          <w:lang w:val="en-GB"/>
        </w:rPr>
        <w:fldChar w:fldCharType="separate"/>
      </w:r>
      <w:r w:rsidR="00ED51EF" w:rsidRPr="00ED51EF">
        <w:rPr>
          <w:rFonts w:ascii="Calibri" w:hAnsi="Calibri" w:cs="Calibri"/>
          <w:noProof/>
          <w:color w:val="2A2A2A"/>
          <w:shd w:val="clear" w:color="auto" w:fill="FFFFFF"/>
          <w:vertAlign w:val="superscript"/>
          <w:lang w:val="en-GB"/>
        </w:rPr>
        <w:t>41</w:t>
      </w:r>
      <w:r w:rsidR="00483823">
        <w:rPr>
          <w:rFonts w:ascii="Calibri" w:hAnsi="Calibri" w:cs="Calibri"/>
          <w:color w:val="2A2A2A"/>
          <w:shd w:val="clear" w:color="auto" w:fill="FFFFFF"/>
          <w:lang w:val="en-GB"/>
        </w:rPr>
        <w:fldChar w:fldCharType="end"/>
      </w:r>
      <w:r w:rsidR="00483823">
        <w:rPr>
          <w:rFonts w:ascii="Calibri" w:hAnsi="Calibri" w:cs="Calibri"/>
          <w:color w:val="2A2A2A"/>
          <w:shd w:val="clear" w:color="auto" w:fill="FFFFFF"/>
          <w:lang w:val="en-GB"/>
        </w:rPr>
        <w:t>.</w:t>
      </w:r>
    </w:p>
    <w:p w14:paraId="2468A581" w14:textId="63845595" w:rsidR="00C46BE0" w:rsidRDefault="00C46BE0" w:rsidP="00C46BE0">
      <w:pPr>
        <w:spacing w:line="480" w:lineRule="auto"/>
        <w:rPr>
          <w:rFonts w:ascii="Calibri" w:hAnsi="Calibri" w:cs="Calibri"/>
          <w:bCs/>
          <w:lang w:val="en-US"/>
        </w:rPr>
      </w:pPr>
    </w:p>
    <w:p w14:paraId="66D42226" w14:textId="7771DDD8" w:rsidR="002C0464" w:rsidRDefault="002C0464" w:rsidP="00C46BE0">
      <w:pPr>
        <w:spacing w:line="480" w:lineRule="auto"/>
        <w:rPr>
          <w:rFonts w:ascii="Calibri" w:hAnsi="Calibri" w:cs="Calibri"/>
          <w:bCs/>
          <w:lang w:val="en-US"/>
        </w:rPr>
      </w:pPr>
      <w:r>
        <w:rPr>
          <w:rFonts w:ascii="Calibri" w:hAnsi="Calibri" w:cs="Calibri"/>
          <w:bCs/>
          <w:lang w:val="en-US"/>
        </w:rPr>
        <w:tab/>
        <w:t xml:space="preserve">In summary, the genetic background of DCM may be complex and the ECG may suggest specific genetic abnormalities. ECG “red flags” may indeed point toward particularly aggressive genetic forms which would require specific management, such as ICD implantation in primary </w:t>
      </w:r>
      <w:r w:rsidR="00F51280">
        <w:rPr>
          <w:rFonts w:ascii="Calibri" w:hAnsi="Calibri" w:cs="Calibri"/>
          <w:bCs/>
          <w:lang w:val="en-US"/>
        </w:rPr>
        <w:t>prevention</w:t>
      </w:r>
      <w:r>
        <w:rPr>
          <w:rFonts w:ascii="Calibri" w:hAnsi="Calibri" w:cs="Calibri"/>
          <w:bCs/>
          <w:lang w:val="en-US"/>
        </w:rPr>
        <w:t xml:space="preserve"> at an early stage of the disease. </w:t>
      </w:r>
    </w:p>
    <w:p w14:paraId="4DBBDBD8" w14:textId="77777777" w:rsidR="002C0464" w:rsidRDefault="002C0464" w:rsidP="00C46BE0">
      <w:pPr>
        <w:spacing w:line="480" w:lineRule="auto"/>
        <w:rPr>
          <w:rFonts w:ascii="Calibri" w:hAnsi="Calibri" w:cs="Calibri"/>
          <w:bCs/>
          <w:lang w:val="en-US"/>
        </w:rPr>
      </w:pPr>
    </w:p>
    <w:p w14:paraId="09E25D79" w14:textId="2A8BDB93" w:rsidR="00C46BE0" w:rsidRPr="00C46BE0" w:rsidRDefault="00C46BE0" w:rsidP="00C46BE0">
      <w:pPr>
        <w:spacing w:line="480" w:lineRule="auto"/>
        <w:rPr>
          <w:rFonts w:ascii="Calibri" w:hAnsi="Calibri" w:cs="Calibri"/>
          <w:b/>
          <w:bCs/>
          <w:lang w:val="en-US"/>
        </w:rPr>
      </w:pPr>
      <w:bookmarkStart w:id="10" w:name="_Hlk29317330"/>
      <w:r w:rsidRPr="00C46BE0">
        <w:rPr>
          <w:rFonts w:ascii="Calibri" w:hAnsi="Calibri" w:cs="Calibri"/>
          <w:b/>
          <w:bCs/>
          <w:lang w:val="en-US"/>
        </w:rPr>
        <w:t>The ECG in other cardiomyopathies with dilated-hypokinetic phenotype</w:t>
      </w:r>
    </w:p>
    <w:p w14:paraId="787513C3" w14:textId="4A99BEDD" w:rsidR="000A12BC" w:rsidRDefault="00C46BE0" w:rsidP="00C0358F">
      <w:pPr>
        <w:spacing w:line="480" w:lineRule="auto"/>
        <w:ind w:firstLine="720"/>
        <w:rPr>
          <w:rFonts w:ascii="Calibri" w:hAnsi="Calibri" w:cs="Calibri"/>
          <w:bCs/>
          <w:iCs/>
          <w:lang w:val="en-US"/>
        </w:rPr>
      </w:pPr>
      <w:r>
        <w:rPr>
          <w:rFonts w:ascii="Calibri" w:hAnsi="Calibri" w:cs="Calibri"/>
          <w:bCs/>
          <w:iCs/>
          <w:lang w:val="en-US"/>
        </w:rPr>
        <w:t>Left ventricular or biventricular dilatation and systolic dysfunction is a common</w:t>
      </w:r>
      <w:r w:rsidR="003C5A00">
        <w:rPr>
          <w:rFonts w:ascii="Calibri" w:hAnsi="Calibri" w:cs="Calibri"/>
          <w:bCs/>
          <w:iCs/>
          <w:lang w:val="en-US"/>
        </w:rPr>
        <w:t xml:space="preserve"> final</w:t>
      </w:r>
      <w:r>
        <w:rPr>
          <w:rFonts w:ascii="Calibri" w:hAnsi="Calibri" w:cs="Calibri"/>
          <w:bCs/>
          <w:iCs/>
          <w:lang w:val="en-US"/>
        </w:rPr>
        <w:t xml:space="preserve"> </w:t>
      </w:r>
      <w:r w:rsidR="003C5A00">
        <w:rPr>
          <w:rFonts w:ascii="Calibri" w:hAnsi="Calibri" w:cs="Calibri"/>
          <w:bCs/>
          <w:iCs/>
          <w:lang w:val="en-US"/>
        </w:rPr>
        <w:t>result</w:t>
      </w:r>
      <w:r>
        <w:rPr>
          <w:rFonts w:ascii="Calibri" w:hAnsi="Calibri" w:cs="Calibri"/>
          <w:bCs/>
          <w:iCs/>
          <w:lang w:val="en-US"/>
        </w:rPr>
        <w:t xml:space="preserve"> of various disease processes. Cardiomyopathies characterized by myocardial infiltration or by LV hypertrophy at an initial stage may progress toward LV dilatation and dysfunction. Typically cardiac amyloidosis (especially the AL form) may be characterized by </w:t>
      </w:r>
      <w:r w:rsidR="003C5A00">
        <w:rPr>
          <w:rFonts w:ascii="Calibri" w:hAnsi="Calibri" w:cs="Calibri"/>
          <w:bCs/>
          <w:iCs/>
          <w:lang w:val="en-US"/>
        </w:rPr>
        <w:t>significant reduction of the QRS voltages, a feature that may be shared also by hypertrophic cardiomyopathy in the so called “burn-out” phase. While this electrocardiographic sign reflects significant infiltration in cardiac amyloidosis, it underlies high myocardial fibrosis burden in HCM</w:t>
      </w:r>
      <w:r w:rsidR="003C5A00">
        <w:rPr>
          <w:rFonts w:ascii="Calibri" w:hAnsi="Calibri" w:cs="Calibri"/>
          <w:bCs/>
          <w:iCs/>
          <w:lang w:val="en-US"/>
        </w:rPr>
        <w:fldChar w:fldCharType="begin" w:fldLock="1"/>
      </w:r>
      <w:r w:rsidR="001A2833">
        <w:rPr>
          <w:rFonts w:ascii="Calibri" w:hAnsi="Calibri" w:cs="Calibri"/>
          <w:bCs/>
          <w:iCs/>
          <w:lang w:val="en-US"/>
        </w:rPr>
        <w:instrText>ADDIN CSL_CITATION {"citationItems":[{"id":"ITEM-1","itemData":{"DOI":"10.1016/j.hrthm.2019.07.019","ISSN":"1556-3871","PMID":"31349064","abstract":"In an era of rapid technological development and evolving diagnostic possibilities, the electrocardiogram (ECG) is living an authentic \"renaissance\" in myocardial diseases. To date, the ECG remains an irreplaceable first step when evaluating patients with hypertrophic cardiomyopathy (HCM) and an abnormal ECG may be the only manifestation of disease at an early stage. In some instances, specific electrical anomalies may differentiate HCM from phenocopies such as cardiac amyloidosis and glycogen storage diseases. The exponential growth in knowledge of the complexity of HCM has led to new challenges in terms of early identification of the disease, differential diagnosis, risk stratification, and development of targeted therapies. In this scenario, the apparently \"old fashioned\" ECG and the array of ECG-based techniques, ranging from Holter monitoring and loop recorders to exercise testing, are as contemporary as ever. In the present review, we discuss the current role of the ECG in the diagnosis and management of HCM, focusing on various clinical settings where its appropriate use and interpretation can make a difference.","author":[{"dropping-particle":"","family":"Finocchiaro","given":"Gherardo","non-dropping-particle":"","parse-names":false,"suffix":""},{"dropping-particle":"","family":"Sheikh","given":"Nabeel","non-dropping-particle":"","parse-names":false,"suffix":""},{"dropping-particle":"","family":"Biagini","given":"Elena","non-dropping-particle":"","parse-names":false,"suffix":""},{"dropping-particle":"","family":"Papadakis","given":"Michael","non-dropping-particle":"","parse-names":false,"suffix":""},{"dropping-particle":"","family":"Maurizi","given":"Nicolo'","non-dropping-particle":"","parse-names":false,"suffix":""},{"dropping-particle":"","family":"Sinagra","given":"Gianfranco","non-dropping-particle":"","parse-names":false,"suffix":""},{"dropping-particle":"","family":"Pelliccia","given":"Antonio","non-dropping-particle":"","parse-names":false,"suffix":""},{"dropping-particle":"","family":"Rapezzi","given":"Claudio","non-dropping-particle":"","parse-names":false,"suffix":""},{"dropping-particle":"","family":"Sharma","given":"Sanjay","non-dropping-particle":"","parse-names":false,"suffix":""},{"dropping-particle":"","family":"Olivotto","given":"Iacopo","non-dropping-particle":"","parse-names":false,"suffix":""}],"container-title":"Heart rhythm","id":"ITEM-1","issued":{"date-parts":[["2019","8","10"]]},"title":"The electrocardiogram in the diagnosis and management of patients with hypertrophic cardiomyopathy.","type":"article-journal"},"uris":["http://www.mendeley.com/documents/?uuid=f13e6fbb-572b-49ac-a51b-277250eaa50b"]}],"mendeley":{"formattedCitation":"&lt;sup&gt;20&lt;/sup&gt;","plainTextFormattedCitation":"20","previouslyFormattedCitation":"&lt;sup&gt;20&lt;/sup&gt;"},"properties":{"noteIndex":0},"schema":"https://github.com/citation-style-language/schema/raw/master/csl-citation.json"}</w:instrText>
      </w:r>
      <w:r w:rsidR="003C5A00">
        <w:rPr>
          <w:rFonts w:ascii="Calibri" w:hAnsi="Calibri" w:cs="Calibri"/>
          <w:bCs/>
          <w:iCs/>
          <w:lang w:val="en-US"/>
        </w:rPr>
        <w:fldChar w:fldCharType="separate"/>
      </w:r>
      <w:r w:rsidR="001A2833" w:rsidRPr="001A2833">
        <w:rPr>
          <w:rFonts w:ascii="Calibri" w:hAnsi="Calibri" w:cs="Calibri"/>
          <w:bCs/>
          <w:iCs/>
          <w:noProof/>
          <w:vertAlign w:val="superscript"/>
          <w:lang w:val="en-US"/>
        </w:rPr>
        <w:t>20</w:t>
      </w:r>
      <w:r w:rsidR="003C5A00">
        <w:rPr>
          <w:rFonts w:ascii="Calibri" w:hAnsi="Calibri" w:cs="Calibri"/>
          <w:bCs/>
          <w:iCs/>
          <w:lang w:val="en-US"/>
        </w:rPr>
        <w:fldChar w:fldCharType="end"/>
      </w:r>
      <w:r w:rsidR="003C5A00">
        <w:rPr>
          <w:rFonts w:ascii="Calibri" w:hAnsi="Calibri" w:cs="Calibri"/>
          <w:bCs/>
          <w:iCs/>
          <w:lang w:val="en-US"/>
        </w:rPr>
        <w:t xml:space="preserve">.  </w:t>
      </w:r>
    </w:p>
    <w:p w14:paraId="5061EB83" w14:textId="77777777" w:rsidR="0049271C" w:rsidRPr="00C46BE0" w:rsidRDefault="0049271C" w:rsidP="00C0358F">
      <w:pPr>
        <w:spacing w:line="480" w:lineRule="auto"/>
        <w:ind w:firstLine="720"/>
        <w:rPr>
          <w:rFonts w:ascii="Calibri" w:hAnsi="Calibri" w:cs="Calibri"/>
          <w:bCs/>
          <w:iCs/>
          <w:lang w:val="en-US"/>
        </w:rPr>
      </w:pPr>
    </w:p>
    <w:bookmarkEnd w:id="10"/>
    <w:p w14:paraId="7D5F7E3A" w14:textId="3E506029" w:rsidR="0089405E" w:rsidRPr="0041574E" w:rsidRDefault="00C46BE0" w:rsidP="0041574E">
      <w:pPr>
        <w:spacing w:line="480" w:lineRule="auto"/>
        <w:rPr>
          <w:rFonts w:ascii="Calibri" w:hAnsi="Calibri" w:cs="Calibri"/>
          <w:b/>
          <w:lang w:val="en-GB"/>
        </w:rPr>
      </w:pPr>
      <w:r>
        <w:rPr>
          <w:rFonts w:ascii="Calibri" w:hAnsi="Calibri" w:cs="Calibri"/>
          <w:b/>
          <w:lang w:val="en-GB"/>
        </w:rPr>
        <w:t xml:space="preserve">The </w:t>
      </w:r>
      <w:r w:rsidR="0089405E" w:rsidRPr="0041574E">
        <w:rPr>
          <w:rFonts w:ascii="Calibri" w:hAnsi="Calibri" w:cs="Calibri"/>
          <w:b/>
          <w:lang w:val="en-GB"/>
        </w:rPr>
        <w:t xml:space="preserve">ECG in non-genetic forms of </w:t>
      </w:r>
      <w:r w:rsidR="00AF2017" w:rsidRPr="0041574E">
        <w:rPr>
          <w:rFonts w:ascii="Calibri" w:hAnsi="Calibri" w:cs="Calibri"/>
          <w:b/>
          <w:lang w:val="en-GB"/>
        </w:rPr>
        <w:t>DCM</w:t>
      </w:r>
    </w:p>
    <w:p w14:paraId="1FA68C26" w14:textId="461B2BDA" w:rsidR="000A12BC" w:rsidRPr="0041574E" w:rsidRDefault="00CC1FF3">
      <w:pPr>
        <w:spacing w:line="480" w:lineRule="auto"/>
        <w:ind w:firstLine="720"/>
        <w:rPr>
          <w:rFonts w:ascii="Calibri" w:hAnsi="Calibri" w:cs="Calibri"/>
          <w:bCs/>
          <w:lang w:val="en-GB"/>
        </w:rPr>
      </w:pPr>
      <w:r w:rsidRPr="00CC1FF3">
        <w:rPr>
          <w:rFonts w:ascii="Calibri" w:hAnsi="Calibri" w:cs="Calibri"/>
          <w:bCs/>
          <w:lang w:val="en-GB"/>
        </w:rPr>
        <w:t>A number of chemical compounds can induce DCM, the most common</w:t>
      </w:r>
      <w:r>
        <w:rPr>
          <w:rFonts w:ascii="Calibri" w:hAnsi="Calibri" w:cs="Calibri"/>
          <w:bCs/>
          <w:lang w:val="en-GB"/>
        </w:rPr>
        <w:t xml:space="preserve"> </w:t>
      </w:r>
      <w:r w:rsidRPr="00CC1FF3">
        <w:rPr>
          <w:rFonts w:ascii="Calibri" w:hAnsi="Calibri" w:cs="Calibri"/>
          <w:bCs/>
          <w:lang w:val="en-GB"/>
        </w:rPr>
        <w:t>of which are</w:t>
      </w:r>
      <w:r>
        <w:rPr>
          <w:rFonts w:ascii="Calibri" w:hAnsi="Calibri" w:cs="Calibri"/>
          <w:bCs/>
          <w:lang w:val="en-GB"/>
        </w:rPr>
        <w:t xml:space="preserve"> </w:t>
      </w:r>
      <w:r w:rsidRPr="00CC1FF3">
        <w:rPr>
          <w:rFonts w:ascii="Calibri" w:hAnsi="Calibri" w:cs="Calibri"/>
          <w:bCs/>
          <w:lang w:val="en-GB"/>
        </w:rPr>
        <w:t>chemotherapeutic</w:t>
      </w:r>
      <w:r>
        <w:rPr>
          <w:rFonts w:ascii="Calibri" w:hAnsi="Calibri" w:cs="Calibri"/>
          <w:bCs/>
          <w:lang w:val="en-GB"/>
        </w:rPr>
        <w:t xml:space="preserve"> a</w:t>
      </w:r>
      <w:r w:rsidRPr="00CC1FF3">
        <w:rPr>
          <w:rFonts w:ascii="Calibri" w:hAnsi="Calibri" w:cs="Calibri"/>
          <w:bCs/>
          <w:lang w:val="en-GB"/>
        </w:rPr>
        <w:t>gents</w:t>
      </w:r>
      <w:r w:rsidR="00240374">
        <w:rPr>
          <w:rFonts w:ascii="Calibri" w:hAnsi="Calibri" w:cs="Calibri"/>
          <w:bCs/>
          <w:lang w:val="en-GB"/>
        </w:rPr>
        <w:t xml:space="preserve">, cocaine and </w:t>
      </w:r>
      <w:r w:rsidRPr="00CC1FF3">
        <w:rPr>
          <w:rFonts w:ascii="Calibri" w:hAnsi="Calibri" w:cs="Calibri"/>
          <w:bCs/>
          <w:lang w:val="en-GB"/>
        </w:rPr>
        <w:t>alcohol</w:t>
      </w:r>
      <w:r>
        <w:rPr>
          <w:rFonts w:ascii="Calibri" w:hAnsi="Calibri" w:cs="Calibri"/>
          <w:bCs/>
          <w:lang w:val="en-GB"/>
        </w:rPr>
        <w:t xml:space="preserve">. Inflammation and auto-immune response can result in particularly malignant </w:t>
      </w:r>
      <w:r w:rsidR="00D733CD">
        <w:rPr>
          <w:rFonts w:ascii="Calibri" w:hAnsi="Calibri" w:cs="Calibri"/>
          <w:bCs/>
          <w:lang w:val="en-GB"/>
        </w:rPr>
        <w:t>forms of DCM</w:t>
      </w:r>
      <w:r w:rsidR="000A12BC">
        <w:rPr>
          <w:rFonts w:ascii="Calibri" w:hAnsi="Calibri" w:cs="Calibri"/>
          <w:bCs/>
          <w:lang w:val="en-GB"/>
        </w:rPr>
        <w:fldChar w:fldCharType="begin" w:fldLock="1"/>
      </w:r>
      <w:r w:rsidR="001A2833">
        <w:rPr>
          <w:rFonts w:ascii="Calibri" w:hAnsi="Calibri" w:cs="Calibri"/>
          <w:bCs/>
          <w:lang w:val="en-GB"/>
        </w:rPr>
        <w:instrText>ADDIN CSL_CITATION {"citationItems":[{"id":"ITEM-1","itemData":{"DOI":"10.1016/S0140-6736(16)31713-5","ISSN":"1474-547X","PMID":"28190577","abstract":"Dilated cardiomyopathy is defined by the presence of left ventricular dilatation and contractile dysfunction. Genetic mutations involving genes that encode cytoskeletal, sarcomere, and nuclear envelope proteins, among others, account for up to 35% of cases. Acquired causes include myocarditis and exposure to alcohol, drugs and toxins, and metabolic and endocrine disturbances. The most common presenting symptoms relate to congestive heart failure, but can also include circulatory collapse, arrhythmias, and thromboembolic events. Secondary neurohormonal changes contribute to reverse remodelling and ongoing myocyte damage. The prognosis is worst for individuals with the lowest ejection fractions or severe diastolic dysfunction. Treatment of chronic heart failure comprises medications that improve survival and reduce hospital admission-namely, angiotensin converting enzyme inhibitors and β blockers. Other interventions include enrolment in a multidisciplinary heart failure service, and device therapy for arrhythmia management and sudden death prevention. Patients who are refractory to medical therapy might benefit from mechanical circulatory support and heart transplantation. Treatment of preclinical disease and the potential role of stem-cell therapy are being investigated.","author":[{"dropping-particle":"","family":"Weintraub","given":"Robert G","non-dropping-particle":"","parse-names":false,"suffix":""},{"dropping-particle":"","family":"Semsarian","given":"Christopher","non-dropping-particle":"","parse-names":false,"suffix":""},{"dropping-particle":"","family":"Macdonald","given":"Peter","non-dropping-particle":"","parse-names":false,"suffix":""}],"container-title":"Lancet (London, England)","id":"ITEM-1","issue":"10092","issued":{"date-parts":[["2017"]]},"page":"400-414","title":"Dilated cardiomyopathy.","type":"article-journal","volume":"390"},"uris":["http://www.mendeley.com/documents/?uuid=57828535-8f6e-4d90-a84a-d38658c2300e"]}],"mendeley":{"formattedCitation":"&lt;sup&gt;12&lt;/sup&gt;","plainTextFormattedCitation":"12","previouslyFormattedCitation":"&lt;sup&gt;12&lt;/sup&gt;"},"properties":{"noteIndex":0},"schema":"https://github.com/citation-style-language/schema/raw/master/csl-citation.json"}</w:instrText>
      </w:r>
      <w:r w:rsidR="000A12BC">
        <w:rPr>
          <w:rFonts w:ascii="Calibri" w:hAnsi="Calibri" w:cs="Calibri"/>
          <w:bCs/>
          <w:lang w:val="en-GB"/>
        </w:rPr>
        <w:fldChar w:fldCharType="separate"/>
      </w:r>
      <w:r w:rsidR="001A2833" w:rsidRPr="001A2833">
        <w:rPr>
          <w:rFonts w:ascii="Calibri" w:hAnsi="Calibri" w:cs="Calibri"/>
          <w:bCs/>
          <w:noProof/>
          <w:vertAlign w:val="superscript"/>
          <w:lang w:val="en-GB"/>
        </w:rPr>
        <w:t>12</w:t>
      </w:r>
      <w:r w:rsidR="000A12BC">
        <w:rPr>
          <w:rFonts w:ascii="Calibri" w:hAnsi="Calibri" w:cs="Calibri"/>
          <w:bCs/>
          <w:lang w:val="en-GB"/>
        </w:rPr>
        <w:fldChar w:fldCharType="end"/>
      </w:r>
      <w:r w:rsidR="00D733CD">
        <w:rPr>
          <w:rFonts w:ascii="Calibri" w:hAnsi="Calibri" w:cs="Calibri"/>
          <w:bCs/>
          <w:lang w:val="en-GB"/>
        </w:rPr>
        <w:t>.</w:t>
      </w:r>
      <w:r>
        <w:rPr>
          <w:rFonts w:ascii="Calibri" w:hAnsi="Calibri" w:cs="Calibri"/>
          <w:bCs/>
          <w:lang w:val="en-GB"/>
        </w:rPr>
        <w:t xml:space="preserve"> Although</w:t>
      </w:r>
      <w:r w:rsidRPr="00CC1FF3">
        <w:rPr>
          <w:rFonts w:ascii="Calibri" w:hAnsi="Calibri" w:cs="Calibri"/>
          <w:bCs/>
          <w:lang w:val="en-GB"/>
        </w:rPr>
        <w:t xml:space="preserve"> </w:t>
      </w:r>
      <w:r>
        <w:rPr>
          <w:rFonts w:ascii="Calibri" w:hAnsi="Calibri" w:cs="Calibri"/>
          <w:bCs/>
          <w:lang w:val="en-GB"/>
        </w:rPr>
        <w:t>specific ECG features are often absent,</w:t>
      </w:r>
      <w:r w:rsidR="00ED46D6" w:rsidRPr="0041574E">
        <w:rPr>
          <w:rFonts w:ascii="Calibri" w:hAnsi="Calibri" w:cs="Calibri"/>
          <w:bCs/>
          <w:lang w:val="en-GB"/>
        </w:rPr>
        <w:t xml:space="preserve"> </w:t>
      </w:r>
      <w:r w:rsidR="001262D5" w:rsidRPr="0041574E">
        <w:rPr>
          <w:rFonts w:ascii="Calibri" w:hAnsi="Calibri" w:cs="Calibri"/>
          <w:bCs/>
          <w:lang w:val="en-GB"/>
        </w:rPr>
        <w:t xml:space="preserve">it is possible to recognize </w:t>
      </w:r>
      <w:r w:rsidR="004506FC" w:rsidRPr="0041574E">
        <w:rPr>
          <w:rFonts w:ascii="Calibri" w:hAnsi="Calibri" w:cs="Calibri"/>
          <w:bCs/>
          <w:lang w:val="en-GB"/>
        </w:rPr>
        <w:t xml:space="preserve">some patterns in </w:t>
      </w:r>
      <w:r w:rsidR="00240374">
        <w:rPr>
          <w:rFonts w:ascii="Calibri" w:hAnsi="Calibri" w:cs="Calibri"/>
          <w:bCs/>
          <w:lang w:val="en-GB"/>
        </w:rPr>
        <w:t>these</w:t>
      </w:r>
      <w:r w:rsidR="004506FC" w:rsidRPr="0041574E">
        <w:rPr>
          <w:rFonts w:ascii="Calibri" w:hAnsi="Calibri" w:cs="Calibri"/>
          <w:bCs/>
          <w:lang w:val="en-GB"/>
        </w:rPr>
        <w:t xml:space="preserve"> </w:t>
      </w:r>
      <w:r w:rsidR="000A12BC">
        <w:rPr>
          <w:rFonts w:ascii="Calibri" w:hAnsi="Calibri" w:cs="Calibri"/>
          <w:bCs/>
          <w:lang w:val="en-GB"/>
        </w:rPr>
        <w:t xml:space="preserve">acquired </w:t>
      </w:r>
      <w:r w:rsidR="004506FC" w:rsidRPr="0041574E">
        <w:rPr>
          <w:rFonts w:ascii="Calibri" w:hAnsi="Calibri" w:cs="Calibri"/>
          <w:bCs/>
          <w:lang w:val="en-GB"/>
        </w:rPr>
        <w:t>forms of DCM</w:t>
      </w:r>
      <w:r w:rsidR="003F2893">
        <w:rPr>
          <w:rFonts w:ascii="Calibri" w:hAnsi="Calibri" w:cs="Calibri"/>
          <w:bCs/>
          <w:lang w:val="en-GB"/>
        </w:rPr>
        <w:t xml:space="preserve"> (</w:t>
      </w:r>
      <w:r w:rsidR="003F2893" w:rsidRPr="003F2893">
        <w:rPr>
          <w:rFonts w:ascii="Calibri" w:hAnsi="Calibri" w:cs="Calibri"/>
          <w:b/>
          <w:bCs/>
          <w:lang w:val="en-GB"/>
        </w:rPr>
        <w:t>Table 3</w:t>
      </w:r>
      <w:r w:rsidR="003F2893">
        <w:rPr>
          <w:rFonts w:ascii="Calibri" w:hAnsi="Calibri" w:cs="Calibri"/>
          <w:bCs/>
          <w:lang w:val="en-GB"/>
        </w:rPr>
        <w:t>)</w:t>
      </w:r>
      <w:r w:rsidR="004506FC" w:rsidRPr="0041574E">
        <w:rPr>
          <w:rFonts w:ascii="Calibri" w:hAnsi="Calibri" w:cs="Calibri"/>
          <w:bCs/>
          <w:lang w:val="en-GB"/>
        </w:rPr>
        <w:t xml:space="preserve">. </w:t>
      </w:r>
    </w:p>
    <w:p w14:paraId="51246AE1" w14:textId="77777777" w:rsidR="00862333" w:rsidRDefault="00862333" w:rsidP="00CC1FF3">
      <w:pPr>
        <w:spacing w:line="480" w:lineRule="auto"/>
        <w:rPr>
          <w:rFonts w:ascii="Calibri" w:hAnsi="Calibri" w:cs="Calibri"/>
          <w:bCs/>
          <w:u w:val="single"/>
          <w:lang w:val="en-GB"/>
        </w:rPr>
      </w:pPr>
    </w:p>
    <w:p w14:paraId="3FD11EEE" w14:textId="720551EA" w:rsidR="00CC1FF3" w:rsidRPr="0041574E" w:rsidRDefault="00CC1FF3" w:rsidP="00CC1FF3">
      <w:pPr>
        <w:spacing w:line="480" w:lineRule="auto"/>
        <w:rPr>
          <w:rFonts w:ascii="Calibri" w:hAnsi="Calibri" w:cs="Calibri"/>
          <w:bCs/>
          <w:u w:val="single"/>
          <w:lang w:val="en-GB"/>
        </w:rPr>
      </w:pPr>
      <w:r w:rsidRPr="0041574E">
        <w:rPr>
          <w:rFonts w:ascii="Calibri" w:hAnsi="Calibri" w:cs="Calibri"/>
          <w:bCs/>
          <w:u w:val="single"/>
          <w:lang w:val="en-GB"/>
        </w:rPr>
        <w:lastRenderedPageBreak/>
        <w:t>Inflammatory cardiomyopath</w:t>
      </w:r>
      <w:r w:rsidR="00185744">
        <w:rPr>
          <w:rFonts w:ascii="Calibri" w:hAnsi="Calibri" w:cs="Calibri"/>
          <w:bCs/>
          <w:u w:val="single"/>
          <w:lang w:val="en-GB"/>
        </w:rPr>
        <w:t>ies</w:t>
      </w:r>
    </w:p>
    <w:p w14:paraId="427A6346" w14:textId="1FCF2C76" w:rsidR="00CC1FF3" w:rsidRPr="00185744" w:rsidRDefault="00CC1FF3" w:rsidP="002642B5">
      <w:pPr>
        <w:spacing w:line="480" w:lineRule="auto"/>
        <w:ind w:firstLine="720"/>
        <w:rPr>
          <w:rFonts w:ascii="Calibri" w:hAnsi="Calibri" w:cs="Calibri"/>
          <w:bCs/>
          <w:lang w:val="en-GB"/>
        </w:rPr>
      </w:pPr>
      <w:r w:rsidRPr="0041574E">
        <w:rPr>
          <w:rFonts w:ascii="Calibri" w:hAnsi="Calibri" w:cs="Calibri"/>
          <w:bCs/>
          <w:lang w:val="en-GB"/>
        </w:rPr>
        <w:t>Acute myocarditis may result in chronic inflammation and evolution to DCM in a variable proportion of patients</w:t>
      </w:r>
      <w:r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{"citationItems":[{"id":"ITEM-1","itemData":{"DOI":"10.1136/heart.85.5.499","ISSN":"00070769","abstract":"The World Health Organization/International Society and Federation of Cardiology (WHO/ISFC) task force on the definition and classification of cardiomyopathies recently updated and reclassified heart muscle diseases.1 Myocarditis was defined as “an inflammatory disease of the myocardium . . . diagnosed by established histological, immunological, and immunohistochemical criteria.” Three distinct forms of inflammatory cardiomyopathy (that is, myocarditis associated with cardiac dysfunction) are recognised: idiopathic, autoimmune, and infectious. Various infectious factors may cause myocarditis, but viral agents, especially coxsackie group B viruses, are most commonly associated with this disease.2 Myocarditis has been recognised for almost two centuries, since Corvisart first described this disease in clinical terms in 1812,3 but in the last three decades there has been renewed interest in the inflammatory process in the myocardium. The reasons for this are multiple: the introduction of endomyocardial biopsy for in vivo diagnosis (the disease was often overdiagnosed in the past on purely clinical grounds)4; related efforts to produce standardised criteria for histological diagnosis (the Dallas criteria; fig 1)5; better understanding of cardiotropic viruses, studied in animal models of myocarditis,6 leading to new insights into the immunological mechanisms of the disease (fig2)7 and potential treatments in humans8; and lastly—and perhaps most interestingly—the finding of a possible causal relation between viral myocarditis and dilated cardiomyopathy,9 a major cause of congestive heart failure in western countries. Figure 1 Histological section of active lymphocytic myocarditis according to the Dallas criteria. A dense infiltrate of lymphocytes in close contact with damaged and necrotic myocytes is evident (haematoxylin and eosin × 100). Figure 2 CD4RO positive T lymphocytic cellular infiltrates in a diffuse pattern (× 40). Despite numerous published reports on this disease, the natural history of acute myocarditis is still poorly understood, despite the development of immunological …","author":[{"dropping-particle":"","family":"D'Ambrosio","given":"A","non-dropping-particle":"","parse-names":false,"suffix":""}],"container-title":"Heart","id":"ITEM-1","issued":{"date-parts":[["2001"]]},"title":"The fate of acute myocarditis between spontaneous improvement and evolution to dilated cardiomyopathy: a review","type":"article-journal"},"uris":["http://www.mendeley.com/documents/?uuid=7598d7c8-f22e-41ba-b3f1-35f96c5b34cf","http://www.mendeley.com/documents/?uuid=0b157210-6c89-43eb-8f0b-e828f96ec05a"]}],"mendeley":{"formattedCitation":"&lt;sup&gt;44&lt;/sup&gt;","plainTextFormattedCitation":"44","previouslyFormattedCitation":"&lt;sup&gt;44&lt;/sup&gt;"},"properties":{"noteIndex":0},"schema":"https://github.com/citation-style-language/schema/raw/master/csl-citation.json"}</w:instrText>
      </w:r>
      <w:r w:rsidRPr="0041574E">
        <w:rPr>
          <w:rFonts w:ascii="Calibri" w:hAnsi="Calibri" w:cs="Calibri"/>
          <w:bCs/>
          <w:lang w:val="en-GB"/>
        </w:rPr>
        <w:fldChar w:fldCharType="separate"/>
      </w:r>
      <w:r w:rsidR="00ED51EF" w:rsidRPr="00ED51EF">
        <w:rPr>
          <w:rFonts w:ascii="Calibri" w:hAnsi="Calibri" w:cs="Calibri"/>
          <w:bCs/>
          <w:noProof/>
          <w:vertAlign w:val="superscript"/>
          <w:lang w:val="en-GB"/>
        </w:rPr>
        <w:t>44</w:t>
      </w:r>
      <w:r w:rsidRPr="0041574E">
        <w:rPr>
          <w:rFonts w:ascii="Calibri" w:hAnsi="Calibri" w:cs="Calibri"/>
          <w:bCs/>
          <w:lang w:val="en-GB"/>
        </w:rPr>
        <w:fldChar w:fldCharType="end"/>
      </w:r>
      <w:r w:rsidRPr="0041574E">
        <w:rPr>
          <w:rFonts w:ascii="Calibri" w:hAnsi="Calibri" w:cs="Calibri"/>
          <w:bCs/>
          <w:lang w:val="en-GB"/>
        </w:rPr>
        <w:t xml:space="preserve">. </w:t>
      </w:r>
      <w:r w:rsidR="00EE775B">
        <w:rPr>
          <w:rFonts w:ascii="Calibri" w:hAnsi="Calibri" w:cs="Calibri"/>
          <w:bCs/>
          <w:lang w:val="en-GB"/>
        </w:rPr>
        <w:t xml:space="preserve">The spectrum of </w:t>
      </w:r>
      <w:r w:rsidRPr="0041574E">
        <w:rPr>
          <w:rFonts w:ascii="Calibri" w:hAnsi="Calibri" w:cs="Calibri"/>
          <w:bCs/>
          <w:lang w:val="en-GB"/>
        </w:rPr>
        <w:t>ECG</w:t>
      </w:r>
      <w:r w:rsidR="000A12BC">
        <w:rPr>
          <w:rFonts w:ascii="Calibri" w:hAnsi="Calibri" w:cs="Calibri"/>
          <w:bCs/>
          <w:lang w:val="en-GB"/>
        </w:rPr>
        <w:t xml:space="preserve"> features </w:t>
      </w:r>
      <w:r w:rsidR="00EE775B">
        <w:rPr>
          <w:rFonts w:ascii="Calibri" w:hAnsi="Calibri" w:cs="Calibri"/>
          <w:bCs/>
          <w:lang w:val="en-GB"/>
        </w:rPr>
        <w:t>in</w:t>
      </w:r>
      <w:r w:rsidRPr="0041574E">
        <w:rPr>
          <w:rFonts w:ascii="Calibri" w:hAnsi="Calibri" w:cs="Calibri"/>
          <w:bCs/>
          <w:lang w:val="en-GB"/>
        </w:rPr>
        <w:t xml:space="preserve"> DCM resulting from previous myocarditis</w:t>
      </w:r>
      <w:r w:rsidR="004B10F3">
        <w:rPr>
          <w:rFonts w:ascii="Calibri" w:hAnsi="Calibri" w:cs="Calibri"/>
          <w:bCs/>
          <w:lang w:val="en-GB"/>
        </w:rPr>
        <w:t xml:space="preserve"> is wide and often non-specific</w:t>
      </w:r>
      <w:r w:rsidR="005C30A9">
        <w:rPr>
          <w:rFonts w:ascii="Calibri" w:hAnsi="Calibri" w:cs="Calibri"/>
          <w:bCs/>
          <w:lang w:val="en-GB"/>
        </w:rPr>
        <w:t>. H</w:t>
      </w:r>
      <w:r w:rsidRPr="0041574E">
        <w:rPr>
          <w:rFonts w:ascii="Calibri" w:hAnsi="Calibri" w:cs="Calibri"/>
          <w:bCs/>
          <w:lang w:val="en-GB"/>
        </w:rPr>
        <w:t>owever,</w:t>
      </w:r>
      <w:r w:rsidR="000A12BC">
        <w:rPr>
          <w:rFonts w:ascii="Calibri" w:hAnsi="Calibri" w:cs="Calibri"/>
          <w:bCs/>
          <w:lang w:val="en-GB"/>
        </w:rPr>
        <w:t xml:space="preserve"> especially in the acute inflammatory phase,</w:t>
      </w:r>
      <w:r w:rsidRPr="0041574E">
        <w:rPr>
          <w:rFonts w:ascii="Calibri" w:hAnsi="Calibri" w:cs="Calibri"/>
          <w:bCs/>
          <w:lang w:val="en-GB"/>
        </w:rPr>
        <w:t xml:space="preserve"> low-voltages</w:t>
      </w:r>
      <w:r w:rsidR="000A12BC">
        <w:rPr>
          <w:rFonts w:ascii="Calibri" w:hAnsi="Calibri" w:cs="Calibri"/>
          <w:bCs/>
          <w:lang w:val="en-GB"/>
        </w:rPr>
        <w:t xml:space="preserve"> (</w:t>
      </w:r>
      <w:r w:rsidR="00240374">
        <w:rPr>
          <w:rFonts w:ascii="Calibri" w:hAnsi="Calibri" w:cs="Calibri"/>
          <w:bCs/>
          <w:lang w:val="en-GB"/>
        </w:rPr>
        <w:t>reflecting</w:t>
      </w:r>
      <w:r w:rsidR="000A12BC">
        <w:rPr>
          <w:rFonts w:ascii="Calibri" w:hAnsi="Calibri" w:cs="Calibri"/>
          <w:bCs/>
          <w:lang w:val="en-GB"/>
        </w:rPr>
        <w:t xml:space="preserve"> concomitant pericardial effusion or myocardial fibrosis)</w:t>
      </w:r>
      <w:r w:rsidRPr="0041574E">
        <w:rPr>
          <w:rFonts w:ascii="Calibri" w:hAnsi="Calibri" w:cs="Calibri"/>
          <w:bCs/>
          <w:lang w:val="en-GB"/>
        </w:rPr>
        <w:t>,</w:t>
      </w:r>
      <w:r w:rsidR="005C30A9">
        <w:rPr>
          <w:rFonts w:ascii="Calibri" w:hAnsi="Calibri" w:cs="Calibri"/>
          <w:bCs/>
          <w:lang w:val="en-GB"/>
        </w:rPr>
        <w:t xml:space="preserve"> conduction abnormalities (especially in myocarditis due to Lyme disease),</w:t>
      </w:r>
      <w:r w:rsidRPr="0041574E">
        <w:rPr>
          <w:rFonts w:ascii="Calibri" w:hAnsi="Calibri" w:cs="Calibri"/>
          <w:bCs/>
          <w:lang w:val="en-GB"/>
        </w:rPr>
        <w:t xml:space="preserve"> lateral T</w:t>
      </w:r>
      <w:r w:rsidR="004B10F3">
        <w:rPr>
          <w:rFonts w:ascii="Calibri" w:hAnsi="Calibri" w:cs="Calibri"/>
          <w:bCs/>
          <w:lang w:val="en-GB"/>
        </w:rPr>
        <w:t>WI</w:t>
      </w:r>
      <w:r w:rsidRPr="0041574E">
        <w:rPr>
          <w:rFonts w:ascii="Calibri" w:hAnsi="Calibri" w:cs="Calibri"/>
          <w:bCs/>
          <w:lang w:val="en-GB"/>
        </w:rPr>
        <w:t xml:space="preserve">, increased QRS duration and frequent </w:t>
      </w:r>
      <w:r w:rsidR="002642B5">
        <w:rPr>
          <w:rFonts w:ascii="Calibri" w:hAnsi="Calibri" w:cs="Calibri"/>
          <w:bCs/>
          <w:lang w:val="en-GB"/>
        </w:rPr>
        <w:t>VPB</w:t>
      </w:r>
      <w:r w:rsidRPr="0041574E">
        <w:rPr>
          <w:rFonts w:ascii="Calibri" w:hAnsi="Calibri" w:cs="Calibri"/>
          <w:bCs/>
          <w:lang w:val="en-GB"/>
        </w:rPr>
        <w:t xml:space="preserve">s </w:t>
      </w:r>
      <w:r w:rsidR="00185744">
        <w:rPr>
          <w:rFonts w:ascii="Calibri" w:hAnsi="Calibri" w:cs="Calibri"/>
          <w:bCs/>
          <w:lang w:val="en-GB"/>
        </w:rPr>
        <w:t>or</w:t>
      </w:r>
      <w:r w:rsidRPr="0041574E">
        <w:rPr>
          <w:rFonts w:ascii="Calibri" w:hAnsi="Calibri" w:cs="Calibri"/>
          <w:bCs/>
          <w:lang w:val="en-GB"/>
        </w:rPr>
        <w:t xml:space="preserve"> </w:t>
      </w:r>
      <w:r w:rsidR="00185744">
        <w:rPr>
          <w:rFonts w:ascii="Calibri" w:hAnsi="Calibri" w:cs="Calibri"/>
          <w:bCs/>
          <w:lang w:val="en-GB"/>
        </w:rPr>
        <w:t>NSVT</w:t>
      </w:r>
      <w:r w:rsidRPr="0041574E">
        <w:rPr>
          <w:rFonts w:ascii="Calibri" w:hAnsi="Calibri" w:cs="Calibri"/>
          <w:bCs/>
          <w:lang w:val="en-GB"/>
        </w:rPr>
        <w:t xml:space="preserve"> might be present</w:t>
      </w:r>
      <w:r w:rsidRPr="0041574E">
        <w:rPr>
          <w:rFonts w:ascii="Calibri" w:hAnsi="Calibri" w:cs="Calibri"/>
          <w:bCs/>
          <w:lang w:val="en-GB"/>
        </w:rPr>
        <w:fldChar w:fldCharType="begin" w:fldLock="1"/>
      </w:r>
      <w:r w:rsidR="00083BAF">
        <w:rPr>
          <w:rFonts w:ascii="Calibri" w:hAnsi="Calibri" w:cs="Calibri"/>
          <w:bCs/>
          <w:lang w:val="en-GB"/>
        </w:rPr>
        <w:instrText>ADDIN CSL_CITATION {"citationItems":[{"id":"ITEM-1","itemData":{"DOI":"10.1016/j.hrthm.2019.05.007","ISSN":"1556-3871","PMID":"31078652","abstract":"Arrhythmogenic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 and sarcoidosis, Chagas' disease and left ventricular noncompaction. The ACM phenotype overlaps with other cardiomyopathies, particularly dilated cardiomyopathy with arrhythmia presentation which may be associated with ventricular dilatation and/or impaired systolic function. This expert consensus statement provides the clinician with guidance on evaluation and management of ACM and includes clinically relevant information on genetics and disease mechanisms. PICO (Patient, Intervention, Comparison, Outcome)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ACC and AHA and is accompanied by references and explanatory text, to provide essential context. The ongoing recognition of the genetic basis of ACM provides the opportunity to examine the diverse triggers and potential common pathway for the development of disease and arrhythmia.","author":[{"dropping-particle":"","family":"Towbin","given":"Jeffrey A","non-dropping-particle":"","parse-names":false,"suffix":""},{"dropping-particle":"","family":"McKenna","given":"William J","non-dropping-particle":"","parse-names":false,"suffix":""},{"dropping-particle":"","family":"Abrams","given":"Dominic J","non-dropping-particle":"","parse-names":false,"suffix":""},{"dropping-particle":"","family":"Ackerman","given":"Michael J","non-dropping-particle":"","parse-names":false,"suffix":""},{"dropping-particle":"","family":"Calkins","given":"Hugh","non-dropping-particle":"","parse-names":false,"suffix":""},{"dropping-particle":"","family":"Darrieux","given":"Francisco C C","non-dropping-particle":"","parse-names":false,"suffix":""},{"dropping-particle":"","family":"Daubert","given":"James P","non-dropping-particle":"","parse-names":false,"suffix":""},{"dropping-particle":"","family":"Chillou","given":"Christian","non-dropping-particle":"de","parse-names":false,"suffix":""},{"dropping-particle":"","family":"DePasquale","given":"Eugene C","non-dropping-particle":"","parse-names":false,"suffix":""},{"dropping-particle":"","family":"Desai","given":"Milind Y","non-dropping-particle":"","parse-names":false,"suffix":""},{"dropping-particle":"","family":"Estes","given":"N A Mark","non-dropping-particle":"","parse-names":false,"suffix":""},{"dropping-particle":"","family":"Hua","given":"Wei","non-dropping-particle":"","parse-names":false,"suffix":""},{"dropping-particle":"","family":"Indik","given":"Julia H","non-dropping-particle":"","parse-names":false,"suffix":""},{"dropping-particle":"","family":"Ingles","given":"Jodie","non-dropping-particle":"","parse-names":false,"suffix":""},{"dropping-particle":"","family":"James","given":"Cynthia A","non-dropping-particle":"","parse-names":false,"suffix":""},{"dropping-particle":"","family":"John","given":"Roy M","non-dropping-particle":"","parse-names":false,"suffix":""},{"dropping-particle":"","family":"Judge","given":"Daniel P","non-dropping-particle":"","parse-names":false,"suffix":""},{"dropping-particle":"","family":"Keegan","given":"Roberto","non-dropping-particle":"","parse-names":false,"suffix":""},{"dropping-particle":"","family":"Krahn","given":"Andrew D","non-dropping-particle":"","parse-names":false,"suffix":""},{"dropping-particle":"","family":"Link","given":"Mark S","non-dropping-particle":"","parse-names":false,"suffix":""},{"dropping-particle":"","family":"Marcus","given":"Frank I","non-dropping-particle":"","parse-names":false,"suffix":""},{"dropping-particle":"","family":"McLeod","given":"Christopher J","non-dropping-particle":"","parse-names":false,"suffix":""},{"dropping-particle":"","family":"Mestroni","given":"Luisa","non-dropping-particle":"","parse-names":false,"suffix":""},{"dropping-particle":"","family":"Priori","given":"Silvia G","non-dropping-particle":"","parse-names":false,"suffix":""},{"dropping-particle":"","family":"Saffitz","given":"Jeffrey E","non-dropping-particle":"","parse-names":false,"suffix":""},{"dropping-particle":"","family":"Sanatani","given":"Shubhayan","non-dropping-particle":"","parse-names":false,"suffix":""},{"dropping-particle":"","family":"Shimizu","given":"Wataru","non-dropping-particle":"","parse-names":false,"suffix":""},{"dropping-particle":"","family":"Peter van Tintelen","given":"J","non-dropping-particle":"","parse-names":false,"suffix":""},{"dropping-particle":"","family":"Wilde","given":"Arthur A M","non-dropping-particle":"","parse-names":false,"suffix":""},{"dropping-particle":"","family":"Zareba","given":"Wojciech","non-dropping-particle":"","parse-names":false,"suffix":""}],"container-title":"Heart rhythm","id":"ITEM-1","issued":{"date-parts":[["2019","5","9"]]},"title":"2019 HRS Expert Consensus Statement on Evaluation, Risk Stratification, and Management of Arrhythmogenic Cardiomyopathy.","type":"article-journal"},"uris":["http://www.mendeley.com/documents/?uuid=5c197125-3369-40c7-9bb6-9f9b47436fd8"]}],"mendeley":{"formattedCitation":"&lt;sup&gt;45&lt;/sup&gt;","plainTextFormattedCitation":"45","previouslyFormattedCitation":"&lt;sup&gt;45&lt;/sup&gt;"},"properties":{"noteIndex":0},"schema":"https://github.com/citation-style-language/schema/raw/master/csl-citation.json"}</w:instrText>
      </w:r>
      <w:r w:rsidRPr="0041574E">
        <w:rPr>
          <w:rFonts w:ascii="Calibri" w:hAnsi="Calibri" w:cs="Calibri"/>
          <w:bCs/>
          <w:lang w:val="en-GB"/>
        </w:rPr>
        <w:fldChar w:fldCharType="separate"/>
      </w:r>
      <w:r w:rsidR="00ED51EF" w:rsidRPr="00ED51EF">
        <w:rPr>
          <w:rFonts w:ascii="Calibri" w:hAnsi="Calibri" w:cs="Calibri"/>
          <w:bCs/>
          <w:noProof/>
          <w:vertAlign w:val="superscript"/>
          <w:lang w:val="en-GB"/>
        </w:rPr>
        <w:t>45</w:t>
      </w:r>
      <w:r w:rsidRPr="0041574E">
        <w:rPr>
          <w:rFonts w:ascii="Calibri" w:hAnsi="Calibri" w:cs="Calibri"/>
          <w:bCs/>
          <w:lang w:val="en-GB"/>
        </w:rPr>
        <w:fldChar w:fldCharType="end"/>
      </w:r>
      <w:r w:rsidR="006F52A1">
        <w:rPr>
          <w:rFonts w:ascii="Calibri" w:hAnsi="Calibri" w:cs="Calibri"/>
          <w:bCs/>
          <w:lang w:val="en-GB"/>
        </w:rPr>
        <w:t xml:space="preserve"> </w:t>
      </w:r>
      <w:r w:rsidR="006F52A1" w:rsidRPr="006F52A1">
        <w:rPr>
          <w:rFonts w:ascii="Calibri" w:hAnsi="Calibri" w:cs="Calibri"/>
          <w:b/>
          <w:bCs/>
          <w:lang w:val="en-GB"/>
        </w:rPr>
        <w:t>(Figure 3A)</w:t>
      </w:r>
      <w:r w:rsidRPr="0041574E">
        <w:rPr>
          <w:rFonts w:ascii="Calibri" w:hAnsi="Calibri" w:cs="Calibri"/>
          <w:bCs/>
          <w:lang w:val="en-GB"/>
        </w:rPr>
        <w:t>.</w:t>
      </w:r>
      <w:r w:rsidR="002642B5">
        <w:rPr>
          <w:rFonts w:ascii="Calibri" w:hAnsi="Calibri" w:cs="Calibri"/>
          <w:bCs/>
          <w:lang w:val="en-GB"/>
        </w:rPr>
        <w:t xml:space="preserve"> </w:t>
      </w:r>
      <w:r w:rsidRPr="0041574E">
        <w:rPr>
          <w:rFonts w:ascii="Calibri" w:hAnsi="Calibri" w:cs="Calibri"/>
          <w:bCs/>
          <w:lang w:val="en-GB"/>
        </w:rPr>
        <w:t xml:space="preserve">A </w:t>
      </w:r>
      <w:r w:rsidR="002642B5">
        <w:rPr>
          <w:rFonts w:ascii="Calibri" w:hAnsi="Calibri" w:cs="Calibri"/>
          <w:bCs/>
          <w:lang w:val="en-GB"/>
        </w:rPr>
        <w:t>specific</w:t>
      </w:r>
      <w:r w:rsidRPr="0041574E">
        <w:rPr>
          <w:rFonts w:ascii="Calibri" w:hAnsi="Calibri" w:cs="Calibri"/>
          <w:bCs/>
          <w:lang w:val="en-GB"/>
        </w:rPr>
        <w:t xml:space="preserve"> form of inflammatory cardiomyopathy is Chagas disease</w:t>
      </w:r>
      <w:r w:rsidR="002642B5">
        <w:rPr>
          <w:rFonts w:ascii="Calibri" w:hAnsi="Calibri" w:cs="Calibri"/>
          <w:bCs/>
          <w:lang w:val="en-GB"/>
        </w:rPr>
        <w:t xml:space="preserve">, </w:t>
      </w:r>
      <w:r w:rsidR="002642B5" w:rsidRPr="002642B5">
        <w:rPr>
          <w:rFonts w:ascii="Calibri" w:hAnsi="Calibri" w:cs="Calibri"/>
          <w:bCs/>
          <w:lang w:val="en-GB"/>
        </w:rPr>
        <w:t xml:space="preserve">caused by the parasite Trypanosoma </w:t>
      </w:r>
      <w:proofErr w:type="spellStart"/>
      <w:r w:rsidR="002642B5" w:rsidRPr="002642B5">
        <w:rPr>
          <w:rFonts w:ascii="Calibri" w:hAnsi="Calibri" w:cs="Calibri"/>
          <w:bCs/>
          <w:lang w:val="en-GB"/>
        </w:rPr>
        <w:t>cruzi</w:t>
      </w:r>
      <w:proofErr w:type="spellEnd"/>
      <w:r w:rsidR="002642B5">
        <w:rPr>
          <w:rFonts w:ascii="Calibri" w:hAnsi="Calibri" w:cs="Calibri"/>
          <w:bCs/>
          <w:lang w:val="en-GB"/>
        </w:rPr>
        <w:t xml:space="preserve"> and</w:t>
      </w:r>
      <w:r w:rsidR="002642B5" w:rsidRPr="002642B5">
        <w:rPr>
          <w:rFonts w:ascii="Calibri" w:hAnsi="Calibri" w:cs="Calibri"/>
          <w:bCs/>
          <w:lang w:val="en-GB"/>
        </w:rPr>
        <w:t xml:space="preserve"> common in South America</w:t>
      </w:r>
      <w:r w:rsidR="005C30A9">
        <w:rPr>
          <w:rFonts w:ascii="Calibri" w:hAnsi="Calibri" w:cs="Calibri"/>
          <w:bCs/>
          <w:lang w:val="en-GB"/>
        </w:rPr>
        <w:t xml:space="preserve"> and</w:t>
      </w:r>
      <w:r w:rsidR="002642B5" w:rsidRPr="002642B5">
        <w:rPr>
          <w:rFonts w:ascii="Calibri" w:hAnsi="Calibri" w:cs="Calibri"/>
          <w:bCs/>
          <w:lang w:val="en-GB"/>
        </w:rPr>
        <w:t xml:space="preserve"> Central America</w:t>
      </w:r>
      <w:r w:rsidRPr="0041574E">
        <w:rPr>
          <w:rFonts w:ascii="Calibri" w:hAnsi="Calibri" w:cs="Calibri"/>
          <w:bCs/>
          <w:lang w:val="en-GB"/>
        </w:rPr>
        <w:t xml:space="preserve">. Chagas disease is characterized by conduction system </w:t>
      </w:r>
      <w:r w:rsidR="005C30A9">
        <w:rPr>
          <w:rFonts w:ascii="Calibri" w:hAnsi="Calibri" w:cs="Calibri"/>
          <w:bCs/>
          <w:lang w:val="en-GB"/>
        </w:rPr>
        <w:t>abnormalities</w:t>
      </w:r>
      <w:r w:rsidRPr="0041574E">
        <w:rPr>
          <w:rFonts w:ascii="Calibri" w:hAnsi="Calibri" w:cs="Calibri"/>
          <w:bCs/>
          <w:lang w:val="en-GB"/>
        </w:rPr>
        <w:t>, most commonly RBBB with left anterior fascicular block and AV-block</w:t>
      </w:r>
      <w:r w:rsidR="005C30A9">
        <w:rPr>
          <w:rFonts w:ascii="Calibri" w:hAnsi="Calibri" w:cs="Calibri"/>
          <w:bCs/>
          <w:lang w:val="en-GB"/>
        </w:rPr>
        <w:t>s</w:t>
      </w:r>
      <w:r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{"citationItems":[{"id":"ITEM-1","itemData":{"DOI":"10.1161/CIR.0000000000000599","ISSN":"15244539","abstract":"BACKGROUND: Chagas disease, resulting from the protozoan Trypanosoma cruzi, is an important cause of heart failure, stroke, arrhythmia, and sudden death. Traditionally regarded as a tropical disease found only in Central America and South America, Chagas disease now affects at least 300 000 residents of the United States and is growing in prevalence in other traditionally nonendemic areas. Healthcare providers and health systems outside of Latin America need to be equipped to recognize, diagnose, and treat Chagas disease and to prevent further disease transmission. METHODS AND RESULTS: The American Heart Association and the Inter-American Society of Cardiology commissioned this statement to increase global awareness among providers who may encounter patients with Chagas disease outside of traditionally endemic environments. In this document, we summarize the most updated information on diagnosis, screening, and treatment of T cruzi infection, focusing primarily on its cardiovascular aspects. This document also provides quick reference tables, highlighting salient considerations for a patient with suspected or confirmed Chagas disease. CONCLUSIONS: This statement provides a broad summary of current knowledge and practice in the diagnosis and management of Chagas cardiomyopathy. It is our intent that this document will serve to increase the recognition of Chagas cardiomyopathy in low-prevalence areas and to improve care for patients with Chagas heart disease around the world.","author":[{"dropping-particle":"","family":"Nunes","given":"Maria Carmo Pereira","non-dropping-particle":"","parse-names":false,"suffix":""},{"dropping-particle":"","family":"Beaton","given":"Andrea","non-dropping-particle":"","parse-names":false,"suffix":""},{"dropping-particle":"","family":"Acquatella","given":"Harry","non-dropping-particle":"","parse-names":false,"suffix":""},{"dropping-particle":"","family":"Bern","given":"Caryn","non-dropping-particle":"","parse-names":false,"suffix":""},{"dropping-particle":"","family":"Bolger","given":"Ann F.","non-dropping-particle":"","parse-names":false,"suffix":""},{"dropping-particle":"","family":"Echeverría","given":"Luis E.","non-dropping-particle":"","parse-names":false,"suffix":""},{"dropping-particle":"","family":"Dutra","given":"Walderez O.","non-dropping-particle":"","parse-names":false,"suffix":""},{"dropping-particle":"","family":"Gascon","given":"Joaquim","non-dropping-particle":"","parse-names":false,"suffix":""},{"dropping-particle":"","family":"Morillo","given":"Carlos A.","non-dropping-particle":"","parse-names":false,"suffix":""},{"dropping-particle":"","family":"Oliveira-Filho","given":"Jamary","non-dropping-particle":"","parse-names":false,"suffix":""},{"dropping-particle":"","family":"Ribeiro","given":"Antonio Luiz Pinho","non-dropping-particle":"","parse-names":false,"suffix":""},{"dropping-particle":"","family":"Marin-Neto","given":"Jose Antonio","non-dropping-particle":"","parse-names":false,"suffix":""}],"container-title":"Circulation","id":"ITEM-1","issued":{"date-parts":[["2018"]]},"title":"Chagas Cardiomyopathy: An Update of Current Clinical Knowledge and Management: A Scientific Statement From the American Heart Association","type":"article-journal"},"uris":["http://www.mendeley.com/documents/?uuid=2c588a92-6b79-4db1-831f-5699bdfa3d94","http://www.mendeley.com/documents/?uuid=f9ad99ab-0050-420e-b02e-5b703fd6bfa4"]}],"mendeley":{"formattedCitation":"&lt;sup&gt;46&lt;/sup&gt;","plainTextFormattedCitation":"46","previouslyFormattedCitation":"&lt;sup&gt;46&lt;/sup&gt;"},"properties":{"noteIndex":0},"schema":"https://github.com/citation-style-language/schema/raw/master/csl-citation.json"}</w:instrText>
      </w:r>
      <w:r w:rsidRPr="0041574E">
        <w:rPr>
          <w:rFonts w:ascii="Calibri" w:hAnsi="Calibri" w:cs="Calibri"/>
          <w:bCs/>
          <w:lang w:val="en-GB"/>
        </w:rPr>
        <w:fldChar w:fldCharType="separate"/>
      </w:r>
      <w:r w:rsidR="001A2833" w:rsidRPr="001A2833">
        <w:rPr>
          <w:rFonts w:ascii="Calibri" w:hAnsi="Calibri" w:cs="Calibri"/>
          <w:bCs/>
          <w:noProof/>
          <w:vertAlign w:val="superscript"/>
          <w:lang w:val="en-GB"/>
        </w:rPr>
        <w:t>46</w:t>
      </w:r>
      <w:r w:rsidRPr="0041574E">
        <w:rPr>
          <w:rFonts w:ascii="Calibri" w:hAnsi="Calibri" w:cs="Calibri"/>
          <w:bCs/>
          <w:lang w:val="en-GB"/>
        </w:rPr>
        <w:fldChar w:fldCharType="end"/>
      </w:r>
      <w:r w:rsidRPr="0041574E">
        <w:rPr>
          <w:rFonts w:ascii="Calibri" w:hAnsi="Calibri" w:cs="Calibri"/>
          <w:bCs/>
          <w:lang w:val="en-GB"/>
        </w:rPr>
        <w:t xml:space="preserve">. </w:t>
      </w:r>
    </w:p>
    <w:p w14:paraId="0CD37D3D" w14:textId="54042B97" w:rsidR="00BF217D" w:rsidRPr="0041574E" w:rsidRDefault="00995C8A" w:rsidP="00185744">
      <w:pPr>
        <w:spacing w:line="480" w:lineRule="auto"/>
        <w:ind w:firstLine="720"/>
        <w:rPr>
          <w:rFonts w:ascii="Calibri" w:hAnsi="Calibri" w:cs="Calibri"/>
          <w:bCs/>
          <w:lang w:val="en-GB"/>
        </w:rPr>
      </w:pPr>
      <w:r w:rsidRPr="0041574E">
        <w:rPr>
          <w:rFonts w:ascii="Calibri" w:hAnsi="Calibri" w:cs="Calibri"/>
          <w:bCs/>
          <w:lang w:val="en-GB"/>
        </w:rPr>
        <w:t xml:space="preserve">A clinically manifest cardiac involvement </w:t>
      </w:r>
      <w:r w:rsidR="002212E3">
        <w:rPr>
          <w:rFonts w:ascii="Calibri" w:hAnsi="Calibri" w:cs="Calibri"/>
          <w:bCs/>
          <w:lang w:val="en-GB"/>
        </w:rPr>
        <w:t xml:space="preserve">with LV or biventricular systolic dysfunction with or without chamber enlargement </w:t>
      </w:r>
      <w:r w:rsidRPr="0041574E">
        <w:rPr>
          <w:rFonts w:ascii="Calibri" w:hAnsi="Calibri" w:cs="Calibri"/>
          <w:bCs/>
          <w:lang w:val="en-GB"/>
        </w:rPr>
        <w:t>occurs in approximately 5% of patients affected by systemic sarcoidosis</w:t>
      </w:r>
      <w:r w:rsidR="00CA790A" w:rsidRPr="0041574E">
        <w:rPr>
          <w:rFonts w:ascii="Calibri" w:hAnsi="Calibri" w:cs="Calibri"/>
          <w:bCs/>
          <w:lang w:val="en-GB"/>
        </w:rPr>
        <w:t>, but a silent disease is far more common, according to autopsy studies</w:t>
      </w:r>
      <w:r w:rsidR="004470C5"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{"citationItems":[{"id":"ITEM-1","itemData":{"DOI":"10.1016/j.jacc.2016.03.605","ISSN":"15583597","abstract":"Clinically manifest cardiac involvement occurs in perhaps 5% of patients with sarcoidosis. The 3 principal manifestations of cardiac sarcoidosis (CS) are conduction abnormalities, ventricular arrhythmias, and heart failure. An estimated 20% to 25% of patients with pulmonary/systemic sarcoidosis have asymptomatic cardiac involvement (clinically silent disease). In 2014, the first international guideline for the diagnosis and management of CS was published. In patients with clinically manifest CS, the extent of left ventricular dysfunction seems to be the most important predictor of prognosis. There is controversy in published reports as to the outcome of patients with clinically silent CS. Despite a paucity of data, immunosuppression therapy (primarily with corticosteroids) has been advocated for the treatment of clinically manifest CS. Device therapy, primarily with implantable cardioverter-defibrillators, is often recommended for patients with clinically manifest disease.","author":[{"dropping-particle":"","family":"Birnie","given":"David H.","non-dropping-particle":"","parse-names":false,"suffix":""},{"dropping-particle":"","family":"Nery","given":"Pablo B.","non-dropping-particle":"","parse-names":false,"suffix":""},{"dropping-particle":"","family":"Ha","given":"Andrew C.","non-dropping-particle":"","parse-names":false,"suffix":""},{"dropping-particle":"","family":"Beanlands","given":"Rob S.B.","non-dropping-particle":"","parse-names":false,"suffix":""}],"container-title":"Journal of the American College of Cardiology","id":"ITEM-1","issued":{"date-parts":[["2016"]]},"title":"Cardiac Sarcoidosis","type":"article"},"uris":["http://www.mendeley.com/documents/?uuid=34557ca0-4896-49f0-a6b9-778649630b20","http://www.mendeley.com/documents/?uuid=2db077bf-b3a4-451f-9ef5-88e9f49091de"]}],"mendeley":{"formattedCitation":"&lt;sup&gt;47&lt;/sup&gt;","plainTextFormattedCitation":"47","previouslyFormattedCitation":"&lt;sup&gt;47&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47</w:t>
      </w:r>
      <w:r w:rsidR="004470C5" w:rsidRPr="0041574E">
        <w:rPr>
          <w:rFonts w:ascii="Calibri" w:hAnsi="Calibri" w:cs="Calibri"/>
          <w:bCs/>
          <w:lang w:val="en-GB"/>
        </w:rPr>
        <w:fldChar w:fldCharType="end"/>
      </w:r>
      <w:r w:rsidRPr="0041574E">
        <w:rPr>
          <w:rFonts w:ascii="Calibri" w:hAnsi="Calibri" w:cs="Calibri"/>
          <w:bCs/>
          <w:lang w:val="en-GB"/>
        </w:rPr>
        <w:t>.</w:t>
      </w:r>
      <w:r w:rsidR="0003250B" w:rsidRPr="0041574E">
        <w:rPr>
          <w:rFonts w:ascii="Calibri" w:hAnsi="Calibri" w:cs="Calibri"/>
          <w:bCs/>
          <w:lang w:val="en-GB"/>
        </w:rPr>
        <w:t xml:space="preserve"> </w:t>
      </w:r>
      <w:r w:rsidR="00F5047A">
        <w:rPr>
          <w:rFonts w:ascii="Calibri" w:hAnsi="Calibri" w:cs="Calibri"/>
          <w:bCs/>
          <w:lang w:val="en-GB"/>
        </w:rPr>
        <w:t>T</w:t>
      </w:r>
      <w:r w:rsidR="0052088D" w:rsidRPr="0041574E">
        <w:rPr>
          <w:rFonts w:ascii="Calibri" w:hAnsi="Calibri" w:cs="Calibri"/>
          <w:bCs/>
          <w:lang w:val="en-GB"/>
        </w:rPr>
        <w:t>he most common</w:t>
      </w:r>
      <w:r w:rsidR="00F5047A">
        <w:rPr>
          <w:rFonts w:ascii="Calibri" w:hAnsi="Calibri" w:cs="Calibri"/>
          <w:bCs/>
          <w:lang w:val="en-GB"/>
        </w:rPr>
        <w:t xml:space="preserve"> ECG</w:t>
      </w:r>
      <w:r w:rsidR="0052088D" w:rsidRPr="0041574E">
        <w:rPr>
          <w:rFonts w:ascii="Calibri" w:hAnsi="Calibri" w:cs="Calibri"/>
          <w:bCs/>
          <w:lang w:val="en-GB"/>
        </w:rPr>
        <w:t xml:space="preserve"> manifestations are </w:t>
      </w:r>
      <w:r w:rsidR="00185744">
        <w:rPr>
          <w:rFonts w:ascii="Calibri" w:hAnsi="Calibri" w:cs="Calibri"/>
          <w:bCs/>
          <w:lang w:val="en-GB"/>
        </w:rPr>
        <w:t xml:space="preserve">abnormalities in the conduction system, such as AV blocks, </w:t>
      </w:r>
      <w:r w:rsidR="009862F0" w:rsidRPr="0041574E">
        <w:rPr>
          <w:rFonts w:ascii="Calibri" w:hAnsi="Calibri" w:cs="Calibri"/>
          <w:bCs/>
          <w:lang w:val="en-GB"/>
        </w:rPr>
        <w:t>bundle branch block</w:t>
      </w:r>
      <w:r w:rsidR="00185744">
        <w:rPr>
          <w:rFonts w:ascii="Calibri" w:hAnsi="Calibri" w:cs="Calibri"/>
          <w:bCs/>
          <w:lang w:val="en-GB"/>
        </w:rPr>
        <w:t>s</w:t>
      </w:r>
      <w:r w:rsidR="009862F0" w:rsidRPr="0041574E">
        <w:rPr>
          <w:rFonts w:ascii="Calibri" w:hAnsi="Calibri" w:cs="Calibri"/>
          <w:bCs/>
          <w:lang w:val="en-GB"/>
        </w:rPr>
        <w:t xml:space="preserve"> and fascicular block</w:t>
      </w:r>
      <w:r w:rsidR="00185744">
        <w:rPr>
          <w:rFonts w:ascii="Calibri" w:hAnsi="Calibri" w:cs="Calibri"/>
          <w:bCs/>
          <w:lang w:val="en-GB"/>
        </w:rPr>
        <w:t>s</w:t>
      </w:r>
      <w:r w:rsidR="004470C5"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{"citationItems":[{"id":"ITEM-1","itemData":{"DOI":"10.1378/chest.07-2784","ISSN":"00123692","abstract":"Background: Cardiac sarcoidosis (CS) causes substantial morbidity and sudden death. Early diagnosis and risk stratification are warranted. Methods: Ambulatory patients with sarcoidosis were interviewed to determine whether they experienced palpitations, syncope, or presyncope, and were evaluated with ECG, Holter monitoring, and echocardiography (transthoracic echocardiogram [TTE]). Those with symptoms or abnormal results were studied with cardiac MRI (CMRI) or positron emission tomography (PET) scanning. The diagnosis of CS was based on abnormalities detected by these imaging studies. Patients with CS were referred for risk stratification by electrophysiology study (EPS). Results: Among the 62 patients evaluated, the prevalence of CS was 39%. Patients with CS had more cardiac symptoms than those without CS (46% vs 5%, respectively; p &lt; 0.001), and were more likely to have abnormal Holter monitoring findings (50% vs 3%, respectively; p &lt; 0.001) and TTE findings (25% vs 5%, respectively; p = 0.02). The degree of pulmonary impairment did not predict CS. Two of the 17 patients who underwent EPS had abnormal test findings and received implantable cardioverter-defibrillators. No patients died, had ventricular arrhythmias that triggered defibrillator therapy, or had heart failure develop during almost 2 years of follow-up. This diagnostic approach was more sensitive than the established criteria for identifying CS. Conclusion: CS is common among patients with sarcoidosis. A structured clinical assessment incorporating advanced cardiac imaging with PET scanning or CMRI is more sensitive than the established criteria for the identification of CS. Sarcoidal lesions seen on CMRI or PET scanning do not predict arrhythmias in ambulatory patients with preserved cardiac function, who appear to be at low risk for short-term mortality.","author":[{"dropping-particle":"","family":"Mehta","given":"Davendra","non-dropping-particle":"","parse-names":false,"suffix":""},{"dropping-particle":"","family":"Lubitz","given":"Steven A.","non-dropping-particle":"","parse-names":false,"suffix":""},{"dropping-particle":"","family":"Frankel","given":"Zev","non-dropping-particle":"","parse-names":false,"suffix":""},{"dropping-particle":"","family":"Wisnivesky","given":"Juan P.","non-dropping-particle":"","parse-names":false,"suffix":""},{"dropping-particle":"","family":"Einstein","given":"Andrew J.","non-dropping-particle":"","parse-names":false,"suffix":""},{"dropping-particle":"","family":"Goldman","given":"Martin","non-dropping-particle":"","parse-names":false,"suffix":""},{"dropping-particle":"","family":"Machac","given":"Josef","non-dropping-particle":"","parse-names":false,"suffix":""},{"dropping-particle":"","family":"Teirstein","given":"Alvin","non-dropping-particle":"","parse-names":false,"suffix":""}],"container-title":"Chest","id":"ITEM-1","issued":{"date-parts":[["2008"]]},"title":"Cardiac involvement in patients with sarcoidosis: Diagnostic and prognostic value of outpatient testing","type":"article-journal"},"uris":["http://www.mendeley.com/documents/?uuid=7124a06b-16c5-43fb-aad7-1e81b59380a4","http://www.mendeley.com/documents/?uuid=f4160d9e-a77f-4387-9774-a95d1f3f87e2"]},{"id":"ITEM-2","itemData":{"DOI":"10.1111/j.1540-8167.2011.02099.x","ISSN":"10453873","abstract":"ECG Characteristics of Cardiac Sarcoidosis. Introduction: Sarcoidosis is a multisystem granulomatous disease that can affect the heart. Early identification of cardiac sarcoidosis (CS) is critical because sudden death can be the initial presentation. We sought to evaluate the potential role of the ECG for identification of cardiac involvement in a cohort of patients with biopsy-proven pulmonary sarcoidosis. Methods: Our cohort consisted of referred patients with biopsy-proven pulmonary sarcoidosis who demonstrated symptoms consistent with cardiac involvement. The ECG characteristics collected were PR, QRS duration, QT interval, rate, bundle branch block (BBB), fragmented QRS (fQRS). QRS fragmentation was defined as 2 anatomically contiguous leads demonstrating RSR' patterns in the absence of BBB. Results: There were 112 subjects included in the cohort. Of the 52 subjects eventually diagnosed with CS, 39 had an ECG demonstrating fQRS while 21 of the 60 of non-CS patients had fQRS (75% vs 33.9%, P &lt; 0.01). A RBBB or LBBB pattern were both more prevalent in the CS population (RBBB: 23.1% vs 6.7%, P = 0.016; LBBB: 3.8% vs 1.7%, P = 0.6). QRS duration remained significantly associated with CS after exclusion of those with BBB (93.5 +/- 10.6 vs 88 +/- 11 ms; P = 0.04). When fQRS and bundle branch block were combined, 90.4% of CS patient's ECGs contained at least one of the features, compared to 36.7% of noncardiac CS (P &lt; 0.01). Conclusions: The presence of fQRS or BBB pattern in patients with pulmonary sarcoidosis is associated with cardiac involvement and therefore should prompt further evaluation. © 2011 Wiley Periodicals, Inc.","author":[{"dropping-particle":"","family":"Schuller","given":"Joseph L.","non-dropping-particle":"","parse-names":false,"suffix":""},{"dropping-particle":"","family":"Olson","given":"Matthew D.","non-dropping-particle":"","parse-names":false,"suffix":""},{"dropping-particle":"","family":"Zipse","given":"Matthew M.","non-dropping-particle":"","parse-names":false,"suffix":""},{"dropping-particle":"","family":"Schneider","given":"Preston M.","non-dropping-particle":"","parse-names":false,"suffix":""},{"dropping-particle":"","family":"Aleong","given":"Ryan G.","non-dropping-particle":"","parse-names":false,"suffix":""},{"dropping-particle":"","family":"Wienberger","given":"Howard D.","non-dropping-particle":"","parse-names":false,"suffix":""},{"dropping-particle":"","family":"Varosy","given":"Paul D.","non-dropping-particle":"","parse-names":false,"suffix":""},{"dropping-particle":"","family":"Sauer","given":"William H.","non-dropping-particle":"","parse-names":false,"suffix":""}],"container-title":"Journal of Cardiovascular Electrophysiology","id":"ITEM-2","issued":{"date-parts":[["2011"]]},"title":"Electrocardiographic characteristics in patients with pulmonary sarcoidosis indicating cardiac involvement","type":"article-journal"},"uris":["http://www.mendeley.com/documents/?uuid=8984a29e-7b3c-4fb9-b198-31bbb0645be3","http://www.mendeley.com/documents/?uuid=0dea9676-ec2d-4dbc-9c75-09b853c5095a"]}],"mendeley":{"formattedCitation":"&lt;sup&gt;48,49&lt;/sup&gt;","plainTextFormattedCitation":"48,49","previouslyFormattedCitation":"&lt;sup&gt;48,49&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48,49</w:t>
      </w:r>
      <w:r w:rsidR="004470C5" w:rsidRPr="0041574E">
        <w:rPr>
          <w:rFonts w:ascii="Calibri" w:hAnsi="Calibri" w:cs="Calibri"/>
          <w:bCs/>
          <w:lang w:val="en-GB"/>
        </w:rPr>
        <w:fldChar w:fldCharType="end"/>
      </w:r>
      <w:r w:rsidR="008C16DE">
        <w:rPr>
          <w:rFonts w:ascii="Calibri" w:hAnsi="Calibri" w:cs="Calibri"/>
          <w:bCs/>
          <w:lang w:val="en-GB"/>
        </w:rPr>
        <w:t xml:space="preserve"> </w:t>
      </w:r>
      <w:r w:rsidR="008C16DE" w:rsidRPr="006F52A1">
        <w:rPr>
          <w:rFonts w:ascii="Calibri" w:hAnsi="Calibri" w:cs="Calibri"/>
          <w:b/>
          <w:bCs/>
          <w:lang w:val="en-GB"/>
        </w:rPr>
        <w:t>(Figure 3</w:t>
      </w:r>
      <w:r w:rsidR="008C16DE">
        <w:rPr>
          <w:rFonts w:ascii="Calibri" w:hAnsi="Calibri" w:cs="Calibri"/>
          <w:b/>
          <w:bCs/>
          <w:lang w:val="en-GB"/>
        </w:rPr>
        <w:t>B</w:t>
      </w:r>
      <w:r w:rsidR="008C16DE" w:rsidRPr="006F52A1">
        <w:rPr>
          <w:rFonts w:ascii="Calibri" w:hAnsi="Calibri" w:cs="Calibri"/>
          <w:b/>
          <w:bCs/>
          <w:lang w:val="en-GB"/>
        </w:rPr>
        <w:t>)</w:t>
      </w:r>
      <w:r w:rsidR="009E6992" w:rsidRPr="0041574E">
        <w:rPr>
          <w:rFonts w:ascii="Calibri" w:hAnsi="Calibri" w:cs="Calibri"/>
          <w:bCs/>
          <w:lang w:val="en-GB"/>
        </w:rPr>
        <w:t>.</w:t>
      </w:r>
      <w:r w:rsidR="00227646" w:rsidRPr="0041574E">
        <w:rPr>
          <w:rFonts w:ascii="Calibri" w:hAnsi="Calibri" w:cs="Calibri"/>
          <w:bCs/>
          <w:lang w:val="en-GB"/>
        </w:rPr>
        <w:t xml:space="preserve"> </w:t>
      </w:r>
      <w:r w:rsidR="00185744">
        <w:rPr>
          <w:rFonts w:ascii="Calibri" w:hAnsi="Calibri" w:cs="Calibri"/>
          <w:bCs/>
          <w:lang w:val="en-GB"/>
        </w:rPr>
        <w:t>Unexplained a</w:t>
      </w:r>
      <w:r w:rsidR="008752EE" w:rsidRPr="0041574E">
        <w:rPr>
          <w:rFonts w:ascii="Calibri" w:hAnsi="Calibri" w:cs="Calibri"/>
          <w:bCs/>
          <w:lang w:val="en-GB"/>
        </w:rPr>
        <w:t>dvanced AV-blocks</w:t>
      </w:r>
      <w:r w:rsidR="00185744">
        <w:rPr>
          <w:rFonts w:ascii="Calibri" w:hAnsi="Calibri" w:cs="Calibri"/>
          <w:bCs/>
          <w:lang w:val="en-GB"/>
        </w:rPr>
        <w:t xml:space="preserve"> in young individuals</w:t>
      </w:r>
      <w:r w:rsidR="00F51280">
        <w:rPr>
          <w:rFonts w:ascii="Calibri" w:hAnsi="Calibri" w:cs="Calibri"/>
          <w:bCs/>
          <w:lang w:val="en-GB"/>
        </w:rPr>
        <w:t>, especially if associated with LV systolic dysfunction</w:t>
      </w:r>
      <w:r w:rsidR="00185744">
        <w:rPr>
          <w:rFonts w:ascii="Calibri" w:hAnsi="Calibri" w:cs="Calibri"/>
          <w:bCs/>
          <w:lang w:val="en-GB"/>
        </w:rPr>
        <w:t xml:space="preserve"> should raise the suspicion of cardiac sarcoidosis</w:t>
      </w:r>
      <w:r w:rsidR="004470C5"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{"citationItems":[{"id":"ITEM-1","itemData":{"DOI":"10.1111/jce.12401","ISSN":"15408167","abstract":"INTRODUCTION: Atrioventricular block(AVB) can be caused by several conditions including cardiac sarcoidosis(CS). The prevalence of CS causing this presentation in a North American population has not been investigated and was the purpose of this study. METHODS: We prospectively evaluated patients aged 18 to 60 years presenting with unexplained 2(nd) or 3(rd) degree AVB and no previous history of sarcoidosis in any organ. All patients had FDG-PET scans for the evaluation of CS. Japanese Ministry of Health Welfare (JMHW) criteria and biopsy results were used to confirm the diagnosis of CS. Subjects with advanced imaging suggestive of CS were investigated for extra cardiac involvement. Patients were followed for major adverse cardiac events. RESULTS: Thirty-two patients presenting with unexplained AVB underwent cardiac and whole body FDG-PET for the investigation of CS from February 2010 to June 2013. Mean age was 52.8±6.2 years and 20 were male. CS was diagnosed in 11/32(34%) subjects and 11/11 were subsequently diagnosed with extra-cardiac sarcoidosis. Average follow-up was 21±9 months. Adverse events were observed in 3 subjects with CS but none in subjects with idiopathic AVB. All 3 patients presented with heart failure, two also had recurrent VT resulting in ICD shocks. CONCLUSIONS: In this prospective study of consecutive patients age ≤60 presenting with unexplained AVB, we found that 11/32(34%) had previously undiagnosed CS. Among patients with CS, 3/11 had adverse clinical outcomes compared to 0/21 (p = 0.011). Our data suggests that all patients age ≤60 with unexplained AVB should be investigated for CS. Moreover, patients diagnosed with CS should be closely followed. This article is protected by copyright. All rights reserved.","author":[{"dropping-particle":"","family":"Nery","given":"Pablo B.","non-dropping-particle":"","parse-names":false,"suffix":""},{"dropping-particle":"","family":"Beanlands","given":"Rob S.","non-dropping-particle":"","parse-names":false,"suffix":""},{"dropping-particle":"","family":"Nair","given":"Girish M.","non-dropping-particle":"","parse-names":false,"suffix":""},{"dropping-particle":"","family":"Green","given":"Martin","non-dropping-particle":"","parse-names":false,"suffix":""},{"dropping-particle":"","family":"Yang","given":"Jim","non-dropping-particle":"","parse-names":false,"suffix":""},{"dropping-particle":"","family":"McArdle","given":"Brian A.","non-dropping-particle":"","parse-names":false,"suffix":""},{"dropping-particle":"","family":"Davis","given":"Darryl","non-dropping-particle":"","parse-names":false,"suffix":""},{"dropping-particle":"","family":"Ohira","given":"Hiroshi","non-dropping-particle":"","parse-names":false,"suffix":""},{"dropping-particle":"","family":"Gollob","given":"Michael H.","non-dropping-particle":"","parse-names":false,"suffix":""},{"dropping-particle":"","family":"Leung","given":"Eugene","non-dropping-particle":"","parse-names":false,"suffix":""},{"dropping-particle":"","family":"Healey","given":"Jeff S.","non-dropping-particle":"","parse-names":false,"suffix":""},{"dropping-particle":"","family":"Birnie","given":"David H.","non-dropping-particle":"","parse-names":false,"suffix":""}],"container-title":"Journal of Cardiovascular Electrophysiology","id":"ITEM-1","issued":{"date-parts":[["2014"]]},"title":"Atrioventricular block as the initial manifestation of cardiac sarcoidosis in middle-aged adults","type":"article-journal"},"uris":["http://www.mendeley.com/documents/?uuid=e9598055-ae23-494c-bba6-4232d4a4fca9","http://www.mendeley.com/documents/?uuid=e2852647-a2bb-4a81-9c65-cae3c5046940"]}],"mendeley":{"formattedCitation":"&lt;sup&gt;50&lt;/sup&gt;","plainTextFormattedCitation":"50","previouslyFormattedCitation":"&lt;sup&gt;50&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50</w:t>
      </w:r>
      <w:r w:rsidR="004470C5" w:rsidRPr="0041574E">
        <w:rPr>
          <w:rFonts w:ascii="Calibri" w:hAnsi="Calibri" w:cs="Calibri"/>
          <w:bCs/>
          <w:lang w:val="en-GB"/>
        </w:rPr>
        <w:fldChar w:fldCharType="end"/>
      </w:r>
      <w:r w:rsidR="008752EE" w:rsidRPr="0041574E">
        <w:rPr>
          <w:rFonts w:ascii="Calibri" w:hAnsi="Calibri" w:cs="Calibri"/>
          <w:bCs/>
          <w:lang w:val="en-GB"/>
        </w:rPr>
        <w:t xml:space="preserve">. </w:t>
      </w:r>
      <w:r w:rsidR="005979AC" w:rsidRPr="0041574E">
        <w:rPr>
          <w:rFonts w:ascii="Calibri" w:hAnsi="Calibri" w:cs="Calibri"/>
          <w:bCs/>
          <w:lang w:val="en-GB"/>
        </w:rPr>
        <w:t xml:space="preserve">Frequent </w:t>
      </w:r>
      <w:r w:rsidR="00780061">
        <w:rPr>
          <w:rFonts w:ascii="Calibri" w:hAnsi="Calibri" w:cs="Calibri"/>
          <w:bCs/>
          <w:lang w:val="en-GB"/>
        </w:rPr>
        <w:t>VPB</w:t>
      </w:r>
      <w:r w:rsidR="005979AC" w:rsidRPr="0041574E">
        <w:rPr>
          <w:rFonts w:ascii="Calibri" w:hAnsi="Calibri" w:cs="Calibri"/>
          <w:bCs/>
          <w:lang w:val="en-GB"/>
        </w:rPr>
        <w:t xml:space="preserve">s and </w:t>
      </w:r>
      <w:r w:rsidR="00185744">
        <w:rPr>
          <w:rFonts w:ascii="Calibri" w:hAnsi="Calibri" w:cs="Calibri"/>
          <w:bCs/>
          <w:lang w:val="en-GB"/>
        </w:rPr>
        <w:t>non-sustained or sustained ventricular tachycardia</w:t>
      </w:r>
      <w:r w:rsidR="005979AC" w:rsidRPr="0041574E">
        <w:rPr>
          <w:rFonts w:ascii="Calibri" w:hAnsi="Calibri" w:cs="Calibri"/>
          <w:bCs/>
          <w:lang w:val="en-GB"/>
        </w:rPr>
        <w:t xml:space="preserve"> are also common, and might be the first presentation </w:t>
      </w:r>
      <w:r w:rsidR="00566F29">
        <w:rPr>
          <w:rFonts w:ascii="Calibri" w:hAnsi="Calibri" w:cs="Calibri"/>
          <w:bCs/>
          <w:lang w:val="en-GB"/>
        </w:rPr>
        <w:t>of the disease</w:t>
      </w:r>
      <w:r w:rsidR="004470C5" w:rsidRPr="0041574E">
        <w:rPr>
          <w:rFonts w:ascii="Calibri" w:hAnsi="Calibri" w:cs="Calibri"/>
          <w:bCs/>
          <w:lang w:val="en-GB"/>
        </w:rPr>
        <w:fldChar w:fldCharType="begin" w:fldLock="1"/>
      </w:r>
      <w:r w:rsidR="000E18FD">
        <w:rPr>
          <w:rFonts w:ascii="Calibri" w:hAnsi="Calibri" w:cs="Calibri"/>
          <w:bCs/>
          <w:lang w:val="en-GB"/>
        </w:rPr>
        <w:instrText>ADDIN CSL_CITATION {"citationItems":[{"id":"ITEM-1","itemData":{"DOI":"10.1016/j.hrthm.2014.03.043","ISSN":"15563871","abstract":"The integration of usable and flexible analysis support in modelling environments is a key success factor in Model-Driven Development. In this paradigm, models are the core asset from which code is automatically generated, and thus ensuring model correctness is a fundamental quality control activity. For this purpose, a common approach is to transform the system models into formal semantic domains for verification. However, if the analysis results are not shown in a proper way to the end-user (e.g. in terms of the original language) they may become useless. In this paper we present a novel DSVL called BaVeL that facilitates the flexible annotation of verification results obtained in semantic domains to different formats, including the context of the original language. BaVeL is used in combination with a consistency framework, providing support for all steps in a verification process: acquisition of additional input data, transformation of the system models into semantic domains, verification, and flexible annotation of analysis results. The approach has been validated analytically by the cognitive dimensions framework, and empirically by its implementation and application to several DSVLs. Here we present a case study of a notation in the area of Digital Libraries, where the analysis is performed by transformations into Petri nets and a process algebra. © 2008 Elsevier B.V. All rights reserved.","author":[{"dropping-particle":"","family":"Birnie","given":"David H.","non-dropping-particle":"","parse-names":false,"suffix":""},{"dropping-particle":"","family":"Sauer","given":"William H.","non-dropping-particle":"","parse-names":false,"suffix":""},{"dropping-particle":"","family":"Bogun","given":"Frank","non-dropping-particle":"","parse-names":false,"suffix":""},{"dropping-particle":"","family":"Cooper","given":"Joshua M.","non-dropping-particle":"","parse-names":false,"suffix":""},{"dropping-particle":"","family":"Culver","given":"Daniel A.","non-dropping-particle":"","parse-names":false,"suffix":""},{"dropping-particle":"","family":"Duvernoy","given":"Claire S.","non-dropping-particle":"","parse-names":false,"suffix":""},{"dropping-particle":"","family":"Judson","given":"Marc A.","non-dropping-particle":"","parse-names":false,"suffix":""},{"dropping-particle":"","family":"Kron","given":"Jordana","non-dropping-particle":"","parse-names":false,"suffix":""},{"dropping-particle":"","family":"Mehta","given":"Davendra","non-dropping-particle":"","parse-names":false,"suffix":""},{"dropping-particle":"","family":"Cosedis Nielsen","given":"Jens","non-dropping-particle":"","parse-names":false,"suffix":""},{"dropping-particle":"","family":"Patel","given":"Amit R.","non-dropping-particle":"","parse-names":false,"suffix":""},{"dropping-particle":"","family":"Ohe","given":"Tohru","non-dropping-particle":"","parse-names":false,"suffix":""},{"dropping-particle":"","family":"Raatikainen","given":"Pekka","non-dropping-particle":"","parse-names":false,"suffix":""},{"dropping-particle":"","family":"Soejima","given":"Kyoko","non-dropping-particle":"","parse-names":false,"suffix":""}],"container-title":"Heart Rhythm","id":"ITEM-1","issued":{"date-parts":[["2014"]]},"title":"HRS expert consensus statement on the diagnosis and management of arrhythmias associated with cardiac sarcoidosis","type":"article-journal"},"uris":["http://www.mendeley.com/documents/?uuid=237fa05b-d2c5-4365-9e72-5eea59836294","http://www.mendeley.com/documents/?uuid=7317cb0f-5782-4de7-9a3d-c9c9c4d748e0"]}],"mendeley":{"formattedCitation":"&lt;sup&gt;51&lt;/sup&gt;","plainTextFormattedCitation":"51","previouslyFormattedCitation":"&lt;sup&gt;51&lt;/sup&gt;"},"properties":{"noteIndex":0},"schema":"https://github.com/citation-style-language/schema/raw/master/csl-citation.json"}</w:instrText>
      </w:r>
      <w:r w:rsidR="004470C5" w:rsidRPr="0041574E">
        <w:rPr>
          <w:rFonts w:ascii="Calibri" w:hAnsi="Calibri" w:cs="Calibri"/>
          <w:bCs/>
          <w:lang w:val="en-GB"/>
        </w:rPr>
        <w:fldChar w:fldCharType="separate"/>
      </w:r>
      <w:r w:rsidR="001A2833" w:rsidRPr="001A2833">
        <w:rPr>
          <w:rFonts w:ascii="Calibri" w:hAnsi="Calibri" w:cs="Calibri"/>
          <w:bCs/>
          <w:noProof/>
          <w:vertAlign w:val="superscript"/>
          <w:lang w:val="en-GB"/>
        </w:rPr>
        <w:t>51</w:t>
      </w:r>
      <w:r w:rsidR="004470C5" w:rsidRPr="0041574E">
        <w:rPr>
          <w:rFonts w:ascii="Calibri" w:hAnsi="Calibri" w:cs="Calibri"/>
          <w:bCs/>
          <w:lang w:val="en-GB"/>
        </w:rPr>
        <w:fldChar w:fldCharType="end"/>
      </w:r>
      <w:r w:rsidR="005979AC" w:rsidRPr="0041574E">
        <w:rPr>
          <w:rFonts w:ascii="Calibri" w:hAnsi="Calibri" w:cs="Calibri"/>
          <w:bCs/>
          <w:lang w:val="en-GB"/>
        </w:rPr>
        <w:t>.</w:t>
      </w:r>
      <w:r w:rsidR="00DD3477" w:rsidRPr="0041574E">
        <w:rPr>
          <w:rFonts w:ascii="Calibri" w:hAnsi="Calibri" w:cs="Calibri"/>
          <w:bCs/>
          <w:lang w:val="en-GB"/>
        </w:rPr>
        <w:t xml:space="preserve"> </w:t>
      </w:r>
    </w:p>
    <w:p w14:paraId="0B0D2521" w14:textId="3BF40DB3" w:rsidR="005B61BF" w:rsidRDefault="005B61BF" w:rsidP="0041574E">
      <w:pPr>
        <w:spacing w:line="480" w:lineRule="auto"/>
        <w:rPr>
          <w:rFonts w:ascii="Calibri" w:hAnsi="Calibri" w:cs="Calibri"/>
          <w:bCs/>
          <w:u w:val="single"/>
          <w:lang w:val="en-GB"/>
        </w:rPr>
      </w:pPr>
      <w:r>
        <w:rPr>
          <w:rFonts w:ascii="Calibri" w:hAnsi="Calibri" w:cs="Calibri"/>
          <w:bCs/>
          <w:u w:val="single"/>
          <w:lang w:val="en-GB"/>
        </w:rPr>
        <w:t>Tachycardia-induced cardiomyopathy</w:t>
      </w:r>
    </w:p>
    <w:p w14:paraId="5DB62798" w14:textId="29B3DAB7" w:rsidR="00780061" w:rsidRPr="004D00E7" w:rsidRDefault="00780061" w:rsidP="00780061">
      <w:pPr>
        <w:spacing w:line="480" w:lineRule="auto"/>
        <w:ind w:firstLine="720"/>
        <w:rPr>
          <w:rFonts w:ascii="Calibri" w:hAnsi="Calibri" w:cs="Calibri"/>
          <w:bCs/>
          <w:u w:val="single"/>
          <w:lang w:val="en-GB"/>
        </w:rPr>
      </w:pPr>
      <w:r w:rsidRPr="00780061">
        <w:rPr>
          <w:rFonts w:ascii="Calibri" w:hAnsi="Calibri" w:cs="Calibri"/>
          <w:bCs/>
          <w:lang w:val="en-GB"/>
        </w:rPr>
        <w:t>Tachycardia-induced cardiomyopathy</w:t>
      </w:r>
      <w:r w:rsidR="0041729C">
        <w:rPr>
          <w:rFonts w:ascii="Calibri" w:hAnsi="Calibri" w:cs="Calibri"/>
          <w:bCs/>
          <w:lang w:val="en-GB"/>
        </w:rPr>
        <w:t xml:space="preserve"> (TIC)</w:t>
      </w:r>
      <w:r>
        <w:rPr>
          <w:rFonts w:ascii="Calibri" w:hAnsi="Calibri" w:cs="Calibri"/>
          <w:bCs/>
          <w:lang w:val="en-GB"/>
        </w:rPr>
        <w:t xml:space="preserve"> is </w:t>
      </w:r>
      <w:r w:rsidRPr="00780061">
        <w:rPr>
          <w:rFonts w:ascii="Calibri" w:hAnsi="Calibri" w:cs="Calibri"/>
          <w:bCs/>
          <w:lang w:val="en-GB"/>
        </w:rPr>
        <w:t>defined as the reversible impairment of ventricular function</w:t>
      </w:r>
      <w:r>
        <w:rPr>
          <w:rFonts w:ascii="Calibri" w:hAnsi="Calibri" w:cs="Calibri"/>
          <w:bCs/>
          <w:lang w:val="en-GB"/>
        </w:rPr>
        <w:t xml:space="preserve"> with or without chamber dilatation </w:t>
      </w:r>
      <w:r w:rsidRPr="00780061">
        <w:rPr>
          <w:rFonts w:ascii="Calibri" w:hAnsi="Calibri" w:cs="Calibri"/>
          <w:bCs/>
          <w:lang w:val="en-GB"/>
        </w:rPr>
        <w:t>induced by persistent arrhythmia</w:t>
      </w:r>
      <w:r w:rsidR="009D71A1">
        <w:rPr>
          <w:rFonts w:ascii="Calibri" w:hAnsi="Calibri" w:cs="Calibri"/>
          <w:bCs/>
          <w:lang w:val="en-GB"/>
        </w:rPr>
        <w:fldChar w:fldCharType="begin" w:fldLock="1"/>
      </w:r>
      <w:r w:rsidR="001A2833">
        <w:rPr>
          <w:rFonts w:ascii="Calibri" w:hAnsi="Calibri" w:cs="Calibri"/>
          <w:bCs/>
          <w:lang w:val="en-GB"/>
        </w:rPr>
        <w:instrText>ADDIN CSL_CITATION {"citationItems":[{"id":"ITEM-1","itemData":{"DOI":"10.1016/S0140-6736(16)31713-5","ISSN":"1474-547X","PMID":"28190577","abstract":"Dilated cardiomyopathy is defined by the presence of left ventricular dilatation and contractile dysfunction. Genetic mutations involving genes that encode cytoskeletal, sarcomere, and nuclear envelope proteins, among others, account for up to 35% of cases. Acquired causes include myocarditis and exposure to alcohol, drugs and toxins, and metabolic and endocrine disturbances. The most common presenting symptoms relate to congestive heart failure, but can also include circulatory collapse, arrhythmias, and thromboembolic events. Secondary neurohormonal changes contribute to reverse remodelling and ongoing myocyte damage. The prognosis is worst for individuals with the lowest ejection fractions or severe diastolic dysfunction. Treatment of chronic heart failure comprises medications that improve survival and reduce hospital admission-namely, angiotensin converting enzyme inhibitors and β blockers. Other interventions include enrolment in a multidisciplinary heart failure service, and device therapy for arrhythmia management and sudden death prevention. Patients who are refractory to medical therapy might benefit from mechanical circulatory support and heart transplantation. Treatment of preclinical disease and the potential role of stem-cell therapy are being investigated.","author":[{"dropping-particle":"","family":"Weintraub","given":"Robert G","non-dropping-particle":"","parse-names":false,"suffix":""},{"dropping-particle":"","family":"Semsarian","given":"Christopher","non-dropping-particle":"","parse-names":false,"suffix":""},{"dropping-particle":"","family":"Macdonald","given":"Peter","non-dropping-particle":"","parse-names":false,"suffix":""}],"container-title":"Lancet (London, England)","id":"ITEM-1","issue":"10092","issued":{"date-parts":[["2017"]]},"page":"400-414","title":"Dilated cardiomyopathy.","type":"article-journal","volume":"390"},"uris":["http://www.mendeley.com/documents/?uuid=57828535-8f6e-4d90-a84a-d38658c2300e"]}],"mendeley":{"formattedCitation":"&lt;sup&gt;12&lt;/sup&gt;","plainTextFormattedCitation":"12","previouslyFormattedCitation":"&lt;sup&gt;12&lt;/sup&gt;"},"properties":{"noteIndex":0},"schema":"https://github.com/citation-style-language/schema/raw/master/csl-citation.json"}</w:instrText>
      </w:r>
      <w:r w:rsidR="009D71A1">
        <w:rPr>
          <w:rFonts w:ascii="Calibri" w:hAnsi="Calibri" w:cs="Calibri"/>
          <w:bCs/>
          <w:lang w:val="en-GB"/>
        </w:rPr>
        <w:fldChar w:fldCharType="separate"/>
      </w:r>
      <w:r w:rsidR="001A2833" w:rsidRPr="001A2833">
        <w:rPr>
          <w:rFonts w:ascii="Calibri" w:hAnsi="Calibri" w:cs="Calibri"/>
          <w:bCs/>
          <w:noProof/>
          <w:vertAlign w:val="superscript"/>
          <w:lang w:val="en-GB"/>
        </w:rPr>
        <w:t>12</w:t>
      </w:r>
      <w:r w:rsidR="009D71A1">
        <w:rPr>
          <w:rFonts w:ascii="Calibri" w:hAnsi="Calibri" w:cs="Calibri"/>
          <w:bCs/>
          <w:lang w:val="en-GB"/>
        </w:rPr>
        <w:fldChar w:fldCharType="end"/>
      </w:r>
      <w:r w:rsidRPr="00780061">
        <w:rPr>
          <w:rFonts w:ascii="Calibri" w:hAnsi="Calibri" w:cs="Calibri"/>
          <w:bCs/>
          <w:lang w:val="en-GB"/>
        </w:rPr>
        <w:t>.</w:t>
      </w:r>
      <w:r w:rsidR="0041729C">
        <w:rPr>
          <w:rFonts w:ascii="Calibri" w:hAnsi="Calibri" w:cs="Calibri"/>
          <w:bCs/>
          <w:lang w:val="en-GB"/>
        </w:rPr>
        <w:t xml:space="preserve"> Both atrial and ventricular arrhythmias may cause or at least promote LV or biventricular </w:t>
      </w:r>
      <w:r w:rsidR="0041729C">
        <w:rPr>
          <w:rFonts w:ascii="Calibri" w:hAnsi="Calibri" w:cs="Calibri"/>
          <w:bCs/>
          <w:lang w:val="en-GB"/>
        </w:rPr>
        <w:lastRenderedPageBreak/>
        <w:t xml:space="preserve">systolic dysfunction. </w:t>
      </w:r>
      <w:r w:rsidR="0041729C" w:rsidRPr="0041729C">
        <w:rPr>
          <w:rFonts w:ascii="Calibri" w:hAnsi="Calibri" w:cs="Calibri"/>
          <w:bCs/>
          <w:lang w:val="en-GB"/>
        </w:rPr>
        <w:t xml:space="preserve">The exclusion of underlying structural heart disease </w:t>
      </w:r>
      <w:r w:rsidR="00F11FDD">
        <w:rPr>
          <w:rFonts w:ascii="Calibri" w:hAnsi="Calibri" w:cs="Calibri"/>
          <w:bCs/>
          <w:lang w:val="en-GB"/>
        </w:rPr>
        <w:t>may</w:t>
      </w:r>
      <w:r w:rsidR="0041729C" w:rsidRPr="0041729C">
        <w:rPr>
          <w:rFonts w:ascii="Calibri" w:hAnsi="Calibri" w:cs="Calibri"/>
          <w:bCs/>
          <w:lang w:val="en-GB"/>
        </w:rPr>
        <w:t xml:space="preserve"> be challenging as current imaging techniques, for example</w:t>
      </w:r>
      <w:r w:rsidR="0041729C">
        <w:rPr>
          <w:rFonts w:ascii="Calibri" w:hAnsi="Calibri" w:cs="Calibri"/>
          <w:bCs/>
          <w:lang w:val="en-GB"/>
        </w:rPr>
        <w:t xml:space="preserve"> CMR</w:t>
      </w:r>
      <w:r w:rsidR="00956E1D">
        <w:rPr>
          <w:rFonts w:ascii="Calibri" w:hAnsi="Calibri" w:cs="Calibri"/>
          <w:bCs/>
          <w:lang w:val="en-GB"/>
        </w:rPr>
        <w:t>,</w:t>
      </w:r>
      <w:r w:rsidR="0041729C" w:rsidRPr="0041729C">
        <w:rPr>
          <w:rFonts w:ascii="Calibri" w:hAnsi="Calibri" w:cs="Calibri"/>
          <w:bCs/>
          <w:lang w:val="en-GB"/>
        </w:rPr>
        <w:t xml:space="preserve"> cannot easily identify diffuse fibrosis</w:t>
      </w:r>
      <w:r w:rsidR="0041729C">
        <w:rPr>
          <w:rFonts w:ascii="Calibri" w:hAnsi="Calibri" w:cs="Calibri"/>
          <w:bCs/>
          <w:lang w:val="en-GB"/>
        </w:rPr>
        <w:t xml:space="preserve"> which may be </w:t>
      </w:r>
      <w:r w:rsidR="001F60D5">
        <w:rPr>
          <w:rFonts w:ascii="Calibri" w:hAnsi="Calibri" w:cs="Calibri"/>
          <w:bCs/>
          <w:lang w:val="en-GB"/>
        </w:rPr>
        <w:t>a substrate for arrhythmias. In this setting the ECG (and prolonged ECG monitoring) may provide useful insights in the diagnosis</w:t>
      </w:r>
      <w:r w:rsidR="008C16DE">
        <w:rPr>
          <w:rFonts w:ascii="Calibri" w:hAnsi="Calibri" w:cs="Calibri"/>
          <w:bCs/>
          <w:lang w:val="en-GB"/>
        </w:rPr>
        <w:t xml:space="preserve"> </w:t>
      </w:r>
      <w:r w:rsidR="008C16DE" w:rsidRPr="006F52A1">
        <w:rPr>
          <w:rFonts w:ascii="Calibri" w:hAnsi="Calibri" w:cs="Calibri"/>
          <w:b/>
          <w:bCs/>
          <w:lang w:val="en-GB"/>
        </w:rPr>
        <w:t>(Figure 3</w:t>
      </w:r>
      <w:r w:rsidR="008C16DE">
        <w:rPr>
          <w:rFonts w:ascii="Calibri" w:hAnsi="Calibri" w:cs="Calibri"/>
          <w:b/>
          <w:bCs/>
          <w:lang w:val="en-GB"/>
        </w:rPr>
        <w:t>C</w:t>
      </w:r>
      <w:r w:rsidR="008C16DE" w:rsidRPr="006F52A1">
        <w:rPr>
          <w:rFonts w:ascii="Calibri" w:hAnsi="Calibri" w:cs="Calibri"/>
          <w:b/>
          <w:bCs/>
          <w:lang w:val="en-GB"/>
        </w:rPr>
        <w:t>)</w:t>
      </w:r>
      <w:r w:rsidR="001F60D5">
        <w:rPr>
          <w:rFonts w:ascii="Calibri" w:hAnsi="Calibri" w:cs="Calibri"/>
          <w:bCs/>
          <w:lang w:val="en-GB"/>
        </w:rPr>
        <w:t>. For example the demonstration of high VPBs burden or of atrial arrhythmias especially if poorly controlled in terms of heart rate may suggest TIC</w:t>
      </w:r>
      <w:r>
        <w:rPr>
          <w:rFonts w:ascii="Calibri" w:hAnsi="Calibri" w:cs="Calibri"/>
          <w:bCs/>
          <w:lang w:val="en-GB"/>
        </w:rPr>
        <w:t xml:space="preserve"> </w:t>
      </w:r>
      <w:r w:rsidR="001F60D5">
        <w:rPr>
          <w:rFonts w:ascii="Calibri" w:hAnsi="Calibri" w:cs="Calibri"/>
          <w:bCs/>
          <w:lang w:val="en-GB"/>
        </w:rPr>
        <w:t>where a timely diagnosis i</w:t>
      </w:r>
      <w:r w:rsidR="001F60D5" w:rsidRPr="001F60D5">
        <w:rPr>
          <w:rFonts w:ascii="Calibri" w:hAnsi="Calibri" w:cs="Calibri"/>
          <w:bCs/>
          <w:lang w:val="en-GB"/>
        </w:rPr>
        <w:t>s important given the potential for recovery with appropriate treatment</w:t>
      </w:r>
      <w:r w:rsidR="00CC626C">
        <w:rPr>
          <w:rFonts w:ascii="Calibri" w:hAnsi="Calibri" w:cs="Calibri"/>
          <w:bCs/>
          <w:lang w:val="en-GB"/>
        </w:rPr>
        <w:fldChar w:fldCharType="begin" w:fldLock="1"/>
      </w:r>
      <w:r w:rsidR="000E18FD">
        <w:rPr>
          <w:rFonts w:ascii="Calibri" w:hAnsi="Calibri" w:cs="Calibri"/>
          <w:bCs/>
          <w:lang w:val="en-GB"/>
        </w:rPr>
        <w:instrText>ADDIN CSL_CITATION {"citationItems":[{"id":"ITEM-1","itemData":{"DOI":"10.1136/heartjnl-2016-310391","ISSN":"1468-201X","PMID":"28855272","author":[{"dropping-particle":"","family":"Martin","given":"Claire A","non-dropping-particle":"","parse-names":false,"suffix":""},{"dropping-particle":"","family":"Lambiase","given":"Pier D","non-dropping-particle":"","parse-names":false,"suffix":""}],"container-title":"Heart (British Cardiac Society)","id":"ITEM-1","issue":"19","issued":{"date-parts":[["2017"]]},"page":"1543-1552","title":"Pathophysiology, diagnosis and treatment of tachycardiomyopathy.","type":"article-journal","volume":"103"},"uris":["http://www.mendeley.com/documents/?uuid=6dae4da1-9596-4f65-9aff-26fcb75a22aa"]}],"mendeley":{"formattedCitation":"&lt;sup&gt;25&lt;/sup&gt;","plainTextFormattedCitation":"25","previouslyFormattedCitation":"&lt;sup&gt;25&lt;/sup&gt;"},"properties":{"noteIndex":0},"schema":"https://github.com/citation-style-language/schema/raw/master/csl-citation.json"}</w:instrText>
      </w:r>
      <w:r w:rsidR="00CC626C">
        <w:rPr>
          <w:rFonts w:ascii="Calibri" w:hAnsi="Calibri" w:cs="Calibri"/>
          <w:bCs/>
          <w:lang w:val="en-GB"/>
        </w:rPr>
        <w:fldChar w:fldCharType="separate"/>
      </w:r>
      <w:r w:rsidR="001A2833" w:rsidRPr="001A2833">
        <w:rPr>
          <w:rFonts w:ascii="Calibri" w:hAnsi="Calibri" w:cs="Calibri"/>
          <w:bCs/>
          <w:noProof/>
          <w:vertAlign w:val="superscript"/>
          <w:lang w:val="en-GB"/>
        </w:rPr>
        <w:t>25</w:t>
      </w:r>
      <w:r w:rsidR="00CC626C">
        <w:rPr>
          <w:rFonts w:ascii="Calibri" w:hAnsi="Calibri" w:cs="Calibri"/>
          <w:bCs/>
          <w:lang w:val="en-GB"/>
        </w:rPr>
        <w:fldChar w:fldCharType="end"/>
      </w:r>
      <w:r w:rsidR="001F60D5" w:rsidRPr="001F60D5">
        <w:rPr>
          <w:rFonts w:ascii="Calibri" w:hAnsi="Calibri" w:cs="Calibri"/>
          <w:bCs/>
          <w:lang w:val="en-GB"/>
        </w:rPr>
        <w:t>.</w:t>
      </w:r>
    </w:p>
    <w:p w14:paraId="7D68E6A1" w14:textId="4777075D" w:rsidR="008F492C" w:rsidRPr="008F492C" w:rsidRDefault="008D1427" w:rsidP="008D1427">
      <w:pPr>
        <w:spacing w:line="480" w:lineRule="auto"/>
        <w:ind w:firstLine="720"/>
        <w:rPr>
          <w:rFonts w:ascii="Calibri" w:hAnsi="Calibri" w:cs="Calibri"/>
          <w:bCs/>
          <w:lang w:val="en-GB"/>
        </w:rPr>
      </w:pPr>
      <w:r>
        <w:rPr>
          <w:rFonts w:ascii="Calibri" w:hAnsi="Calibri" w:cs="Calibri"/>
          <w:bCs/>
          <w:lang w:val="en-GB"/>
        </w:rPr>
        <w:t xml:space="preserve"> </w:t>
      </w:r>
    </w:p>
    <w:p w14:paraId="1CBE5C63" w14:textId="29484FBA" w:rsidR="00780061" w:rsidRPr="001C56CB" w:rsidRDefault="008D1427" w:rsidP="0041574E">
      <w:pPr>
        <w:spacing w:line="480" w:lineRule="auto"/>
        <w:rPr>
          <w:rFonts w:ascii="Calibri" w:hAnsi="Calibri" w:cs="Calibri"/>
          <w:bCs/>
          <w:lang w:val="en-GB"/>
        </w:rPr>
      </w:pPr>
      <w:r>
        <w:rPr>
          <w:rFonts w:ascii="Calibri" w:hAnsi="Calibri" w:cs="Calibri"/>
          <w:bCs/>
          <w:u w:val="single"/>
          <w:lang w:val="en-GB"/>
        </w:rPr>
        <w:t>DCM caused by drugs and toxins</w:t>
      </w:r>
    </w:p>
    <w:p w14:paraId="562761C5" w14:textId="1FB29353" w:rsidR="008D1427" w:rsidRPr="009114AA" w:rsidRDefault="001C56CB" w:rsidP="001C6241">
      <w:pPr>
        <w:spacing w:line="480" w:lineRule="auto"/>
        <w:rPr>
          <w:rFonts w:ascii="Calibri" w:hAnsi="Calibri" w:cs="Calibri"/>
          <w:bCs/>
          <w:lang w:val="en-GB"/>
        </w:rPr>
      </w:pPr>
      <w:r w:rsidRPr="001C56CB">
        <w:rPr>
          <w:rFonts w:ascii="Calibri" w:hAnsi="Calibri" w:cs="Calibri"/>
          <w:bCs/>
          <w:lang w:val="en-GB"/>
        </w:rPr>
        <w:tab/>
        <w:t xml:space="preserve">A </w:t>
      </w:r>
      <w:r>
        <w:rPr>
          <w:rFonts w:ascii="Calibri" w:hAnsi="Calibri" w:cs="Calibri"/>
          <w:bCs/>
          <w:lang w:val="en-GB"/>
        </w:rPr>
        <w:t>series of drugs and toxins can cause DCM. A</w:t>
      </w:r>
      <w:r w:rsidRPr="001C56CB">
        <w:rPr>
          <w:rFonts w:ascii="Calibri" w:hAnsi="Calibri" w:cs="Calibri"/>
          <w:bCs/>
          <w:lang w:val="en-GB"/>
        </w:rPr>
        <w:t>nthracycline</w:t>
      </w:r>
      <w:r>
        <w:rPr>
          <w:rFonts w:ascii="Calibri" w:hAnsi="Calibri" w:cs="Calibri"/>
          <w:bCs/>
          <w:lang w:val="en-GB"/>
        </w:rPr>
        <w:t xml:space="preserve">s </w:t>
      </w:r>
      <w:r w:rsidR="003E375D">
        <w:rPr>
          <w:rFonts w:ascii="Calibri" w:hAnsi="Calibri" w:cs="Calibri"/>
          <w:bCs/>
          <w:lang w:val="en-GB"/>
        </w:rPr>
        <w:t xml:space="preserve">and several other agents used for oncologic treatment </w:t>
      </w:r>
      <w:r>
        <w:rPr>
          <w:rFonts w:ascii="Calibri" w:hAnsi="Calibri" w:cs="Calibri"/>
          <w:bCs/>
          <w:lang w:val="en-GB"/>
        </w:rPr>
        <w:t>may be toxic for the heart resulting in a clinical picture that is generally characterized by LV systolic dysfunction with or without LV dilatation</w:t>
      </w:r>
      <w:r w:rsidR="00A1436B">
        <w:rPr>
          <w:rFonts w:ascii="Calibri" w:hAnsi="Calibri" w:cs="Calibri"/>
          <w:bCs/>
          <w:lang w:val="en-GB"/>
        </w:rPr>
        <w:t>, often without a specific ECG pattern</w:t>
      </w:r>
      <w:r>
        <w:rPr>
          <w:rFonts w:ascii="Calibri" w:hAnsi="Calibri" w:cs="Calibri"/>
          <w:bCs/>
          <w:lang w:val="en-GB"/>
        </w:rPr>
        <w:t xml:space="preserve">. </w:t>
      </w:r>
      <w:r w:rsidR="001C6241">
        <w:rPr>
          <w:rFonts w:ascii="Calibri" w:hAnsi="Calibri" w:cs="Calibri"/>
          <w:bCs/>
          <w:lang w:val="en-GB"/>
        </w:rPr>
        <w:t>P</w:t>
      </w:r>
      <w:r w:rsidR="001C6241" w:rsidRPr="001C6241">
        <w:rPr>
          <w:rFonts w:ascii="Calibri" w:hAnsi="Calibri" w:cs="Calibri"/>
          <w:bCs/>
          <w:lang w:val="en-GB"/>
        </w:rPr>
        <w:t>rolonged QTc interval</w:t>
      </w:r>
      <w:r w:rsidR="001C6241">
        <w:rPr>
          <w:rFonts w:ascii="Calibri" w:hAnsi="Calibri" w:cs="Calibri"/>
          <w:bCs/>
          <w:lang w:val="en-GB"/>
        </w:rPr>
        <w:t xml:space="preserve"> and decreased QRS voltages have been shown to correlate with LV systolic dysfunction</w:t>
      </w:r>
      <w:r w:rsidR="001C6241">
        <w:rPr>
          <w:rFonts w:ascii="Calibri" w:hAnsi="Calibri" w:cs="Calibri"/>
          <w:bCs/>
          <w:lang w:val="en-GB"/>
        </w:rPr>
        <w:fldChar w:fldCharType="begin" w:fldLock="1"/>
      </w:r>
      <w:r w:rsidR="001A2833">
        <w:rPr>
          <w:rFonts w:ascii="Calibri" w:hAnsi="Calibri" w:cs="Calibri"/>
          <w:bCs/>
          <w:lang w:val="en-GB"/>
        </w:rPr>
        <w:instrText>ADDIN CSL_CITATION {"citationItems":[{"id":"ITEM-1","itemData":{"ISSN":"1812-9269","PMID":"19550402","abstract":"AIM Monitoring of anthracycline-induced cardiotoxicity with electrocardiography (ECG) and comparing ECG changes with findings on echocardiography (ECHO). METHODS A total of 26 adult acute leukemia patients (mean age 46.2 -/+ 12.4 years, 15 males) treated with 2-6 cycles of anthracycline-based chemotherapy (CT) were studied. Cardiac evaluation was performed at the baseline (before CT), after first CT, after last CT (cumulative anthracycline dose 464.3 -/+ 117.5 mg/m2) and circa 6 months after CT. Time ECG parameters, QRS voltage, presence of repolarization changes, arrhythmias and other abnormalities were evaluated. RESULTS During treatment and follow-up, we found a statistical significant QTc interval prolongation - 414.7 -/+ 16.0 ms (before CT), 419.6 -/+ 21.6 ms (after first CT), 428.0 -/+ 16.2 ms (after last CT) and 430.1 -/+ 18.4 ms (6 months after CT). Significant QTc interval prolongation (&gt; 450 ms) occurred in 3 patients after first CT, in 4 patients after last CT and in 5 patients within 6 months after CT. Significant total QRS voltage lowering in the limb leads (&gt; 1.0 mV versus before CT) occurred in 3 patients after first CT, in 5 patients after last CT and in 6 patients within 6 months after CT. We found a statistically significant correlation between decreased QRS voltage, QTc interval prolongation and left ventricular (LV) dysfunction on ECHO. Repolarization changes associated with oncology treatment were present in 9 patients within 6 months after CT. CONCLUSION Anthracycline treatment is associated with changes in electrical activity of the myocardium. Prolonged QTc interval represents a risk for development of malignant ventricular arrhythmias. Decreased QRS voltage and prolonged QTc interval after anthracycline treatment could correlate with LV dysfunction on ECHO. Further studies will be needed to prove whether these ECG changes could serve as an accessible and non-invasive screening method indicating LV dysfunction after anthracycline treatment.","author":[{"dropping-particle":"","family":"Horacek","given":"J M","non-dropping-particle":"","parse-names":false,"suffix":""},{"dropping-particle":"","family":"Jakl","given":"M","non-dropping-particle":"","parse-names":false,"suffix":""},{"dropping-particle":"","family":"Horackova","given":"J","non-dropping-particle":"","parse-names":false,"suffix":""},{"dropping-particle":"","family":"Pudil","given":"R","non-dropping-particle":"","parse-names":false,"suffix":""},{"dropping-particle":"","family":"Jebavy","given":"L","non-dropping-particle":"","parse-names":false,"suffix":""},{"dropping-particle":"","family":"Maly","given":"J","non-dropping-particle":"","parse-names":false,"suffix":""}],"container-title":"Experimental oncology","id":"ITEM-1","issue":"2","issued":{"date-parts":[["2009","6"]]},"page":"115-7","title":"Assessment of anthracycline-induced cardiotoxicity with electrocardiography.","type":"article-journal","volume":"31"},"uris":["http://www.mendeley.com/documents/?uuid=c93874f9-f235-41c4-91f3-bc89f097c7a3"]}],"mendeley":{"formattedCitation":"&lt;sup&gt;52&lt;/sup&gt;","plainTextFormattedCitation":"52","previouslyFormattedCitation":"&lt;sup&gt;52&lt;/sup&gt;"},"properties":{"noteIndex":0},"schema":"https://github.com/citation-style-language/schema/raw/master/csl-citation.json"}</w:instrText>
      </w:r>
      <w:r w:rsidR="001C6241">
        <w:rPr>
          <w:rFonts w:ascii="Calibri" w:hAnsi="Calibri" w:cs="Calibri"/>
          <w:bCs/>
          <w:lang w:val="en-GB"/>
        </w:rPr>
        <w:fldChar w:fldCharType="separate"/>
      </w:r>
      <w:r w:rsidR="001A2833" w:rsidRPr="001A2833">
        <w:rPr>
          <w:rFonts w:ascii="Calibri" w:hAnsi="Calibri" w:cs="Calibri"/>
          <w:bCs/>
          <w:noProof/>
          <w:vertAlign w:val="superscript"/>
          <w:lang w:val="en-GB"/>
        </w:rPr>
        <w:t>52</w:t>
      </w:r>
      <w:r w:rsidR="001C6241">
        <w:rPr>
          <w:rFonts w:ascii="Calibri" w:hAnsi="Calibri" w:cs="Calibri"/>
          <w:bCs/>
          <w:lang w:val="en-GB"/>
        </w:rPr>
        <w:fldChar w:fldCharType="end"/>
      </w:r>
      <w:r w:rsidR="008C16DE">
        <w:rPr>
          <w:rFonts w:ascii="Calibri" w:hAnsi="Calibri" w:cs="Calibri"/>
          <w:bCs/>
          <w:lang w:val="en-GB"/>
        </w:rPr>
        <w:t xml:space="preserve"> </w:t>
      </w:r>
      <w:r w:rsidR="008C16DE" w:rsidRPr="006F52A1">
        <w:rPr>
          <w:rFonts w:ascii="Calibri" w:hAnsi="Calibri" w:cs="Calibri"/>
          <w:b/>
          <w:bCs/>
          <w:lang w:val="en-GB"/>
        </w:rPr>
        <w:t>(Figure 3</w:t>
      </w:r>
      <w:r w:rsidR="008C16DE">
        <w:rPr>
          <w:rFonts w:ascii="Calibri" w:hAnsi="Calibri" w:cs="Calibri"/>
          <w:b/>
          <w:bCs/>
          <w:lang w:val="en-GB"/>
        </w:rPr>
        <w:t>D</w:t>
      </w:r>
      <w:r w:rsidR="008C16DE" w:rsidRPr="006F52A1">
        <w:rPr>
          <w:rFonts w:ascii="Calibri" w:hAnsi="Calibri" w:cs="Calibri"/>
          <w:b/>
          <w:bCs/>
          <w:lang w:val="en-GB"/>
        </w:rPr>
        <w:t>)</w:t>
      </w:r>
      <w:r w:rsidR="001C6241">
        <w:rPr>
          <w:rFonts w:ascii="Calibri" w:hAnsi="Calibri" w:cs="Calibri"/>
          <w:bCs/>
          <w:lang w:val="en-GB"/>
        </w:rPr>
        <w:t xml:space="preserve">. </w:t>
      </w:r>
      <w:r w:rsidR="009114AA">
        <w:rPr>
          <w:rFonts w:ascii="Calibri" w:hAnsi="Calibri" w:cs="Calibri"/>
          <w:bCs/>
          <w:lang w:val="en-GB"/>
        </w:rPr>
        <w:t>T</w:t>
      </w:r>
      <w:r w:rsidR="009114AA" w:rsidRPr="009114AA">
        <w:rPr>
          <w:rFonts w:ascii="Calibri" w:hAnsi="Calibri" w:cs="Calibri"/>
          <w:bCs/>
          <w:lang w:val="en-GB"/>
        </w:rPr>
        <w:t xml:space="preserve">he burden of arrhythmia in patients with anthracycline-related cardiomyopathy is not different from </w:t>
      </w:r>
      <w:r w:rsidR="009114AA">
        <w:rPr>
          <w:rFonts w:ascii="Calibri" w:hAnsi="Calibri" w:cs="Calibri"/>
          <w:bCs/>
          <w:lang w:val="en-GB"/>
        </w:rPr>
        <w:t>patients with other forms of</w:t>
      </w:r>
      <w:r w:rsidR="009114AA" w:rsidRPr="009114AA">
        <w:rPr>
          <w:rFonts w:ascii="Calibri" w:hAnsi="Calibri" w:cs="Calibri"/>
          <w:bCs/>
          <w:lang w:val="en-GB"/>
        </w:rPr>
        <w:t xml:space="preserve"> DCM</w:t>
      </w:r>
      <w:r w:rsidR="009114AA">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{"citationItems":[{"id":"ITEM-1","itemData":{"DOI":"10.1016/j.jacep.2016.08.009","ISSN":"2405-5018","PMID":"29759386","abstract":"OBJECTIVES The objective of this study was to determine the incidence of arrhythmias and device (internal cardiac defibrillator/cardiac resynchronization therapy defibrillator) therapies in patients with a diagnosis of cardiomyopathy and anthracycline exposure. BACKGROUND The burden of arrhythmias in adult cancer survivors with anthracycline-related cardiomyopathy has not been studied, but might have important implications for clinical management and outcomes. METHODS Retrospective cohort study of all patients with left ventricular dysfunction (LVD) who underwent internal cardiac defibrillator/cardiac resynchronization therapy defibrillator implantation at the Mayo Clinic from 1990 to 2012. Ninety-five patients were cancer survivors (on average, 5 years), 23 of which had anthracycline-related cardiomyopathy (CA-ACM) and 72 of which had non-anthracycline-related cardiomyopathy (CA-NACM). A second control group of 68 noncancer patients with ischemic heart disease-related LVD or dilated cardiomyopathy (ischemic heart disease [IHD]/DCM) was age- and gender-matched to patients with CA-ACM. All patients were followed for arrhythmias and appropriate ICD therapies, total mortality, heart transplantation, and left ventricular ejection fraction. RESULTS More than 5.5 ± 3.0 years after device implantation, nonsustained ventricular tachycardia was the most common arrhythmia in patients with CA-ACM followed by atrial fibrillation and sustained ventricular tachycardia or fibrillation (73.9%, 56.6%, and 30.4%, respectively), which was not significantly different from CA-NACM and IHD/DCM. The 5-year rate of ICD therapies was 19.9% in the CA-ACM group versus 22.1% in the CA-NACM group and 32.6% in the IHD/DCM group (p = NS for both). Device therapy-free, heart transplantation-free, and/or overall survival as well as cardiac function dynamics over time were not different in patients with CA-ACM than in patients with CA-NACM and IHD/DCM. CONCLUSIONS This study indicates that the burden of arrhythmia in patients with anthracycline-related cardiomyopathy is not different from cancer and non-cancer patients with IHD-related LVD or DCM.","author":[{"dropping-particle":"","family":"Mazur","given":"Matylda","non-dropping-particle":"","parse-names":false,"suffix":""},{"dropping-particle":"","family":"Wang","given":"Feilong","non-dropping-particle":"","parse-names":false,"suffix":""},{"dropping-particle":"","family":"Hodge","given":"David O","non-dropping-particle":"","parse-names":false,"suffix":""},{"dropping-particle":"","family":"Siontis","given":"Brittany L","non-dropping-particle":"","parse-names":false,"suffix":""},{"dropping-particle":"","family":"Beinborn","given":"Douglas S","non-dropping-particle":"","parse-names":false,"suffix":""},{"dropping-particle":"","family":"Villarraga","given":"Hector R","non-dropping-particle":"","parse-names":false,"suffix":""},{"dropping-particle":"","family":"Lerman","given":"Amir","non-dropping-particle":"","parse-names":false,"suffix":""},{"dropping-particle":"","family":"Friedman","given":"Paul A","non-dropping-particle":"","parse-names":false,"suffix":""},{"dropping-particle":"","family":"Herrmann","given":"Joerg","non-dropping-particle":"","parse-names":false,"suffix":""}],"container-title":"JACC. Clinical electrophysiology","id":"ITEM-1","issue":"2","issued":{"date-parts":[["2017"]]},"page":"139-150","title":"Burden of Cardiac Arrhythmias in Patients With Anthracycline-Related Cardiomyopathy.","type":"article-journal","volume":"3"},"uris":["http://www.mendeley.com/documents/?uuid=a4d9a5d6-1a33-4113-b925-d107feb30e98"]}],"mendeley":{"formattedCitation":"&lt;sup&gt;53&lt;/sup&gt;","plainTextFormattedCitation":"53","previouslyFormattedCitation":"&lt;sup&gt;53&lt;/sup&gt;"},"properties":{"noteIndex":0},"schema":"https://github.com/citation-style-language/schema/raw/master/csl-citation.json"}</w:instrText>
      </w:r>
      <w:r w:rsidR="009114AA">
        <w:rPr>
          <w:rFonts w:ascii="Calibri" w:hAnsi="Calibri" w:cs="Calibri"/>
          <w:bCs/>
          <w:lang w:val="en-GB"/>
        </w:rPr>
        <w:fldChar w:fldCharType="separate"/>
      </w:r>
      <w:r w:rsidR="001A2833" w:rsidRPr="001A2833">
        <w:rPr>
          <w:rFonts w:ascii="Calibri" w:hAnsi="Calibri" w:cs="Calibri"/>
          <w:bCs/>
          <w:noProof/>
          <w:vertAlign w:val="superscript"/>
          <w:lang w:val="en-GB"/>
        </w:rPr>
        <w:t>53</w:t>
      </w:r>
      <w:r w:rsidR="009114AA">
        <w:rPr>
          <w:rFonts w:ascii="Calibri" w:hAnsi="Calibri" w:cs="Calibri"/>
          <w:bCs/>
          <w:lang w:val="en-GB"/>
        </w:rPr>
        <w:fldChar w:fldCharType="end"/>
      </w:r>
      <w:r w:rsidR="009114AA">
        <w:rPr>
          <w:rFonts w:ascii="Calibri" w:hAnsi="Calibri" w:cs="Calibri"/>
          <w:bCs/>
          <w:lang w:val="en-GB"/>
        </w:rPr>
        <w:t>.</w:t>
      </w:r>
    </w:p>
    <w:p w14:paraId="33D4F431" w14:textId="7D1B0994" w:rsidR="001C56CB" w:rsidRPr="003E375D" w:rsidRDefault="005F2C6F" w:rsidP="005F2C6F">
      <w:pPr>
        <w:spacing w:line="480" w:lineRule="auto"/>
        <w:ind w:firstLine="720"/>
        <w:rPr>
          <w:rFonts w:ascii="Calibri" w:hAnsi="Calibri" w:cs="Calibri"/>
          <w:bCs/>
          <w:lang w:val="en-GB"/>
        </w:rPr>
      </w:pPr>
      <w:r w:rsidRPr="005F2C6F">
        <w:rPr>
          <w:rFonts w:ascii="Calibri" w:hAnsi="Calibri" w:cs="Calibri"/>
          <w:bCs/>
          <w:lang w:val="en-GB"/>
        </w:rPr>
        <w:t>The</w:t>
      </w:r>
      <w:r>
        <w:rPr>
          <w:rFonts w:ascii="Calibri" w:hAnsi="Calibri" w:cs="Calibri"/>
          <w:bCs/>
          <w:lang w:val="en-GB"/>
        </w:rPr>
        <w:t xml:space="preserve"> </w:t>
      </w:r>
      <w:r w:rsidRPr="005F2C6F">
        <w:rPr>
          <w:rFonts w:ascii="Calibri" w:hAnsi="Calibri" w:cs="Calibri"/>
          <w:bCs/>
          <w:lang w:val="en-GB"/>
        </w:rPr>
        <w:t>relationship between alcohol intake and heart</w:t>
      </w:r>
      <w:r>
        <w:rPr>
          <w:rFonts w:ascii="Calibri" w:hAnsi="Calibri" w:cs="Calibri"/>
          <w:bCs/>
          <w:lang w:val="en-GB"/>
        </w:rPr>
        <w:t xml:space="preserve"> </w:t>
      </w:r>
      <w:r w:rsidRPr="005F2C6F">
        <w:rPr>
          <w:rFonts w:ascii="Calibri" w:hAnsi="Calibri" w:cs="Calibri"/>
          <w:bCs/>
          <w:lang w:val="en-GB"/>
        </w:rPr>
        <w:t>failure is influenced by various genetic</w:t>
      </w:r>
      <w:r>
        <w:rPr>
          <w:rFonts w:ascii="Calibri" w:hAnsi="Calibri" w:cs="Calibri"/>
          <w:bCs/>
          <w:lang w:val="en-GB"/>
        </w:rPr>
        <w:t xml:space="preserve"> and environmental</w:t>
      </w:r>
      <w:r w:rsidRPr="005F2C6F">
        <w:rPr>
          <w:rFonts w:ascii="Calibri" w:hAnsi="Calibri" w:cs="Calibri"/>
          <w:bCs/>
          <w:lang w:val="en-GB"/>
        </w:rPr>
        <w:t xml:space="preserve"> factors. The diagnosis</w:t>
      </w:r>
      <w:r w:rsidR="007D4936">
        <w:rPr>
          <w:rFonts w:ascii="Calibri" w:hAnsi="Calibri" w:cs="Calibri"/>
          <w:bCs/>
          <w:lang w:val="en-GB"/>
        </w:rPr>
        <w:t xml:space="preserve"> of alcoholic DCM</w:t>
      </w:r>
      <w:r w:rsidRPr="005F2C6F">
        <w:rPr>
          <w:rFonts w:ascii="Calibri" w:hAnsi="Calibri" w:cs="Calibri"/>
          <w:bCs/>
          <w:lang w:val="en-GB"/>
        </w:rPr>
        <w:t xml:space="preserve"> is</w:t>
      </w:r>
      <w:r>
        <w:rPr>
          <w:rFonts w:ascii="Calibri" w:hAnsi="Calibri" w:cs="Calibri"/>
          <w:bCs/>
          <w:lang w:val="en-GB"/>
        </w:rPr>
        <w:t xml:space="preserve"> </w:t>
      </w:r>
      <w:r w:rsidRPr="005F2C6F">
        <w:rPr>
          <w:rFonts w:ascii="Calibri" w:hAnsi="Calibri" w:cs="Calibri"/>
          <w:bCs/>
          <w:lang w:val="en-GB"/>
        </w:rPr>
        <w:t>based on a history of heavy alcohol intake (&gt;80–100 g/day</w:t>
      </w:r>
      <w:r>
        <w:rPr>
          <w:rFonts w:ascii="Calibri" w:hAnsi="Calibri" w:cs="Calibri"/>
          <w:bCs/>
          <w:lang w:val="en-GB"/>
        </w:rPr>
        <w:t xml:space="preserve"> </w:t>
      </w:r>
      <w:r w:rsidRPr="005F2C6F">
        <w:rPr>
          <w:rFonts w:ascii="Calibri" w:hAnsi="Calibri" w:cs="Calibri"/>
          <w:bCs/>
          <w:lang w:val="en-GB"/>
        </w:rPr>
        <w:t>for &gt;10 years) in combination with otherwise</w:t>
      </w:r>
      <w:r>
        <w:rPr>
          <w:rFonts w:ascii="Calibri" w:hAnsi="Calibri" w:cs="Calibri"/>
          <w:bCs/>
          <w:lang w:val="en-GB"/>
        </w:rPr>
        <w:t xml:space="preserve"> </w:t>
      </w:r>
      <w:r w:rsidRPr="005F2C6F">
        <w:rPr>
          <w:rFonts w:ascii="Calibri" w:hAnsi="Calibri" w:cs="Calibri"/>
          <w:bCs/>
          <w:lang w:val="en-GB"/>
        </w:rPr>
        <w:t>unexplained cardiomyopathy</w:t>
      </w:r>
      <w:r w:rsidR="00543663">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{"citationItems":[{"id":"ITEM-1","itemData":{"DOI":"10.1016/j.jacc.2018.03.462","ISSN":"1558-3597","PMID":"29773157","abstract":"BACKGROUND Alcoholic cardiomyopathy (ACM) is defined by a dilated and impaired left ventricle due to chronic excess alcohol consumption. It is largely unknown which factors determine cardiac toxicity on exposure to alcohol. OBJECTIVES This study sought to evaluate the role of variation in cardiomyopathy-associated genes in the pathophysiology of ACM, and to examine the effects of alcohol intake and genotype on dilated cardiomyopathy (DCM) severity. METHODS The authors characterized 141 ACM cases, 716 DCM cases, and 445 healthy volunteers. The authors compared the prevalence of rare, protein-altering variants in 9 genes associated with inherited DCM. They evaluated the effect of genotype and alcohol consumption on phenotype in DCM. RESULTS Variants in well-characterized DCM-causing genes were more prevalent in patients with ACM than control subjects (13.5% vs. 2.9%; p = 1.2 ×10-5), but similar between patients with ACM and DCM (19.4%; p = 0.12) and with a predominant burden of titin truncating variants (TTNtv) (9.9%). Separately, we identified an interaction between TTN genotype and excess alcohol consumption in a cohort of DCM patients not meeting ACM criteria. On multivariate analysis, DCM patients with a TTNtv who consumed excess alcohol had an 8.7% absolute reduction in ejection fraction (95% confidence interval: -2.3% to -15.1%; p &lt; 0.007) compared with those without TTNtv and excess alcohol consumption. The presence of TTNtv did not predict phenotype, outcome, or functional recovery on treatment in ACM patients. CONCLUSIONS TTNtv represent a prevalent genetic predisposition for ACM, and are also associated with a worse left ventricular ejection fraction in DCM patients who consume alcohol above recommended levels. Familial evaluation and genetic testing should be considered in patients presenting with ACM.","author":[{"dropping-particle":"","family":"Ware","given":"James S","non-dropping-particle":"","parse-names":false,"suffix":""},{"dropping-particle":"","family":"Amor-Salamanca","given":"Almudena","non-dropping-particle":"","parse-names":false,"suffix":""},{"dropping-particle":"","family":"Tayal","given":"Upasana","non-dropping-particle":"","parse-names":false,"suffix":""},{"dropping-particle":"","family":"Govind","given":"Risha","non-dropping-particle":"","parse-names":false,"suffix":""},{"dropping-particle":"","family":"Serrano","given":"Isabel","non-dropping-particle":"","parse-names":false,"suffix":""},{"dropping-particle":"","family":"Salazar-Mendiguchía","given":"Joel","non-dropping-particle":"","parse-names":false,"suffix":""},{"dropping-particle":"","family":"García-Pinilla","given":"Jose Manuel","non-dropping-particle":"","parse-names":false,"suffix":""},{"dropping-particle":"","family":"Pascual-Figal","given":"Domingo A","non-dropping-particle":"","parse-names":false,"suffix":""},{"dropping-particle":"","family":"Nuñez","given":"Julio","non-dropping-particle":"","parse-names":false,"suffix":""},{"dropping-particle":"","family":"Guzzo-Merello","given":"Gonzalo","non-dropping-particle":"","parse-names":false,"suffix":""},{"dropping-particle":"","family":"Gonzalez-Vioque","given":"Emiliano","non-dropping-particle":"","parse-names":false,"suffix":""},{"dropping-particle":"","family":"Bardaji","given":"Alfredo","non-dropping-particle":"","parse-names":false,"suffix":""},{"dropping-particle":"","family":"Manito","given":"Nicolas","non-dropping-particle":"","parse-names":false,"suffix":""},{"dropping-particle":"","family":"López-Garrido","given":"Miguel A","non-dropping-particle":"","parse-names":false,"suffix":""},{"dropping-particle":"","family":"Padron-Barthe","given":"Laura","non-dropping-particle":"","parse-names":false,"suffix":""},{"dropping-particle":"","family":"Edwards","given":"Elizabeth","non-dropping-particle":"","parse-names":false,"suffix":""},{"dropping-particle":"","family":"Whiffin","given":"Nicola","non-dropping-particle":"","parse-names":false,"suffix":""},{"dropping-particle":"","family":"Walsh","given":"Roddy","non-dropping-particle":"","parse-names":false,"suffix":""},{"dropping-particle":"","family":"Buchan","given":"Rachel J","non-dropping-particle":"","parse-names":false,"suffix":""},{"dropping-particle":"","family":"Midwinter","given":"William","non-dropping-particle":"","parse-names":false,"suffix":""},{"dropping-particle":"","family":"Wilk","given":"Alicja","non-dropping-particle":"","parse-names":false,"suffix":""},{"dropping-particle":"","family":"Prasad","given":"Sanjay","non-dropping-particle":"","parse-names":false,"suffix":""},{"dropping-particle":"","family":"Pantazis","given":"Antonis","non-dropping-particle":"","parse-names":false,"suffix":""},{"dropping-particle":"","family":"Baski","given":"John","non-dropping-particle":"","parse-names":false,"suffix":""},{"dropping-particle":"","family":"O'Regan","given":"Declan P","non-dropping-particle":"","parse-names":false,"suffix":""},{"dropping-particle":"","family":"Alonso-Pulpon","given":"Luis","non-dropping-particle":"","parse-names":false,"suffix":""},{"dropping-particle":"","family":"Cook","given":"Stuart A","non-dropping-particle":"","parse-names":false,"suffix":""},{"dropping-particle":"","family":"Lara-Pezzi","given":"Enrique","non-dropping-particle":"","parse-names":false,"suffix":""},{"dropping-particle":"","family":"Barton","given":"Paul J","non-dropping-particle":"","parse-names":false,"suffix":""},{"dropping-particle":"","family":"Garcia-Pavia","given":"Pablo","non-dropping-particle":"","parse-names":false,"suffix":""}],"container-title":"Journal of the American College of Cardiology","id":"ITEM-1","issue":"20","issued":{"date-parts":[["2018"]]},"page":"2293-2302","title":"Genetic Etiology for Alcohol-Induced Cardiac Toxicity.","type":"article-journal","volume":"71"},"uris":["http://www.mendeley.com/documents/?uuid=0c613b4d-7716-4f95-8e46-e4c923a185a0"]}],"mendeley":{"formattedCitation":"&lt;sup&gt;54&lt;/sup&gt;","plainTextFormattedCitation":"54","previouslyFormattedCitation":"&lt;sup&gt;54&lt;/sup&gt;"},"properties":{"noteIndex":0},"schema":"https://github.com/citation-style-language/schema/raw/master/csl-citation.json"}</w:instrText>
      </w:r>
      <w:r w:rsidR="00543663">
        <w:rPr>
          <w:rFonts w:ascii="Calibri" w:hAnsi="Calibri" w:cs="Calibri"/>
          <w:bCs/>
          <w:lang w:val="en-GB"/>
        </w:rPr>
        <w:fldChar w:fldCharType="separate"/>
      </w:r>
      <w:r w:rsidR="001A2833" w:rsidRPr="001A2833">
        <w:rPr>
          <w:rFonts w:ascii="Calibri" w:hAnsi="Calibri" w:cs="Calibri"/>
          <w:bCs/>
          <w:noProof/>
          <w:vertAlign w:val="superscript"/>
          <w:lang w:val="en-GB"/>
        </w:rPr>
        <w:t>54</w:t>
      </w:r>
      <w:r w:rsidR="00543663">
        <w:rPr>
          <w:rFonts w:ascii="Calibri" w:hAnsi="Calibri" w:cs="Calibri"/>
          <w:bCs/>
          <w:lang w:val="en-GB"/>
        </w:rPr>
        <w:fldChar w:fldCharType="end"/>
      </w:r>
      <w:r>
        <w:rPr>
          <w:rFonts w:ascii="Calibri" w:hAnsi="Calibri" w:cs="Calibri"/>
          <w:bCs/>
          <w:lang w:val="en-GB"/>
        </w:rPr>
        <w:t xml:space="preserve">. </w:t>
      </w:r>
      <w:r w:rsidR="003E375D" w:rsidRPr="003E375D">
        <w:rPr>
          <w:rFonts w:ascii="Calibri" w:hAnsi="Calibri" w:cs="Calibri"/>
          <w:bCs/>
          <w:lang w:val="en-GB"/>
        </w:rPr>
        <w:t xml:space="preserve">On ECG, </w:t>
      </w:r>
      <w:r w:rsidR="004B10F3">
        <w:rPr>
          <w:rFonts w:ascii="Calibri" w:hAnsi="Calibri" w:cs="Calibri"/>
          <w:bCs/>
          <w:lang w:val="en-GB"/>
        </w:rPr>
        <w:t>non-</w:t>
      </w:r>
      <w:r w:rsidR="003E375D" w:rsidRPr="003E375D">
        <w:rPr>
          <w:rFonts w:ascii="Calibri" w:hAnsi="Calibri" w:cs="Calibri"/>
          <w:bCs/>
          <w:lang w:val="en-GB"/>
        </w:rPr>
        <w:t xml:space="preserve">specific abnormalities like complete or incomplete left bundle branch block, </w:t>
      </w:r>
      <w:proofErr w:type="spellStart"/>
      <w:r w:rsidR="003E375D" w:rsidRPr="003E375D">
        <w:rPr>
          <w:rFonts w:ascii="Calibri" w:hAnsi="Calibri" w:cs="Calibri"/>
          <w:bCs/>
          <w:lang w:val="en-GB"/>
        </w:rPr>
        <w:t>atrio</w:t>
      </w:r>
      <w:proofErr w:type="spellEnd"/>
      <w:r w:rsidR="003E375D">
        <w:rPr>
          <w:rFonts w:ascii="Calibri" w:hAnsi="Calibri" w:cs="Calibri"/>
          <w:bCs/>
          <w:lang w:val="en-GB"/>
        </w:rPr>
        <w:t>-</w:t>
      </w:r>
      <w:r w:rsidR="003E375D" w:rsidRPr="003E375D">
        <w:rPr>
          <w:rFonts w:ascii="Calibri" w:hAnsi="Calibri" w:cs="Calibri"/>
          <w:bCs/>
          <w:lang w:val="en-GB"/>
        </w:rPr>
        <w:t xml:space="preserve">ventricular conduction disturbances, alterations in the ST segment can be found comparable to those </w:t>
      </w:r>
      <w:r w:rsidR="00956E1D">
        <w:rPr>
          <w:rFonts w:ascii="Calibri" w:hAnsi="Calibri" w:cs="Calibri"/>
          <w:bCs/>
          <w:lang w:val="en-GB"/>
        </w:rPr>
        <w:t>of</w:t>
      </w:r>
      <w:r w:rsidR="00956E1D" w:rsidRPr="003E375D">
        <w:rPr>
          <w:rFonts w:ascii="Calibri" w:hAnsi="Calibri" w:cs="Calibri"/>
          <w:bCs/>
          <w:lang w:val="en-GB"/>
        </w:rPr>
        <w:t xml:space="preserve"> </w:t>
      </w:r>
      <w:r w:rsidR="003E375D" w:rsidRPr="003E375D">
        <w:rPr>
          <w:rFonts w:ascii="Calibri" w:hAnsi="Calibri" w:cs="Calibri"/>
          <w:bCs/>
          <w:lang w:val="en-GB"/>
        </w:rPr>
        <w:t>idiopathic DCM</w:t>
      </w:r>
      <w:r w:rsidR="00651628">
        <w:rPr>
          <w:rFonts w:ascii="Calibri" w:hAnsi="Calibri" w:cs="Calibri"/>
          <w:bCs/>
          <w:lang w:val="en-GB"/>
        </w:rPr>
        <w:fldChar w:fldCharType="begin" w:fldLock="1"/>
      </w:r>
      <w:r w:rsidR="001A2833">
        <w:rPr>
          <w:rFonts w:ascii="Calibri" w:hAnsi="Calibri" w:cs="Calibri"/>
          <w:bCs/>
          <w:lang w:val="en-GB"/>
        </w:rPr>
        <w:instrText>ADDIN CSL_CITATION {"citationItems":[{"id":"ITEM-1","itemData":{"DOI":"10.1016/j.jacc.2018.07.050","ISSN":"1558-3597","PMID":"30236306","abstract":"BACKGROUND Alcohol-induced cardiotoxicity is incompletely understood. Specifically, the long-term impact of alcohol use on ventricular remodeling or dysfunction, its modulators, and effect thresholds among young adults remain controversial. OBJECTIVES The authors sought to evaluate a potential relationship between alcohol intake and cardiac remodeling, assessed by echocardiography, over 20 years of follow-up. METHODS Among the CARDIA (Coronary Artery Risk Development in Young Adults) study cohort, the authors studied all subjects without baseline heart disorders who provided adequate information on their drinking habits and underwent echocardiographic evaluation at years 5 and 25 of the study. The echocardiographic outcomes were left ventricular (LV) ejection fraction, indexed LV end-diastolic volume and LV mass, and left atrial diameter. Participants were grouped according to their weighted-average weekly drinking habits. An additional analysis used the estimated cumulative alcohol consumption. Regression models and multivariable fractional polynomials were used to evaluate the association between alcohol consumption and the outcomes. RESULTS Among the 2,368 participants, alcohol consumption was an independent predictor of higher indexed LV mass (p = 0.014) and indexed LV end-diastolic volume (p = 0.037), regardless of sex. No significant relationship between alcohol intake and LV ejection fraction was found. Drinking predominantly wine was associated with less cardiac remodeling and there was a nonsignificant trend for a harmful effect of binge drinking. CONCLUSIONS After 20 years of follow-up, alcohol intake was associated with adverse cardiac remodeling, although it was not related with LV systolic dysfunction in this initially healthy young cohort. Our results also suggest that drinking predominantly wine associates with less deleterious findings in cardiac structure.","author":[{"dropping-particle":"","family":"Rodrigues","given":"Patrícia","non-dropping-particle":"","parse-names":false,"suffix":""},{"dropping-particle":"","family":"Santos-Ribeiro","given":"Samuel","non-dropping-particle":"","parse-names":false,"suffix":""},{"dropping-particle":"","family":"Teodoro","given":"Tiago","non-dropping-particle":"","parse-names":false,"suffix":""},{"dropping-particle":"","family":"Gomes","given":"Filipe Veloso","non-dropping-particle":"","parse-names":false,"suffix":""},{"dropping-particle":"","family":"Leal","given":"Inês","non-dropping-particle":"","parse-names":false,"suffix":""},{"dropping-particle":"","family":"Reis","given":"Jared P","non-dropping-particle":"","parse-names":false,"suffix":""},{"dropping-particle":"","family":"Goff","given":"David C","non-dropping-particle":"","parse-names":false,"suffix":""},{"dropping-particle":"","family":"Gonçalves","given":"Alexandra","non-dropping-particle":"","parse-names":false,"suffix":""},{"dropping-particle":"","family":"Lima","given":"João A C","non-dropping-particle":"","parse-names":false,"suffix":""}],"container-title":"Journal of the American College of Cardiology","id":"ITEM-1","issue":"13","issued":{"date-parts":[["2018"]]},"page":"1452-1462","title":"Association Between Alcohol Intake and Cardiac Remodeling.","type":"article-journal","volume":"72"},"uris":["http://www.mendeley.com/documents/?uuid=6f5d55d4-d08f-4dc1-9549-d5ad700c608b"]}],"mendeley":{"formattedCitation":"&lt;sup&gt;55&lt;/sup&gt;","plainTextFormattedCitation":"55","previouslyFormattedCitation":"&lt;sup&gt;55&lt;/sup&gt;"},"properties":{"noteIndex":0},"schema":"https://github.com/citation-style-language/schema/raw/master/csl-citation.json"}</w:instrText>
      </w:r>
      <w:r w:rsidR="00651628">
        <w:rPr>
          <w:rFonts w:ascii="Calibri" w:hAnsi="Calibri" w:cs="Calibri"/>
          <w:bCs/>
          <w:lang w:val="en-GB"/>
        </w:rPr>
        <w:fldChar w:fldCharType="separate"/>
      </w:r>
      <w:r w:rsidR="001A2833" w:rsidRPr="001A2833">
        <w:rPr>
          <w:rFonts w:ascii="Calibri" w:hAnsi="Calibri" w:cs="Calibri"/>
          <w:bCs/>
          <w:noProof/>
          <w:vertAlign w:val="superscript"/>
          <w:lang w:val="en-GB"/>
        </w:rPr>
        <w:t>55</w:t>
      </w:r>
      <w:r w:rsidR="00651628">
        <w:rPr>
          <w:rFonts w:ascii="Calibri" w:hAnsi="Calibri" w:cs="Calibri"/>
          <w:bCs/>
          <w:lang w:val="en-GB"/>
        </w:rPr>
        <w:fldChar w:fldCharType="end"/>
      </w:r>
      <w:r w:rsidR="002351B1">
        <w:rPr>
          <w:rFonts w:ascii="Calibri" w:hAnsi="Calibri" w:cs="Calibri"/>
          <w:bCs/>
          <w:lang w:val="en-GB"/>
        </w:rPr>
        <w:t>.</w:t>
      </w:r>
    </w:p>
    <w:p w14:paraId="030CFA13" w14:textId="26C76D1B" w:rsidR="008D1427" w:rsidRPr="003C6FD0" w:rsidRDefault="005F2C6F" w:rsidP="003C6FD0">
      <w:pPr>
        <w:spacing w:line="480" w:lineRule="auto"/>
        <w:ind w:firstLine="720"/>
        <w:rPr>
          <w:rFonts w:ascii="Calibri" w:hAnsi="Calibri" w:cs="Calibri"/>
          <w:bCs/>
          <w:lang w:val="en-GB"/>
        </w:rPr>
      </w:pPr>
      <w:r w:rsidRPr="005F2C6F">
        <w:rPr>
          <w:rFonts w:ascii="Calibri" w:hAnsi="Calibri" w:cs="Calibri"/>
          <w:bCs/>
          <w:lang w:val="en-GB"/>
        </w:rPr>
        <w:t>Cocaine and methamphetamines are sympathomimetic</w:t>
      </w:r>
      <w:r>
        <w:rPr>
          <w:rFonts w:ascii="Calibri" w:hAnsi="Calibri" w:cs="Calibri"/>
          <w:bCs/>
          <w:lang w:val="en-GB"/>
        </w:rPr>
        <w:t xml:space="preserve"> </w:t>
      </w:r>
      <w:r w:rsidRPr="005F2C6F">
        <w:rPr>
          <w:rFonts w:ascii="Calibri" w:hAnsi="Calibri" w:cs="Calibri"/>
          <w:bCs/>
          <w:lang w:val="en-GB"/>
        </w:rPr>
        <w:t>drugs that induce heightened inotropic and</w:t>
      </w:r>
      <w:r>
        <w:rPr>
          <w:rFonts w:ascii="Calibri" w:hAnsi="Calibri" w:cs="Calibri"/>
          <w:bCs/>
          <w:lang w:val="en-GB"/>
        </w:rPr>
        <w:t xml:space="preserve"> </w:t>
      </w:r>
      <w:r w:rsidRPr="005F2C6F">
        <w:rPr>
          <w:rFonts w:ascii="Calibri" w:hAnsi="Calibri" w:cs="Calibri"/>
          <w:bCs/>
          <w:lang w:val="en-GB"/>
        </w:rPr>
        <w:t>chronotropic</w:t>
      </w:r>
      <w:r>
        <w:rPr>
          <w:rFonts w:ascii="Calibri" w:hAnsi="Calibri" w:cs="Calibri"/>
          <w:bCs/>
          <w:lang w:val="en-GB"/>
        </w:rPr>
        <w:t xml:space="preserve"> </w:t>
      </w:r>
      <w:r w:rsidRPr="005F2C6F">
        <w:rPr>
          <w:rFonts w:ascii="Calibri" w:hAnsi="Calibri" w:cs="Calibri"/>
          <w:bCs/>
          <w:lang w:val="en-GB"/>
        </w:rPr>
        <w:t>effects</w:t>
      </w:r>
      <w:r>
        <w:rPr>
          <w:rFonts w:ascii="Calibri" w:hAnsi="Calibri" w:cs="Calibri"/>
          <w:bCs/>
          <w:lang w:val="en-GB"/>
        </w:rPr>
        <w:t xml:space="preserve">. The effects on the heart are multiple, </w:t>
      </w:r>
      <w:r>
        <w:rPr>
          <w:rFonts w:ascii="Calibri" w:hAnsi="Calibri" w:cs="Calibri"/>
          <w:bCs/>
          <w:lang w:val="en-GB"/>
        </w:rPr>
        <w:lastRenderedPageBreak/>
        <w:t>including coronary vasospasm and atherosclerosis and LV systolic dysfunction</w:t>
      </w:r>
      <w:r w:rsidR="004272DA">
        <w:rPr>
          <w:rFonts w:ascii="Calibri" w:hAnsi="Calibri" w:cs="Calibri"/>
          <w:bCs/>
          <w:lang w:val="en-GB"/>
        </w:rPr>
        <w:t xml:space="preserve">. Although in the acute setting </w:t>
      </w:r>
      <w:r>
        <w:rPr>
          <w:rFonts w:ascii="Calibri" w:hAnsi="Calibri" w:cs="Calibri"/>
          <w:bCs/>
          <w:lang w:val="en-GB"/>
        </w:rPr>
        <w:t>ECG</w:t>
      </w:r>
      <w:r w:rsidR="004272DA">
        <w:rPr>
          <w:rFonts w:ascii="Calibri" w:hAnsi="Calibri" w:cs="Calibri"/>
          <w:bCs/>
          <w:lang w:val="en-GB"/>
        </w:rPr>
        <w:t xml:space="preserve"> ischemic changes are often present, specific </w:t>
      </w:r>
      <w:r w:rsidR="00AC2471">
        <w:rPr>
          <w:rFonts w:ascii="Calibri" w:hAnsi="Calibri" w:cs="Calibri"/>
          <w:bCs/>
          <w:lang w:val="en-GB"/>
        </w:rPr>
        <w:t>ECG</w:t>
      </w:r>
      <w:r w:rsidR="00FB6605">
        <w:rPr>
          <w:rFonts w:ascii="Calibri" w:hAnsi="Calibri" w:cs="Calibri"/>
          <w:bCs/>
          <w:lang w:val="en-GB"/>
        </w:rPr>
        <w:t xml:space="preserve"> </w:t>
      </w:r>
      <w:r w:rsidR="004272DA">
        <w:rPr>
          <w:rFonts w:ascii="Calibri" w:hAnsi="Calibri" w:cs="Calibri"/>
          <w:bCs/>
          <w:lang w:val="en-GB"/>
        </w:rPr>
        <w:t>pattern</w:t>
      </w:r>
      <w:r w:rsidR="00FB6605">
        <w:rPr>
          <w:rFonts w:ascii="Calibri" w:hAnsi="Calibri" w:cs="Calibri"/>
          <w:bCs/>
          <w:lang w:val="en-GB"/>
        </w:rPr>
        <w:t>s are often absent in the chronic phase</w:t>
      </w:r>
      <w:r w:rsidR="004272DA">
        <w:rPr>
          <w:rFonts w:ascii="Calibri" w:hAnsi="Calibri" w:cs="Calibri"/>
          <w:bCs/>
          <w:lang w:val="en-GB"/>
        </w:rPr>
        <w:t>.</w:t>
      </w:r>
    </w:p>
    <w:p w14:paraId="3433173E" w14:textId="77777777" w:rsidR="009114AA" w:rsidRDefault="009114AA" w:rsidP="0041574E">
      <w:pPr>
        <w:spacing w:line="480" w:lineRule="auto"/>
        <w:rPr>
          <w:rFonts w:ascii="Calibri" w:hAnsi="Calibri" w:cs="Calibri"/>
          <w:b/>
          <w:lang w:val="en-GB"/>
        </w:rPr>
      </w:pPr>
    </w:p>
    <w:p w14:paraId="57B322B7" w14:textId="3FDD9F3F" w:rsidR="006D3A72" w:rsidRPr="0041574E" w:rsidRDefault="00780061" w:rsidP="0041574E">
      <w:pPr>
        <w:spacing w:line="480" w:lineRule="auto"/>
        <w:rPr>
          <w:rFonts w:ascii="Calibri" w:hAnsi="Calibri" w:cs="Calibri"/>
          <w:b/>
          <w:lang w:val="en-GB"/>
        </w:rPr>
      </w:pPr>
      <w:r>
        <w:rPr>
          <w:rFonts w:ascii="Calibri" w:hAnsi="Calibri" w:cs="Calibri"/>
          <w:b/>
          <w:lang w:val="en-GB"/>
        </w:rPr>
        <w:t>Differential diagnosis with cardiac adaptation to exercise</w:t>
      </w:r>
    </w:p>
    <w:p w14:paraId="02E5800B" w14:textId="6AD571AF" w:rsidR="006D3A72" w:rsidRPr="006A2FE5" w:rsidRDefault="003C6FD0" w:rsidP="004272DA">
      <w:pPr>
        <w:spacing w:line="480" w:lineRule="auto"/>
        <w:ind w:firstLine="720"/>
        <w:rPr>
          <w:rFonts w:ascii="Calibri" w:hAnsi="Calibri"/>
          <w:lang w:val="en-GB"/>
        </w:rPr>
      </w:pPr>
      <w:r w:rsidRPr="003C6FD0">
        <w:rPr>
          <w:rFonts w:ascii="Calibri" w:hAnsi="Calibri"/>
          <w:lang w:val="en-GB"/>
        </w:rPr>
        <w:t xml:space="preserve">Long-term athletic training is associated with a series of alterations in cardiac structure, function and electrical activity </w:t>
      </w:r>
      <w:r>
        <w:rPr>
          <w:rFonts w:ascii="Calibri" w:hAnsi="Calibri"/>
          <w:lang w:val="en-GB"/>
        </w:rPr>
        <w:t>and chamber dilatation is commonly observed especially in endurance athletes</w:t>
      </w:r>
      <w:r w:rsidR="00882619">
        <w:rPr>
          <w:rFonts w:ascii="Calibri" w:hAnsi="Calibri"/>
          <w:lang w:val="en-GB"/>
        </w:rPr>
        <w:fldChar w:fldCharType="begin" w:fldLock="1"/>
      </w:r>
      <w:r w:rsidR="001A2833">
        <w:rPr>
          <w:rFonts w:ascii="Calibri" w:hAnsi="Calibri"/>
          <w:lang w:val="en-GB"/>
        </w:rPr>
        <w:instrText>ADDIN CSL_CITATION {"citationItems":[{"id":"ITEM-1","itemData":{"ISSN":"0003-4819","PMID":"9890846","abstract":"BACKGROUND Absolute left ventricular cavity dimension may be substantially increased in some highly trained athletes. This raises questions about the differential diagnosis between athlete's heart and dilated cardiomyopathy as well as possible disqualification from competitive sports. OBJECTIVE To evaluate the morphologic characteristics and physiologic limits of left ventricular cavity enlargement associated with intensive, long-term athletic conditioning. DESIGN Evaluation of left ventricular cavity dimension in a large sample of highly trained athletes. SETTING Institute of Sports Science, Rome, Italy. PARTICIPANTS 1309 elite Italian athletes (957 men and 352 women), 13 to 59 years of age (mean, 24 years), participating in 38 different sports. MEASUREMENTS Echocardiographic assessment of left ventricular cavity dimension and multivariate statistical analysis of the determinants. RESULTS Left ventricular end-diastolic cavity dimensions varied widely (38 to 66 mm [mean, 48 mm] in women and 43 to 70 mm [mean, 55 mm] in men) and was within generally accepted normal limits for most participants (&lt; or = 54 mm in 725 athletes [55%]). According to an arbitrary clinical cut-point of 60 mm, the left ventricular cavity was substantially enlarged in 185 participants (14%). These athletes had global left ventricular systolic function within normal limits and no regional wall-motion abnormalities; participants remained free of cardiac symptoms and impaired performance over 1 to 12 years (mean, 4.7 years). The major determinants of cavity dimension were greater body surface area and participation in certain endurance sports (cycling, cross-country skiing, and canoeing). CONCLUSIONS In a sample of highly trained athletes, left ventricular cavity dimension varied widely but was strikingly increased to a degree compatible with primary dilated cardiomyopathy in almost 15% of participants. In the absence of systolic dysfunction, this cavity dilatation is most likely an extreme physiologic adaptation to intensive athletic conditioning. The long-term consequences and significance of this marked left ventricular remodeling of the athlete's heart is not known.","author":[{"dropping-particle":"","family":"Pelliccia","given":"A","non-dropping-particle":"","parse-names":false,"suffix":""},{"dropping-particle":"","family":"Culasso","given":"F","non-dropping-particle":"","parse-names":false,"suffix":""},{"dropping-particle":"","family":"Paolo","given":"F M","non-dropping-particle":"Di","parse-names":false,"suffix":""},{"dropping-particle":"","family":"Maron","given":"B J","non-dropping-particle":"","parse-names":false,"suffix":""}],"container-title":"Annals of internal medicine","id":"ITEM-1","issue":"1","issued":{"date-parts":[["1999","1","5"]]},"page":"23-31","title":"Physiologic left ventricular cavity dilatation in elite athletes.","type":"article-journal","volume":"130"},"uris":["http://www.mendeley.com/documents/?uuid=260f86ae-a03e-4bc5-9436-e59213bb786a"]}],"mendeley":{"formattedCitation":"&lt;sup&gt;56&lt;/sup&gt;","plainTextFormattedCitation":"56","previouslyFormattedCitation":"&lt;sup&gt;56&lt;/sup&gt;"},"properties":{"noteIndex":0},"schema":"https://github.com/citation-style-language/schema/raw/master/csl-citation.json"}</w:instrText>
      </w:r>
      <w:r w:rsidR="00882619">
        <w:rPr>
          <w:rFonts w:ascii="Calibri" w:hAnsi="Calibri"/>
          <w:lang w:val="en-GB"/>
        </w:rPr>
        <w:fldChar w:fldCharType="separate"/>
      </w:r>
      <w:r w:rsidR="001A2833" w:rsidRPr="001A2833">
        <w:rPr>
          <w:rFonts w:ascii="Calibri" w:hAnsi="Calibri"/>
          <w:noProof/>
          <w:vertAlign w:val="superscript"/>
          <w:lang w:val="en-GB"/>
        </w:rPr>
        <w:t>56</w:t>
      </w:r>
      <w:r w:rsidR="00882619">
        <w:rPr>
          <w:rFonts w:ascii="Calibri" w:hAnsi="Calibri"/>
          <w:lang w:val="en-GB"/>
        </w:rPr>
        <w:fldChar w:fldCharType="end"/>
      </w:r>
      <w:r w:rsidR="009114AA">
        <w:rPr>
          <w:rFonts w:ascii="Calibri" w:hAnsi="Calibri"/>
          <w:lang w:val="en-GB"/>
        </w:rPr>
        <w:t>.</w:t>
      </w:r>
      <w:r>
        <w:rPr>
          <w:rFonts w:ascii="Calibri" w:hAnsi="Calibri"/>
          <w:lang w:val="en-GB"/>
        </w:rPr>
        <w:t xml:space="preserve"> Significant LV dilatation in athletes may pose a challenge in the differential diagnosis with DCM .</w:t>
      </w:r>
      <w:r w:rsidRPr="003C6FD0">
        <w:rPr>
          <w:rFonts w:ascii="Calibri" w:hAnsi="Calibri"/>
          <w:lang w:val="en-GB"/>
        </w:rPr>
        <w:t xml:space="preserve"> Recent international recommendations for ECG interpretation in athletes underscore which abnormalities should be considered as reflective of physiological adaptation to exercise and which instead should be regarded as highly suggestive of pathology</w:t>
      </w:r>
      <w:r w:rsidR="00ED51EF">
        <w:rPr>
          <w:rFonts w:ascii="Calibri" w:hAnsi="Calibri"/>
          <w:lang w:val="en-GB"/>
        </w:rPr>
        <w:fldChar w:fldCharType="begin" w:fldLock="1"/>
      </w:r>
      <w:r w:rsidR="00ED51EF">
        <w:rPr>
          <w:rFonts w:ascii="Calibri" w:hAnsi="Calibri"/>
          <w:lang w:val="en-GB"/>
        </w:rPr>
        <w:instrText>ADDIN CSL_CITATION {"citationItems":[{"id":"ITEM-1","itemData":{"DOI":"10.1093/eurheartj/ehw631","ISSN":"1522-9645","PMID":"28329355","abstract":"Sudden cardiac death (SCD) is the leading cause of mortality in athletes during sport. A variety of mostly hereditary, structural, or electrical cardiac disorders are associated with SCD in young athletes, the majority of which can be identified or suggested by abnormalities on a resting 12-lead electrocardiogram (ECG). Whether used for diagnostic or screening purposes, physicians responsible for the cardiovascular care of athletes should be knowledgeable and competent in ECG interpretation in athletes. However, in most countries a shortage of physician expertise limits wider application of the ECG in the care of the athlete. A critical need exists for physician education in modern ECG interpretation that distinguishes normal physiological adaptations in athletes from distinctly abnormal findings suggestive of underlying pathology. Since the original 2010 European Society of Cardiology recommendations for ECG interpretation in athletes, ECG standards have evolved quickly over the last decade; pushed by a growing body of scientific data that both tests proposed criteria sets and establishes new evidence to guide refinements. On 26-27 February 2015, an international group of experts in sports cardiology, inherited cardiac disease, and sports medicine convened in Seattle, Washington, to update contemporary standards for ECG interpretation in athletes. The objective of the meeting was to define and revise ECG interpretation standards based on new and emerging research and to develop a clear guide to the proper evaluation of ECG abnormalities in athletes. This statement represents an international consensus for ECG interpretation in athletes and provides expert opinion-based recommendations linking specific ECG abnormalities and the secondary evaluation for conditions associated with SCD.","author":[{"dropping-particle":"","family":"Sharma","given":"Sanjay","non-dropping-particle":"","parse-names":false,"suffix":""},{"dropping-particle":"","family":"Drezner","given":"Jonathan A","non-dropping-particle":"","parse-names":false,"suffix":""},{"dropping-particle":"","family":"Baggish","given":"Aaron","non-dropping-particle":"","parse-names":false,"suffix":""},{"dropping-particle":"","family":"Papadakis","given":"Michael","non-dropping-particle":"","parse-names":false,"suffix":""},{"dropping-particle":"","family":"Wilson","given":"Mathew G","non-dropping-particle":"","parse-names":false,"suffix":""},{"dropping-particle":"","family":"Prutkin","given":"Jordan M","non-dropping-particle":"","parse-names":false,"suffix":""},{"dropping-particle":"","family":"Gerche","given":"Andre","non-dropping-particle":"La","parse-names":false,"suffix":""},{"dropping-particle":"","family":"Ackerman","given":"Michael J","non-dropping-particle":"","parse-names":false,"suffix":""},{"dropping-particle":"","family":"Borjesson","given":"Mats","non-dropping-particle":"","parse-names":false,"suffix":""},{"dropping-particle":"","family":"Salerno","given":"Jack C","non-dropping-particle":"","parse-names":false,"suffix":""},{"dropping-particle":"","family":"Asif","given":"Irfan M","non-dropping-particle":"","parse-names":false,"suffix":""},{"dropping-particle":"","family":"Owens","given":"David S","non-dropping-particle":"","parse-names":false,"suffix":""},{"dropping-particle":"","family":"Chung","given":"Eugene H","non-dropping-particle":"","parse-names":false,"suffix":""},{"dropping-particle":"","family":"Emery","given":"Michael S","non-dropping-particle":"","parse-names":false,"suffix":""},{"dropping-particle":"","family":"Froelicher","given":"Victor F","non-dropping-particle":"","parse-names":false,"suffix":""},{"dropping-particle":"","family":"Heidbuchel","given":"Hein","non-dropping-particle":"","parse-names":false,"suffix":""},{"dropping-particle":"","family":"Adamuz","given":"Carmen","non-dropping-particle":"","parse-names":false,"suffix":""},{"dropping-particle":"","family":"Asplund","given":"Chad A","non-dropping-particle":"","parse-names":false,"suffix":""},{"dropping-particle":"","family":"Cohen","given":"Gordon","non-dropping-particle":"","parse-names":false,"suffix":""},{"dropping-particle":"","family":"Harmon","given":"Kimberly G","non-dropping-particle":"","parse-names":false,"suffix":""},{"dropping-particle":"","family":"Marek","given":"Joseph C","non-dropping-particle":"","parse-names":false,"suffix":""},{"dropping-particle":"","family":"Molossi","given":"Silvana","non-dropping-particle":"","parse-names":false,"suffix":""},{"dropping-particle":"","family":"Niebauer","given":"Josef","non-dropping-particle":"","parse-names":false,"suffix":""},{"dropping-particle":"","family":"Pelto","given":"Hank F","non-dropping-particle":"","parse-names":false,"suffix":""},{"dropping-particle":"V","family":"Perez","given":"Marco","non-dropping-particle":"","parse-names":false,"suffix":""},{"dropping-particle":"","family":"Riding","given":"Nathan R","non-dropping-particle":"","parse-names":false,"suffix":""},{"dropping-particle":"","family":"Saarel","given":"Tess","non-dropping-particle":"","parse-names":false,"suffix":""},{"dropping-particle":"","family":"Schmied","given":"Christian M","non-dropping-particle":"","parse-names":false,"suffix":""},{"dropping-particle":"","family":"Shipon","given":"David M","non-dropping-particle":"","parse-names":false,"suffix":""},{"dropping-particle":"","family":"Stein","given":"Ricardo","non-dropping-particle":"","parse-names":false,"suffix":""},{"dropping-particle":"","family":"Vetter","given":"Victoria L","non-dropping-particle":"","parse-names":false,"suffix":""},{"dropping-particle":"","family":"Pelliccia","given":"Antonio","non-dropping-particle":"","parse-names":false,"suffix":""},{"dropping-particle":"","family":"Corrado","given":"Domenico","non-dropping-particle":"","parse-names":false,"suffix":""}],"container-title":"European heart journal","id":"ITEM-1","issued":{"date-parts":[["2017","2","20"]]},"title":"International recommendations for electrocardiographic interpretation in athletes.","type":"article-journal"},"uris":["http://www.mendeley.com/documents/?uuid=cfc251ae-846b-43de-9f59-12820592fae5"]}],"mendeley":{"formattedCitation":"&lt;sup&gt;4&lt;/sup&gt;","plainTextFormattedCitation":"4","previouslyFormattedCitation":"&lt;sup&gt;4&lt;/sup&gt;"},"properties":{"noteIndex":0},"schema":"https://github.com/citation-style-language/schema/raw/master/csl-citation.json"}</w:instrText>
      </w:r>
      <w:r w:rsidR="00ED51EF">
        <w:rPr>
          <w:rFonts w:ascii="Calibri" w:hAnsi="Calibri"/>
          <w:lang w:val="en-GB"/>
        </w:rPr>
        <w:fldChar w:fldCharType="separate"/>
      </w:r>
      <w:r w:rsidR="00ED51EF" w:rsidRPr="00ED51EF">
        <w:rPr>
          <w:rFonts w:ascii="Calibri" w:hAnsi="Calibri"/>
          <w:noProof/>
          <w:vertAlign w:val="superscript"/>
          <w:lang w:val="en-GB"/>
        </w:rPr>
        <w:t>4</w:t>
      </w:r>
      <w:r w:rsidR="00ED51EF">
        <w:rPr>
          <w:rFonts w:ascii="Calibri" w:hAnsi="Calibri"/>
          <w:lang w:val="en-GB"/>
        </w:rPr>
        <w:fldChar w:fldCharType="end"/>
      </w:r>
      <w:r w:rsidRPr="003C6FD0">
        <w:rPr>
          <w:rFonts w:ascii="Calibri" w:hAnsi="Calibri"/>
          <w:lang w:val="en-GB"/>
        </w:rPr>
        <w:t xml:space="preserve">. </w:t>
      </w:r>
      <w:r>
        <w:rPr>
          <w:rFonts w:ascii="Calibri" w:hAnsi="Calibri"/>
          <w:lang w:val="en-GB"/>
        </w:rPr>
        <w:t xml:space="preserve"> </w:t>
      </w:r>
      <w:r w:rsidR="006A2FE5">
        <w:rPr>
          <w:rFonts w:ascii="Calibri" w:hAnsi="Calibri"/>
          <w:lang w:val="en-GB"/>
        </w:rPr>
        <w:t>While i</w:t>
      </w:r>
      <w:r w:rsidR="006A2FE5" w:rsidRPr="006A2FE5">
        <w:rPr>
          <w:rFonts w:ascii="Calibri" w:hAnsi="Calibri"/>
          <w:lang w:val="en-GB"/>
        </w:rPr>
        <w:t xml:space="preserve">solated voltage criteria for LVH or left axis deviation are highly suggestive of a normal process, </w:t>
      </w:r>
      <w:r w:rsidR="006A2FE5">
        <w:rPr>
          <w:rFonts w:ascii="Calibri" w:hAnsi="Calibri"/>
          <w:lang w:val="en-GB"/>
        </w:rPr>
        <w:t xml:space="preserve">low voltages, LBBB, </w:t>
      </w:r>
      <w:r w:rsidR="006A2FE5" w:rsidRPr="006A2FE5">
        <w:rPr>
          <w:rFonts w:ascii="Calibri" w:hAnsi="Calibri"/>
          <w:lang w:val="en-GB"/>
        </w:rPr>
        <w:t xml:space="preserve">repolarization abnormalities </w:t>
      </w:r>
      <w:r w:rsidR="006A2FE5">
        <w:rPr>
          <w:rFonts w:ascii="Calibri" w:hAnsi="Calibri"/>
          <w:lang w:val="en-GB"/>
        </w:rPr>
        <w:t>and</w:t>
      </w:r>
      <w:r w:rsidR="006A2FE5" w:rsidRPr="006A2FE5">
        <w:rPr>
          <w:rFonts w:ascii="Calibri" w:hAnsi="Calibri"/>
          <w:lang w:val="en-GB"/>
        </w:rPr>
        <w:t xml:space="preserve"> pathological Q waves are more likely expression of </w:t>
      </w:r>
      <w:r w:rsidR="006A2FE5">
        <w:rPr>
          <w:rFonts w:ascii="Calibri" w:hAnsi="Calibri"/>
          <w:lang w:val="en-GB"/>
        </w:rPr>
        <w:t>D</w:t>
      </w:r>
      <w:r w:rsidR="006A2FE5" w:rsidRPr="006A2FE5">
        <w:rPr>
          <w:rFonts w:ascii="Calibri" w:hAnsi="Calibri"/>
          <w:lang w:val="en-GB"/>
        </w:rPr>
        <w:t>CM.</w:t>
      </w:r>
      <w:r w:rsidR="006A2FE5">
        <w:rPr>
          <w:rFonts w:ascii="Calibri" w:hAnsi="Calibri"/>
          <w:lang w:val="en-GB"/>
        </w:rPr>
        <w:t xml:space="preserve"> Although sinus bradycardia and </w:t>
      </w:r>
      <w:r w:rsidR="00882619">
        <w:rPr>
          <w:rFonts w:ascii="Calibri" w:hAnsi="Calibri"/>
          <w:lang w:val="en-GB"/>
        </w:rPr>
        <w:t>first-</w:t>
      </w:r>
      <w:r w:rsidR="006A2FE5">
        <w:rPr>
          <w:rFonts w:ascii="Calibri" w:hAnsi="Calibri"/>
          <w:lang w:val="en-GB"/>
        </w:rPr>
        <w:t>degree AV block are normal findings in athletes, extreme bradycardia</w:t>
      </w:r>
      <w:r w:rsidR="009114AA">
        <w:rPr>
          <w:rFonts w:ascii="Calibri" w:hAnsi="Calibri"/>
          <w:lang w:val="en-GB"/>
        </w:rPr>
        <w:t xml:space="preserve"> (&lt; 30 bpm)</w:t>
      </w:r>
      <w:r w:rsidR="006A2FE5">
        <w:rPr>
          <w:rFonts w:ascii="Calibri" w:hAnsi="Calibri"/>
          <w:lang w:val="en-GB"/>
        </w:rPr>
        <w:t xml:space="preserve"> and advanced AV blocks suggest a pathologic process and should be further investigated.</w:t>
      </w:r>
    </w:p>
    <w:p w14:paraId="16E10F74" w14:textId="77777777" w:rsidR="0049271C" w:rsidRDefault="0049271C" w:rsidP="0041574E">
      <w:pPr>
        <w:spacing w:line="480" w:lineRule="auto"/>
        <w:rPr>
          <w:rFonts w:ascii="Calibri" w:hAnsi="Calibri" w:cs="Calibri"/>
          <w:b/>
          <w:lang w:val="en-GB"/>
        </w:rPr>
      </w:pPr>
      <w:r>
        <w:rPr>
          <w:rFonts w:ascii="Calibri" w:hAnsi="Calibri" w:cs="Calibri"/>
          <w:b/>
          <w:lang w:val="en-GB"/>
        </w:rPr>
        <w:tab/>
      </w:r>
    </w:p>
    <w:p w14:paraId="583FEAFB" w14:textId="559CEB0A" w:rsidR="0041574E" w:rsidRDefault="0049271C" w:rsidP="008E240D">
      <w:pPr>
        <w:spacing w:line="480" w:lineRule="auto"/>
        <w:ind w:firstLine="720"/>
        <w:rPr>
          <w:rFonts w:ascii="Calibri" w:hAnsi="Calibri" w:cs="Calibri"/>
          <w:lang w:val="en-GB"/>
        </w:rPr>
      </w:pPr>
      <w:r w:rsidRPr="001D6BE0">
        <w:rPr>
          <w:rFonts w:ascii="Calibri" w:hAnsi="Calibri" w:cs="Calibri"/>
          <w:lang w:val="en-GB"/>
        </w:rPr>
        <w:t>In summary</w:t>
      </w:r>
      <w:r>
        <w:rPr>
          <w:rFonts w:ascii="Calibri" w:hAnsi="Calibri" w:cs="Calibri"/>
          <w:lang w:val="en-GB"/>
        </w:rPr>
        <w:t>, unexplained dilatation and or systolic dysfunction is a description of a phenotype, but not a diagnosis. Although DCM may be genetic/familial in up to 25% of the cases</w:t>
      </w:r>
      <w:r w:rsidR="00083BAF">
        <w:rPr>
          <w:rFonts w:ascii="Calibri" w:hAnsi="Calibri" w:cs="Calibri"/>
          <w:lang w:val="en-GB"/>
        </w:rPr>
        <w:fldChar w:fldCharType="begin" w:fldLock="1"/>
      </w:r>
      <w:r w:rsidR="00DC34BC">
        <w:rPr>
          <w:rFonts w:ascii="Calibri" w:hAnsi="Calibri" w:cs="Calibri"/>
          <w:lang w:val="en-GB"/>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64f8d3f5-9841-461f-affa-396133521174"]}],"mendeley":{"formattedCitation":"&lt;sup&gt;1&lt;/sup&gt;","plainTextFormattedCitation":"1","previouslyFormattedCitation":"&lt;sup&gt;1&lt;/sup&gt;"},"properties":{"noteIndex":0},"schema":"https://github.com/citation-style-language/schema/raw/master/csl-citation.json"}</w:instrText>
      </w:r>
      <w:r w:rsidR="00083BAF">
        <w:rPr>
          <w:rFonts w:ascii="Calibri" w:hAnsi="Calibri" w:cs="Calibri"/>
          <w:lang w:val="en-GB"/>
        </w:rPr>
        <w:fldChar w:fldCharType="separate"/>
      </w:r>
      <w:r w:rsidR="00083BAF" w:rsidRPr="00083BAF">
        <w:rPr>
          <w:rFonts w:ascii="Calibri" w:hAnsi="Calibri" w:cs="Calibri"/>
          <w:noProof/>
          <w:vertAlign w:val="superscript"/>
          <w:lang w:val="en-GB"/>
        </w:rPr>
        <w:t>1</w:t>
      </w:r>
      <w:r w:rsidR="00083BAF">
        <w:rPr>
          <w:rFonts w:ascii="Calibri" w:hAnsi="Calibri" w:cs="Calibri"/>
          <w:lang w:val="en-GB"/>
        </w:rPr>
        <w:fldChar w:fldCharType="end"/>
      </w:r>
      <w:r>
        <w:rPr>
          <w:rFonts w:ascii="Calibri" w:hAnsi="Calibri" w:cs="Calibri"/>
          <w:lang w:val="en-GB"/>
        </w:rPr>
        <w:t>, secondary causes should be excluded.</w:t>
      </w:r>
      <w:r w:rsidR="009D59ED">
        <w:rPr>
          <w:rFonts w:ascii="Calibri" w:hAnsi="Calibri" w:cs="Calibri"/>
          <w:lang w:val="en-GB"/>
        </w:rPr>
        <w:t xml:space="preserve"> In this context, a correct ECG interpretation in conjunction with </w:t>
      </w:r>
      <w:r w:rsidR="003617E6">
        <w:rPr>
          <w:rFonts w:ascii="Calibri" w:hAnsi="Calibri" w:cs="Calibri"/>
          <w:lang w:val="en-GB"/>
        </w:rPr>
        <w:t>a detailed personal and family history</w:t>
      </w:r>
      <w:r w:rsidR="0035132E">
        <w:rPr>
          <w:rFonts w:ascii="Calibri" w:hAnsi="Calibri" w:cs="Calibri"/>
          <w:lang w:val="en-GB"/>
        </w:rPr>
        <w:t xml:space="preserve"> may provide useful clues in the final diagnosis. A correct identification of a possible secondary process underlying the LV systolic dysfunction, is relevant as in some cases, the LV systolic dysfunction may be reversible after specific treatment.</w:t>
      </w:r>
    </w:p>
    <w:p w14:paraId="4D7C12C3" w14:textId="20CA9306" w:rsidR="0041574E" w:rsidRPr="0041574E" w:rsidRDefault="0041574E" w:rsidP="0041574E">
      <w:pPr>
        <w:spacing w:line="480" w:lineRule="auto"/>
        <w:rPr>
          <w:rFonts w:ascii="Calibri" w:hAnsi="Calibri"/>
          <w:b/>
          <w:lang w:val="en-GB"/>
        </w:rPr>
      </w:pPr>
      <w:r w:rsidRPr="0041574E">
        <w:rPr>
          <w:rFonts w:ascii="Calibri" w:hAnsi="Calibri"/>
          <w:b/>
          <w:lang w:val="en-GB"/>
        </w:rPr>
        <w:t xml:space="preserve">The standard ECG for risk stratification </w:t>
      </w:r>
    </w:p>
    <w:p w14:paraId="714070AB" w14:textId="465A29AA" w:rsidR="00EE54E7" w:rsidRPr="005163D1" w:rsidRDefault="00D6447E" w:rsidP="005163D1">
      <w:pPr>
        <w:spacing w:line="480" w:lineRule="auto"/>
        <w:ind w:firstLine="720"/>
        <w:rPr>
          <w:rFonts w:ascii="Calibri" w:hAnsi="Calibri" w:cs="Calibri"/>
          <w:bCs/>
          <w:lang w:val="en-US"/>
        </w:rPr>
      </w:pPr>
      <w:r w:rsidRPr="0041574E">
        <w:rPr>
          <w:rFonts w:ascii="Calibri" w:hAnsi="Calibri" w:cs="Calibri"/>
          <w:bCs/>
          <w:lang w:val="en-GB"/>
        </w:rPr>
        <w:t xml:space="preserve">DCM is a dynamic </w:t>
      </w:r>
      <w:r w:rsidR="00883AF0">
        <w:rPr>
          <w:rFonts w:ascii="Calibri" w:hAnsi="Calibri" w:cs="Calibri"/>
          <w:bCs/>
          <w:lang w:val="en-GB"/>
        </w:rPr>
        <w:t>condition</w:t>
      </w:r>
      <w:r w:rsidR="00EE54E7" w:rsidRPr="0041574E">
        <w:rPr>
          <w:rFonts w:ascii="Calibri" w:hAnsi="Calibri" w:cs="Calibri"/>
          <w:bCs/>
          <w:lang w:val="en-GB"/>
        </w:rPr>
        <w:t xml:space="preserve"> and ECG </w:t>
      </w:r>
      <w:r w:rsidR="00BF5435" w:rsidRPr="0041574E">
        <w:rPr>
          <w:rFonts w:ascii="Calibri" w:hAnsi="Calibri" w:cs="Calibri"/>
          <w:bCs/>
          <w:lang w:val="en-GB"/>
        </w:rPr>
        <w:t>abnormalities reflect the</w:t>
      </w:r>
      <w:r w:rsidR="00364295" w:rsidRPr="0041574E">
        <w:rPr>
          <w:rFonts w:ascii="Calibri" w:hAnsi="Calibri" w:cs="Calibri"/>
          <w:bCs/>
          <w:lang w:val="en-GB"/>
        </w:rPr>
        <w:t xml:space="preserve"> natural history </w:t>
      </w:r>
      <w:r w:rsidR="00BF5435" w:rsidRPr="0041574E">
        <w:rPr>
          <w:rFonts w:ascii="Calibri" w:hAnsi="Calibri" w:cs="Calibri"/>
          <w:bCs/>
          <w:lang w:val="en-GB"/>
        </w:rPr>
        <w:t>of</w:t>
      </w:r>
      <w:r w:rsidR="008114A6">
        <w:rPr>
          <w:rFonts w:ascii="Calibri" w:hAnsi="Calibri" w:cs="Calibri"/>
          <w:bCs/>
          <w:lang w:val="en-GB"/>
        </w:rPr>
        <w:t xml:space="preserve"> the</w:t>
      </w:r>
      <w:r w:rsidR="00BF5435" w:rsidRPr="0041574E">
        <w:rPr>
          <w:rFonts w:ascii="Calibri" w:hAnsi="Calibri" w:cs="Calibri"/>
          <w:bCs/>
          <w:lang w:val="en-GB"/>
        </w:rPr>
        <w:t xml:space="preserve"> disease</w:t>
      </w:r>
      <w:r w:rsidR="00EB6F6F" w:rsidRPr="0041574E">
        <w:rPr>
          <w:rFonts w:ascii="Calibri" w:hAnsi="Calibri" w:cs="Calibri"/>
          <w:bCs/>
          <w:lang w:val="en-GB"/>
        </w:rPr>
        <w:t xml:space="preserve">. </w:t>
      </w:r>
      <w:r w:rsidR="007C7874">
        <w:rPr>
          <w:rFonts w:ascii="Calibri" w:hAnsi="Calibri" w:cs="Calibri"/>
          <w:bCs/>
          <w:lang w:val="en-GB"/>
        </w:rPr>
        <w:t>T</w:t>
      </w:r>
      <w:r w:rsidR="005F4395" w:rsidRPr="0041574E">
        <w:rPr>
          <w:rFonts w:ascii="Calibri" w:hAnsi="Calibri" w:cs="Calibri"/>
          <w:bCs/>
          <w:lang w:val="en-GB"/>
        </w:rPr>
        <w:t xml:space="preserve">he presence of </w:t>
      </w:r>
      <w:r w:rsidR="0050462D" w:rsidRPr="0041574E">
        <w:rPr>
          <w:rFonts w:ascii="Calibri" w:hAnsi="Calibri" w:cs="Calibri"/>
          <w:bCs/>
          <w:lang w:val="en-GB"/>
        </w:rPr>
        <w:t xml:space="preserve">LBBB </w:t>
      </w:r>
      <w:r w:rsidR="005F4395" w:rsidRPr="0041574E">
        <w:rPr>
          <w:rFonts w:ascii="Calibri" w:hAnsi="Calibri" w:cs="Calibri"/>
          <w:bCs/>
          <w:lang w:val="en-GB"/>
        </w:rPr>
        <w:t>at baseline</w:t>
      </w:r>
      <w:r w:rsidR="007C7874">
        <w:rPr>
          <w:rFonts w:ascii="Calibri" w:hAnsi="Calibri" w:cs="Calibri"/>
          <w:bCs/>
          <w:lang w:val="en-GB"/>
        </w:rPr>
        <w:t xml:space="preserve"> has been reported</w:t>
      </w:r>
      <w:r w:rsidR="005F4395" w:rsidRPr="0041574E">
        <w:rPr>
          <w:rFonts w:ascii="Calibri" w:hAnsi="Calibri" w:cs="Calibri"/>
          <w:bCs/>
          <w:lang w:val="en-GB"/>
        </w:rPr>
        <w:t xml:space="preserve"> </w:t>
      </w:r>
      <w:r w:rsidR="0050462D" w:rsidRPr="0041574E">
        <w:rPr>
          <w:rFonts w:ascii="Calibri" w:hAnsi="Calibri" w:cs="Calibri"/>
          <w:bCs/>
          <w:lang w:val="en-GB"/>
        </w:rPr>
        <w:t>as an independent predictor of worse outcomes (all-cause mortality and SCD)</w:t>
      </w:r>
      <w:r w:rsidR="009C381B" w:rsidRPr="0041574E">
        <w:rPr>
          <w:rFonts w:ascii="Calibri" w:hAnsi="Calibri" w:cs="Calibri"/>
          <w:bCs/>
          <w:lang w:val="en-GB"/>
        </w:rPr>
        <w:t xml:space="preserve"> in patients with severely impaired </w:t>
      </w:r>
      <w:r w:rsidR="007C7874">
        <w:rPr>
          <w:rFonts w:ascii="Calibri" w:hAnsi="Calibri" w:cs="Calibri"/>
          <w:bCs/>
          <w:lang w:val="en-GB"/>
        </w:rPr>
        <w:t>systolic function</w:t>
      </w:r>
      <w:r w:rsidR="004470C5" w:rsidRPr="0041574E">
        <w:rPr>
          <w:rFonts w:ascii="Calibri" w:hAnsi="Calibri" w:cs="Calibri"/>
          <w:bCs/>
          <w:lang w:val="en-GB"/>
        </w:rPr>
        <w:fldChar w:fldCharType="begin" w:fldLock="1"/>
      </w:r>
      <w:r w:rsidR="00ED51EF">
        <w:rPr>
          <w:rFonts w:ascii="Calibri" w:hAnsi="Calibri" w:cs="Calibri"/>
          <w:bCs/>
          <w:lang w:val="en-GB"/>
        </w:rPr>
        <w:instrText>ADDIN CSL_CITATION {"citationItems":[{"id":"ITEM-1","itemData":{"DOI":"10.1016/j.ijcard.2018.12.036","ISSN":"18741754","author":[{"dropping-particle":"","family":"Akhtar","given":"Mohammed Majid","non-dropping-particle":"","parse-names":false,"suffix":""},{"dropping-particle":"","family":"Elliott","given":"Perry","non-dropping-particle":"","parse-names":false,"suffix":""}],"container-title":"International Journal of Cardiology","id":"ITEM-1","issued":{"date-parts":[["2019"]]},"title":"Impact of left bundle branch block (LBBB) in dilated cardiomyopathy (DCM) with intermediate left ventricular systolic dysfunction (LVSD)","type":"article"},"uris":["http://www.mendeley.com/documents/?uuid=7dd086c5-9cb7-4a8d-ad91-601783c1078e","http://www.mendeley.com/documents/?uuid=e95a4c68-9185-494a-93b9-e0856628ce17"]}],"mendeley":{"formattedCitation":"&lt;sup&gt;57&lt;/sup&gt;","plainTextFormattedCitation":"57","previouslyFormattedCitation":"&lt;sup&gt;57&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57</w:t>
      </w:r>
      <w:r w:rsidR="004470C5" w:rsidRPr="0041574E">
        <w:rPr>
          <w:rFonts w:ascii="Calibri" w:hAnsi="Calibri" w:cs="Calibri"/>
          <w:bCs/>
          <w:lang w:val="en-GB"/>
        </w:rPr>
        <w:fldChar w:fldCharType="end"/>
      </w:r>
      <w:r w:rsidR="00CA5109" w:rsidRPr="0041574E">
        <w:rPr>
          <w:rFonts w:ascii="Calibri" w:hAnsi="Calibri" w:cs="Calibri"/>
          <w:bCs/>
          <w:lang w:val="en-GB"/>
        </w:rPr>
        <w:t>.</w:t>
      </w:r>
      <w:r w:rsidR="0068553A" w:rsidRPr="0041574E">
        <w:rPr>
          <w:rFonts w:ascii="Calibri" w:hAnsi="Calibri" w:cs="Calibri"/>
          <w:bCs/>
          <w:lang w:val="en-GB"/>
        </w:rPr>
        <w:t xml:space="preserve"> </w:t>
      </w:r>
      <w:r w:rsidR="00F9794C" w:rsidRPr="0041574E">
        <w:rPr>
          <w:rFonts w:ascii="Calibri" w:hAnsi="Calibri" w:cs="Calibri"/>
          <w:bCs/>
          <w:lang w:val="en-GB"/>
        </w:rPr>
        <w:t>Moreover,</w:t>
      </w:r>
      <w:r w:rsidR="0068553A" w:rsidRPr="0041574E">
        <w:rPr>
          <w:rFonts w:ascii="Calibri" w:hAnsi="Calibri" w:cs="Calibri"/>
          <w:bCs/>
          <w:lang w:val="en-GB"/>
        </w:rPr>
        <w:t xml:space="preserve"> a </w:t>
      </w:r>
      <w:r w:rsidR="007C7874">
        <w:rPr>
          <w:rFonts w:ascii="Calibri" w:hAnsi="Calibri" w:cs="Calibri"/>
          <w:bCs/>
          <w:lang w:val="en-GB"/>
        </w:rPr>
        <w:t>significant</w:t>
      </w:r>
      <w:r w:rsidR="0068553A" w:rsidRPr="0041574E">
        <w:rPr>
          <w:rFonts w:ascii="Calibri" w:hAnsi="Calibri" w:cs="Calibri"/>
          <w:bCs/>
          <w:lang w:val="en-GB"/>
        </w:rPr>
        <w:t xml:space="preserve"> proportion of patients develop a new-onset LBBB during follow-up, </w:t>
      </w:r>
      <w:r w:rsidR="00606CF7" w:rsidRPr="0041574E">
        <w:rPr>
          <w:rFonts w:ascii="Calibri" w:hAnsi="Calibri" w:cs="Calibri"/>
          <w:bCs/>
          <w:lang w:val="en-GB"/>
        </w:rPr>
        <w:t>which likewise is a strong and independent predictor of all-cause mortality</w:t>
      </w:r>
      <w:r w:rsidR="004470C5" w:rsidRPr="0041574E">
        <w:rPr>
          <w:rFonts w:ascii="Calibri" w:hAnsi="Calibri" w:cs="Calibri"/>
          <w:bCs/>
          <w:lang w:val="en-GB"/>
        </w:rPr>
        <w:fldChar w:fldCharType="begin" w:fldLock="1"/>
      </w:r>
      <w:r w:rsidR="00ED51EF">
        <w:rPr>
          <w:rFonts w:ascii="Calibri" w:hAnsi="Calibri" w:cs="Calibri"/>
          <w:bCs/>
          <w:lang w:val="en-GB"/>
        </w:rPr>
        <w:instrText>ADDIN CSL_CITATION {"citationItems":[{"id":"ITEM-1","itemData":{"DOI":"10.1093/europace/euu016","ISSN":"1099-5129","PMID":"24550348","abstract":"AIMS Left bundle branch block (LBBB) is commonly associated with heart failure. We evaluated the prevalence, incidence, and impact of LBBB on long-term outcome in young patients with heart failure affected by idiopathic dilated cardiomyopathy (DCM). METHODS AND RESULTS We included 608 patients with DCM from the Heart Muscle Disease Registry of Trieste in this retrospective analysis. At baseline electrocardiogram (ECG), 189 patients (31.1%) had LBBB. The patients with baseline LBBB had a significantly higher mortality rate than the patients without LBBB (38.6 vs. 27.9%, P = 0.002) at the univariate analysis. After a multiple covariate adjustment, the baseline LBBB was not associated with a significantly increased risk of death [hazard ratio (HR) 1.27, 95% confidence interval (CI): 0.88-1.81, P = 0.2]. Forty-seven (11.2%) patients without LBBB at baseline ECG developed LBBB during follow-up. Among these, the mortality rate was 49 vs. 25% in patients without new-onset LBBB (P = 0.001). New-onset LBBB was a strong and independent predictor of all-cause mortality (HR 3.18, 95% CI: 1.90-5.31, P &lt; 0.001) at multivariate analysis. CONCLUSION After correcting for potential confounders, new-onset LBBB was found to be associated with an increased risk of all-cause mortality. The management of patients with new-onset LBBB may need to be more aggressive, possibly including early cardiac resynchronization therapy/implantable cardioverter-defibrillator therapy.","author":[{"dropping-particle":"","family":"Aleksova","given":"A.","non-dropping-particle":"","parse-names":false,"suffix":""},{"dropping-particle":"","family":"Carriere","given":"C.","non-dropping-particle":"","parse-names":false,"suffix":""},{"dropping-particle":"","family":"Zecchin","given":"M.","non-dropping-particle":"","parse-names":false,"suffix":""},{"dropping-particle":"","family":"Barbati","given":"G.","non-dropping-particle":"","parse-names":false,"suffix":""},{"dropping-particle":"","family":"Vitrella","given":"G.","non-dropping-particle":"","parse-names":false,"suffix":""},{"dropping-particle":"","family":"Lenarda","given":"A.","non-dropping-particle":"Di","parse-names":false,"suffix":""},{"dropping-particle":"","family":"Sinagra","given":"G.","non-dropping-particle":"","parse-names":false,"suffix":""}],"container-title":"Europace","id":"ITEM-1","issue":"10","issued":{"date-parts":[["2014","10"]]},"page":"1450-1459","title":"New-onset left bundle branch block independently predicts long-term mortality in patients with idiopathic dilated cardiomyopathy: data from the Trieste Heart Muscle Disease Registry","type":"article-journal","volume":"16"},"uris":["http://www.mendeley.com/documents/?uuid=ac73a528-c82e-40fb-9f6e-a265aa9f164b","http://www.mendeley.com/documents/?uuid=aae9580a-9345-43bb-b8e6-b081bb8e7d72"]}],"mendeley":{"formattedCitation":"&lt;sup&gt;58&lt;/sup&gt;","plainTextFormattedCitation":"58","previouslyFormattedCitation":"&lt;sup&gt;58&lt;/sup&gt;"},"properties":{"noteIndex":0},"schema":"https://github.com/citation-style-language/schema/raw/master/csl-citation.json"}</w:instrText>
      </w:r>
      <w:r w:rsidR="004470C5" w:rsidRPr="0041574E">
        <w:rPr>
          <w:rFonts w:ascii="Calibri" w:hAnsi="Calibri" w:cs="Calibri"/>
          <w:bCs/>
          <w:lang w:val="en-GB"/>
        </w:rPr>
        <w:fldChar w:fldCharType="separate"/>
      </w:r>
      <w:r w:rsidR="00ED51EF" w:rsidRPr="00ED51EF">
        <w:rPr>
          <w:rFonts w:ascii="Calibri" w:hAnsi="Calibri" w:cs="Calibri"/>
          <w:bCs/>
          <w:noProof/>
          <w:vertAlign w:val="superscript"/>
          <w:lang w:val="en-GB"/>
        </w:rPr>
        <w:t>58</w:t>
      </w:r>
      <w:r w:rsidR="004470C5" w:rsidRPr="0041574E">
        <w:rPr>
          <w:rFonts w:ascii="Calibri" w:hAnsi="Calibri" w:cs="Calibri"/>
          <w:bCs/>
          <w:lang w:val="en-GB"/>
        </w:rPr>
        <w:fldChar w:fldCharType="end"/>
      </w:r>
      <w:r w:rsidR="00606CF7" w:rsidRPr="0041574E">
        <w:rPr>
          <w:rFonts w:ascii="Calibri" w:hAnsi="Calibri" w:cs="Calibri"/>
          <w:bCs/>
          <w:lang w:val="en-GB"/>
        </w:rPr>
        <w:t>.</w:t>
      </w:r>
      <w:r w:rsidR="00797444" w:rsidRPr="0041574E">
        <w:rPr>
          <w:rFonts w:ascii="Calibri" w:hAnsi="Calibri" w:cs="Calibri"/>
          <w:bCs/>
          <w:lang w:val="en-GB"/>
        </w:rPr>
        <w:t xml:space="preserve"> </w:t>
      </w:r>
      <w:r w:rsidR="007C7874">
        <w:rPr>
          <w:rFonts w:ascii="Calibri" w:hAnsi="Calibri" w:cs="Calibri"/>
          <w:bCs/>
          <w:lang w:val="en-GB"/>
        </w:rPr>
        <w:t xml:space="preserve"> </w:t>
      </w:r>
      <w:r w:rsidR="008147B7" w:rsidRPr="0041574E">
        <w:rPr>
          <w:rFonts w:ascii="Calibri" w:hAnsi="Calibri" w:cs="Calibri"/>
          <w:lang w:val="en-GB"/>
        </w:rPr>
        <w:t>Selection of patients who may potentially benefit from CRT is based on the severity of their LV</w:t>
      </w:r>
      <w:r w:rsidR="008147B7">
        <w:rPr>
          <w:rFonts w:ascii="Calibri" w:hAnsi="Calibri" w:cs="Calibri"/>
          <w:lang w:val="en-GB"/>
        </w:rPr>
        <w:t xml:space="preserve"> systolic</w:t>
      </w:r>
      <w:r w:rsidR="008147B7" w:rsidRPr="0041574E">
        <w:rPr>
          <w:rFonts w:ascii="Calibri" w:hAnsi="Calibri" w:cs="Calibri"/>
          <w:lang w:val="en-GB"/>
        </w:rPr>
        <w:t xml:space="preserve"> dysfunction, of their symptoms (as assessed by NYHA class), and most importantly, ECG criteria indicative of ventricular </w:t>
      </w:r>
      <w:proofErr w:type="spellStart"/>
      <w:r w:rsidR="008147B7" w:rsidRPr="0041574E">
        <w:rPr>
          <w:rFonts w:ascii="Calibri" w:hAnsi="Calibri" w:cs="Calibri"/>
          <w:lang w:val="en-GB"/>
        </w:rPr>
        <w:t>dyssynchrony</w:t>
      </w:r>
      <w:proofErr w:type="spellEnd"/>
      <w:r w:rsidR="008147B7" w:rsidRPr="0041574E">
        <w:rPr>
          <w:rFonts w:ascii="Calibri" w:hAnsi="Calibri" w:cs="Calibri"/>
          <w:lang w:val="en-GB"/>
        </w:rPr>
        <w:t>.</w:t>
      </w:r>
      <w:bookmarkStart w:id="11" w:name="_Hlk29565109"/>
      <w:r w:rsidR="00CC5C26">
        <w:rPr>
          <w:rFonts w:ascii="Calibri" w:hAnsi="Calibri" w:cs="Calibri"/>
          <w:lang w:val="en-GB"/>
        </w:rPr>
        <w:t xml:space="preserve"> </w:t>
      </w:r>
      <w:bookmarkStart w:id="12" w:name="_Hlk29655548"/>
      <w:r w:rsidR="00CC5C26" w:rsidRPr="0041574E">
        <w:rPr>
          <w:rFonts w:ascii="Calibri" w:hAnsi="Calibri" w:cs="Calibri"/>
          <w:lang w:val="en-GB"/>
        </w:rPr>
        <w:t>In general terms, current European and American guidelines recommend CRT in symptomatic HF patients (NYHA class ≥II) with an EF of ≤35%, left bundle branch block (LBBB), and a QRS duration of ≥150 msec</w:t>
      </w:r>
      <w:r w:rsidR="00CC5C26" w:rsidRPr="0041574E">
        <w:rPr>
          <w:rFonts w:ascii="Calibri" w:hAnsi="Calibri" w:cs="Calibri"/>
        </w:rPr>
        <w:fldChar w:fldCharType="begin" w:fldLock="1"/>
      </w:r>
      <w:r w:rsidR="00ED51EF">
        <w:rPr>
          <w:rFonts w:ascii="Calibri" w:hAnsi="Calibri" w:cs="Calibri"/>
          <w:lang w:val="en-GB"/>
        </w:rPr>
        <w:instrText>ADDIN CSL_CITATION {"citationItems":[{"id":"ITEM-1","itemData":{"DOI":"10.1093/eurheartj/ehw128","ISBN":"1879-0844 (Electronic) 1388-9842 (Linking)","ISSN":"15229645","PMID":"27207191","abstract":"A la pagina 2138 hi ha un grafic de la fracció d'eyecció i els criteris de insuficiencia cardiaca","author":[{"dropping-particle":"","family":"Ponikowski","given":"Piotr","non-dropping-particle":"","parse-names":false,"suffix":""},{"dropping-particle":"","family":"Voors","given":"Adriaan A.","non-dropping-particle":"","parse-names":false,"suffix":""},{"dropping-particle":"","family":"Anker","given":"Stefan D.","non-dropping-particle":"","parse-names":false,"suffix":""},{"dropping-particle":"","family":"Bueno","given":"Héctor","non-dropping-particle":"","parse-names":false,"suffix":""},{"dropping-particle":"","family":"Cleland","given":"John G.F.","non-dropping-particle":"","parse-names":false,"suffix":""},{"dropping-particle":"","family":"Coats","given":"Andrew J.S.","non-dropping-particle":"","parse-names":false,"suffix":""},{"dropping-particle":"","family":"Falk","given":"Volkmar","non-dropping-particle":"","parse-names":false,"suffix":""},{"dropping-particle":"","family":"González-Juanatey","given":"José Ramón","non-dropping-particle":"","parse-names":false,"suffix":""},{"dropping-particle":"","family":"Harjola","given":"Veli Pekka","non-dropping-particle":"","parse-names":false,"suffix":""},{"dropping-particle":"","family":"Jankowska","given":"Ewa A.","non-dropping-particle":"","parse-names":false,"suffix":""},{"dropping-particle":"","family":"Jessup","given":"Mariell","non-dropping-particle":"","parse-names":false,"suffix":""},{"dropping-particle":"","family":"Linde","given":"Cecilia","non-dropping-particle":"","parse-names":false,"suffix":""},{"dropping-particle":"","family":"Nihoyannopoulos","given":"Petros","non-dropping-particle":"","parse-names":false,"suffix":""},{"dropping-particle":"","family":"Parissis","given":"John T.","non-dropping-particle":"","parse-names":false,"suffix":""},{"dropping-particle":"","family":"Pieske","given":"Burkert","non-dropping-particle":"","parse-names":false,"suffix":""},{"dropping-particle":"","family":"Riley","given":"Jillian P.","non-dropping-particle":"","parse-names":false,"suffix":""},{"dropping-particle":"","family":"Rosano","given":"Giuseppe M.C.","non-dropping-particle":"","parse-names":false,"suffix":""},{"dropping-particle":"","family":"Ruilope","given":"Luis M.","non-dropping-particle":"","parse-names":false,"suffix":""},{"dropping-particle":"","family":"Ruschitzka","given":"Frank","non-dropping-particle":"","parse-names":false,"suffix":""},{"dropping-particle":"","family":"Rutten","given":"Frans H.","non-dropping-particle":"","parse-names":false,"suffix":""},{"dropping-particle":"","family":"Meer","given":"Peter","non-dropping-particle":"Van Der","parse-names":false,"suffix":""}],"container-title":"European Heart Journal","id":"ITEM-1","issue":"27","issued":{"date-parts":[["2016"]]},"page":"2129-2200m","title":"2016 ESC Guidelines for the diagnosis and treatment of acute and chronic heart failure","type":"article","volume":"37"},"uris":["http://www.mendeley.com/documents/?uuid=38a724cc-4051-4a83-b9eb-4bd11c86619d"]},{"id":"ITEM-2","itemData":{"DOI":"10.1161/CIR.0b013e31829e8807","ISSN":"0009-7322","abstract":"HF is a complex clinical syndrome that results from any structural or functional impairment of ventricular filling or ejection of blood. The cardinal manifestations of HF are dyspnea and fatigue, which may limit exercise tolerance, and fluid retention, which may lead to pulmonary and/or splanchnic congestion and/or peripheral edema. Some patients have exercise intolerance but little evidence of fluid retention, whereas others complain primarily of edema, dyspnea, or fatigue. Because some patients present without signs or symptoms of volume overload, the term “heart failure” is preferred over “congestive heart failure.” There is no single diagnostic test for HF because it is largely a clinical diagnosis based on a careful history and physical examination. The clinical syndrome of HF may result from disorders of the pericardium, myocardium, endocardium, heart valves, or great vessels or from certain metabolic abnormalities, but most patients with HF have symptoms due to impaired left ventricular (LV) myocardial function. It should be emphasized that HF is not synonymous with either cardiomyopathy or LV dysfunction; these latter terms describe possible structural or functional reasons for the development of HF. HF may be associated with a wide spectrum of LV functional abnormalities, which may range from patients with normal LV size and preserved EF to those with severe dilatation and/or markedly reduced EF. In most patients, abnormalities of systolic and diastolic dysfunction coexist, irrespective of EF. EF is considered important in classification of patients with HF because of differing patient demographics, comorbid conditions, prognosis, and response to therapies35 and because most clinical trials selected patients based on EF. EF values are dependent on the imaging technique used, method of analysis, and operator. Because other techniques may indicate abnormalities in systolic function among patients with a preserved EF, it is preferable to use the terms preserved or reduced EF over preserved or reduced systolic function. For the remainder of this guideline, we will consistently refer to HF with preserved EF and HF with reduced EF as HFpEF and HFrEF, respectively","author":[{"dropping-particle":"","family":"Yancy","given":"Clyde W.","non-dropping-particle":"","parse-names":false,"suffix":""},{"dropping-particle":"","family":"Jessup","given":"Mariell","non-dropping-particle":"","parse-names":false,"suffix":""},{"dropping-particle":"","family":"Bozkurt","given":"Biykem","non-dropping-particle":"","parse-names":false,"suffix":""},{"dropping-particle":"","family":"Butler","given":"Javed","non-dropping-particle":"","parse-names":false,"suffix":""},{"dropping-particle":"","family":"Casey","given":"Donald E.","non-dropping-particle":"","parse-names":false,"suffix":""},{"dropping-particle":"","family":"Drazner","given":"Mark H.","non-dropping-particle":"","parse-names":false,"suffix":""},{"dropping-particle":"","family":"Fonarow","given":"Gregg C.","non-dropping-particle":"","parse-names":false,"suffix":""},{"dropping-particle":"","family":"Geraci","given":"Stephen A.","non-dropping-particle":"","parse-names":false,"suffix":""},{"dropping-particle":"","family":"Horwich","given":"Tamara","non-dropping-particle":"","parse-names":false,"suffix":""},{"dropping-particle":"","family":"Januzzi","given":"James L.","non-dropping-particle":"","parse-names":false,"suffix":""},{"dropping-particle":"","family":"Johnson","given":"Maryl R.","non-dropping-particle":"","parse-names":false,"suffix":""},{"dropping-particle":"","family":"Kasper","given":"Edward K.","non-dropping-particle":"","parse-names":false,"suffix":""},{"dropping-particle":"","family":"Levy","given":"Wayne C.","non-dropping-particle":"","parse-names":false,"suffix":""},{"dropping-particle":"","family":"Masoudi","given":"Frederick A.","non-dropping-particle":"","parse-names":false,"suffix":""},{"dropping-particle":"","family":"McBride","given":"Patrick E.","non-dropping-particle":"","parse-names":false,"suffix":""},{"dropping-particle":"","family":"McMurray","given":"John J.V.","non-dropping-particle":"","parse-names":false,"suffix":""},{"dropping-particle":"","family":"Mitchell","given":"Judith E.","non-dropping-particle":"","parse-names":false,"suffix":""},{"dropping-particle":"","family":"Peterson","given":"Pamela N.","non-dropping-particle":"","parse-names":false,"suffix":""},{"dropping-particle":"","family":"Riegel","given":"Barbara","non-dropping-particle":"","parse-names":false,"suffix":""},{"dropping-particle":"","family":"Sam","given":"Flora","non-dropping-particle":"","parse-names":false,"suffix":""},{"dropping-particle":"","family":"Stevenson","given":"Lynne W.","non-dropping-particle":"","parse-names":false,"suffix":""},{"dropping-particle":"","family":"Tang","given":"W.H. Wilson","non-dropping-particle":"","parse-names":false,"suffix":""},{"dropping-particle":"","family":"Tsai","given":"Emily J.","non-dropping-particle":"","parse-names":false,"suffix":""},{"dropping-particle":"","family":"Wilkoff","given":"Bruce L.","non-dropping-particle":"","parse-names":false,"suffix":""}],"container-title":"Circulation","id":"ITEM-2","issue":"16","issued":{"date-parts":[["2013"]]},"page":"1810-1852","title":"2013 ACCF/AHA Guideline for the Management of Heart Failure: Executive Summary","type":"article-journal","volume":"128"},"uris":["http://www.mendeley.com/documents/?uuid=62c7f158-afed-4d78-bab4-4e4f6390291e","http://www.mendeley.com/documents/?uuid=76eb55a5-eb13-4fc9-9db7-5cde51fa91da"]}],"mendeley":{"formattedCitation":"&lt;sup&gt;59,60&lt;/sup&gt;","plainTextFormattedCitation":"59,60","previouslyFormattedCitation":"&lt;sup&gt;59,60&lt;/sup&gt;"},"properties":{"noteIndex":0},"schema":"https://github.com/citation-style-language/schema/raw/master/csl-citation.json"}</w:instrText>
      </w:r>
      <w:r w:rsidR="00CC5C26" w:rsidRPr="0041574E">
        <w:rPr>
          <w:rFonts w:ascii="Calibri" w:hAnsi="Calibri" w:cs="Calibri"/>
        </w:rPr>
        <w:fldChar w:fldCharType="separate"/>
      </w:r>
      <w:r w:rsidR="00ED51EF" w:rsidRPr="00ED51EF">
        <w:rPr>
          <w:rFonts w:ascii="Calibri" w:hAnsi="Calibri" w:cs="Calibri"/>
          <w:noProof/>
          <w:vertAlign w:val="superscript"/>
          <w:lang w:val="en-GB"/>
        </w:rPr>
        <w:t>59,60</w:t>
      </w:r>
      <w:r w:rsidR="00CC5C26" w:rsidRPr="0041574E">
        <w:rPr>
          <w:rFonts w:ascii="Calibri" w:hAnsi="Calibri" w:cs="Calibri"/>
        </w:rPr>
        <w:fldChar w:fldCharType="end"/>
      </w:r>
      <w:r w:rsidR="00CC5C26" w:rsidRPr="00E50412">
        <w:rPr>
          <w:rFonts w:ascii="Calibri" w:hAnsi="Calibri" w:cs="Calibri"/>
          <w:lang w:val="en-GB"/>
        </w:rPr>
        <w:t>.</w:t>
      </w:r>
      <w:r w:rsidR="008147B7">
        <w:rPr>
          <w:rFonts w:ascii="Calibri" w:hAnsi="Calibri" w:cs="Calibri"/>
          <w:lang w:val="en-GB"/>
        </w:rPr>
        <w:t xml:space="preserve"> </w:t>
      </w:r>
      <w:r w:rsidR="00CC5C26" w:rsidRPr="0041574E">
        <w:rPr>
          <w:rFonts w:ascii="Calibri" w:hAnsi="Calibri" w:cs="Calibri"/>
          <w:lang w:val="en-GB"/>
        </w:rPr>
        <w:t>Although patients with LBBB are more likely to respond to CRT compared to patients with right bundle branch block (RBBB) or non-specific interventricular conduction delay</w:t>
      </w:r>
      <w:r w:rsidR="00CC5C26" w:rsidRPr="0041574E">
        <w:rPr>
          <w:rFonts w:ascii="Calibri" w:hAnsi="Calibri" w:cs="Calibri"/>
        </w:rPr>
        <w:fldChar w:fldCharType="begin" w:fldLock="1"/>
      </w:r>
      <w:r w:rsidR="00ED51EF">
        <w:rPr>
          <w:rFonts w:ascii="Calibri" w:hAnsi="Calibri" w:cs="Calibri"/>
          <w:lang w:val="en-GB"/>
        </w:rPr>
        <w:instrText>ADDIN CSL_CITATION {"citationItems":[{"id":"ITEM-1","itemData":{"DOI":"10.1093/eurheartj/ehq407","ISSN":"0195668X","abstract":"AimsThere are no data regarding the differential response to cardiac resynchronization therapy with defibrillator (CRT-D) by the aetiology of cardiomyopathy in mildly symptomatic patients. We evaluated the outcome of patients enrolled in MADIT-CRT by ischaemic and non-ischaemic aetiology of cardiomyopathy (ICM and non-ICM, respectively).Methods and resultsThe clinical response to CRT-D was assessed among ICM (n 1046) and non-ICM (n=774) patients enrolled in MADIT-CRT during an average follow-up of 2.4 years, and echocardiographic response was assessed at 1 year. Cardiac resynchronization therapy with defibrillator vs. ICD therapy was associated with respective 34 (P=0.001) and 44 (P=0.002) reductions in the risk of heart failure or death among ICM and non-ICM patients (P for interaction 0.455). In the ICM group, CRT-D was associated with mean (±SD) 29 ± 14 and 18 ± 10 reductions in left ventricular end-systolic volume (LVESV) and left ventricular end-diastolic volume (LVEDV), respectively. In the non-ICM group, CRT-D was associated with significantly greater volume reductions compared with the ICM group [37 ± 16 and 24 ± 12 reductions in LVESV and LVEDV, respectively (P  &lt;  0.001 for all)]. Risk subsets in the ICM group that showed a favourable clinical response to CRT-D included patients with QRS ≥150 ms, systolic blood pressure  &lt; 115 mmHg, and left bundle branch block (LBBB), whereas in the non-ICM group females, patients with diabetes mellitus, and LBBB, displayed a favourable clinical response.ConclusionMildly symptomatic ICM and non-ICM patients show significant differences in the echocardiographic response to CRT-D and in the clinical benefit within risk subsets suggesting that risk assessment for CRT-D in this population should be aetiology-specific. © 2011 The Author.","author":[{"dropping-particle":"","family":"Barsheshet","given":"Alon","non-dropping-particle":"","parse-names":false,"suffix":""},{"dropping-particle":"","family":"Goldenberg","given":"Ilan","non-dropping-particle":"","parse-names":false,"suffix":""},{"dropping-particle":"","family":"Moss","given":"Arthur J.","non-dropping-particle":"","parse-names":false,"suffix":""},{"dropping-particle":"","family":"Eldar","given":"Michael","non-dropping-particle":"","parse-names":false,"suffix":""},{"dropping-particle":"","family":"Huang","given":"David T.","non-dropping-particle":"","parse-names":false,"suffix":""},{"dropping-particle":"","family":"McNitt","given":"Scott","non-dropping-particle":"","parse-names":false,"suffix":""},{"dropping-particle":"","family":"Klein","given":"Helmut U.","non-dropping-particle":"","parse-names":false,"suffix":""},{"dropping-particle":"","family":"Hall","given":"W. Jackson","non-dropping-particle":"","parse-names":false,"suffix":""},{"dropping-particle":"","family":"Brown","given":"Mary W.","non-dropping-particle":"","parse-names":false,"suffix":""},{"dropping-particle":"","family":"Goldberger","given":"Jeffrey J.","non-dropping-particle":"","parse-names":false,"suffix":""},{"dropping-particle":"","family":"Goldstein","given":"Robert E.","non-dropping-particle":"","parse-names":false,"suffix":""},{"dropping-particle":"","family":"Schuger","given":"Claudio","non-dropping-particle":"","parse-names":false,"suffix":""},{"dropping-particle":"","family":"Zareba","given":"Wojciech","non-dropping-particle":"","parse-names":false,"suffix":""},{"dropping-particle":"","family":"Daubert","given":"James P.","non-dropping-particle":"","parse-names":false,"suffix":""}],"container-title":"European Heart Journal","id":"ITEM-1","issue":"13","issued":{"date-parts":[["2011"]]},"page":"1622-1630","title":"Response to preventive cardiac resynchronization therapy in patients with ischaemic and nonischaemic cardiomyopathy in MADIT-CRT","type":"article-journal","volume":"32"},"uris":["http://www.mendeley.com/documents/?uuid=7daacb77-7ee8-41a3-8a47-2abc7c4592bc","http://www.mendeley.com/documents/?uuid=3aa2d4fa-b568-4488-9a01-2482c22de2c3"]}],"mendeley":{"formattedCitation":"&lt;sup&gt;61&lt;/sup&gt;","plainTextFormattedCitation":"61","previouslyFormattedCitation":"&lt;sup&gt;61&lt;/sup&gt;"},"properties":{"noteIndex":0},"schema":"https://github.com/citation-style-language/schema/raw/master/csl-citation.json"}</w:instrText>
      </w:r>
      <w:r w:rsidR="00CC5C26" w:rsidRPr="0041574E">
        <w:rPr>
          <w:rFonts w:ascii="Calibri" w:hAnsi="Calibri" w:cs="Calibri"/>
        </w:rPr>
        <w:fldChar w:fldCharType="separate"/>
      </w:r>
      <w:r w:rsidR="00ED51EF" w:rsidRPr="00ED51EF">
        <w:rPr>
          <w:rFonts w:ascii="Calibri" w:hAnsi="Calibri" w:cs="Calibri"/>
          <w:noProof/>
          <w:vertAlign w:val="superscript"/>
          <w:lang w:val="en-GB"/>
        </w:rPr>
        <w:t>61</w:t>
      </w:r>
      <w:r w:rsidR="00CC5C26" w:rsidRPr="0041574E">
        <w:rPr>
          <w:rFonts w:ascii="Calibri" w:hAnsi="Calibri" w:cs="Calibri"/>
        </w:rPr>
        <w:fldChar w:fldCharType="end"/>
      </w:r>
      <w:r w:rsidR="00143725" w:rsidRPr="001D6BE0">
        <w:rPr>
          <w:rFonts w:ascii="Calibri" w:hAnsi="Calibri" w:cs="Calibri"/>
          <w:lang w:val="en-GB"/>
        </w:rPr>
        <w:t>,</w:t>
      </w:r>
      <w:r w:rsidR="00CC5C26" w:rsidRPr="0041574E">
        <w:rPr>
          <w:rFonts w:ascii="Calibri" w:hAnsi="Calibri" w:cs="Calibri"/>
          <w:lang w:val="en-GB"/>
        </w:rPr>
        <w:t xml:space="preserve"> both these guidelines also state that CRT  should  be  considered  in  non-LBBB  with  QRS ≥150  msec. American guidelines widen their indication for CRT to include patients with ischemic cardiomyopathy and NYHA class I symptoms with an EF of &lt;30% and LBBB with a QRS duration of ≥150 msec</w:t>
      </w:r>
      <w:r w:rsidR="00CC5C26" w:rsidRPr="0041574E">
        <w:rPr>
          <w:rFonts w:ascii="Calibri" w:hAnsi="Calibri" w:cs="Calibri"/>
        </w:rPr>
        <w:fldChar w:fldCharType="begin" w:fldLock="1"/>
      </w:r>
      <w:r w:rsidR="00ED51EF">
        <w:rPr>
          <w:rFonts w:ascii="Calibri" w:hAnsi="Calibri" w:cs="Calibri"/>
          <w:lang w:val="en-GB"/>
        </w:rPr>
        <w:instrText>ADDIN CSL_CITATION {"citationItems":[{"id":"ITEM-1","itemData":{"DOI":"10.1161/CIR.0b013e31829e8807","ISSN":"0009-7322","abstract":"HF is a complex clinical syndrome that results from any structural or functional impairment of ventricular filling or ejection of blood. The cardinal manifestations of HF are dyspnea and fatigue, which may limit exercise tolerance, and fluid retention, which may lead to pulmonary and/or splanchnic congestion and/or peripheral edema. Some patients have exercise intolerance but little evidence of fluid retention, whereas others complain primarily of edema, dyspnea, or fatigue. Because some patients present without signs or symptoms of volume overload, the term “heart failure” is preferred over “congestive heart failure.” There is no single diagnostic test for HF because it is largely a clinical diagnosis based on a careful history and physical examination. The clinical syndrome of HF may result from disorders of the pericardium, myocardium, endocardium, heart valves, or great vessels or from certain metabolic abnormalities, but most patients with HF have symptoms due to impaired left ventricular (LV) myocardial function. It should be emphasized that HF is not synonymous with either cardiomyopathy or LV dysfunction; these latter terms describe possible structural or functional reasons for the development of HF. HF may be associated with a wide spectrum of LV functional abnormalities, which may range from patients with normal LV size and preserved EF to those with severe dilatation and/or markedly reduced EF. In most patients, abnormalities of systolic and diastolic dysfunction coexist, irrespective of EF. EF is considered important in classification of patients with HF because of differing patient demographics, comorbid conditions, prognosis, and response to therapies35 and because most clinical trials selected patients based on EF. EF values are dependent on the imaging technique used, method of analysis, and operator. Because other techniques may indicate abnormalities in systolic function among patients with a preserved EF, it is preferable to use the terms preserved or reduced EF over preserved or reduced systolic function. For the remainder of this guideline, we will consistently refer to HF with preserved EF and HF with reduced EF as HFpEF and HFrEF, respectively","author":[{"dropping-particle":"","family":"Yancy","given":"Clyde W.","non-dropping-particle":"","parse-names":false,"suffix":""},{"dropping-particle":"","family":"Jessup","given":"Mariell","non-dropping-particle":"","parse-names":false,"suffix":""},{"dropping-particle":"","family":"Bozkurt","given":"Biykem","non-dropping-particle":"","parse-names":false,"suffix":""},{"dropping-particle":"","family":"Butler","given":"Javed","non-dropping-particle":"","parse-names":false,"suffix":""},{"dropping-particle":"","family":"Casey","given":"Donald E.","non-dropping-particle":"","parse-names":false,"suffix":""},{"dropping-particle":"","family":"Drazner","given":"Mark H.","non-dropping-particle":"","parse-names":false,"suffix":""},{"dropping-particle":"","family":"Fonarow","given":"Gregg C.","non-dropping-particle":"","parse-names":false,"suffix":""},{"dropping-particle":"","family":"Geraci","given":"Stephen A.","non-dropping-particle":"","parse-names":false,"suffix":""},{"dropping-particle":"","family":"Horwich","given":"Tamara","non-dropping-particle":"","parse-names":false,"suffix":""},{"dropping-particle":"","family":"Januzzi","given":"James L.","non-dropping-particle":"","parse-names":false,"suffix":""},{"dropping-particle":"","family":"Johnson","given":"Maryl R.","non-dropping-particle":"","parse-names":false,"suffix":""},{"dropping-particle":"","family":"Kasper","given":"Edward K.","non-dropping-particle":"","parse-names":false,"suffix":""},{"dropping-particle":"","family":"Levy","given":"Wayne C.","non-dropping-particle":"","parse-names":false,"suffix":""},{"dropping-particle":"","family":"Masoudi","given":"Frederick A.","non-dropping-particle":"","parse-names":false,"suffix":""},{"dropping-particle":"","family":"McBride","given":"Patrick E.","non-dropping-particle":"","parse-names":false,"suffix":""},{"dropping-particle":"","family":"McMurray","given":"John J.V.","non-dropping-particle":"","parse-names":false,"suffix":""},{"dropping-particle":"","family":"Mitchell","given":"Judith E.","non-dropping-particle":"","parse-names":false,"suffix":""},{"dropping-particle":"","family":"Peterson","given":"Pamela N.","non-dropping-particle":"","parse-names":false,"suffix":""},{"dropping-particle":"","family":"Riegel","given":"Barbara","non-dropping-particle":"","parse-names":false,"suffix":""},{"dropping-particle":"","family":"Sam","given":"Flora","non-dropping-particle":"","parse-names":false,"suffix":""},{"dropping-particle":"","family":"Stevenson","given":"Lynne W.","non-dropping-particle":"","parse-names":false,"suffix":""},{"dropping-particle":"","family":"Tang","given":"W.H. Wilson","non-dropping-particle":"","parse-names":false,"suffix":""},{"dropping-particle":"","family":"Tsai","given":"Emily J.","non-dropping-particle":"","parse-names":false,"suffix":""},{"dropping-particle":"","family":"Wilkoff","given":"Bruce L.","non-dropping-particle":"","parse-names":false,"suffix":""}],"container-title":"Circulation","id":"ITEM-1","issue":"16","issued":{"date-parts":[["2013"]]},"page":"1810-1852","title":"2013 ACCF/AHA Guideline for the Management of Heart Failure: Executive Summary","type":"article-journal","volume":"128"},"uris":["http://www.mendeley.com/documents/?uuid=76eb55a5-eb13-4fc9-9db7-5cde51fa91da","http://www.mendeley.com/documents/?uuid=62c7f158-afed-4d78-bab4-4e4f6390291e"]}],"mendeley":{"formattedCitation":"&lt;sup&gt;60&lt;/sup&gt;","plainTextFormattedCitation":"60","previouslyFormattedCitation":"&lt;sup&gt;60&lt;/sup&gt;"},"properties":{"noteIndex":0},"schema":"https://github.com/citation-style-language/schema/raw/master/csl-citation.json"}</w:instrText>
      </w:r>
      <w:r w:rsidR="00CC5C26" w:rsidRPr="0041574E">
        <w:rPr>
          <w:rFonts w:ascii="Calibri" w:hAnsi="Calibri" w:cs="Calibri"/>
        </w:rPr>
        <w:fldChar w:fldCharType="separate"/>
      </w:r>
      <w:r w:rsidR="00ED51EF" w:rsidRPr="00ED51EF">
        <w:rPr>
          <w:rFonts w:ascii="Calibri" w:hAnsi="Calibri" w:cs="Calibri"/>
          <w:noProof/>
          <w:vertAlign w:val="superscript"/>
          <w:lang w:val="en-GB"/>
        </w:rPr>
        <w:t>60</w:t>
      </w:r>
      <w:r w:rsidR="00CC5C26" w:rsidRPr="0041574E">
        <w:rPr>
          <w:rFonts w:ascii="Calibri" w:hAnsi="Calibri" w:cs="Calibri"/>
        </w:rPr>
        <w:fldChar w:fldCharType="end"/>
      </w:r>
      <w:r w:rsidR="00CC5C26" w:rsidRPr="00540813">
        <w:rPr>
          <w:rFonts w:ascii="Calibri" w:hAnsi="Calibri" w:cs="Calibri"/>
          <w:lang w:val="en-GB"/>
        </w:rPr>
        <w:t>.</w:t>
      </w:r>
      <w:bookmarkEnd w:id="12"/>
      <w:r w:rsidR="00CC5C26">
        <w:rPr>
          <w:rFonts w:ascii="Calibri" w:hAnsi="Calibri" w:cs="Calibri"/>
          <w:lang w:val="en-GB"/>
        </w:rPr>
        <w:t xml:space="preserve"> </w:t>
      </w:r>
      <w:bookmarkEnd w:id="11"/>
      <w:r w:rsidR="008147B7" w:rsidRPr="0041574E">
        <w:rPr>
          <w:rFonts w:ascii="Calibri" w:hAnsi="Calibri" w:cs="Calibri"/>
          <w:noProof/>
          <w:lang w:val="en-GB"/>
        </w:rPr>
        <w:t xml:space="preserve">A </w:t>
      </w:r>
      <w:r w:rsidR="008147B7">
        <w:rPr>
          <w:rFonts w:ascii="Calibri" w:hAnsi="Calibri" w:cs="Calibri"/>
          <w:noProof/>
          <w:lang w:val="en-GB"/>
        </w:rPr>
        <w:t>wider</w:t>
      </w:r>
      <w:r w:rsidR="008147B7" w:rsidRPr="0041574E">
        <w:rPr>
          <w:rFonts w:ascii="Calibri" w:hAnsi="Calibri" w:cs="Calibri"/>
          <w:noProof/>
          <w:lang w:val="en-GB"/>
        </w:rPr>
        <w:t xml:space="preserve"> QRS has also emerged as a predictor</w:t>
      </w:r>
      <w:r w:rsidR="008147B7">
        <w:rPr>
          <w:rFonts w:ascii="Calibri" w:hAnsi="Calibri" w:cs="Calibri"/>
          <w:noProof/>
          <w:lang w:val="en-GB"/>
        </w:rPr>
        <w:t xml:space="preserve"> of ventricular arrhythmias</w:t>
      </w:r>
      <w:r w:rsidR="008147B7" w:rsidRPr="0041574E">
        <w:rPr>
          <w:rFonts w:ascii="Calibri" w:hAnsi="Calibri" w:cs="Calibri"/>
          <w:noProof/>
          <w:lang w:val="en-GB"/>
        </w:rPr>
        <w:fldChar w:fldCharType="begin" w:fldLock="1"/>
      </w:r>
      <w:r w:rsidR="00ED51EF">
        <w:rPr>
          <w:rFonts w:ascii="Calibri" w:hAnsi="Calibri" w:cs="Calibri"/>
          <w:noProof/>
          <w:lang w:val="en-GB"/>
        </w:rPr>
        <w:instrText>ADDIN CSL_CITATION {"citationItems":[{"id":"ITEM-1","itemData":{"DOI":"10.1016/j.amjcard.2018.02.055","ISSN":"00029149","PMID":"29678335","abstract":"Arrhythmic risk stratification in idiopathic dilated cardiomyopathy (IDC) remains a major concern. As the ventricles remodel in time, risk factors for arrhythmic death may change. A cohort of 710 patients with idiopathic dilated cardiomyopathy, without previous ventricular arrhythmias, was retrospectively studied to understand how risks vary in time. The primary end point was a composite of sudden cardiac death, ventricular fibrillation, sustained ventricular tachycardia, and appropriate implantable cardioverter-defibrillator interventions. The prediction of the arrhythmic outcome was assessed dynamically through landmark analysis. Patients were assessed at baseline, short term (12 months, interquartile range 6 to 18), and long-term (72 months, interquartile range 60 to 84). The strongest risk predictors at each evaluation were combined in 3 multivariate models. During a median follow-up of 102 months, 80 patients (11%) experienced the primary end point. At baseline, QRS duration (p = 0.008), disease duration (p &lt;0.001), and mitral regurgitation (p = 0.010) were significantly associated with the primary end point. The 12 months' landmark model included disease duration (p = 0.049), syncope (p = 0.005), New York Heart Association classes III and IV (p = 0.02), and indexed left ventricular end-diastolic volume (p = 0.001). Finally, the 72 months' landmark model combined the indexed left ventricular end-diastolic volume (p = 0.048), the left ventricular ejection fraction (p = 0.008), and the left atrial area (p = 0.001). All the 3 models provided a satisfactory accuracy (area under the curve ranging from 0.76 to 0.82, p &lt;0.001). With an implantable cardioverter-defibrillator, the natural course of the disease influences the effect of arrhythmic risk factors overtime. Different predictors should be considered for the risk stratification according to the timing of assessment. Impaired left ventricular ejection fraction was significantly associated with major arrhythmias only in the long term.","author":[{"dropping-particle":"","family":"Stolfo","given":"Davide","non-dropping-particle":"","parse-names":false,"suffix":""},{"dropping-particle":"","family":"Ceschia","given":"Nicole","non-dropping-particle":"","parse-names":false,"suffix":""},{"dropping-particle":"","family":"Zecchin","given":"Massimo","non-dropping-particle":"","parse-names":false,"suffix":""},{"dropping-particle":"","family":"Luca","given":"Antonio","non-dropping-particle":"De","parse-names":false,"suffix":""},{"dropping-particle":"","family":"Gobbo","given":"Marco","non-dropping-particle":"","parse-names":false,"suffix":""},{"dropping-particle":"","family":"Barbati","given":"Giulia","non-dropping-particle":"","parse-names":false,"suffix":""},{"dropping-particle":"","family":"Gigli","given":"Marta","non-dropping-particle":"","parse-names":false,"suffix":""},{"dropping-particle":"","family":"Masè","given":"Marco","non-dropping-particle":"","parse-names":false,"suffix":""},{"dropping-particle":"","family":"Pinamonti","given":"Bruno","non-dropping-particle":"","parse-names":false,"suffix":""},{"dropping-particle":"","family":"Pivetta","given":"Alberto","non-dropping-particle":"","parse-names":false,"suffix":""},{"dropping-particle":"","family":"Merlo","given":"Marco","non-dropping-particle":"","parse-names":false,"suffix":""},{"dropping-particle":"","family":"Sinagra","given":"Gianfranco","non-dropping-particle":"","parse-names":false,"suffix":""}],"container-title":"The American Journal of Cardiology","id":"ITEM-1","issue":"12","issued":{"date-parts":[["2018","6"]]},"page":"1601-1609","title":"Arrhythmic Risk Stratification in Patients With Idiopathic Dilated Cardiomyopathy","type":"article-journal","volume":"121"},"uris":["http://www.mendeley.com/documents/?uuid=5c53d853-5170-4067-b072-d8ac2cd7dc22","http://www.mendeley.com/documents/?uuid=6c3913cf-9a76-4390-b0b4-f691930cab0e"]},{"id":"ITEM-2","itemData":{"DOI":"10.1093/eurheartj/ehp293","ISSN":"0195668X","abstract":"Aims: Clinical parameters are weak predictors of outcome in patients with idiopathic dilated cardiomyopathy (IDC). We assessed the prognostic value of cardiac magnetic resonance (CMR) parameters in addition to conventional clinical and electrocardiographic characteristics. Methods and results: One hundred and forty-one IDC patients were studied. QRS and QTc intervals were measured in 12-lead surface electrocardiogram. Patients were followed for median 1339 days, including 483 patient-years. The primary endpoint - cardiac death or sudden death - occurred in 25 (18%) patients, including 16 patients with cardiac death, 3 patients with sudden cardiac death (SCD), and 6 patients with ICD shock. Late gadolinium enhancement (LGE) was detected in 36 patients (26%). Kaplan-Meier survival analysis displayed QRS  &gt; 110 ms (P = 0.010), the presence of LGE (P = 0.037), and diabetes mellitus (P  &lt;  0.001) as significant parameters for a worse outcome. Multivariable analysis revealed cardiac index (P  &lt;  0.001), right ventricular end-diastolic volume index (RVEDVI) (P = 0.006) derived from CMR imaging, the p resence of diabetes mellitus (P = 0.006), and QRS  &gt; 110 ms (P = 0.045) as significant predictors for the primary endpoint. Conclusion: Cardiac index and RVEDVI derived from CMR imaging in addition to QRS duration  &gt; 110 ms from conventional surface ECG and diabetes mellitus provide prognostic impact for cardiac death and SCD in patients with IDC. © The Author 2009.","author":[{"dropping-particle":"","family":"Hombach","given":"Vinzenz","non-dropping-particle":"","parse-names":false,"suffix":""},{"dropping-particle":"","family":"Merkle","given":"Nico","non-dropping-particle":"","parse-names":false,"suffix":""},{"dropping-particle":"","family":"Torzewski","given":"Jan","non-dropping-particle":"","parse-names":false,"suffix":""},{"dropping-particle":"","family":"Kraus","given":"Johann M.","non-dropping-particle":"","parse-names":false,"suffix":""},{"dropping-particle":"","family":"Kunze","given":"Markus","non-dropping-particle":"","parse-names":false,"suffix":""},{"dropping-particle":"","family":"Zimmermann","given":"Oliver","non-dropping-particle":"","parse-names":false,"suffix":""},{"dropping-particle":"","family":"Kestler","given":"Hans A.","non-dropping-particle":"","parse-names":false,"suffix":""},{"dropping-particle":"","family":"Wöhrle","given":"Jochen","non-dropping-particle":"","parse-names":false,"suffix":""}],"container-title":"European Heart Journal","id":"ITEM-2","issued":{"date-parts":[["2009"]]},"title":"Electrocardiographic and cardiac magnetic resonance imaging parameters as predictors of a worse outcome in patients with idiopathic dilated cardiomyopathy","type":"article-journal"},"uris":["http://www.mendeley.com/documents/?uuid=2c76c694-dea9-457a-822e-c1ad66aa4a69","http://www.mendeley.com/documents/?uuid=4910736e-34eb-41aa-b985-5d11d31f17ef"]},{"id":"ITEM-3","itemData":{"DOI":"10.1016/j.jacc.2013.12.021","ISBN":"1558-3597 (Electronic)\\n0735-1097 (Linking)","ISSN":"15583597","PMID":"24445228","abstract":"Objectives The purpose of this study was to provide a meta-analysis to estimate the performance of 12 commonly reported risk stratification tests as predictors of arrhythmic events in patients with nonischemic dilated cardiomyopathy. Background Multiple techniques have been assessed as predictors of death due to ventricular tachyarrhythmias/sudden death in patients with nonischemic dilated cardiomyopathy. Methods Forty-five studies enrolling 6,088 patients evaluating the association between arrhythmic events and predictive tests (baroreflex sensitivity, heart rate turbulence, heart rate variability, left ventricular end-diastolic dimension, left ventricular ejection fraction, electrophysiology study, nonsustained ventricular tachycardia, left bundle branch block, signal-averaged electrocardiogram, fragmented QRS, QRS-T angle, and T-wave alternans) were included. Raw event rates were extracted, and meta-analysis was performed using mixed effects methodology. We also used the trim-and-fill method to estimate the influence of missing studies on the results. Results Patients were 52.8 ± 14.5 years of age, and 77% were male. Left ventricular ejection fraction was 30.6 ± 11.4%. Test sensitivities ranged from 28.8% to 91.0%, specificities from 36.2% to 87.1%, and odds ratios from 1.5 to 6.7. Odds ratio was highest for fragmented QRS and TWA (odds ratios: 6.73 and 4.66, 95% confidence intervals: 3.85 to 11.76 and 2.55 to 8.53, respectively) and lowest for QRS duration (odds ratio: 1.51, 95% confidence interval: 1.13 to 2.01). None of the autonomic tests (heart rate variability, heart rate turbulence, baroreflex sensitivity) were significant predictors of arrhythmic outcomes. Accounting for publication bias reduced the odds ratios for the various predictors but did not eliminate the predictive association. Conclusions Techniques incorporating functional parameters, depolarization abnormalities, repolarization abnormalities, and arrhythmic markers provide only modest risk stratification for sudden cardiac death in patients with nonischemic dilated cardiomyopathy. It is likely that combinations of tests will be required to optimize risk stratification in this population. © 2014 by the American College of Cardiology Foundation.","author":[{"dropping-particle":"","family":"Goldberger","given":"Jeffrey J.","non-dropping-particle":"","parse-names":false,"suffix":""},{"dropping-particle":"","family":"Subačius","given":"Haris","non-dropping-particle":"","parse-names":false,"suffix":""},{"dropping-particle":"","family":"Patel","given":"Taral","non-dropping-particle":"","parse-names":false,"suffix":""},{"dropping-particle":"","family":"Cunnane","given":"Ryan","non-dropping-particle":"","parse-names":false,"suffix":""},{"dropping-particle":"","family":"Kadish","given":"Alan H.","non-dropping-particle":"","parse-names":false,"suffix":""}],"container-title":"Journal of the American College of Cardiology","id":"ITEM-3","issue":"18","issued":{"date-parts":[["2014"]]},"page":"1879-1889","title":"Sudden cardiac death risk stratification in patients with nonischemic dilated cardiomyopathy","type":"article-journal","volume":"63"},"uris":["http://www.mendeley.com/documents/?uuid=2f3ded76-55a5-4e8d-b9d0-3bd068152393","http://www.mendeley.com/documents/?uuid=0b21b939-ba53-43c2-9192-8d61d6411e7b"]}],"mendeley":{"formattedCitation":"&lt;sup&gt;62–64&lt;/sup&gt;","manualFormatting":"57,62","plainTextFormattedCitation":"62–64","previouslyFormattedCitation":"&lt;sup&gt;62–64&lt;/sup&gt;"},"properties":{"noteIndex":0},"schema":"https://github.com/citation-style-language/schema/raw/master/csl-citation.json"}</w:instrText>
      </w:r>
      <w:r w:rsidR="008147B7" w:rsidRPr="0041574E">
        <w:rPr>
          <w:rFonts w:ascii="Calibri" w:hAnsi="Calibri" w:cs="Calibri"/>
          <w:noProof/>
          <w:lang w:val="en-GB"/>
        </w:rPr>
        <w:fldChar w:fldCharType="separate"/>
      </w:r>
      <w:r w:rsidR="008147B7" w:rsidRPr="00491FF9">
        <w:rPr>
          <w:rFonts w:ascii="Calibri" w:hAnsi="Calibri" w:cs="Calibri"/>
          <w:noProof/>
          <w:vertAlign w:val="superscript"/>
          <w:lang w:val="en-GB"/>
        </w:rPr>
        <w:t>57,62</w:t>
      </w:r>
      <w:r w:rsidR="008147B7" w:rsidRPr="0041574E">
        <w:rPr>
          <w:rFonts w:ascii="Calibri" w:hAnsi="Calibri" w:cs="Calibri"/>
          <w:noProof/>
          <w:lang w:val="en-GB"/>
        </w:rPr>
        <w:fldChar w:fldCharType="end"/>
      </w:r>
      <w:r w:rsidR="008147B7" w:rsidRPr="0041574E">
        <w:rPr>
          <w:rFonts w:ascii="Calibri" w:hAnsi="Calibri" w:cs="Calibri"/>
          <w:noProof/>
          <w:lang w:val="en-GB"/>
        </w:rPr>
        <w:t xml:space="preserve"> and, more interestingly, has been independently associated with early (&lt; 6 months) arrhythmic events</w:t>
      </w:r>
      <w:r w:rsidR="008147B7" w:rsidRPr="0041574E">
        <w:rPr>
          <w:rFonts w:ascii="Calibri" w:hAnsi="Calibri" w:cs="Calibri"/>
          <w:noProof/>
          <w:lang w:val="en-GB"/>
        </w:rPr>
        <w:fldChar w:fldCharType="begin" w:fldLock="1"/>
      </w:r>
      <w:r w:rsidR="00ED51EF">
        <w:rPr>
          <w:rFonts w:ascii="Calibri" w:hAnsi="Calibri" w:cs="Calibri"/>
          <w:noProof/>
          <w:lang w:val="en-GB"/>
        </w:rPr>
        <w:instrText>ADDIN CSL_CITATION {"citationItems":[{"id":"ITEM-1","itemData":{"DOI":"10.1016/j.jacep.2016.05.002","ISSN":"2405500X","abstract":"© 2016 American College of Cardiology Foundation Objectives The study sought to provide an insight into the prevalence, characterization and possible reliable indicators of early sudden cardiac death/malignant ventricular arrhythmias (SCD/MVAs) in a large cohort of dilated cardiomyopathy (DCM). Background DCM generally affects young individuals and is characterized by an unpredictable prognosis with a  non-negligible risk of SCD/MVAs, particularly in early stages of disease. Methods From 1988 to 2014, 952 patients with DCM were consecutively included in the Heart Muscle Disease Registry of Trieste. Results Globally, 20 patients (2.1% of the overall population) experienced SCD/MVAs within the first 6 months after enrollment (primary endpoint). At baseline they showed a worse functional class (New York Heart Association functional class III to IV 42% vs. 22%, p = 0.038), a longer QRS complex duration (127 ± 41 ms vs. 108 ± 33 ms; p = 0.013) and a larger indexed left ventricular end-systolic volume (LVESVI) (82 ± 49 ml/m 2  vs. 67 ± 34 ml/m 2 ; p = 0.049), as compared to patients without early SCD/MVAs. Beta-blockers were less tolerated (59% vs. 83% in patients with no early SCD/MVAs; p = 0.008), mostly due to hemodynamic intolerance. At multivariate analysis, LVESVI (odds ratio [OR]: 1.012; 95% confidence interval [CI] : 1.000 to 1.024; p = 0.043) and QRS complex duration (OR: 1.017; 95% CI: 1.003 to 1.030; p = 0.015) were independently associated with the primary endpoint, whereas beta-blockers demonstrated a protective effect (OR: 0.169, CI: 0.048 to 0.593; p = 0.006). Conclusions Patients with DCM present a significant risk of major arrhythmic events in the first phase of the disease. Baseline LVESVI, QRS duration, and intolerance to beta-blocker therapy might be useful tools in the arrhythmic early risk assessment.","author":[{"dropping-particle":"","family":"Losurdo","given":"P.","non-dropping-particle":"","parse-names":false,"suffix":""},{"dropping-particle":"","family":"Stolfo","given":"D.","non-dropping-particle":"","parse-names":false,"suffix":""},{"dropping-particle":"","family":"Merlo","given":"M.","non-dropping-particle":"","parse-names":false,"suffix":""},{"dropping-particle":"","family":"Barbati","given":"G.","non-dropping-particle":"","parse-names":false,"suffix":""},{"dropping-particle":"","family":"Gobbo","given":"M.","non-dropping-particle":"","parse-names":false,"suffix":""},{"dropping-particle":"","family":"Gigli","given":"M.","non-dropping-particle":"","parse-names":false,"suffix":""},{"dropping-particle":"","family":"Ramani","given":"F.","non-dropping-particle":"","parse-names":false,"suffix":""},{"dropping-particle":"","family":"Pinamonti","given":"B.","non-dropping-particle":"","parse-names":false,"suffix":""},{"dropping-particle":"","family":"Zecchin","given":"M.","non-dropping-particle":"","parse-names":false,"suffix":""},{"dropping-particle":"","family":"Finocchiaro","given":"G.","non-dropping-particle":"","parse-names":false,"suffix":""},{"dropping-particle":"","family":"Mestroni","given":"L.","non-dropping-particle":"","parse-names":false,"suffix":""},{"dropping-particle":"","family":"Sinagra","given":"G.","non-dropping-particle":"","parse-names":false,"suffix":""}],"container-title":"JACC: Clinical Electrophysiology","id":"ITEM-1","issue":"5","issued":{"date-parts":[["2016"]]},"title":"Early Arrhythmic Events in Idiopathic Dilated Cardiomyopathy","type":"article-journal","volume":"2"},"uris":["http://www.mendeley.com/documents/?uuid=007954d6-b735-3470-ab93-74f4aec25dcf"]}],"mendeley":{"formattedCitation":"&lt;sup&gt;65&lt;/sup&gt;","plainTextFormattedCitation":"65","previouslyFormattedCitation":"&lt;sup&gt;65&lt;/sup&gt;"},"properties":{"noteIndex":0},"schema":"https://github.com/citation-style-language/schema/raw/master/csl-citation.json"}</w:instrText>
      </w:r>
      <w:r w:rsidR="008147B7" w:rsidRPr="0041574E">
        <w:rPr>
          <w:rFonts w:ascii="Calibri" w:hAnsi="Calibri" w:cs="Calibri"/>
          <w:noProof/>
          <w:lang w:val="en-GB"/>
        </w:rPr>
        <w:fldChar w:fldCharType="separate"/>
      </w:r>
      <w:r w:rsidR="00ED51EF" w:rsidRPr="00ED51EF">
        <w:rPr>
          <w:rFonts w:ascii="Calibri" w:hAnsi="Calibri" w:cs="Calibri"/>
          <w:noProof/>
          <w:vertAlign w:val="superscript"/>
          <w:lang w:val="en-GB"/>
        </w:rPr>
        <w:t>65</w:t>
      </w:r>
      <w:r w:rsidR="008147B7" w:rsidRPr="0041574E">
        <w:rPr>
          <w:rFonts w:ascii="Calibri" w:hAnsi="Calibri" w:cs="Calibri"/>
          <w:noProof/>
          <w:lang w:val="en-GB"/>
        </w:rPr>
        <w:fldChar w:fldCharType="end"/>
      </w:r>
      <w:r w:rsidR="008147B7">
        <w:rPr>
          <w:rFonts w:ascii="Calibri" w:hAnsi="Calibri" w:cs="Calibri"/>
          <w:lang w:val="en-GB"/>
        </w:rPr>
        <w:t>.</w:t>
      </w:r>
    </w:p>
    <w:p w14:paraId="390559D9" w14:textId="4149F423" w:rsidR="00B43A6E" w:rsidRPr="007C7874" w:rsidRDefault="00C046B1" w:rsidP="007C7874">
      <w:pPr>
        <w:spacing w:line="480" w:lineRule="auto"/>
        <w:ind w:firstLine="720"/>
        <w:rPr>
          <w:rFonts w:ascii="Calibri" w:hAnsi="Calibri" w:cs="Calibri"/>
          <w:lang w:val="en-US"/>
        </w:rPr>
      </w:pPr>
      <w:r w:rsidRPr="0041574E">
        <w:rPr>
          <w:rFonts w:ascii="Calibri" w:hAnsi="Calibri" w:cs="Calibri"/>
          <w:lang w:val="en-GB"/>
        </w:rPr>
        <w:t xml:space="preserve">The impact of new-onset arrhythmias is also relevant for DCM prognosis. </w:t>
      </w:r>
      <w:r w:rsidR="007C7874">
        <w:rPr>
          <w:rFonts w:ascii="Calibri" w:hAnsi="Calibri" w:cs="Calibri"/>
          <w:lang w:val="en-GB"/>
        </w:rPr>
        <w:t xml:space="preserve">Atrial fibrillation (both at baseline and development during follow-up) </w:t>
      </w:r>
      <w:r w:rsidR="002F00AB">
        <w:rPr>
          <w:rFonts w:ascii="Calibri" w:hAnsi="Calibri" w:cs="Calibri"/>
          <w:lang w:val="en-GB"/>
        </w:rPr>
        <w:t xml:space="preserve">has been </w:t>
      </w:r>
      <w:r w:rsidR="0048365A" w:rsidRPr="0041574E">
        <w:rPr>
          <w:rFonts w:ascii="Calibri" w:hAnsi="Calibri" w:cs="Calibri"/>
          <w:lang w:val="en-GB"/>
        </w:rPr>
        <w:t xml:space="preserve">associated with poor </w:t>
      </w:r>
      <w:r w:rsidR="006A5F5C" w:rsidRPr="0041574E">
        <w:rPr>
          <w:rFonts w:ascii="Calibri" w:hAnsi="Calibri" w:cs="Calibri"/>
          <w:lang w:val="en-GB"/>
        </w:rPr>
        <w:t xml:space="preserve">long-term </w:t>
      </w:r>
      <w:r w:rsidR="0048365A" w:rsidRPr="0041574E">
        <w:rPr>
          <w:rFonts w:ascii="Calibri" w:hAnsi="Calibri" w:cs="Calibri"/>
          <w:lang w:val="en-GB"/>
        </w:rPr>
        <w:t>survival</w:t>
      </w:r>
      <w:r w:rsidR="004868C1" w:rsidRPr="0041574E">
        <w:rPr>
          <w:rFonts w:ascii="Calibri" w:hAnsi="Calibri" w:cs="Calibri"/>
          <w:lang w:val="en-GB"/>
        </w:rPr>
        <w:t xml:space="preserve"> and need for heart transplantation</w:t>
      </w:r>
      <w:r w:rsidR="007C7874">
        <w:rPr>
          <w:rFonts w:ascii="Calibri" w:hAnsi="Calibri" w:cs="Calibri"/>
          <w:lang w:val="en-GB"/>
        </w:rPr>
        <w:t xml:space="preserve"> in patients with DCM</w:t>
      </w:r>
      <w:r w:rsidR="004470C5" w:rsidRPr="0041574E">
        <w:rPr>
          <w:rFonts w:ascii="Calibri" w:hAnsi="Calibri" w:cs="Calibri"/>
          <w:lang w:val="en-GB"/>
        </w:rPr>
        <w:fldChar w:fldCharType="begin" w:fldLock="1"/>
      </w:r>
      <w:r w:rsidR="00ED51EF">
        <w:rPr>
          <w:rFonts w:ascii="Calibri" w:hAnsi="Calibri" w:cs="Calibri"/>
          <w:lang w:val="en-GB"/>
        </w:rPr>
        <w:instrText>ADDIN CSL_CITATION {"citationItems":[{"id":"ITEM-1","itemData":{"DOI":"10.3121/cmr.2010.908","ISSN":"1554-6179 (Electronic)","PMID":"20682760","abstract":"OBJECTIVE: There is a paucity and inconsistency of data regarding the natural history of patients affected by idiopathic dilated cardiomyopathy (IDCM) and atrial fibrillation (AF). We examined the prognostic implications of AF in a subset of patients with IDCM. METHODS: We analyzed the data of 539 patients with IDCM enrolled in the Heart Muscle Disease Registry of Trieste. RESULTS: At baseline, 52 (9.6%) of 539 patients had AF. There was no difference in survival of patients with either AF or sinus rhythm at enrollment (P = .28). During long-term follow-up (90 +/- 58 months), AF was detected on ECG/ECG-Holter monitoring in 28 (5.7%) of 487 patients in sinus rhythm at baseline. Predictors of new onset of AF at multivariate analysis were a more dilated left atrium (OR 1.35, 95% CI 1.06-1.72; P = .01) and a lower left ventricle ejection fraction (for 10% decrease, OR 2.41, 95% CI 1.24-4.69, P = .016). Patients developing AF had higher mortality/heart transplantation rate compared to patients who maintained sinus rhythm during follow-up (P &lt; .001). At multivariate analysis, new onset AF (HR 3.67, 95% CI 2.07-6.5; P &lt; .001) in the first three years after diagnosis, but not baseline AF, was found to be independently associated with a worse outcome. CONCLUSIONS: Atrial fibrillation is relatively frequent in patients with IDCM. The early development of AF during follow-up, but not its presence at baseline, is associated with poor survival.","author":[{"dropping-particle":"","family":"Aleksova","given":"Aneta","non-dropping-particle":"","parse-names":false,"suffix":""},{"dropping-particle":"","family":"Merlo","given":"Marco","non-dropping-particle":"","parse-names":false,"suffix":""},{"dropping-particle":"","family":"Zecchin","given":"Massimo","non-dropping-particle":"","parse-names":false,"suffix":""},{"dropping-particle":"","family":"Sabbadini","given":"Gastone","non-dropping-particle":"","parse-names":false,"suffix":""},{"dropping-particle":"","family":"Barbati","given":"Giulia","non-dropping-particle":"","parse-names":false,"suffix":""},{"dropping-particle":"","family":"Vitrella","given":"Giancarlo","non-dropping-particle":"","parse-names":false,"suffix":""},{"dropping-particle":"","family":"Lenarda","given":"Andrea","non-dropping-particle":"Di","parse-names":false,"suffix":""},{"dropping-particle":"","family":"Sinagra","given":"Gianfranco","non-dropping-particle":"","parse-names":false,"suffix":""}],"container-title":"Clinical medicine &amp; research","id":"ITEM-1","issue":"3-4","issued":{"date-parts":[["2010","12"]]},"language":"eng","page":"142-149","publisher-place":"United States","title":"Impact of atrial fibrillation on outcome of patients with idiopathic dilated cardiomyopathy: data from the Heart Muscle Disease Registry of Trieste.","type":"article-journal","volume":"8"},"uris":["http://www.mendeley.com/documents/?uuid=b531bca7-5e0f-4a19-9ffd-9932317e16ca","http://www.mendeley.com/documents/?uuid=8bb81f67-39cd-4a0f-8dce-91b44b254f7a"]}],"mendeley":{"formattedCitation":"&lt;sup&gt;66&lt;/sup&gt;","plainTextFormattedCitation":"66","previouslyFormattedCitation":"&lt;sup&gt;66&lt;/sup&gt;"},"properties":{"noteIndex":0},"schema":"https://github.com/citation-style-language/schema/raw/master/csl-citation.json"}</w:instrText>
      </w:r>
      <w:r w:rsidR="004470C5" w:rsidRPr="0041574E">
        <w:rPr>
          <w:rFonts w:ascii="Calibri" w:hAnsi="Calibri" w:cs="Calibri"/>
          <w:lang w:val="en-GB"/>
        </w:rPr>
        <w:fldChar w:fldCharType="separate"/>
      </w:r>
      <w:r w:rsidR="00ED51EF" w:rsidRPr="00ED51EF">
        <w:rPr>
          <w:rFonts w:ascii="Calibri" w:hAnsi="Calibri" w:cs="Calibri"/>
          <w:noProof/>
          <w:vertAlign w:val="superscript"/>
          <w:lang w:val="en-US"/>
        </w:rPr>
        <w:t>66</w:t>
      </w:r>
      <w:r w:rsidR="004470C5" w:rsidRPr="0041574E">
        <w:rPr>
          <w:rFonts w:ascii="Calibri" w:hAnsi="Calibri" w:cs="Calibri"/>
          <w:lang w:val="en-GB"/>
        </w:rPr>
        <w:fldChar w:fldCharType="end"/>
      </w:r>
      <w:r w:rsidR="0048365A" w:rsidRPr="0041574E">
        <w:rPr>
          <w:rFonts w:ascii="Calibri" w:hAnsi="Calibri" w:cs="Calibri"/>
          <w:lang w:val="en-US"/>
        </w:rPr>
        <w:t>.</w:t>
      </w:r>
      <w:r w:rsidR="007C7874">
        <w:rPr>
          <w:rFonts w:ascii="Calibri" w:hAnsi="Calibri" w:cs="Calibri"/>
          <w:lang w:val="en-US"/>
        </w:rPr>
        <w:t xml:space="preserve"> </w:t>
      </w:r>
    </w:p>
    <w:p w14:paraId="55A2FD79" w14:textId="248AB9CA" w:rsidR="00CE4869" w:rsidRPr="0041574E" w:rsidRDefault="007C7874" w:rsidP="00F13007">
      <w:pPr>
        <w:spacing w:line="480" w:lineRule="auto"/>
        <w:ind w:firstLine="720"/>
        <w:rPr>
          <w:rFonts w:ascii="Calibri" w:hAnsi="Calibri" w:cs="Calibri"/>
          <w:lang w:val="en-GB"/>
        </w:rPr>
      </w:pPr>
      <w:r>
        <w:rPr>
          <w:rFonts w:ascii="Calibri" w:hAnsi="Calibri" w:cs="Calibri"/>
          <w:noProof/>
          <w:lang w:val="en-GB"/>
        </w:rPr>
        <w:t>F</w:t>
      </w:r>
      <w:r w:rsidR="005514C6" w:rsidRPr="0041574E">
        <w:rPr>
          <w:rFonts w:ascii="Calibri" w:hAnsi="Calibri" w:cs="Calibri"/>
          <w:noProof/>
          <w:lang w:val="en-GB"/>
        </w:rPr>
        <w:t>ragmentation of the</w:t>
      </w:r>
      <w:r w:rsidR="00903DCA" w:rsidRPr="0041574E">
        <w:rPr>
          <w:rFonts w:ascii="Calibri" w:hAnsi="Calibri" w:cs="Calibri"/>
          <w:noProof/>
          <w:lang w:val="en-GB"/>
        </w:rPr>
        <w:t xml:space="preserve"> QRS</w:t>
      </w:r>
      <w:r w:rsidR="005514C6" w:rsidRPr="0041574E">
        <w:rPr>
          <w:rFonts w:ascii="Calibri" w:hAnsi="Calibri" w:cs="Calibri"/>
          <w:noProof/>
          <w:lang w:val="en-GB"/>
        </w:rPr>
        <w:t xml:space="preserve"> complex</w:t>
      </w:r>
      <w:r w:rsidR="00903DCA" w:rsidRPr="0041574E">
        <w:rPr>
          <w:rFonts w:ascii="Calibri" w:hAnsi="Calibri" w:cs="Calibri"/>
          <w:noProof/>
          <w:lang w:val="en-GB"/>
        </w:rPr>
        <w:t xml:space="preserve"> (</w:t>
      </w:r>
      <w:r w:rsidR="006F41D1" w:rsidRPr="0041574E">
        <w:rPr>
          <w:rFonts w:ascii="Calibri" w:hAnsi="Calibri" w:cs="Calibri"/>
          <w:noProof/>
          <w:lang w:val="en-GB"/>
        </w:rPr>
        <w:t>i.e. the presence of notching of the QRS or an additional R wave)</w:t>
      </w:r>
      <w:r w:rsidR="00D10720" w:rsidRPr="0041574E">
        <w:rPr>
          <w:rFonts w:ascii="Calibri" w:hAnsi="Calibri" w:cs="Calibri"/>
          <w:noProof/>
          <w:lang w:val="en-GB"/>
        </w:rPr>
        <w:t xml:space="preserve"> </w:t>
      </w:r>
      <w:r w:rsidR="005514C6" w:rsidRPr="0041574E">
        <w:rPr>
          <w:rFonts w:ascii="Calibri" w:hAnsi="Calibri" w:cs="Calibri"/>
          <w:noProof/>
          <w:lang w:val="en-GB"/>
        </w:rPr>
        <w:t xml:space="preserve">carries a higher risk for </w:t>
      </w:r>
      <w:r w:rsidR="002F00AB">
        <w:rPr>
          <w:rFonts w:ascii="Calibri" w:hAnsi="Calibri" w:cs="Calibri"/>
          <w:noProof/>
          <w:lang w:val="en-GB"/>
        </w:rPr>
        <w:t>major ventricular arrhythmias</w:t>
      </w:r>
      <w:r w:rsidR="005514C6" w:rsidRPr="0041574E">
        <w:rPr>
          <w:rFonts w:ascii="Calibri" w:hAnsi="Calibri" w:cs="Calibri"/>
          <w:noProof/>
          <w:lang w:val="en-GB"/>
        </w:rPr>
        <w:t xml:space="preserve"> and major adverse cardiac events</w:t>
      </w:r>
      <w:r w:rsidR="004470C5" w:rsidRPr="0041574E">
        <w:rPr>
          <w:rFonts w:ascii="Calibri" w:hAnsi="Calibri" w:cs="Calibri"/>
          <w:noProof/>
          <w:lang w:val="en-GB"/>
        </w:rPr>
        <w:fldChar w:fldCharType="begin" w:fldLock="1"/>
      </w:r>
      <w:r w:rsidR="00ED51EF">
        <w:rPr>
          <w:rFonts w:ascii="Calibri" w:hAnsi="Calibri" w:cs="Calibri"/>
          <w:noProof/>
          <w:lang w:val="en-GB"/>
        </w:rPr>
        <w:instrText>ADDIN CSL_CITATION {"citationItems":[{"id":"ITEM-1","itemData":{"DOI":"10.1016/j.jacc.2013.12.021","ISBN":"1558-3597 (Electronic)\\n0735-1097 (Linking)","ISSN":"15583597","PMID":"24445228","abstract":"Objectives The purpose of this study was to provide a meta-analysis to estimate the performance of 12 commonly reported risk stratification tests as predictors of arrhythmic events in patients with nonischemic dilated cardiomyopathy. Background Multiple techniques have been assessed as predictors of death due to ventricular tachyarrhythmias/sudden death in patients with nonischemic dilated cardiomyopathy. Methods Forty-five studies enrolling 6,088 patients evaluating the association between arrhythmic events and predictive tests (baroreflex sensitivity, heart rate turbulence, heart rate variability, left ventricular end-diastolic dimension, left ventricular ejection fraction, electrophysiology study, nonsustained ventricular tachycardia, left bundle branch block, signal-averaged electrocardiogram, fragmented QRS, QRS-T angle, and T-wave alternans) were included. Raw event rates were extracted, and meta-analysis was performed using mixed effects methodology. We also used the trim-and-fill method to estimate the influence of missing studies on the results. Results Patients were 52.8 ± 14.5 years of age, and 77% were male. Left ventricular ejection fraction was 30.6 ± 11.4%. Test sensitivities ranged from 28.8% to 91.0%, specificities from 36.2% to 87.1%, and odds ratios from 1.5 to 6.7. Odds ratio was highest for fragmented QRS and TWA (odds ratios: 6.73 and 4.66, 95% confidence intervals: 3.85 to 11.76 and 2.55 to 8.53, respectively) and lowest for QRS duration (odds ratio: 1.51, 95% confidence interval: 1.13 to 2.01). None of the autonomic tests (heart rate variability, heart rate turbulence, baroreflex sensitivity) were significant predictors of arrhythmic outcomes. Accounting for publication bias reduced the odds ratios for the various predictors but did not eliminate the predictive association. Conclusions Techniques incorporating functional parameters, depolarization abnormalities, repolarization abnormalities, and arrhythmic markers provide only modest risk stratification for sudden cardiac death in patients with nonischemic dilated cardiomyopathy. It is likely that combinations of tests will be required to optimize risk stratification in this population. © 2014 by the American College of Cardiology Foundation.","author":[{"dropping-particle":"","family":"Goldberger","given":"Jeffrey J.","non-dropping-particle":"","parse-names":false,"suffix":""},{"dropping-particle":"","family":"Subačius","given":"Haris","non-dropping-particle":"","parse-names":false,"suffix":""},{"dropping-particle":"","family":"Patel","given":"Taral","non-dropping-particle":"","parse-names":false,"suffix":""},{"dropping-particle":"","family":"Cunnane","given":"Ryan","non-dropping-particle":"","parse-names":false,"suffix":""},{"dropping-particle":"","family":"Kadish","given":"Alan H.","non-dropping-particle":"","parse-names":false,"suffix":""}],"container-title":"Journal of the American College of Cardiology","id":"ITEM-1","issue":"18","issued":{"date-parts":[["2014"]]},"page":"1879-1889","title":"Sudden cardiac death risk stratification in patients with nonischemic dilated cardiomyopathy","type":"article-journal","volume":"63"},"uris":["http://www.mendeley.com/documents/?uuid=0b21b939-ba53-43c2-9192-8d61d6411e7b","http://www.mendeley.com/documents/?uuid=2f3ded76-55a5-4e8d-b9d0-3bd068152393"]},{"id":"ITEM-2","itemData":{"DOI":"10.1016/j.ijcard.2012.04.064","ISSN":"01675273","abstract":"Background: We determined the relationship between fragmented QRS (fQRS) on electrocardiograms (ECG) as well as myocardial fibrosis measured by delayed enhancement of cardiac magnetic resonance imaging (DE-CMR) and its prognostic implication in patients with non-ischemic dilated cardiomyopathy (DCM). Methods: The ECGs of 86 subjects with dilated non-ischemic DCM who underwent DE-CMR were analyzed. DCM was defined as LV end-diastolic dimension &gt; 55 mm with LVEF &lt; 45% and chronic symptomatic heart failure for ≥ 9 months. Cardiac events (re-hospitalization due to heart failure, arrhythmic event, cardiac death) were reviewed retrospectively. fQRS was defined by the presence of an additional R wave (R″), or notching of the S wave, or the presence of more than one R prime in two contiguous leads. Results: In 86 patients, fQRS developed in 53 patients (61.6%) and delayed enhancement was observed in 42 patients (48.8%). The mean ejection fraction was 25.0%. Baseline characteristics were similar in both groups. Analyses of echocardiographic parameters revealed left ventricular end-diastolic and end-systolic dimensions were significantly higher in the fQRS group, but that the left ventricular ejection fraction was not significantly different. The prevalence of delayed enhancement between two groups was not significantly different (50.9% in fQRS vs 45.5% in the non-fQRS group; p = 0.62). MACE-free survival was significantly decreased in the fQRS group compared with the non-fQRS group. Conclusion: There was no spatial relationship between fQRS and DE-CMR in patients with non-ischemic DCM. fQRS was associated with lower event-free survival for major cardiac events on long-term follow-up. © 2012 Elsevier Ireland Ltd.","author":[{"dropping-particle":"","family":"Ahn","given":"Min Soo","non-dropping-particle":"","parse-names":false,"suffix":""},{"dropping-particle":"","family":"Kim","given":"Jin Bae","non-dropping-particle":"","parse-names":false,"suffix":""},{"dropping-particle":"","family":"Joung","given":"Boyoung","non-dropping-particle":"","parse-names":false,"suffix":""},{"dropping-particle":"","family":"Lee","given":"Moon Hyoung","non-dropping-particle":"","parse-names":false,"suffix":""},{"dropping-particle":"","family":"Kim","given":"Sung Soon","non-dropping-particle":"","parse-names":false,"suffix":""}],"container-title":"International Journal of Cardiology","id":"ITEM-2","issued":{"date-parts":[["2013"]]},"title":"Prognostic implications of fragmented QRS and its relationship with delayed contrast-enhanced cardiovascular magnetic resonance imaging in patients with non-ischemic dilated cardiomyopathy","type":"article-journal"},"uris":["http://www.mendeley.com/documents/?uuid=c4892da4-bc9d-43a6-8027-a90114e8afff","http://www.mendeley.com/documents/?uuid=40218321-a672-4256-a032-4c2243e0bdc7"]},{"id":"ITEM-3","itemData":{"DOI":"10.1093/europace/eur437","ISSN":"10995129","abstract":"AimsTo investigate the relationship between electrocardiogram (ECG) parameters [J wave, fragmented QRS (fQRS), QTc, the peak-to-end interval of T wave (TpTe)], and sudden cardiac death (SCD) in chronic heart failure (CHF). Methods and resultsThe ECGs of 1570 CHF patients, 572 cases with dilated cardiomyopathy (DCM) and 998 cases with ischaemic cardiomyopathy (ICM) were analysed with the endpoint being an SCD or non-SCD (NSCD). During a median follow-up period of 36 months (0.4065 months), 438 (27.89) patients died, of which 158 (35.84) were SCD. Overall, the occurrence of J wave, fQRS, and long TpTe were greater in SCD patients than that of NSCD patients (all P&lt; 0.01). For DCM cases, more SCD patients had J waves observed in the inferior leads than that in the NSCD group (26.78 vs. 13.07, P&lt;0.001). However, ICM cases with SCD did have more fQRS in the inferior leads than that with NSCD (42.16 vs. 26.67, P=0.01). After adjusting for other risk factors, Cox regression analysis revealed that presence of J wave or fQRS in the inferior leads predicted a higher risk for SCD in DCM [hazard ratio (HR), 4.095; 95 confidence interval (CI), 2.1327.863] and ICM (HR, 2.714; 95 CI, 1.8094.072) patients. A left ventricular ejection fraction ≤30 also predicted SCD and NSCD in DCM and ICM patients. In contrast, the predictive value of QTc and TpTe for SCD was not significant. ConclusionsPresence of J wave or fQRS in the inferior leads predicted higher risk of SCD in DCM and ICM patients and might serve as independent predictors for SCD in patients with CHF. © 2012 The Author.","author":[{"dropping-particle":"","family":"Pei","given":"Juanhui","non-dropping-particle":"","parse-names":false,"suffix":""},{"dropping-particle":"","family":"Li","given":"Ning","non-dropping-particle":"","parse-names":false,"suffix":""},{"dropping-particle":"","family":"Gao","given":"Yonghong","non-dropping-particle":"","parse-names":false,"suffix":""},{"dropping-particle":"","family":"Wang","given":"Zengwu","non-dropping-particle":"","parse-names":false,"suffix":""},{"dropping-particle":"","family":"Li","given":"Xian","non-dropping-particle":"","parse-names":false,"suffix":""},{"dropping-particle":"","family":"Zhang","given":"Yinhui","non-dropping-particle":"","parse-names":false,"suffix":""},{"dropping-particle":"","family":"Chen","given":"Jingzhou","non-dropping-particle":"","parse-names":false,"suffix":""},{"dropping-particle":"","family":"Zhang","given":"Ping","non-dropping-particle":"","parse-names":false,"suffix":""},{"dropping-particle":"","family":"Cao","given":"Kejiang","non-dropping-particle":"","parse-names":false,"suffix":""},{"dropping-particle":"","family":"Pu","given":"Jielin","non-dropping-particle":"","parse-names":false,"suffix":""}],"container-title":"Europace","id":"ITEM-3","issued":{"date-parts":[["2012"]]},"title":"The J wave and fragmented QRS complexes in inferior leads associated with sudden cardiac death in patients with chronic heart failure","type":"article-journal"},"uris":["http://www.mendeley.com/documents/?uuid=79f174b8-d5ca-4631-947c-a622c26fb7a5","http://www.mendeley.com/documents/?uuid=a5d383c5-a5c9-4908-be06-997294e466c9"]},{"id":"ITEM-4","itemData":{"DOI":"10.1111/j.1542-474X.2011.00442.x","ISSN":"1082720X","abstract":"BACKGROUND Several studies have showed that fragmented QRS complexes (f - QRS, defined as different RSR' patterns) on a routine 12 - lead electrocardiogram were associated with increased mortality and arrhythmic events in patients with coronary artery disease, but relatively little data were available regarding idiopathic dilated cardiomyopathy (IDCM). OBJECTIVE The purpose of this study was to evaluate the relationship between fragmentation of QRS and the combined end point of all-cause mortality and ventricular arrhythmias in patients with IDCM. METHODS One hundred twenty-eight patients with IDCM and left ventricular dysfunction (ejection fraction, EF ≤ 40%) were analyzed, respectively. According to QRS duration and the existence of f - QRS on 12-lead electrocardiograph (ECG), the study populations were divided into three groups: (1) the f - QRS group (QRS &lt;120 ms and with fragmented QRS, n = 51), (2) the wide QRS (wQRS) group (QRS ≥ 120 ms, n = 48), and (3) the nonfragmented QRS (non-fQRS) group (QRS &lt; 120 ms and without f - QRS, n = 29). RESULTS During a mean follow-up of 14 ± 5 months, 25 (19.5%) patients had deaths and ventricular arrhythmic events. The combined end point of all-cause mortality and ventricular tachyarrhythmias was significantly higher in the f - QRS and wQRS groups than the non-fQRS group (23.5%, 25%, and 3.4%, respectively; P &lt; 0.05 for both). Event-free was significantly decreased in the f - QRS group versus the non-fQRS group (P = 0.02). Univaritae regression analysis revealed that f - QRS was a stronger predictor of mortality and arrhythmic events in IDCM patients. CONCLUSION f - QRS on 12-lead ECG has a high predictive value for the combined end point of all-cause mortality and ventricular tachyarrhythmias in IDCM patients with left ventricular dysfunction.","author":[{"dropping-particle":"","family":"Sha","given":"Jing","non-dropping-particle":"","parse-names":false,"suffix":""},{"dropping-particle":"","family":"Zhang","given":"Shu","non-dropping-particle":"","parse-names":false,"suffix":""},{"dropping-particle":"","family":"Tang","given":"Min","non-dropping-particle":"","parse-names":false,"suffix":""},{"dropping-particle":"","family":"Chen","given":"Keping","non-dropping-particle":"","parse-names":false,"suffix":""},{"dropping-particle":"","family":"Zhao","given":"Xinran","non-dropping-particle":"","parse-names":false,"suffix":""},{"dropping-particle":"","family":"Wang","given":"Fangzheng","non-dropping-particle":"","parse-names":false,"suffix":""}],"container-title":"Annals of Noninvasive Electrocardiology","id":"ITEM-4","issued":{"date-parts":[["2011"]]},"title":"Fragmented QRS is associated with all-cause mortality and ventricular arrhythmias in patient with idiopathic dilated cardiomyopathy","type":"article-journal"},"uris":["http://www.mendeley.com/documents/?uuid=37a60531-d198-4ad2-be06-e60b770e9c0d","http://www.mendeley.com/documents/?uuid=c8e2a31e-2ade-466e-9853-fd1f3a2b8920"]},{"id":"ITEM-5","itemData":{"DOI":"10.1016/j.hrthm.2009.09.065","ISSN":"15475271","abstract":"Background: Myocardial scar is a substrate for reentrant ventricular arrhythmias and is associated with poor prognosis. Fragmented QRS (fQRS) on 12-lead ECG represents myocardial conduction delays due to myocardial scar in patients with coronary artery disease (CAD). Objective: The purpose of this study was to determine whether fQRS is associated with increased ventricular arrhythmic event and mortality in patients with CAD and nonischemic dilated cardiomyopathy (DCM). Methods: Arrhythmic events and mortality were studied in 361 patients (91% male, age 63.3 ± 11.4 years, mean follow-up 16.6 ± 10.2 months) with CAD and DCM who received an implantable cardioverter-defibrillator for primary or secondary prophylaxis. fQRS included various RSR′ patterns (QRS duration &lt;120 ms), such as ≥1 R prime or notching of the R wave or S wave present on at least two contiguous leads of those representing anterior (V1-V5), lateral (I, aVL, V6), or inferior (II, III, aVF) myocardial segments. Results: fQRS was present in 84 (23%) patients (fQRS group) and absent in 100 (28%) patients (non-fQRS group). Wide QRS (wQRS; QRS duration ≥120 ms) was present in 177 (49%) patients. Kaplan-Meier analysis revealed that event-free survival for an arrhythmic event (implantable cardioverter-defibrillator shock or antitachycardia pacing) was significantly lower in the fQRS group than in the non-fQRS and wQRS groups (P &lt;.001 and P &lt;.019, respectively). fQRS was an independent predictor of an arrhythmic event but not of death. Conclusion: fQRS on 12-lead ECG is a predictor of arrhythmic events in patients with CAD and DCM. fQRS is associated with a significantly decreased time to first arrhythmic event compared with non-fQRS and wQRS.","author":[{"dropping-particle":"","family":"Das","given":"Mithilesh Kumar","non-dropping-particle":"","parse-names":false,"suffix":""},{"dropping-particle":"","family":"Maskoun","given":"Waddah","non-dropping-particle":"","parse-names":false,"suffix":""},{"dropping-particle":"","family":"Shen","given":"Changyu","non-dropping-particle":"","parse-names":false,"suffix":""},{"dropping-particle":"","family":"Michael","given":"Mark A.","non-dropping-particle":"","parse-names":false,"suffix":""},{"dropping-particle":"","family":"Suradi","given":"Hussam","non-dropping-particle":"","parse-names":false,"suffix":""},{"dropping-particle":"","family":"Desai","given":"Mona","non-dropping-particle":"","parse-names":false,"suffix":""},{"dropping-particle":"","family":"Subbarao","given":"Roopa","non-dropping-particle":"","parse-names":false,"suffix":""},{"dropping-particle":"","family":"Bhakta","given":"Deepak","non-dropping-particle":"","parse-names":false,"suffix":""}],"container-title":"Heart Rhythm","id":"ITEM-5","issued":{"date-parts":[["2010"]]},"title":"Fragmented QRS on twelve-lead electrocardiogram predicts arrhythmic events in patients with ischemic and nonischemic cardiomyopathy","type":"article-journal"},"uris":["http://www.mendeley.com/documents/?uuid=06dade29-fc35-4f4b-bc09-4d0372ce60bb","http://www.mendeley.com/documents/?uuid=000232b4-beb1-4ba6-8d0a-83b6cf482ee8"]}],"mendeley":{"formattedCitation":"&lt;sup&gt;64,67–70&lt;/sup&gt;","plainTextFormattedCitation":"64,67–70","previouslyFormattedCitation":"&lt;sup&gt;64,67–70&lt;/sup&gt;"},"properties":{"noteIndex":0},"schema":"https://github.com/citation-style-language/schema/raw/master/csl-citation.json"}</w:instrText>
      </w:r>
      <w:r w:rsidR="004470C5" w:rsidRPr="0041574E">
        <w:rPr>
          <w:rFonts w:ascii="Calibri" w:hAnsi="Calibri" w:cs="Calibri"/>
          <w:noProof/>
          <w:lang w:val="en-GB"/>
        </w:rPr>
        <w:fldChar w:fldCharType="separate"/>
      </w:r>
      <w:r w:rsidR="00ED51EF" w:rsidRPr="00ED51EF">
        <w:rPr>
          <w:rFonts w:ascii="Calibri" w:hAnsi="Calibri" w:cs="Calibri"/>
          <w:noProof/>
          <w:vertAlign w:val="superscript"/>
          <w:lang w:val="en-GB"/>
        </w:rPr>
        <w:t>64,67–70</w:t>
      </w:r>
      <w:r w:rsidR="004470C5" w:rsidRPr="0041574E">
        <w:rPr>
          <w:rFonts w:ascii="Calibri" w:hAnsi="Calibri" w:cs="Calibri"/>
          <w:noProof/>
          <w:lang w:val="en-GB"/>
        </w:rPr>
        <w:fldChar w:fldCharType="end"/>
      </w:r>
      <w:r w:rsidR="005514C6" w:rsidRPr="0041574E">
        <w:rPr>
          <w:rFonts w:ascii="Calibri" w:hAnsi="Calibri" w:cs="Calibri"/>
          <w:noProof/>
          <w:lang w:val="en-GB"/>
        </w:rPr>
        <w:t xml:space="preserve">. </w:t>
      </w:r>
      <w:r w:rsidR="00CE4869" w:rsidRPr="0041574E">
        <w:rPr>
          <w:rFonts w:ascii="Calibri" w:hAnsi="Calibri" w:cs="Calibri"/>
          <w:lang w:val="en-GB"/>
        </w:rPr>
        <w:t xml:space="preserve">More recently, low QRS amplitude and anterolateral T wave inversion </w:t>
      </w:r>
      <w:r w:rsidR="00573121" w:rsidRPr="0041574E">
        <w:rPr>
          <w:rFonts w:ascii="Calibri" w:hAnsi="Calibri" w:cs="Calibri"/>
          <w:lang w:val="en-GB"/>
        </w:rPr>
        <w:t xml:space="preserve">emerged as independent predictors of </w:t>
      </w:r>
      <w:r w:rsidR="00491FF9">
        <w:rPr>
          <w:rFonts w:ascii="Calibri" w:hAnsi="Calibri" w:cs="Calibri"/>
          <w:lang w:val="en-GB"/>
        </w:rPr>
        <w:t>major ventricular arrhythmias</w:t>
      </w:r>
      <w:r w:rsidR="00573121" w:rsidRPr="0041574E">
        <w:rPr>
          <w:rFonts w:ascii="Calibri" w:hAnsi="Calibri" w:cs="Calibri"/>
          <w:lang w:val="en-GB"/>
        </w:rPr>
        <w:t xml:space="preserve"> and SCD in</w:t>
      </w:r>
      <w:r w:rsidR="00CE4869" w:rsidRPr="0041574E">
        <w:rPr>
          <w:rFonts w:ascii="Calibri" w:hAnsi="Calibri" w:cs="Calibri"/>
          <w:lang w:val="en-GB"/>
        </w:rPr>
        <w:t xml:space="preserve"> </w:t>
      </w:r>
      <w:r w:rsidR="00566F29">
        <w:rPr>
          <w:rFonts w:ascii="Calibri" w:hAnsi="Calibri" w:cs="Calibri"/>
          <w:lang w:val="en-GB"/>
        </w:rPr>
        <w:t xml:space="preserve">patients with </w:t>
      </w:r>
      <w:r w:rsidR="00512D47" w:rsidRPr="0041574E">
        <w:rPr>
          <w:rFonts w:ascii="Calibri" w:hAnsi="Calibri" w:cs="Calibri"/>
          <w:lang w:val="en-GB"/>
        </w:rPr>
        <w:t>DCM</w:t>
      </w:r>
      <w:r w:rsidR="00CE4869" w:rsidRPr="0041574E">
        <w:rPr>
          <w:rFonts w:ascii="Calibri" w:hAnsi="Calibri" w:cs="Calibri"/>
          <w:lang w:val="en-GB"/>
        </w:rPr>
        <w:t xml:space="preserve"> </w:t>
      </w:r>
      <w:r w:rsidR="004470C5" w:rsidRPr="0041574E">
        <w:rPr>
          <w:rFonts w:ascii="Calibri" w:hAnsi="Calibri" w:cs="Calibri"/>
          <w:lang w:val="en-GB"/>
        </w:rPr>
        <w:fldChar w:fldCharType="begin" w:fldLock="1"/>
      </w:r>
      <w:r w:rsidR="00083BAF">
        <w:rPr>
          <w:rFonts w:ascii="Calibri" w:hAnsi="Calibri" w:cs="Calibri"/>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http://www.mendeley.com/documents/?uuid=ad6368ce-867a-4c1f-b85c-73a6e61567ab","http://www.mendeley.com/documents/?uuid=d7e8c00b-dfea-4572-929e-2b48ba7d0f57","http://www.mendeley.com/documents/?uuid=385c439c-e49b-4765-8ed4-4932aa79fb3a"]},{"id":"ITEM-2","itemData":{"DOI":"10.1016/j.hrthm.2019.05.007","ISSN":"1556-3871","PMID":"31078652","abstract":"Arrhythmogenic cardiomyopathy (ACM) is an arrhythmogenic disorder of the myocardium not secondary to ischemic, hypertensive or valvular heart disease. ACM incorporates a broad spectrum of genetic, systemic, infectious, and inflammatory disorders. This designation includes, but is not limited to, arrhythmogenic right/left ventricular cardiomyopathy, cardiac amyloid and sarcoidosis, Chagas' disease and left ventricular noncompaction. The ACM phenotype overlaps with other cardiomyopathies, particularly dilated cardiomyopathy with arrhythmia presentation which may be associated with ventricular dilatation and/or impaired systolic function. This expert consensus statement provides the clinician with guidance on evaluation and management of ACM and includes clinically relevant information on genetics and disease mechanisms. PICO (Patient, Intervention, Comparison, Outcome) questions were utilized to evaluate contemporary evidence and provide clinical guidance related to exercise in arrhythmogenic right ventricular cardiomyopathy. Recommendations were developed and approved by an expert writing group, after a systematic literature search with evidence tables, and discussion of their own clinical experience, to present the current knowledge in the field. Each recommendation is presented using the Class of Recommendation and Level of Evidence system formulated by the ACC and AHA and is accompanied by references and explanatory text, to provide essential context. The ongoing recognition of the genetic basis of ACM provides the opportunity to examine the diverse triggers and potential common pathway for the development of disease and arrhythmia.","author":[{"dropping-particle":"","family":"Towbin","given":"Jeffrey A","non-dropping-particle":"","parse-names":false,"suffix":""},{"dropping-particle":"","family":"McKenna","given":"William J","non-dropping-particle":"","parse-names":false,"suffix":""},{"dropping-particle":"","family":"Abrams","given":"Dominic J","non-dropping-particle":"","parse-names":false,"suffix":""},{"dropping-particle":"","family":"Ackerman","given":"Michael J","non-dropping-particle":"","parse-names":false,"suffix":""},{"dropping-particle":"","family":"Calkins","given":"Hugh","non-dropping-particle":"","parse-names":false,"suffix":""},{"dropping-particle":"","family":"Darrieux","given":"Francisco C C","non-dropping-particle":"","parse-names":false,"suffix":""},{"dropping-particle":"","family":"Daubert","given":"James P","non-dropping-particle":"","parse-names":false,"suffix":""},{"dropping-particle":"","family":"Chillou","given":"Christian","non-dropping-particle":"de","parse-names":false,"suffix":""},{"dropping-particle":"","family":"DePasquale","given":"Eugene C","non-dropping-particle":"","parse-names":false,"suffix":""},{"dropping-particle":"","family":"Desai","given":"Milind Y","non-dropping-particle":"","parse-names":false,"suffix":""},{"dropping-particle":"","family":"Estes","given":"N A Mark","non-dropping-particle":"","parse-names":false,"suffix":""},{"dropping-particle":"","family":"Hua","given":"Wei","non-dropping-particle":"","parse-names":false,"suffix":""},{"dropping-particle":"","family":"Indik","given":"Julia H","non-dropping-particle":"","parse-names":false,"suffix":""},{"dropping-particle":"","family":"Ingles","given":"Jodie","non-dropping-particle":"","parse-names":false,"suffix":""},{"dropping-particle":"","family":"James","given":"Cynthia A","non-dropping-particle":"","parse-names":false,"suffix":""},{"dropping-particle":"","family":"John","given":"Roy M","non-dropping-particle":"","parse-names":false,"suffix":""},{"dropping-particle":"","family":"Judge","given":"Daniel P","non-dropping-particle":"","parse-names":false,"suffix":""},{"dropping-particle":"","family":"Keegan","given":"Roberto","non-dropping-particle":"","parse-names":false,"suffix":""},{"dropping-particle":"","family":"Krahn","given":"Andrew D","non-dropping-particle":"","parse-names":false,"suffix":""},{"dropping-particle":"","family":"Link","given":"Mark S","non-dropping-particle":"","parse-names":false,"suffix":""},{"dropping-particle":"","family":"Marcus","given":"Frank I","non-dropping-particle":"","parse-names":false,"suffix":""},{"dropping-particle":"","family":"McLeod","given":"Christopher J","non-dropping-particle":"","parse-names":false,"suffix":""},{"dropping-particle":"","family":"Mestroni","given":"Luisa","non-dropping-particle":"","parse-names":false,"suffix":""},{"dropping-particle":"","family":"Priori","given":"Silvia G","non-dropping-particle":"","parse-names":false,"suffix":""},{"dropping-particle":"","family":"Saffitz","given":"Jeffrey E","non-dropping-particle":"","parse-names":false,"suffix":""},{"dropping-particle":"","family":"Sanatani","given":"Shubhayan","non-dropping-particle":"","parse-names":false,"suffix":""},{"dropping-particle":"","family":"Shimizu","given":"Wataru","non-dropping-particle":"","parse-names":false,"suffix":""},{"dropping-particle":"","family":"Peter van Tintelen","given":"J","non-dropping-particle":"","parse-names":false,"suffix":""},{"dropping-particle":"","family":"Wilde","given":"Arthur A M","non-dropping-particle":"","parse-names":false,"suffix":""},{"dropping-particle":"","family":"Zareba","given":"Wojciech","non-dropping-particle":"","parse-names":false,"suffix":""}],"container-title":"Heart rhythm","id":"ITEM-2","issued":{"date-parts":[["2019","5","9"]]},"title":"2019 HRS Expert Consensus Statement on Evaluation, Risk Stratification, and Management of Arrhythmogenic Cardiomyopathy.","type":"article-journal"},"uris":["http://www.mendeley.com/documents/?uuid=5c197125-3369-40c7-9bb6-9f9b47436fd8"]}],"mendeley":{"formattedCitation":"&lt;sup&gt;2,45&lt;/sup&gt;","plainTextFormattedCitation":"2,45","previouslyFormattedCitation":"&lt;sup&gt;2,45&lt;/sup&gt;"},"properties":{"noteIndex":0},"schema":"https://github.com/citation-style-language/schema/raw/master/csl-citation.json"}</w:instrText>
      </w:r>
      <w:r w:rsidR="004470C5" w:rsidRPr="0041574E">
        <w:rPr>
          <w:rFonts w:ascii="Calibri" w:hAnsi="Calibri" w:cs="Calibri"/>
          <w:lang w:val="en-GB"/>
        </w:rPr>
        <w:fldChar w:fldCharType="separate"/>
      </w:r>
      <w:r w:rsidR="00ED51EF" w:rsidRPr="00ED51EF">
        <w:rPr>
          <w:rFonts w:ascii="Calibri" w:hAnsi="Calibri" w:cs="Calibri"/>
          <w:noProof/>
          <w:vertAlign w:val="superscript"/>
          <w:lang w:val="en-GB"/>
        </w:rPr>
        <w:t>2,45</w:t>
      </w:r>
      <w:r w:rsidR="004470C5" w:rsidRPr="0041574E">
        <w:rPr>
          <w:rFonts w:ascii="Calibri" w:hAnsi="Calibri" w:cs="Calibri"/>
          <w:lang w:val="en-GB"/>
        </w:rPr>
        <w:fldChar w:fldCharType="end"/>
      </w:r>
      <w:r w:rsidR="00CE4869" w:rsidRPr="0041574E">
        <w:rPr>
          <w:rFonts w:ascii="Calibri" w:hAnsi="Calibri" w:cs="Calibri"/>
          <w:lang w:val="en-GB"/>
        </w:rPr>
        <w:t>.</w:t>
      </w:r>
      <w:r w:rsidR="00DA761B" w:rsidRPr="0041574E">
        <w:rPr>
          <w:rFonts w:ascii="Calibri" w:hAnsi="Calibri" w:cs="Calibri"/>
          <w:lang w:val="en-GB"/>
        </w:rPr>
        <w:t xml:space="preserve"> </w:t>
      </w:r>
      <w:bookmarkStart w:id="13" w:name="_Hlk29984112"/>
      <w:r w:rsidR="00F13007">
        <w:rPr>
          <w:rFonts w:ascii="Calibri" w:hAnsi="Calibri" w:cs="Calibri"/>
          <w:lang w:val="en-GB"/>
        </w:rPr>
        <w:t>Merlo et al.</w:t>
      </w:r>
      <w:r w:rsidR="00F13007">
        <w:rPr>
          <w:rFonts w:ascii="Calibri" w:hAnsi="Calibri" w:cs="Calibri"/>
          <w:lang w:val="en-GB"/>
        </w:rPr>
        <w:fldChar w:fldCharType="begin" w:fldLock="1"/>
      </w:r>
      <w:r w:rsidR="001A2833">
        <w:rPr>
          <w:rFonts w:ascii="Calibri" w:hAnsi="Calibri" w:cs="Calibri"/>
          <w:lang w:val="en-GB"/>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2&lt;/sup&gt;"},"properties":{"noteIndex":0},"schema":"https://github.com/citation-style-language/schema/raw/master/csl-citation.json"}</w:instrText>
      </w:r>
      <w:r w:rsidR="00F13007">
        <w:rPr>
          <w:rFonts w:ascii="Calibri" w:hAnsi="Calibri" w:cs="Calibri"/>
          <w:lang w:val="en-GB"/>
        </w:rPr>
        <w:fldChar w:fldCharType="separate"/>
      </w:r>
      <w:r w:rsidR="00F13007" w:rsidRPr="00F13007">
        <w:rPr>
          <w:rFonts w:ascii="Calibri" w:hAnsi="Calibri" w:cs="Calibri"/>
          <w:noProof/>
          <w:vertAlign w:val="superscript"/>
          <w:lang w:val="en-GB"/>
        </w:rPr>
        <w:t>2</w:t>
      </w:r>
      <w:r w:rsidR="00F13007">
        <w:rPr>
          <w:rFonts w:ascii="Calibri" w:hAnsi="Calibri" w:cs="Calibri"/>
          <w:lang w:val="en-GB"/>
        </w:rPr>
        <w:fldChar w:fldCharType="end"/>
      </w:r>
      <w:r w:rsidR="00F13007">
        <w:rPr>
          <w:rFonts w:ascii="Calibri" w:hAnsi="Calibri" w:cs="Calibri"/>
          <w:lang w:val="en-GB"/>
        </w:rPr>
        <w:t xml:space="preserve"> recently showed that specific ECG features, including </w:t>
      </w:r>
      <w:r w:rsidR="00F13007" w:rsidRPr="00F13007">
        <w:rPr>
          <w:rFonts w:ascii="Calibri" w:hAnsi="Calibri" w:cs="Calibri"/>
          <w:lang w:val="en-GB"/>
        </w:rPr>
        <w:t>T-wave inversion in antero-lateral leads,</w:t>
      </w:r>
      <w:r w:rsidR="00F13007">
        <w:rPr>
          <w:rFonts w:ascii="Calibri" w:hAnsi="Calibri" w:cs="Calibri"/>
          <w:lang w:val="en-GB"/>
        </w:rPr>
        <w:t xml:space="preserve"> left ventricular hypertrophy</w:t>
      </w:r>
      <w:r w:rsidR="001A2833">
        <w:rPr>
          <w:rFonts w:ascii="Calibri" w:hAnsi="Calibri" w:cs="Calibri"/>
          <w:lang w:val="en-GB"/>
        </w:rPr>
        <w:t xml:space="preserve"> (according to Sokolow-Lyon criteria)</w:t>
      </w:r>
      <w:r w:rsidR="00F13007">
        <w:rPr>
          <w:rFonts w:ascii="Calibri" w:hAnsi="Calibri" w:cs="Calibri"/>
          <w:lang w:val="en-GB"/>
        </w:rPr>
        <w:t xml:space="preserve"> and</w:t>
      </w:r>
      <w:r w:rsidR="001A2833">
        <w:rPr>
          <w:rFonts w:ascii="Calibri" w:hAnsi="Calibri" w:cs="Calibri"/>
          <w:lang w:val="en-GB"/>
        </w:rPr>
        <w:t xml:space="preserve"> higher</w:t>
      </w:r>
      <w:r w:rsidR="00F13007" w:rsidRPr="00F13007">
        <w:rPr>
          <w:rFonts w:ascii="Calibri" w:hAnsi="Calibri" w:cs="Calibri"/>
          <w:lang w:val="en-GB"/>
        </w:rPr>
        <w:t xml:space="preserve"> </w:t>
      </w:r>
      <w:r w:rsidR="00F13007">
        <w:rPr>
          <w:rFonts w:ascii="Calibri" w:hAnsi="Calibri" w:cs="Calibri"/>
          <w:lang w:val="en-GB"/>
        </w:rPr>
        <w:t>heart rate</w:t>
      </w:r>
      <w:r w:rsidR="001A2833">
        <w:rPr>
          <w:rFonts w:ascii="Calibri" w:hAnsi="Calibri" w:cs="Calibri"/>
          <w:lang w:val="en-GB"/>
        </w:rPr>
        <w:t>s</w:t>
      </w:r>
      <w:r w:rsidR="00F13007">
        <w:rPr>
          <w:rFonts w:ascii="Calibri" w:hAnsi="Calibri" w:cs="Calibri"/>
          <w:lang w:val="en-GB"/>
        </w:rPr>
        <w:t xml:space="preserve"> are predictors of </w:t>
      </w:r>
      <w:r w:rsidR="001A2833">
        <w:rPr>
          <w:rFonts w:ascii="Calibri" w:hAnsi="Calibri" w:cs="Calibri"/>
          <w:lang w:val="en-GB"/>
        </w:rPr>
        <w:t>heart transplant</w:t>
      </w:r>
      <w:r w:rsidR="00F13007">
        <w:rPr>
          <w:rFonts w:ascii="Calibri" w:hAnsi="Calibri" w:cs="Calibri"/>
          <w:lang w:val="en-GB"/>
        </w:rPr>
        <w:t xml:space="preserve"> and death.</w:t>
      </w:r>
      <w:bookmarkEnd w:id="13"/>
    </w:p>
    <w:p w14:paraId="6C3D11CA" w14:textId="28AD5E8E" w:rsidR="001D1F4D" w:rsidRDefault="00EF6168" w:rsidP="001B2813">
      <w:pPr>
        <w:spacing w:line="480" w:lineRule="auto"/>
        <w:ind w:firstLine="720"/>
        <w:rPr>
          <w:rFonts w:ascii="Calibri" w:hAnsi="Calibri" w:cs="Calibri"/>
          <w:bCs/>
          <w:lang w:val="en-GB"/>
        </w:rPr>
      </w:pPr>
      <w:r>
        <w:rPr>
          <w:rFonts w:ascii="Calibri" w:hAnsi="Calibri" w:cs="Calibri"/>
          <w:bCs/>
          <w:lang w:val="en-GB"/>
        </w:rPr>
        <w:t xml:space="preserve">Although </w:t>
      </w:r>
      <w:r w:rsidR="00CF0572" w:rsidRPr="0041574E">
        <w:rPr>
          <w:rFonts w:ascii="Calibri" w:hAnsi="Calibri" w:cs="Calibri"/>
          <w:bCs/>
          <w:lang w:val="en-GB"/>
        </w:rPr>
        <w:t>many ECG features</w:t>
      </w:r>
      <w:r>
        <w:rPr>
          <w:rFonts w:ascii="Calibri" w:hAnsi="Calibri" w:cs="Calibri"/>
          <w:bCs/>
          <w:lang w:val="en-GB"/>
        </w:rPr>
        <w:t xml:space="preserve"> may</w:t>
      </w:r>
      <w:r w:rsidR="00CF0572" w:rsidRPr="0041574E">
        <w:rPr>
          <w:rFonts w:ascii="Calibri" w:hAnsi="Calibri" w:cs="Calibri"/>
          <w:bCs/>
          <w:lang w:val="en-GB"/>
        </w:rPr>
        <w:t xml:space="preserve"> underlie </w:t>
      </w:r>
      <w:r>
        <w:rPr>
          <w:rFonts w:ascii="Calibri" w:hAnsi="Calibri" w:cs="Calibri"/>
          <w:bCs/>
          <w:lang w:val="en-GB"/>
        </w:rPr>
        <w:t>a</w:t>
      </w:r>
      <w:r w:rsidR="00CF0572" w:rsidRPr="0041574E">
        <w:rPr>
          <w:rFonts w:ascii="Calibri" w:hAnsi="Calibri" w:cs="Calibri"/>
          <w:bCs/>
          <w:lang w:val="en-GB"/>
        </w:rPr>
        <w:t xml:space="preserve"> propensity</w:t>
      </w:r>
      <w:r>
        <w:rPr>
          <w:rFonts w:ascii="Calibri" w:hAnsi="Calibri" w:cs="Calibri"/>
          <w:bCs/>
          <w:lang w:val="en-GB"/>
        </w:rPr>
        <w:t xml:space="preserve"> for potentially fatal cardiac arrhythmias,</w:t>
      </w:r>
      <w:r w:rsidR="00141019" w:rsidRPr="0041574E">
        <w:rPr>
          <w:rFonts w:ascii="Calibri" w:hAnsi="Calibri" w:cs="Calibri"/>
          <w:bCs/>
          <w:lang w:val="en-GB"/>
        </w:rPr>
        <w:t xml:space="preserve"> none of these </w:t>
      </w:r>
      <w:r w:rsidR="001B2813">
        <w:rPr>
          <w:rFonts w:ascii="Calibri" w:hAnsi="Calibri" w:cs="Calibri"/>
          <w:bCs/>
          <w:lang w:val="en-GB"/>
        </w:rPr>
        <w:t xml:space="preserve">are </w:t>
      </w:r>
      <w:r>
        <w:rPr>
          <w:rFonts w:ascii="Calibri" w:hAnsi="Calibri" w:cs="Calibri"/>
          <w:bCs/>
          <w:lang w:val="en-GB"/>
        </w:rPr>
        <w:t>included</w:t>
      </w:r>
      <w:r w:rsidR="00141019" w:rsidRPr="0041574E">
        <w:rPr>
          <w:rFonts w:ascii="Calibri" w:hAnsi="Calibri" w:cs="Calibri"/>
          <w:bCs/>
          <w:lang w:val="en-GB"/>
        </w:rPr>
        <w:t xml:space="preserve"> in the recommendations for ICD implantation</w:t>
      </w:r>
      <w:r>
        <w:rPr>
          <w:rFonts w:ascii="Calibri" w:hAnsi="Calibri" w:cs="Calibri"/>
          <w:bCs/>
          <w:lang w:val="en-GB"/>
        </w:rPr>
        <w:t xml:space="preserve"> in primary prevention</w:t>
      </w:r>
      <w:r w:rsidR="00EC4F81" w:rsidRPr="0041574E">
        <w:rPr>
          <w:rFonts w:ascii="Calibri" w:hAnsi="Calibri" w:cs="Calibri"/>
          <w:bCs/>
          <w:lang w:val="en-GB"/>
        </w:rPr>
        <w:t xml:space="preserve">, which </w:t>
      </w:r>
      <w:r w:rsidR="00331AE0" w:rsidRPr="0041574E">
        <w:rPr>
          <w:rFonts w:ascii="Calibri" w:hAnsi="Calibri" w:cs="Calibri"/>
          <w:bCs/>
          <w:lang w:val="en-GB"/>
        </w:rPr>
        <w:t>are</w:t>
      </w:r>
      <w:r w:rsidR="00EC4F81" w:rsidRPr="0041574E">
        <w:rPr>
          <w:rFonts w:ascii="Calibri" w:hAnsi="Calibri" w:cs="Calibri"/>
          <w:bCs/>
          <w:lang w:val="en-GB"/>
        </w:rPr>
        <w:t xml:space="preserve"> still based on LV</w:t>
      </w:r>
      <w:r w:rsidR="001B2813">
        <w:rPr>
          <w:rFonts w:ascii="Calibri" w:hAnsi="Calibri" w:cs="Calibri"/>
          <w:bCs/>
          <w:lang w:val="en-GB"/>
        </w:rPr>
        <w:t xml:space="preserve"> ejection fraction</w:t>
      </w:r>
      <w:r w:rsidR="00EC4F81" w:rsidRPr="0041574E">
        <w:rPr>
          <w:rFonts w:ascii="Calibri" w:hAnsi="Calibri" w:cs="Calibri"/>
          <w:bCs/>
          <w:lang w:val="en-GB"/>
        </w:rPr>
        <w:t xml:space="preserve"> and NYHA class</w:t>
      </w:r>
      <w:r w:rsidR="00331AE0" w:rsidRPr="0041574E">
        <w:rPr>
          <w:rFonts w:ascii="Calibri" w:hAnsi="Calibri" w:cs="Calibri"/>
          <w:bCs/>
          <w:lang w:val="en-GB"/>
        </w:rPr>
        <w:t xml:space="preserve"> only</w:t>
      </w:r>
      <w:r w:rsidR="00AD7224">
        <w:rPr>
          <w:rFonts w:ascii="Calibri" w:hAnsi="Calibri" w:cs="Calibri"/>
          <w:bCs/>
          <w:lang w:val="en-GB"/>
        </w:rPr>
        <w:fldChar w:fldCharType="begin" w:fldLock="1"/>
      </w:r>
      <w:r w:rsidR="00ED51EF">
        <w:rPr>
          <w:rFonts w:ascii="Calibri" w:hAnsi="Calibri" w:cs="Calibri"/>
          <w:bCs/>
          <w:lang w:val="en-GB"/>
        </w:rPr>
        <w:instrText>ADDIN CSL_CITATION {"citationItems":[{"id":"ITEM-1","itemData":{"DOI":"10.1093/eurheartj/ehw128","ISSN":"1522-9645","PMID":"27206819","author":[{"dropping-particle":"","family":"Ponikowski","given":"Piotr","non-dropping-particle":"","parse-names":false,"suffix":""},{"dropping-particle":"","family":"Voors","given":"Adriaan A","non-dropping-particle":"","parse-names":false,"suffix":""},{"dropping-particle":"","family":"Anker","given":"Stefan D","non-dropping-particle":"","parse-names":false,"suffix":""},{"dropping-particle":"","family":"Bueno","given":"Héctor","non-dropping-particle":"","parse-names":false,"suffix":""},{"dropping-particle":"","family":"Cleland","given":"John G F","non-dropping-particle":"","parse-names":false,"suffix":""},{"dropping-particle":"","family":"Coats","given":"Andrew J S","non-dropping-particle":"","parse-names":false,"suffix":""},{"dropping-particle":"","family":"Falk","given":"Volkmar","non-dropping-particle":"","parse-names":false,"suffix":""},{"dropping-particle":"","family":"González-Juanatey","given":"José Ramón","non-dropping-particle":"","parse-names":false,"suffix":""},{"dropping-particle":"","family":"Harjola","given":"Veli-Pekka","non-dropping-particle":"","parse-names":false,"suffix":""},{"dropping-particle":"","family":"Jankowska","given":"Ewa A","non-dropping-particle":"","parse-names":false,"suffix":""},{"dropping-particle":"","family":"Jessup","given":"Mariell","non-dropping-particle":"","parse-names":false,"suffix":""},{"dropping-particle":"","family":"Linde","given":"Cecilia","non-dropping-particle":"","parse-names":false,"suffix":""},{"dropping-particle":"","family":"Nihoyannopoulos","given":"Petros","non-dropping-particle":"","parse-names":false,"suffix":""},{"dropping-particle":"","family":"Parissis","given":"John T","non-dropping-particle":"","parse-names":false,"suffix":""},{"dropping-particle":"","family":"Pieske","given":"Burkert","non-dropping-particle":"","parse-names":false,"suffix":""},{"dropping-particle":"","family":"Riley","given":"Jillian P","non-dropping-particle":"","parse-names":false,"suffix":""},{"dropping-particle":"","family":"Rosano","given":"Giuseppe M C","non-dropping-particle":"","parse-names":false,"suffix":""},{"dropping-particle":"","family":"Ruilope","given":"Luis M","non-dropping-particle":"","parse-names":false,"suffix":""},{"dropping-particle":"","family":"Ruschitzka","given":"Frank","non-dropping-particle":"","parse-names":false,"suffix":""},{"dropping-particle":"","family":"Rutten","given":"Frans H","non-dropping-particle":"","parse-names":false,"suffix":""},{"dropping-particle":"","family":"Meer","given":"Peter","non-dropping-particle":"van der","parse-names":false,"suffix":""},{"dropping-particle":"","family":"ESC Scientific Document Group","given":"","non-dropping-particle":"","parse-names":false,"suffix":""}],"container-title":"European heart journal","id":"ITEM-1","issue":"27","issued":{"date-parts":[["2016","7","14"]]},"page":"2129-2200","title":"2016 ESC Guidelines for the diagnosis and treatment of acute and chronic heart failure: The Task Force for the diagnosis and treatment of acute and chronic heart failure of the European Society of Cardiology (ESC)Developed with the special contribution of","type":"article-journal","volume":"37"},"uris":["http://www.mendeley.com/documents/?uuid=c347d474-eee4-427f-a718-5e5bc6cb5927"]}],"mendeley":{"formattedCitation":"&lt;sup&gt;71&lt;/sup&gt;","plainTextFormattedCitation":"71","previouslyFormattedCitation":"&lt;sup&gt;71&lt;/sup&gt;"},"properties":{"noteIndex":0},"schema":"https://github.com/citation-style-language/schema/raw/master/csl-citation.json"}</w:instrText>
      </w:r>
      <w:r w:rsidR="00AD7224">
        <w:rPr>
          <w:rFonts w:ascii="Calibri" w:hAnsi="Calibri" w:cs="Calibri"/>
          <w:bCs/>
          <w:lang w:val="en-GB"/>
        </w:rPr>
        <w:fldChar w:fldCharType="separate"/>
      </w:r>
      <w:r w:rsidR="00ED51EF" w:rsidRPr="00ED51EF">
        <w:rPr>
          <w:rFonts w:ascii="Calibri" w:hAnsi="Calibri" w:cs="Calibri"/>
          <w:bCs/>
          <w:noProof/>
          <w:vertAlign w:val="superscript"/>
          <w:lang w:val="en-GB"/>
        </w:rPr>
        <w:t>71</w:t>
      </w:r>
      <w:r w:rsidR="00AD7224">
        <w:rPr>
          <w:rFonts w:ascii="Calibri" w:hAnsi="Calibri" w:cs="Calibri"/>
          <w:bCs/>
          <w:lang w:val="en-GB"/>
        </w:rPr>
        <w:fldChar w:fldCharType="end"/>
      </w:r>
      <w:r w:rsidR="00CF0572" w:rsidRPr="0041574E">
        <w:rPr>
          <w:rFonts w:ascii="Calibri" w:hAnsi="Calibri" w:cs="Calibri"/>
          <w:bCs/>
          <w:lang w:val="en-GB"/>
        </w:rPr>
        <w:t xml:space="preserve">. </w:t>
      </w:r>
    </w:p>
    <w:p w14:paraId="2A17E92F" w14:textId="77777777" w:rsidR="0016009E" w:rsidRDefault="0016009E">
      <w:pPr>
        <w:spacing w:line="480" w:lineRule="auto"/>
        <w:rPr>
          <w:rFonts w:ascii="Calibri" w:hAnsi="Calibri" w:cs="Calibri"/>
          <w:b/>
          <w:color w:val="000000"/>
          <w:lang w:val="en-GB"/>
        </w:rPr>
      </w:pPr>
      <w:bookmarkStart w:id="14" w:name="_Hlk29308821"/>
      <w:bookmarkStart w:id="15" w:name="_Hlk29378788"/>
    </w:p>
    <w:p w14:paraId="6F8E2D5E" w14:textId="781815AD" w:rsidR="0016009E" w:rsidRDefault="0016009E">
      <w:pPr>
        <w:spacing w:line="480" w:lineRule="auto"/>
        <w:rPr>
          <w:rFonts w:ascii="Calibri" w:hAnsi="Calibri" w:cs="Calibri"/>
          <w:b/>
          <w:color w:val="000000"/>
          <w:lang w:val="en-GB"/>
        </w:rPr>
      </w:pPr>
      <w:r>
        <w:rPr>
          <w:rFonts w:ascii="Calibri" w:hAnsi="Calibri" w:cs="Calibri"/>
          <w:b/>
          <w:color w:val="000000"/>
          <w:lang w:val="en-GB"/>
        </w:rPr>
        <w:t>Clinical implications</w:t>
      </w:r>
    </w:p>
    <w:p w14:paraId="0B235EDC" w14:textId="15303B10" w:rsidR="002E7F5F" w:rsidRDefault="00EF0E6A">
      <w:pPr>
        <w:spacing w:line="480" w:lineRule="auto"/>
        <w:rPr>
          <w:rFonts w:ascii="Calibri" w:hAnsi="Calibri" w:cs="Calibri"/>
          <w:color w:val="000000"/>
          <w:lang w:val="en-GB"/>
        </w:rPr>
      </w:pPr>
      <w:r w:rsidRPr="00EF0E6A">
        <w:rPr>
          <w:rFonts w:ascii="Calibri" w:hAnsi="Calibri" w:cs="Calibri"/>
          <w:color w:val="000000"/>
          <w:lang w:val="en-GB"/>
        </w:rPr>
        <w:t>A learned ECG interpretation</w:t>
      </w:r>
      <w:r>
        <w:rPr>
          <w:rFonts w:ascii="Calibri" w:hAnsi="Calibri" w:cs="Calibri"/>
          <w:color w:val="000000"/>
          <w:lang w:val="en-GB"/>
        </w:rPr>
        <w:t xml:space="preserve"> is extremely valuable when approaching </w:t>
      </w:r>
      <w:r w:rsidR="002E7F5F">
        <w:rPr>
          <w:rFonts w:ascii="Calibri" w:hAnsi="Calibri" w:cs="Calibri"/>
          <w:color w:val="000000"/>
          <w:lang w:val="en-GB"/>
        </w:rPr>
        <w:t>patients</w:t>
      </w:r>
      <w:r>
        <w:rPr>
          <w:rFonts w:ascii="Calibri" w:hAnsi="Calibri" w:cs="Calibri"/>
          <w:color w:val="000000"/>
          <w:lang w:val="en-GB"/>
        </w:rPr>
        <w:t xml:space="preserve"> with unexplained LV systolic dysfunction and/or LV dilatation.</w:t>
      </w:r>
      <w:r w:rsidR="0060599A">
        <w:rPr>
          <w:rFonts w:ascii="Calibri" w:hAnsi="Calibri" w:cs="Calibri"/>
          <w:color w:val="000000"/>
          <w:lang w:val="en-GB"/>
        </w:rPr>
        <w:t xml:space="preserve"> </w:t>
      </w:r>
      <w:r w:rsidR="002E7F5F">
        <w:rPr>
          <w:rFonts w:ascii="Calibri" w:hAnsi="Calibri" w:cs="Calibri"/>
          <w:color w:val="000000"/>
          <w:lang w:val="en-GB"/>
        </w:rPr>
        <w:t>A systematic approach to ECG interpretation may reveal features pointing toward specific forms of DCM with implications on clinical management. Certain ECG “red flags” may suggest to look beyond the echocardiogram and to request additional tests as CMR, Holter monitoring and ETT, avoiding an LV ejection fraction- centred approach</w:t>
      </w:r>
      <w:r w:rsidR="008C16DE">
        <w:rPr>
          <w:rFonts w:ascii="Calibri" w:hAnsi="Calibri" w:cs="Calibri"/>
          <w:color w:val="000000"/>
          <w:lang w:val="en-GB"/>
        </w:rPr>
        <w:t xml:space="preserve"> </w:t>
      </w:r>
      <w:r w:rsidR="008C16DE" w:rsidRPr="008C16DE">
        <w:rPr>
          <w:rFonts w:ascii="Calibri" w:hAnsi="Calibri" w:cs="Calibri"/>
          <w:b/>
          <w:color w:val="000000"/>
          <w:lang w:val="en-GB"/>
        </w:rPr>
        <w:t>(Central Illustration)</w:t>
      </w:r>
      <w:r w:rsidR="002E7F5F">
        <w:rPr>
          <w:rFonts w:ascii="Calibri" w:hAnsi="Calibri" w:cs="Calibri"/>
          <w:color w:val="000000"/>
          <w:lang w:val="en-GB"/>
        </w:rPr>
        <w:t>.</w:t>
      </w:r>
    </w:p>
    <w:p w14:paraId="1CE8ECF7" w14:textId="02C2EDA4" w:rsidR="002E7F5F" w:rsidRPr="00EF0E6A" w:rsidRDefault="002E7F5F">
      <w:pPr>
        <w:spacing w:line="480" w:lineRule="auto"/>
        <w:rPr>
          <w:rFonts w:ascii="Calibri" w:hAnsi="Calibri" w:cs="Calibri"/>
          <w:color w:val="000000"/>
          <w:lang w:val="en-GB"/>
        </w:rPr>
      </w:pPr>
      <w:r w:rsidRPr="00EF0E6A">
        <w:rPr>
          <w:rFonts w:ascii="Calibri" w:hAnsi="Calibri" w:cs="Calibri"/>
          <w:color w:val="000000"/>
          <w:lang w:val="en-GB"/>
        </w:rPr>
        <w:t xml:space="preserve"> </w:t>
      </w:r>
    </w:p>
    <w:p w14:paraId="081783AA" w14:textId="7259869D" w:rsidR="00FC5D02" w:rsidRPr="0060599A" w:rsidRDefault="00FC5D02">
      <w:pPr>
        <w:spacing w:line="480" w:lineRule="auto"/>
        <w:rPr>
          <w:rFonts w:ascii="Calibri" w:hAnsi="Calibri" w:cs="Calibri"/>
          <w:b/>
          <w:color w:val="000000"/>
          <w:lang w:val="en-GB"/>
        </w:rPr>
      </w:pPr>
      <w:r w:rsidRPr="0060599A">
        <w:rPr>
          <w:rFonts w:ascii="Calibri" w:hAnsi="Calibri" w:cs="Calibri"/>
          <w:b/>
          <w:color w:val="000000"/>
          <w:lang w:val="en-GB"/>
        </w:rPr>
        <w:t>Gaps in evidence and future suggestions</w:t>
      </w:r>
      <w:bookmarkStart w:id="16" w:name="_Hlk29567418"/>
    </w:p>
    <w:p w14:paraId="70E7B6CC" w14:textId="55A2294B" w:rsidR="00256D8F" w:rsidRPr="00256D8F" w:rsidRDefault="00256D8F" w:rsidP="001D6BE0">
      <w:pPr>
        <w:spacing w:line="480" w:lineRule="auto"/>
        <w:rPr>
          <w:rFonts w:ascii="Calibri" w:hAnsi="Calibri" w:cs="Calibri"/>
          <w:bCs/>
          <w:lang w:val="en-GB"/>
        </w:rPr>
      </w:pPr>
      <w:bookmarkStart w:id="17" w:name="_Hlk29997586"/>
      <w:r w:rsidRPr="0060599A">
        <w:rPr>
          <w:rFonts w:ascii="Calibri" w:hAnsi="Calibri" w:cs="Calibri"/>
          <w:bCs/>
          <w:lang w:val="en-GB"/>
        </w:rPr>
        <w:t>Most studies</w:t>
      </w:r>
      <w:r>
        <w:rPr>
          <w:rFonts w:ascii="Calibri" w:hAnsi="Calibri" w:cs="Calibri"/>
          <w:bCs/>
          <w:lang w:val="en-GB"/>
        </w:rPr>
        <w:t xml:space="preserve"> on ECG in DCM are single </w:t>
      </w:r>
      <w:proofErr w:type="spellStart"/>
      <w:r>
        <w:rPr>
          <w:rFonts w:ascii="Calibri" w:hAnsi="Calibri" w:cs="Calibri"/>
          <w:bCs/>
          <w:lang w:val="en-GB"/>
        </w:rPr>
        <w:t>center</w:t>
      </w:r>
      <w:proofErr w:type="spellEnd"/>
      <w:r>
        <w:rPr>
          <w:rFonts w:ascii="Calibri" w:hAnsi="Calibri" w:cs="Calibri"/>
          <w:bCs/>
          <w:lang w:val="en-GB"/>
        </w:rPr>
        <w:t xml:space="preserve"> retrospective studies.</w:t>
      </w:r>
      <w:r w:rsidR="007338E1">
        <w:rPr>
          <w:rFonts w:ascii="Calibri" w:hAnsi="Calibri" w:cs="Calibri"/>
          <w:bCs/>
          <w:lang w:val="en-GB"/>
        </w:rPr>
        <w:t xml:space="preserve"> Despite the rapid</w:t>
      </w:r>
      <w:r w:rsidR="00E319C0">
        <w:rPr>
          <w:rFonts w:ascii="Calibri" w:hAnsi="Calibri" w:cs="Calibri"/>
          <w:bCs/>
          <w:lang w:val="en-GB"/>
        </w:rPr>
        <w:t xml:space="preserve"> </w:t>
      </w:r>
      <w:r w:rsidR="007338E1">
        <w:rPr>
          <w:rFonts w:ascii="Calibri" w:hAnsi="Calibri" w:cs="Calibri"/>
          <w:bCs/>
          <w:lang w:val="en-GB"/>
        </w:rPr>
        <w:t xml:space="preserve">increase in the understanding of the genotype-phenotype correlations in DCM and the role of the ECG in this context, </w:t>
      </w:r>
      <w:r w:rsidR="00095A7D">
        <w:rPr>
          <w:rFonts w:ascii="Calibri" w:hAnsi="Calibri" w:cs="Calibri"/>
          <w:bCs/>
          <w:lang w:val="en-GB"/>
        </w:rPr>
        <w:t xml:space="preserve">the </w:t>
      </w:r>
      <w:r w:rsidR="007338E1">
        <w:rPr>
          <w:rFonts w:ascii="Calibri" w:hAnsi="Calibri" w:cs="Calibri"/>
          <w:bCs/>
          <w:lang w:val="en-GB"/>
        </w:rPr>
        <w:t xml:space="preserve">knowledge </w:t>
      </w:r>
      <w:r w:rsidR="00095A7D">
        <w:rPr>
          <w:rFonts w:ascii="Calibri" w:hAnsi="Calibri" w:cs="Calibri"/>
          <w:bCs/>
          <w:lang w:val="en-GB"/>
        </w:rPr>
        <w:t xml:space="preserve">on the modifications of the ECG </w:t>
      </w:r>
      <w:r w:rsidR="007338E1">
        <w:rPr>
          <w:rFonts w:ascii="Calibri" w:hAnsi="Calibri" w:cs="Calibri"/>
          <w:bCs/>
          <w:lang w:val="en-GB"/>
        </w:rPr>
        <w:t xml:space="preserve">during </w:t>
      </w:r>
      <w:r w:rsidR="00095A7D">
        <w:rPr>
          <w:rFonts w:ascii="Calibri" w:hAnsi="Calibri" w:cs="Calibri"/>
          <w:bCs/>
          <w:lang w:val="en-GB"/>
        </w:rPr>
        <w:t>the natural history of the disease</w:t>
      </w:r>
      <w:r w:rsidR="007338E1">
        <w:rPr>
          <w:rFonts w:ascii="Calibri" w:hAnsi="Calibri" w:cs="Calibri"/>
          <w:bCs/>
          <w:lang w:val="en-GB"/>
        </w:rPr>
        <w:t xml:space="preserve"> is still partial.</w:t>
      </w:r>
      <w:r w:rsidR="00095A7D">
        <w:rPr>
          <w:rFonts w:ascii="Calibri" w:hAnsi="Calibri" w:cs="Calibri"/>
          <w:bCs/>
          <w:lang w:val="en-GB"/>
        </w:rPr>
        <w:t xml:space="preserve"> As the definition of DCM is based mainly on structural features as LV dilatation and systolic dysfunction, clinical research has focused mainly on imaging tools as echocardiography and more recently CMR.</w:t>
      </w:r>
      <w:r w:rsidR="003D5916">
        <w:rPr>
          <w:rFonts w:ascii="Calibri" w:hAnsi="Calibri" w:cs="Calibri"/>
          <w:bCs/>
          <w:lang w:val="en-GB"/>
        </w:rPr>
        <w:t xml:space="preserve"> Future studies should include ECG data</w:t>
      </w:r>
      <w:r w:rsidR="001004FD">
        <w:rPr>
          <w:rFonts w:ascii="Calibri" w:hAnsi="Calibri" w:cs="Calibri"/>
          <w:bCs/>
          <w:lang w:val="en-GB"/>
        </w:rPr>
        <w:t xml:space="preserve"> systematically</w:t>
      </w:r>
      <w:r w:rsidR="003D5916">
        <w:rPr>
          <w:rFonts w:ascii="Calibri" w:hAnsi="Calibri" w:cs="Calibri"/>
          <w:bCs/>
          <w:lang w:val="en-GB"/>
        </w:rPr>
        <w:t xml:space="preserve"> in order to </w:t>
      </w:r>
      <w:r w:rsidR="00E319C0">
        <w:rPr>
          <w:rFonts w:ascii="Calibri" w:hAnsi="Calibri" w:cs="Calibri"/>
          <w:bCs/>
          <w:lang w:val="en-GB"/>
        </w:rPr>
        <w:t>identify</w:t>
      </w:r>
      <w:r w:rsidR="003D5916">
        <w:rPr>
          <w:rFonts w:ascii="Calibri" w:hAnsi="Calibri" w:cs="Calibri"/>
          <w:bCs/>
          <w:lang w:val="en-GB"/>
        </w:rPr>
        <w:t xml:space="preserve"> possible additional roles</w:t>
      </w:r>
      <w:r w:rsidR="00E319C0">
        <w:rPr>
          <w:rFonts w:ascii="Calibri" w:hAnsi="Calibri" w:cs="Calibri"/>
          <w:bCs/>
          <w:lang w:val="en-GB"/>
        </w:rPr>
        <w:t xml:space="preserve"> </w:t>
      </w:r>
      <w:r w:rsidR="003D5916">
        <w:rPr>
          <w:rFonts w:ascii="Calibri" w:hAnsi="Calibri" w:cs="Calibri"/>
          <w:bCs/>
          <w:lang w:val="en-GB"/>
        </w:rPr>
        <w:t>of the ECG in the diagnosis and risk stratification of the disease.</w:t>
      </w:r>
    </w:p>
    <w:bookmarkEnd w:id="14"/>
    <w:bookmarkEnd w:id="15"/>
    <w:bookmarkEnd w:id="16"/>
    <w:bookmarkEnd w:id="17"/>
    <w:p w14:paraId="606334CE" w14:textId="77777777" w:rsidR="00A81831" w:rsidRDefault="00A81831" w:rsidP="00F75E71">
      <w:pPr>
        <w:spacing w:line="480" w:lineRule="auto"/>
        <w:rPr>
          <w:rFonts w:ascii="Calibri" w:hAnsi="Calibri" w:cs="Calibri"/>
          <w:b/>
          <w:lang w:val="en-GB"/>
        </w:rPr>
      </w:pPr>
    </w:p>
    <w:p w14:paraId="6C0954FF" w14:textId="46F2819D" w:rsidR="00F75E71" w:rsidRPr="007F3F63" w:rsidRDefault="00F75E71" w:rsidP="00F75E71">
      <w:pPr>
        <w:spacing w:line="480" w:lineRule="auto"/>
        <w:rPr>
          <w:rFonts w:ascii="Calibri" w:hAnsi="Calibri" w:cs="Calibri"/>
          <w:b/>
          <w:lang w:val="en-GB"/>
        </w:rPr>
      </w:pPr>
      <w:r w:rsidRPr="007F3F63">
        <w:rPr>
          <w:rFonts w:ascii="Calibri" w:hAnsi="Calibri" w:cs="Calibri"/>
          <w:b/>
          <w:lang w:val="en-GB"/>
        </w:rPr>
        <w:t>CONCLUSIONS</w:t>
      </w:r>
    </w:p>
    <w:p w14:paraId="3D0EBD16" w14:textId="77777777" w:rsidR="00F75E71" w:rsidRPr="0041574E" w:rsidRDefault="00F75E71" w:rsidP="00F75E71">
      <w:pPr>
        <w:spacing w:line="480" w:lineRule="auto"/>
        <w:rPr>
          <w:rFonts w:ascii="Calibri" w:hAnsi="Calibri" w:cs="Calibri"/>
          <w:u w:val="single"/>
          <w:lang w:val="en-GB"/>
        </w:rPr>
      </w:pPr>
    </w:p>
    <w:p w14:paraId="7978D7F8" w14:textId="06747C78" w:rsidR="008C16DE" w:rsidRDefault="00F75E71" w:rsidP="00F707E4">
      <w:pPr>
        <w:spacing w:line="480" w:lineRule="auto"/>
        <w:ind w:firstLine="720"/>
        <w:rPr>
          <w:rFonts w:ascii="Calibri" w:hAnsi="Calibri"/>
          <w:lang w:val="en-GB"/>
        </w:rPr>
      </w:pPr>
      <w:r>
        <w:rPr>
          <w:rFonts w:ascii="Calibri" w:hAnsi="Calibri"/>
          <w:lang w:val="en-GB"/>
        </w:rPr>
        <w:t xml:space="preserve">The ECG is a cornerstone in the diagnosis and management of cardiomyopathies. While traditionally the ECG was considered non-specific in DCM, a deeper understanding of the genotype-phenotype correlations and of the complex aetiological background underlying the DCM phenotype, </w:t>
      </w:r>
      <w:r w:rsidR="001004FD">
        <w:rPr>
          <w:rFonts w:ascii="Calibri" w:hAnsi="Calibri"/>
          <w:lang w:val="en-GB"/>
        </w:rPr>
        <w:t xml:space="preserve">increasingly </w:t>
      </w:r>
      <w:r>
        <w:rPr>
          <w:rFonts w:ascii="Calibri" w:hAnsi="Calibri"/>
          <w:lang w:val="en-GB"/>
        </w:rPr>
        <w:t>reveal</w:t>
      </w:r>
      <w:r w:rsidR="001004FD">
        <w:rPr>
          <w:rFonts w:ascii="Calibri" w:hAnsi="Calibri"/>
          <w:lang w:val="en-GB"/>
        </w:rPr>
        <w:t>s</w:t>
      </w:r>
      <w:r>
        <w:rPr>
          <w:rFonts w:ascii="Calibri" w:hAnsi="Calibri"/>
          <w:lang w:val="en-GB"/>
        </w:rPr>
        <w:t xml:space="preserve"> ECG patterns and “red flags” that provide the opportunity to </w:t>
      </w:r>
      <w:r w:rsidR="00F707E4">
        <w:rPr>
          <w:rFonts w:ascii="Calibri" w:hAnsi="Calibri"/>
          <w:lang w:val="en-GB"/>
        </w:rPr>
        <w:t xml:space="preserve">early </w:t>
      </w:r>
      <w:r>
        <w:rPr>
          <w:rFonts w:ascii="Calibri" w:hAnsi="Calibri"/>
          <w:lang w:val="en-GB"/>
        </w:rPr>
        <w:t>identify or suspect specific genetic and acquired forms.</w:t>
      </w:r>
      <w:bookmarkStart w:id="18" w:name="_Hlk29566591"/>
      <w:r>
        <w:rPr>
          <w:rFonts w:ascii="Calibri" w:hAnsi="Calibri"/>
          <w:lang w:val="en-GB"/>
        </w:rPr>
        <w:t xml:space="preserve"> </w:t>
      </w:r>
      <w:bookmarkStart w:id="19" w:name="_Hlk29565951"/>
      <w:r w:rsidR="00CC5C26">
        <w:rPr>
          <w:rFonts w:ascii="Calibri" w:hAnsi="Calibri"/>
          <w:lang w:val="en-GB"/>
        </w:rPr>
        <w:t xml:space="preserve">A “cardiomyopathy oriented” ECG interpretation in the setting of patients exhibiting LV or biventricular systolic dysfunction may suggest clinical scenarios requiring </w:t>
      </w:r>
      <w:r w:rsidR="00C60BC4">
        <w:rPr>
          <w:rFonts w:ascii="Calibri" w:hAnsi="Calibri"/>
          <w:lang w:val="en-GB"/>
        </w:rPr>
        <w:t xml:space="preserve">a </w:t>
      </w:r>
      <w:r w:rsidR="00CC5C26">
        <w:rPr>
          <w:rFonts w:ascii="Calibri" w:hAnsi="Calibri"/>
          <w:lang w:val="en-GB"/>
        </w:rPr>
        <w:t>specific approach in terms of clinical management</w:t>
      </w:r>
      <w:r w:rsidR="00222BF2">
        <w:rPr>
          <w:rFonts w:ascii="Calibri" w:hAnsi="Calibri"/>
          <w:lang w:val="en-GB"/>
        </w:rPr>
        <w:t>.</w:t>
      </w:r>
      <w:r w:rsidR="00CC5C26">
        <w:rPr>
          <w:rFonts w:ascii="Calibri" w:hAnsi="Calibri"/>
          <w:lang w:val="en-GB"/>
        </w:rPr>
        <w:t xml:space="preserve"> </w:t>
      </w:r>
      <w:r w:rsidR="00222BF2">
        <w:rPr>
          <w:rFonts w:ascii="Calibri" w:hAnsi="Calibri"/>
          <w:lang w:val="en-GB"/>
        </w:rPr>
        <w:t>For example the finding of just a mild LV systolic dysfunction at echocardiography in a young patient may wrongly reassure the clinician. In fact if this feature is combined with certain ECG “red flags” such as AV blocks and/or atrial fibrillation</w:t>
      </w:r>
      <w:r w:rsidR="001004FD">
        <w:rPr>
          <w:rFonts w:ascii="Calibri" w:hAnsi="Calibri"/>
          <w:lang w:val="en-GB"/>
        </w:rPr>
        <w:t>,</w:t>
      </w:r>
      <w:r w:rsidR="00222BF2">
        <w:rPr>
          <w:rFonts w:ascii="Calibri" w:hAnsi="Calibri"/>
          <w:lang w:val="en-GB"/>
        </w:rPr>
        <w:t xml:space="preserve"> a laminopathy should be excluded</w:t>
      </w:r>
      <w:r w:rsidR="001004FD">
        <w:rPr>
          <w:rFonts w:ascii="Calibri" w:hAnsi="Calibri"/>
          <w:lang w:val="en-GB"/>
        </w:rPr>
        <w:t>;</w:t>
      </w:r>
      <w:r w:rsidR="00222BF2">
        <w:rPr>
          <w:rFonts w:ascii="Calibri" w:hAnsi="Calibri"/>
          <w:lang w:val="en-GB"/>
        </w:rPr>
        <w:t xml:space="preserve"> if</w:t>
      </w:r>
      <w:r w:rsidR="001004FD">
        <w:rPr>
          <w:rFonts w:ascii="Calibri" w:hAnsi="Calibri"/>
          <w:lang w:val="en-GB"/>
        </w:rPr>
        <w:t xml:space="preserve"> instead</w:t>
      </w:r>
      <w:r w:rsidR="00222BF2">
        <w:rPr>
          <w:rFonts w:ascii="Calibri" w:hAnsi="Calibri"/>
          <w:lang w:val="en-GB"/>
        </w:rPr>
        <w:t xml:space="preserve"> the ECG exhibits low voltages and TWI in the lateral leads a </w:t>
      </w:r>
      <w:proofErr w:type="spellStart"/>
      <w:r w:rsidR="00222BF2">
        <w:rPr>
          <w:rFonts w:ascii="Calibri" w:hAnsi="Calibri"/>
          <w:lang w:val="en-GB"/>
        </w:rPr>
        <w:t>desmosomal</w:t>
      </w:r>
      <w:proofErr w:type="spellEnd"/>
      <w:r w:rsidR="00222BF2">
        <w:rPr>
          <w:rFonts w:ascii="Calibri" w:hAnsi="Calibri"/>
          <w:lang w:val="en-GB"/>
        </w:rPr>
        <w:t xml:space="preserve"> disease </w:t>
      </w:r>
      <w:r w:rsidR="00095A7D">
        <w:rPr>
          <w:rFonts w:ascii="Calibri" w:hAnsi="Calibri"/>
          <w:lang w:val="en-GB"/>
        </w:rPr>
        <w:t>should be suspected</w:t>
      </w:r>
      <w:r w:rsidR="00222BF2">
        <w:rPr>
          <w:rFonts w:ascii="Calibri" w:hAnsi="Calibri"/>
          <w:lang w:val="en-GB"/>
        </w:rPr>
        <w:t xml:space="preserve"> with major implications not only for the patient but also for first-degree family members who may potentially at risk.</w:t>
      </w:r>
      <w:bookmarkEnd w:id="18"/>
      <w:r w:rsidR="00222BF2">
        <w:rPr>
          <w:rFonts w:ascii="Calibri" w:hAnsi="Calibri"/>
          <w:lang w:val="en-GB"/>
        </w:rPr>
        <w:t xml:space="preserve"> </w:t>
      </w:r>
      <w:bookmarkEnd w:id="19"/>
      <w:r>
        <w:rPr>
          <w:rFonts w:ascii="Calibri" w:hAnsi="Calibri"/>
          <w:lang w:val="en-GB"/>
        </w:rPr>
        <w:t xml:space="preserve">A learned ECG interpretation combined with a wise use of </w:t>
      </w:r>
      <w:r w:rsidRPr="00B737C1">
        <w:rPr>
          <w:rFonts w:ascii="Calibri" w:hAnsi="Calibri"/>
          <w:lang w:val="en-GB"/>
        </w:rPr>
        <w:t>the most advanced imaging techniques</w:t>
      </w:r>
      <w:r>
        <w:rPr>
          <w:rFonts w:ascii="Calibri" w:hAnsi="Calibri"/>
          <w:lang w:val="en-GB"/>
        </w:rPr>
        <w:t xml:space="preserve"> and genetic testing is extremely useful in the approach to patients where clinical management is often complex, despite continuous developments in cardiovascular medicine. </w:t>
      </w:r>
    </w:p>
    <w:p w14:paraId="6406B5E5" w14:textId="1AF95324" w:rsidR="00E04E06" w:rsidRPr="008C16DE" w:rsidRDefault="008C16DE">
      <w:pPr>
        <w:rPr>
          <w:rFonts w:ascii="Calibri" w:hAnsi="Calibri"/>
          <w:lang w:val="en-GB"/>
        </w:rPr>
      </w:pPr>
      <w:r>
        <w:rPr>
          <w:rFonts w:ascii="Calibri" w:hAnsi="Calibri"/>
          <w:lang w:val="en-GB"/>
        </w:rPr>
        <w:br w:type="page"/>
      </w:r>
    </w:p>
    <w:p w14:paraId="62B591D7" w14:textId="0E47B813" w:rsidR="009F3DA5" w:rsidRPr="0041574E" w:rsidRDefault="0066468E" w:rsidP="0041574E">
      <w:pPr>
        <w:spacing w:line="480" w:lineRule="auto"/>
        <w:rPr>
          <w:rFonts w:ascii="Calibri" w:hAnsi="Calibri" w:cs="Calibri"/>
          <w:b/>
          <w:bCs/>
          <w:lang w:val="en-GB"/>
        </w:rPr>
      </w:pPr>
      <w:r w:rsidRPr="0041574E">
        <w:rPr>
          <w:rFonts w:ascii="Calibri" w:hAnsi="Calibri" w:cs="Calibri"/>
          <w:b/>
          <w:bCs/>
          <w:lang w:val="en-GB"/>
        </w:rPr>
        <w:t>REFERENCES</w:t>
      </w:r>
    </w:p>
    <w:p w14:paraId="706D7276" w14:textId="77777777" w:rsidR="006D3A72" w:rsidRPr="0041574E" w:rsidRDefault="006D3A72" w:rsidP="0041574E">
      <w:pPr>
        <w:spacing w:line="480" w:lineRule="auto"/>
        <w:rPr>
          <w:rFonts w:ascii="Calibri" w:hAnsi="Calibri" w:cs="Calibri"/>
          <w:b/>
          <w:bCs/>
          <w:lang w:val="en-GB"/>
        </w:rPr>
      </w:pPr>
    </w:p>
    <w:p w14:paraId="6279540B" w14:textId="44123163" w:rsidR="00DC34BC" w:rsidRPr="00DC34BC" w:rsidRDefault="004470C5" w:rsidP="00DC34BC">
      <w:pPr>
        <w:widowControl w:val="0"/>
        <w:autoSpaceDE w:val="0"/>
        <w:autoSpaceDN w:val="0"/>
        <w:adjustRightInd w:val="0"/>
        <w:spacing w:line="480" w:lineRule="auto"/>
        <w:ind w:left="640" w:hanging="640"/>
        <w:rPr>
          <w:rFonts w:ascii="Calibri" w:hAnsi="Calibri" w:cs="Calibri"/>
          <w:noProof/>
        </w:rPr>
      </w:pPr>
      <w:r w:rsidRPr="0041574E">
        <w:rPr>
          <w:rFonts w:ascii="Calibri" w:hAnsi="Calibri" w:cs="Calibri"/>
          <w:bCs/>
          <w:lang w:val="en-GB"/>
        </w:rPr>
        <w:fldChar w:fldCharType="begin" w:fldLock="1"/>
      </w:r>
      <w:r w:rsidR="0066468E" w:rsidRPr="0041574E">
        <w:rPr>
          <w:rFonts w:ascii="Calibri" w:hAnsi="Calibri" w:cs="Calibri"/>
          <w:bCs/>
          <w:lang w:val="en-GB"/>
        </w:rPr>
        <w:instrText xml:space="preserve">ADDIN Mendeley Bibliography CSL_BIBLIOGRAPHY </w:instrText>
      </w:r>
      <w:r w:rsidRPr="0041574E">
        <w:rPr>
          <w:rFonts w:ascii="Calibri" w:hAnsi="Calibri" w:cs="Calibri"/>
          <w:bCs/>
          <w:lang w:val="en-GB"/>
        </w:rPr>
        <w:fldChar w:fldCharType="separate"/>
      </w:r>
      <w:r w:rsidR="00DC34BC" w:rsidRPr="001D6BE0">
        <w:rPr>
          <w:rFonts w:ascii="Calibri" w:hAnsi="Calibri" w:cs="Calibri"/>
          <w:noProof/>
          <w:lang w:val="en-GB"/>
        </w:rPr>
        <w:t xml:space="preserve">1. </w:t>
      </w:r>
      <w:r w:rsidR="00DC34BC" w:rsidRPr="001D6BE0">
        <w:rPr>
          <w:rFonts w:ascii="Calibri" w:hAnsi="Calibri" w:cs="Calibri"/>
          <w:noProof/>
          <w:lang w:val="en-GB"/>
        </w:rPr>
        <w:tab/>
        <w:t xml:space="preserve">McNally EM, Mestroni L. Dilated Cardiomyopathy: Genetic Determinants and Mechanisms. </w:t>
      </w:r>
      <w:r w:rsidR="00DC34BC" w:rsidRPr="00DC34BC">
        <w:rPr>
          <w:rFonts w:ascii="Calibri" w:hAnsi="Calibri" w:cs="Calibri"/>
          <w:i/>
          <w:iCs/>
          <w:noProof/>
        </w:rPr>
        <w:t>Circ Res</w:t>
      </w:r>
      <w:r w:rsidR="00DC34BC" w:rsidRPr="00DC34BC">
        <w:rPr>
          <w:rFonts w:ascii="Calibri" w:hAnsi="Calibri" w:cs="Calibri"/>
          <w:noProof/>
        </w:rPr>
        <w:t xml:space="preserve"> 2017;</w:t>
      </w:r>
      <w:r w:rsidR="00DC34BC" w:rsidRPr="00DC34BC">
        <w:rPr>
          <w:rFonts w:ascii="Calibri" w:hAnsi="Calibri" w:cs="Calibri"/>
          <w:b/>
          <w:bCs/>
          <w:noProof/>
        </w:rPr>
        <w:t>121</w:t>
      </w:r>
      <w:r w:rsidR="00DC34BC" w:rsidRPr="00DC34BC">
        <w:rPr>
          <w:rFonts w:ascii="Calibri" w:hAnsi="Calibri" w:cs="Calibri"/>
          <w:noProof/>
        </w:rPr>
        <w:t xml:space="preserve">:731–748. </w:t>
      </w:r>
    </w:p>
    <w:p w14:paraId="639A169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DC34BC">
        <w:rPr>
          <w:rFonts w:ascii="Calibri" w:hAnsi="Calibri" w:cs="Calibri"/>
          <w:noProof/>
        </w:rPr>
        <w:t xml:space="preserve">2. </w:t>
      </w:r>
      <w:r w:rsidRPr="00DC34BC">
        <w:rPr>
          <w:rFonts w:ascii="Calibri" w:hAnsi="Calibri" w:cs="Calibri"/>
          <w:noProof/>
        </w:rPr>
        <w:tab/>
        <w:t xml:space="preserve">Merlo M, Zaffalon D, Stolfo D, Altinier A, Barbati G, Zecchin M, Bardari S, Sinagra G. ECG in dilated cardiomyopathy. </w:t>
      </w:r>
      <w:r w:rsidRPr="001D6BE0">
        <w:rPr>
          <w:rFonts w:ascii="Calibri" w:hAnsi="Calibri" w:cs="Calibri"/>
          <w:i/>
          <w:iCs/>
          <w:noProof/>
          <w:lang w:val="en-GB"/>
        </w:rPr>
        <w:t>J Cardiovasc Med</w:t>
      </w:r>
      <w:r w:rsidRPr="001D6BE0">
        <w:rPr>
          <w:rFonts w:ascii="Calibri" w:hAnsi="Calibri" w:cs="Calibri"/>
          <w:noProof/>
          <w:lang w:val="en-GB"/>
        </w:rPr>
        <w:t xml:space="preserve"> 2019;1. </w:t>
      </w:r>
    </w:p>
    <w:p w14:paraId="29609A1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 </w:t>
      </w:r>
      <w:r w:rsidRPr="001D6BE0">
        <w:rPr>
          <w:rFonts w:ascii="Calibri" w:hAnsi="Calibri" w:cs="Calibri"/>
          <w:noProof/>
          <w:lang w:val="en-GB"/>
        </w:rPr>
        <w:tab/>
        <w:t xml:space="preserve">Wilensky RL, Yudelman P, Cohen AI, Fletcher RD, Atkinson J, Virmani R, Roberts WC. Serial electrocardiographic changes in idiopathic dilated cardiomyopathy confirmed at necropsy. </w:t>
      </w:r>
      <w:r w:rsidRPr="001D6BE0">
        <w:rPr>
          <w:rFonts w:ascii="Calibri" w:hAnsi="Calibri" w:cs="Calibri"/>
          <w:i/>
          <w:iCs/>
          <w:noProof/>
          <w:lang w:val="en-GB"/>
        </w:rPr>
        <w:t>Am J Cardiol</w:t>
      </w:r>
      <w:r w:rsidRPr="001D6BE0">
        <w:rPr>
          <w:rFonts w:ascii="Calibri" w:hAnsi="Calibri" w:cs="Calibri"/>
          <w:noProof/>
          <w:lang w:val="en-GB"/>
        </w:rPr>
        <w:t xml:space="preserve"> 1988; </w:t>
      </w:r>
    </w:p>
    <w:p w14:paraId="7A03F68F"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 </w:t>
      </w:r>
      <w:r w:rsidRPr="001D6BE0">
        <w:rPr>
          <w:rFonts w:ascii="Calibri" w:hAnsi="Calibri" w:cs="Calibri"/>
          <w:noProof/>
          <w:lang w:val="en-GB"/>
        </w:rPr>
        <w:tab/>
        <w:t xml:space="preserve">Sharma S, Drezner JA, Baggish A, Papadakis M, Wilson MG, Prutkin JM, Gerche A La, Ackerman MJ, Borjesson M, Salerno JC, Asif IM, Owens DS, Chung EH, Emery MS, Froelicher VF, Heidbuchel H, Adamuz C, Asplund CA, Cohen G, Harmon KG, Marek JC, Molossi S, Niebauer J, Pelto HF, Perez M V, Riding NR, Saarel T, Schmied CM, Shipon DM, Stein R, et al. International recommendations for electrocardiographic interpretation in athletes. </w:t>
      </w:r>
      <w:r w:rsidRPr="001D6BE0">
        <w:rPr>
          <w:rFonts w:ascii="Calibri" w:hAnsi="Calibri" w:cs="Calibri"/>
          <w:i/>
          <w:iCs/>
          <w:noProof/>
          <w:lang w:val="en-GB"/>
        </w:rPr>
        <w:t>Eur Heart J</w:t>
      </w:r>
      <w:r w:rsidRPr="001D6BE0">
        <w:rPr>
          <w:rFonts w:ascii="Calibri" w:hAnsi="Calibri" w:cs="Calibri"/>
          <w:noProof/>
          <w:lang w:val="en-GB"/>
        </w:rPr>
        <w:t xml:space="preserve"> 2017; </w:t>
      </w:r>
    </w:p>
    <w:p w14:paraId="0516D17A"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 </w:t>
      </w:r>
      <w:r w:rsidRPr="001D6BE0">
        <w:rPr>
          <w:rFonts w:ascii="Calibri" w:hAnsi="Calibri" w:cs="Calibri"/>
          <w:noProof/>
          <w:lang w:val="en-GB"/>
        </w:rPr>
        <w:tab/>
        <w:t xml:space="preserve">Roberts WC, Siegel RJ, McManus BM. Idiopathic dilated Cardiomyopathy: Analysis of 152 necropsy patients. </w:t>
      </w:r>
      <w:r w:rsidRPr="001D6BE0">
        <w:rPr>
          <w:rFonts w:ascii="Calibri" w:hAnsi="Calibri" w:cs="Calibri"/>
          <w:i/>
          <w:iCs/>
          <w:noProof/>
          <w:lang w:val="en-GB"/>
        </w:rPr>
        <w:t>Am J Cardiol</w:t>
      </w:r>
      <w:r w:rsidRPr="001D6BE0">
        <w:rPr>
          <w:rFonts w:ascii="Calibri" w:hAnsi="Calibri" w:cs="Calibri"/>
          <w:noProof/>
          <w:lang w:val="en-GB"/>
        </w:rPr>
        <w:t xml:space="preserve"> 1987; </w:t>
      </w:r>
    </w:p>
    <w:p w14:paraId="576EDCCE"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 </w:t>
      </w:r>
      <w:r w:rsidRPr="001D6BE0">
        <w:rPr>
          <w:rFonts w:ascii="Calibri" w:hAnsi="Calibri" w:cs="Calibri"/>
          <w:noProof/>
          <w:lang w:val="en-GB"/>
        </w:rPr>
        <w:tab/>
        <w:t xml:space="preserve">Kamiyama N, Nezuo S, Sawayama T, Kawahara Y, Samukawa M, Suetuna R, Saitou Y. Electrocardiographic features differentiating dilated cardiomyopathy from hypertrophic cardiomyopathy. </w:t>
      </w:r>
      <w:r w:rsidRPr="001D6BE0">
        <w:rPr>
          <w:rFonts w:ascii="Calibri" w:hAnsi="Calibri" w:cs="Calibri"/>
          <w:i/>
          <w:iCs/>
          <w:noProof/>
          <w:lang w:val="en-GB"/>
        </w:rPr>
        <w:t>J Electrocardiol</w:t>
      </w:r>
      <w:r w:rsidRPr="001D6BE0">
        <w:rPr>
          <w:rFonts w:ascii="Calibri" w:hAnsi="Calibri" w:cs="Calibri"/>
          <w:noProof/>
          <w:lang w:val="en-GB"/>
        </w:rPr>
        <w:t xml:space="preserve"> 1997; </w:t>
      </w:r>
    </w:p>
    <w:p w14:paraId="5319C079"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 </w:t>
      </w:r>
      <w:r w:rsidRPr="001D6BE0">
        <w:rPr>
          <w:rFonts w:ascii="Calibri" w:hAnsi="Calibri" w:cs="Calibri"/>
          <w:noProof/>
          <w:lang w:val="en-GB"/>
        </w:rPr>
        <w:tab/>
        <w:t xml:space="preserve">Taylor MRG, Fain PR, Sinagra G, Robinson ML, Robertson AD, Carniel E, Lenarda A Di, Bohlmeyer TJ, Ferguson DA, Brodsky GL, Boucek MM, Lascor J, Moss AC, Li WLP, Stetler GL, Muntoni F, Bristow MR, Mestroni L, Familial Dilated Cardiomyopathy Registry Research Group. Natural history of dilated cardiomyopathy due to lamin A/C gene mutations. </w:t>
      </w:r>
      <w:r w:rsidRPr="001D6BE0">
        <w:rPr>
          <w:rFonts w:ascii="Calibri" w:hAnsi="Calibri" w:cs="Calibri"/>
          <w:i/>
          <w:iCs/>
          <w:noProof/>
          <w:lang w:val="en-GB"/>
        </w:rPr>
        <w:t>J Am Coll Cardiol</w:t>
      </w:r>
      <w:r w:rsidRPr="001D6BE0">
        <w:rPr>
          <w:rFonts w:ascii="Calibri" w:hAnsi="Calibri" w:cs="Calibri"/>
          <w:noProof/>
          <w:lang w:val="en-GB"/>
        </w:rPr>
        <w:t xml:space="preserve"> 2003;</w:t>
      </w:r>
      <w:r w:rsidRPr="001D6BE0">
        <w:rPr>
          <w:rFonts w:ascii="Calibri" w:hAnsi="Calibri" w:cs="Calibri"/>
          <w:b/>
          <w:bCs/>
          <w:noProof/>
          <w:lang w:val="en-GB"/>
        </w:rPr>
        <w:t>41</w:t>
      </w:r>
      <w:r w:rsidRPr="001D6BE0">
        <w:rPr>
          <w:rFonts w:ascii="Calibri" w:hAnsi="Calibri" w:cs="Calibri"/>
          <w:noProof/>
          <w:lang w:val="en-GB"/>
        </w:rPr>
        <w:t xml:space="preserve">:771–780. </w:t>
      </w:r>
    </w:p>
    <w:p w14:paraId="1DF9C28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8. </w:t>
      </w:r>
      <w:r w:rsidRPr="001D6BE0">
        <w:rPr>
          <w:rFonts w:ascii="Calibri" w:hAnsi="Calibri" w:cs="Calibri"/>
          <w:noProof/>
          <w:lang w:val="en-GB"/>
        </w:rPr>
        <w:tab/>
        <w:t xml:space="preserve">Augusto JB, Eiros R, Nakou E, Moura-Ferreira S, Treibel TA, Captur G, Akhtar MA, Protonotarios A, Gossios TD, Savvatis K, Syrris P, Mohiddin S, Moon JC, Elliott PM, Lopes LR. Dilated cardiomyopathy and arrhythmogenic left ventricular cardiomyopathy: a comprehensive genotype-imaging phenotype study. </w:t>
      </w:r>
      <w:r w:rsidRPr="001D6BE0">
        <w:rPr>
          <w:rFonts w:ascii="Calibri" w:hAnsi="Calibri" w:cs="Calibri"/>
          <w:i/>
          <w:iCs/>
          <w:noProof/>
          <w:lang w:val="en-GB"/>
        </w:rPr>
        <w:t>Eur Heart J Cardiovasc Imaging</w:t>
      </w:r>
      <w:r w:rsidRPr="001D6BE0">
        <w:rPr>
          <w:rFonts w:ascii="Calibri" w:hAnsi="Calibri" w:cs="Calibri"/>
          <w:noProof/>
          <w:lang w:val="en-GB"/>
        </w:rPr>
        <w:t xml:space="preserve"> 2019; </w:t>
      </w:r>
    </w:p>
    <w:p w14:paraId="11A90725"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9. </w:t>
      </w:r>
      <w:r w:rsidRPr="001D6BE0">
        <w:rPr>
          <w:rFonts w:ascii="Calibri" w:hAnsi="Calibri" w:cs="Calibri"/>
          <w:noProof/>
          <w:lang w:val="en-GB"/>
        </w:rPr>
        <w:tab/>
        <w:t xml:space="preserve">Hamby RI, Raia F. Electrocardiographic aspects of primary myocardial disease in 50 patients. </w:t>
      </w:r>
      <w:r w:rsidRPr="001D6BE0">
        <w:rPr>
          <w:rFonts w:ascii="Calibri" w:hAnsi="Calibri" w:cs="Calibri"/>
          <w:i/>
          <w:iCs/>
          <w:noProof/>
          <w:lang w:val="en-GB"/>
        </w:rPr>
        <w:t>Am Heart J</w:t>
      </w:r>
      <w:r w:rsidRPr="001D6BE0">
        <w:rPr>
          <w:rFonts w:ascii="Calibri" w:hAnsi="Calibri" w:cs="Calibri"/>
          <w:noProof/>
          <w:lang w:val="en-GB"/>
        </w:rPr>
        <w:t xml:space="preserve"> 1968;</w:t>
      </w:r>
      <w:r w:rsidRPr="001D6BE0">
        <w:rPr>
          <w:rFonts w:ascii="Calibri" w:hAnsi="Calibri" w:cs="Calibri"/>
          <w:b/>
          <w:bCs/>
          <w:noProof/>
          <w:lang w:val="en-GB"/>
        </w:rPr>
        <w:t>76</w:t>
      </w:r>
      <w:r w:rsidRPr="001D6BE0">
        <w:rPr>
          <w:rFonts w:ascii="Calibri" w:hAnsi="Calibri" w:cs="Calibri"/>
          <w:noProof/>
          <w:lang w:val="en-GB"/>
        </w:rPr>
        <w:t xml:space="preserve">:304–315. </w:t>
      </w:r>
    </w:p>
    <w:p w14:paraId="1C83D635"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10. </w:t>
      </w:r>
      <w:r w:rsidRPr="001D6BE0">
        <w:rPr>
          <w:rFonts w:ascii="Calibri" w:hAnsi="Calibri" w:cs="Calibri"/>
          <w:noProof/>
          <w:lang w:val="en-GB"/>
        </w:rPr>
        <w:tab/>
        <w:t xml:space="preserve">Miles C, Finocchiaro G, Papadakis M, Gray B, Westaby J, Ensam B, Basu J, Parry-Williams G, Papatheodorou E, Paterson C, Malhotra A, Robertus JL, Ware JS, Cook SA, Asimaki A, Witney A, Chis Ster I, Tome M, Sharma S, Behr ER, Sheppard MN. Sudden Death and Left Ventricular Involvement in Arrhythmogenic Cardiomyopathy. </w:t>
      </w:r>
      <w:r w:rsidRPr="001D6BE0">
        <w:rPr>
          <w:rFonts w:ascii="Calibri" w:hAnsi="Calibri" w:cs="Calibri"/>
          <w:i/>
          <w:iCs/>
          <w:noProof/>
          <w:lang w:val="en-GB"/>
        </w:rPr>
        <w:t>Circulation</w:t>
      </w:r>
      <w:r w:rsidRPr="001D6BE0">
        <w:rPr>
          <w:rFonts w:ascii="Calibri" w:hAnsi="Calibri" w:cs="Calibri"/>
          <w:noProof/>
          <w:lang w:val="en-GB"/>
        </w:rPr>
        <w:t xml:space="preserve"> 2019; </w:t>
      </w:r>
    </w:p>
    <w:p w14:paraId="08BD78D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11. </w:t>
      </w:r>
      <w:r w:rsidRPr="001D6BE0">
        <w:rPr>
          <w:rFonts w:ascii="Calibri" w:hAnsi="Calibri" w:cs="Calibri"/>
          <w:noProof/>
          <w:lang w:val="en-GB"/>
        </w:rPr>
        <w:tab/>
        <w:t xml:space="preserve">Momiyama Y, Mitamura H, Kimura M. ECG characteristics of dilated cardiomyopathy. </w:t>
      </w:r>
      <w:r w:rsidRPr="001D6BE0">
        <w:rPr>
          <w:rFonts w:ascii="Calibri" w:hAnsi="Calibri" w:cs="Calibri"/>
          <w:i/>
          <w:iCs/>
          <w:noProof/>
          <w:lang w:val="en-GB"/>
        </w:rPr>
        <w:t>J Electrocardiol</w:t>
      </w:r>
      <w:r w:rsidRPr="001D6BE0">
        <w:rPr>
          <w:rFonts w:ascii="Calibri" w:hAnsi="Calibri" w:cs="Calibri"/>
          <w:noProof/>
          <w:lang w:val="en-GB"/>
        </w:rPr>
        <w:t xml:space="preserve"> 1994; </w:t>
      </w:r>
    </w:p>
    <w:p w14:paraId="67D16B74"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12. </w:t>
      </w:r>
      <w:r w:rsidRPr="001D6BE0">
        <w:rPr>
          <w:rFonts w:ascii="Calibri" w:hAnsi="Calibri" w:cs="Calibri"/>
          <w:noProof/>
          <w:lang w:val="en-GB"/>
        </w:rPr>
        <w:tab/>
        <w:t xml:space="preserve">Weintraub RG, Semsarian C, Macdonald P. Dilated cardiomyopathy. </w:t>
      </w:r>
      <w:r w:rsidRPr="001D6BE0">
        <w:rPr>
          <w:rFonts w:ascii="Calibri" w:hAnsi="Calibri" w:cs="Calibri"/>
          <w:i/>
          <w:iCs/>
          <w:noProof/>
          <w:lang w:val="en-GB"/>
        </w:rPr>
        <w:t>Lancet (London, England)</w:t>
      </w:r>
      <w:r w:rsidRPr="001D6BE0">
        <w:rPr>
          <w:rFonts w:ascii="Calibri" w:hAnsi="Calibri" w:cs="Calibri"/>
          <w:noProof/>
          <w:lang w:val="en-GB"/>
        </w:rPr>
        <w:t xml:space="preserve"> 2017;</w:t>
      </w:r>
      <w:r w:rsidRPr="001D6BE0">
        <w:rPr>
          <w:rFonts w:ascii="Calibri" w:hAnsi="Calibri" w:cs="Calibri"/>
          <w:b/>
          <w:bCs/>
          <w:noProof/>
          <w:lang w:val="en-GB"/>
        </w:rPr>
        <w:t>390</w:t>
      </w:r>
      <w:r w:rsidRPr="001D6BE0">
        <w:rPr>
          <w:rFonts w:ascii="Calibri" w:hAnsi="Calibri" w:cs="Calibri"/>
          <w:noProof/>
          <w:lang w:val="en-GB"/>
        </w:rPr>
        <w:t xml:space="preserve">:400–414. </w:t>
      </w:r>
    </w:p>
    <w:p w14:paraId="6814267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13. </w:t>
      </w:r>
      <w:r w:rsidRPr="001D6BE0">
        <w:rPr>
          <w:rFonts w:ascii="Calibri" w:hAnsi="Calibri" w:cs="Calibri"/>
          <w:noProof/>
          <w:lang w:val="en-GB"/>
        </w:rPr>
        <w:tab/>
        <w:t xml:space="preserve">Narula OS. Longitudinal dissociation in the His bundle. Bundle branch block due to asynchronous conduction within the His bundle in man. </w:t>
      </w:r>
      <w:r w:rsidRPr="001D6BE0">
        <w:rPr>
          <w:rFonts w:ascii="Calibri" w:hAnsi="Calibri" w:cs="Calibri"/>
          <w:i/>
          <w:iCs/>
          <w:noProof/>
          <w:lang w:val="en-GB"/>
        </w:rPr>
        <w:t>Circulation</w:t>
      </w:r>
      <w:r w:rsidRPr="001D6BE0">
        <w:rPr>
          <w:rFonts w:ascii="Calibri" w:hAnsi="Calibri" w:cs="Calibri"/>
          <w:noProof/>
          <w:lang w:val="en-GB"/>
        </w:rPr>
        <w:t xml:space="preserve"> 1977;</w:t>
      </w:r>
      <w:r w:rsidRPr="001D6BE0">
        <w:rPr>
          <w:rFonts w:ascii="Calibri" w:hAnsi="Calibri" w:cs="Calibri"/>
          <w:b/>
          <w:bCs/>
          <w:noProof/>
          <w:lang w:val="en-GB"/>
        </w:rPr>
        <w:t>56</w:t>
      </w:r>
      <w:r w:rsidRPr="001D6BE0">
        <w:rPr>
          <w:rFonts w:ascii="Calibri" w:hAnsi="Calibri" w:cs="Calibri"/>
          <w:noProof/>
          <w:lang w:val="en-GB"/>
        </w:rPr>
        <w:t xml:space="preserve">:996–1006. </w:t>
      </w:r>
    </w:p>
    <w:p w14:paraId="6813AD1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14. </w:t>
      </w:r>
      <w:r w:rsidRPr="001D6BE0">
        <w:rPr>
          <w:rFonts w:ascii="Calibri" w:hAnsi="Calibri" w:cs="Calibri"/>
          <w:noProof/>
          <w:lang w:val="en-GB"/>
        </w:rPr>
        <w:tab/>
        <w:t xml:space="preserve">Lustgarten DL, Crespo EM, Arkhipova-Jenkins I, Lobel R, Winget J, Koehler J, Liberman E, Sheldon T. His-bundle pacing versus biventricular pacing in cardiac resynchronization therapy patients: A crossover design comparison. </w:t>
      </w:r>
      <w:r w:rsidRPr="001D6BE0">
        <w:rPr>
          <w:rFonts w:ascii="Calibri" w:hAnsi="Calibri" w:cs="Calibri"/>
          <w:i/>
          <w:iCs/>
          <w:noProof/>
          <w:lang w:val="en-GB"/>
        </w:rPr>
        <w:t>Hear Rhythm</w:t>
      </w:r>
      <w:r w:rsidRPr="001D6BE0">
        <w:rPr>
          <w:rFonts w:ascii="Calibri" w:hAnsi="Calibri" w:cs="Calibri"/>
          <w:noProof/>
          <w:lang w:val="en-GB"/>
        </w:rPr>
        <w:t xml:space="preserve"> 2015;</w:t>
      </w:r>
      <w:r w:rsidRPr="001D6BE0">
        <w:rPr>
          <w:rFonts w:ascii="Calibri" w:hAnsi="Calibri" w:cs="Calibri"/>
          <w:b/>
          <w:bCs/>
          <w:noProof/>
          <w:lang w:val="en-GB"/>
        </w:rPr>
        <w:t>12</w:t>
      </w:r>
      <w:r w:rsidRPr="001D6BE0">
        <w:rPr>
          <w:rFonts w:ascii="Calibri" w:hAnsi="Calibri" w:cs="Calibri"/>
          <w:noProof/>
          <w:lang w:val="en-GB"/>
        </w:rPr>
        <w:t xml:space="preserve">:1548–1557. </w:t>
      </w:r>
    </w:p>
    <w:p w14:paraId="55E35438"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15. </w:t>
      </w:r>
      <w:r w:rsidRPr="001D6BE0">
        <w:rPr>
          <w:rFonts w:ascii="Calibri" w:hAnsi="Calibri" w:cs="Calibri"/>
          <w:noProof/>
          <w:lang w:val="en-GB"/>
        </w:rPr>
        <w:tab/>
        <w:t xml:space="preserve">Strauss DG, Selvester RH, Wagner GS. Defining left bundle branch block in the era of cardiac resynchronization therapy. </w:t>
      </w:r>
      <w:r w:rsidRPr="001D6BE0">
        <w:rPr>
          <w:rFonts w:ascii="Calibri" w:hAnsi="Calibri" w:cs="Calibri"/>
          <w:i/>
          <w:iCs/>
          <w:noProof/>
          <w:lang w:val="en-GB"/>
        </w:rPr>
        <w:t>Am J Cardiol</w:t>
      </w:r>
      <w:r w:rsidRPr="001D6BE0">
        <w:rPr>
          <w:rFonts w:ascii="Calibri" w:hAnsi="Calibri" w:cs="Calibri"/>
          <w:noProof/>
          <w:lang w:val="en-GB"/>
        </w:rPr>
        <w:t xml:space="preserve"> 2011;</w:t>
      </w:r>
      <w:r w:rsidRPr="001D6BE0">
        <w:rPr>
          <w:rFonts w:ascii="Calibri" w:hAnsi="Calibri" w:cs="Calibri"/>
          <w:b/>
          <w:bCs/>
          <w:noProof/>
          <w:lang w:val="en-GB"/>
        </w:rPr>
        <w:t>107</w:t>
      </w:r>
      <w:r w:rsidRPr="001D6BE0">
        <w:rPr>
          <w:rFonts w:ascii="Calibri" w:hAnsi="Calibri" w:cs="Calibri"/>
          <w:noProof/>
          <w:lang w:val="en-GB"/>
        </w:rPr>
        <w:t xml:space="preserve">:927–934. </w:t>
      </w:r>
    </w:p>
    <w:p w14:paraId="0D22C987"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16. </w:t>
      </w:r>
      <w:r w:rsidRPr="001D6BE0">
        <w:rPr>
          <w:rFonts w:ascii="Calibri" w:hAnsi="Calibri" w:cs="Calibri"/>
          <w:noProof/>
          <w:lang w:val="en-GB"/>
        </w:rPr>
        <w:tab/>
        <w:t xml:space="preserve">Mascioli G, Padeletti L, Sassone B, Zecchin M, Lucca E, Sacchi S, Boggian G, Tondo AL, Belvito C, Bakhtadze N, Borrelli A, Sinagra G. Electrocardiographic criteria of true left bundle branch block: a simple sign to predict a better clinical and instrumental response to CRT. </w:t>
      </w:r>
      <w:r w:rsidRPr="001D6BE0">
        <w:rPr>
          <w:rFonts w:ascii="Calibri" w:hAnsi="Calibri" w:cs="Calibri"/>
          <w:i/>
          <w:iCs/>
          <w:noProof/>
          <w:lang w:val="en-GB"/>
        </w:rPr>
        <w:t>Pacing Clin Electrophysiol</w:t>
      </w:r>
      <w:r w:rsidRPr="001D6BE0">
        <w:rPr>
          <w:rFonts w:ascii="Calibri" w:hAnsi="Calibri" w:cs="Calibri"/>
          <w:noProof/>
          <w:lang w:val="en-GB"/>
        </w:rPr>
        <w:t xml:space="preserve"> 2012;</w:t>
      </w:r>
      <w:r w:rsidRPr="001D6BE0">
        <w:rPr>
          <w:rFonts w:ascii="Calibri" w:hAnsi="Calibri" w:cs="Calibri"/>
          <w:b/>
          <w:bCs/>
          <w:noProof/>
          <w:lang w:val="en-GB"/>
        </w:rPr>
        <w:t>35</w:t>
      </w:r>
      <w:r w:rsidRPr="001D6BE0">
        <w:rPr>
          <w:rFonts w:ascii="Calibri" w:hAnsi="Calibri" w:cs="Calibri"/>
          <w:noProof/>
          <w:lang w:val="en-GB"/>
        </w:rPr>
        <w:t xml:space="preserve">:927–934. </w:t>
      </w:r>
    </w:p>
    <w:p w14:paraId="0A9A0A13"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17. </w:t>
      </w:r>
      <w:r w:rsidRPr="001D6BE0">
        <w:rPr>
          <w:rFonts w:ascii="Calibri" w:hAnsi="Calibri" w:cs="Calibri"/>
          <w:noProof/>
          <w:lang w:val="en-GB"/>
        </w:rPr>
        <w:tab/>
        <w:t xml:space="preserve">Towbin JA, McKenna WJ, Abrams DJ, Ackerman MJ, Calkins H, Darrieux FCC, Daubert JP, Chillou C de, DePasquale EC, Desai MY, Estes NAM, Hua W, Indik JH, Ingles J, James CA, John RM, Judge DP, Keegan R, Krahn AD, Link MS, Marcus FI, McLeod CJ, Mestroni L, Priori SG, Saffitz JE, Sanatani S, Shimizu W, Tintelen JP van, Wilde AAM, Zareba W. 2019 HRS expert consensus statement on evaluation, risk stratification, and management of arrhythmogenic cardiomyopathy. </w:t>
      </w:r>
      <w:r w:rsidRPr="001D6BE0">
        <w:rPr>
          <w:rFonts w:ascii="Calibri" w:hAnsi="Calibri" w:cs="Calibri"/>
          <w:i/>
          <w:iCs/>
          <w:noProof/>
          <w:lang w:val="en-GB"/>
        </w:rPr>
        <w:t>Hear Rhythm</w:t>
      </w:r>
      <w:r w:rsidRPr="001D6BE0">
        <w:rPr>
          <w:rFonts w:ascii="Calibri" w:hAnsi="Calibri" w:cs="Calibri"/>
          <w:noProof/>
          <w:lang w:val="en-GB"/>
        </w:rPr>
        <w:t xml:space="preserve"> 2019; </w:t>
      </w:r>
    </w:p>
    <w:p w14:paraId="5281400F"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18. </w:t>
      </w:r>
      <w:r w:rsidRPr="001D6BE0">
        <w:rPr>
          <w:rFonts w:ascii="Calibri" w:hAnsi="Calibri" w:cs="Calibri"/>
          <w:noProof/>
          <w:lang w:val="en-GB"/>
        </w:rPr>
        <w:tab/>
        <w:t xml:space="preserve">Rapezzi C, Arbustini E, Caforio ALP, Charron P, Gimeno-Blanes J, Helio T, Linhart A, Mogensen J, Pinto Y, Ristic A, Seggewiss H, Sinagra G, Tavazzi L, Elliott PM. Diagnostic work-up in cardiomyopathies: bridging the gap between clinical phenotypes and final diagnosis. A position statement from the ESC Working Group on Myocardial and Pericardial Diseases. </w:t>
      </w:r>
      <w:r w:rsidRPr="001D6BE0">
        <w:rPr>
          <w:rFonts w:ascii="Calibri" w:hAnsi="Calibri" w:cs="Calibri"/>
          <w:i/>
          <w:iCs/>
          <w:noProof/>
          <w:lang w:val="en-GB"/>
        </w:rPr>
        <w:t>Eur Heart J</w:t>
      </w:r>
      <w:r w:rsidRPr="001D6BE0">
        <w:rPr>
          <w:rFonts w:ascii="Calibri" w:hAnsi="Calibri" w:cs="Calibri"/>
          <w:noProof/>
          <w:lang w:val="en-GB"/>
        </w:rPr>
        <w:t xml:space="preserve"> 2013;</w:t>
      </w:r>
      <w:r w:rsidRPr="001D6BE0">
        <w:rPr>
          <w:rFonts w:ascii="Calibri" w:hAnsi="Calibri" w:cs="Calibri"/>
          <w:b/>
          <w:bCs/>
          <w:noProof/>
          <w:lang w:val="en-GB"/>
        </w:rPr>
        <w:t>34</w:t>
      </w:r>
      <w:r w:rsidRPr="001D6BE0">
        <w:rPr>
          <w:rFonts w:ascii="Calibri" w:hAnsi="Calibri" w:cs="Calibri"/>
          <w:noProof/>
          <w:lang w:val="en-GB"/>
        </w:rPr>
        <w:t xml:space="preserve">:1448–1458. </w:t>
      </w:r>
    </w:p>
    <w:p w14:paraId="43837264"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19. </w:t>
      </w:r>
      <w:r w:rsidRPr="001D6BE0">
        <w:rPr>
          <w:rFonts w:ascii="Calibri" w:hAnsi="Calibri" w:cs="Calibri"/>
          <w:noProof/>
          <w:lang w:val="en-GB"/>
        </w:rPr>
        <w:tab/>
        <w:t xml:space="preserve">Gigli M, Merlo M, Graw SL, Barbati G, Rowland TJ, Slavov DB, Stolfo D, Haywood ME, Dal Ferro M, Altinier A, Ramani F, Brun F, Cocciolo A, Puggia I, Morea G, McKenna WJ, Rosa FG La, Taylor MRG, Sinagra G, Mestroni L. Genetic Risk of Arrhythmic Phenotypes in Patients With Dilated Cardiomyopathy. </w:t>
      </w:r>
      <w:r w:rsidRPr="001D6BE0">
        <w:rPr>
          <w:rFonts w:ascii="Calibri" w:hAnsi="Calibri" w:cs="Calibri"/>
          <w:i/>
          <w:iCs/>
          <w:noProof/>
          <w:lang w:val="en-GB"/>
        </w:rPr>
        <w:t>J Am Coll Cardiol</w:t>
      </w:r>
      <w:r w:rsidRPr="001D6BE0">
        <w:rPr>
          <w:rFonts w:ascii="Calibri" w:hAnsi="Calibri" w:cs="Calibri"/>
          <w:noProof/>
          <w:lang w:val="en-GB"/>
        </w:rPr>
        <w:t xml:space="preserve"> 2019;</w:t>
      </w:r>
      <w:r w:rsidRPr="001D6BE0">
        <w:rPr>
          <w:rFonts w:ascii="Calibri" w:hAnsi="Calibri" w:cs="Calibri"/>
          <w:b/>
          <w:bCs/>
          <w:noProof/>
          <w:lang w:val="en-GB"/>
        </w:rPr>
        <w:t>74</w:t>
      </w:r>
      <w:r w:rsidRPr="001D6BE0">
        <w:rPr>
          <w:rFonts w:ascii="Calibri" w:hAnsi="Calibri" w:cs="Calibri"/>
          <w:noProof/>
          <w:lang w:val="en-GB"/>
        </w:rPr>
        <w:t xml:space="preserve">:1480–1490. </w:t>
      </w:r>
    </w:p>
    <w:p w14:paraId="24C8323C"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20. </w:t>
      </w:r>
      <w:r w:rsidRPr="001D6BE0">
        <w:rPr>
          <w:rFonts w:ascii="Calibri" w:hAnsi="Calibri" w:cs="Calibri"/>
          <w:noProof/>
          <w:lang w:val="en-GB"/>
        </w:rPr>
        <w:tab/>
        <w:t xml:space="preserve">Finocchiaro G, Sheikh N, Biagini E, Papadakis M, Maurizi N, Sinagra G, Pelliccia A, Rapezzi C, Sharma S, Olivotto I. The electrocardiogram in the diagnosis and management of patients with hypertrophic cardiomyopathy. </w:t>
      </w:r>
      <w:r w:rsidRPr="001D6BE0">
        <w:rPr>
          <w:rFonts w:ascii="Calibri" w:hAnsi="Calibri" w:cs="Calibri"/>
          <w:i/>
          <w:iCs/>
          <w:noProof/>
          <w:lang w:val="en-GB"/>
        </w:rPr>
        <w:t>Hear Rhythm</w:t>
      </w:r>
      <w:r w:rsidRPr="001D6BE0">
        <w:rPr>
          <w:rFonts w:ascii="Calibri" w:hAnsi="Calibri" w:cs="Calibri"/>
          <w:noProof/>
          <w:lang w:val="en-GB"/>
        </w:rPr>
        <w:t xml:space="preserve"> 2019; </w:t>
      </w:r>
    </w:p>
    <w:p w14:paraId="2F3BDB59"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21. </w:t>
      </w:r>
      <w:r w:rsidRPr="001D6BE0">
        <w:rPr>
          <w:rFonts w:ascii="Calibri" w:hAnsi="Calibri" w:cs="Calibri"/>
          <w:noProof/>
          <w:lang w:val="en-GB"/>
        </w:rPr>
        <w:tab/>
        <w:t xml:space="preserve">Ortiz-Genga MF, Cuenca S, Dal Ferro M, Zorio E, Salgado-Aranda R, Climent V, Padrón-Barthe L, Duro-Aguado I, Jiménez-Jáimez J, Hidalgo-Olivares VM, García-Campo E, Lanzillo C, Suárez-Mier MP, Yonath H, Marcos-Alonso S, Ochoa JP, Santomé JL, García-Giustiniani D, Rodríguez-Garrido JL, Domínguez F, Merlo M, Palomino J, Peña ML, Trujillo JP, Martín-Vila A, Stolfo D, Molina P, Lara-Pezzi E, Calvo-Iglesias FE, Nof E, et al. Truncating FLNC Mutations Are Associated With High-Risk Dilated and Arrhythmogenic Cardiomyopathies. </w:t>
      </w:r>
      <w:r w:rsidRPr="001D6BE0">
        <w:rPr>
          <w:rFonts w:ascii="Calibri" w:hAnsi="Calibri" w:cs="Calibri"/>
          <w:i/>
          <w:iCs/>
          <w:noProof/>
          <w:lang w:val="en-GB"/>
        </w:rPr>
        <w:t>J Am Coll Cardiol</w:t>
      </w:r>
      <w:r w:rsidRPr="001D6BE0">
        <w:rPr>
          <w:rFonts w:ascii="Calibri" w:hAnsi="Calibri" w:cs="Calibri"/>
          <w:noProof/>
          <w:lang w:val="en-GB"/>
        </w:rPr>
        <w:t xml:space="preserve"> 2016;</w:t>
      </w:r>
      <w:r w:rsidRPr="001D6BE0">
        <w:rPr>
          <w:rFonts w:ascii="Calibri" w:hAnsi="Calibri" w:cs="Calibri"/>
          <w:b/>
          <w:bCs/>
          <w:noProof/>
          <w:lang w:val="en-GB"/>
        </w:rPr>
        <w:t>68</w:t>
      </w:r>
      <w:r w:rsidRPr="001D6BE0">
        <w:rPr>
          <w:rFonts w:ascii="Calibri" w:hAnsi="Calibri" w:cs="Calibri"/>
          <w:noProof/>
          <w:lang w:val="en-GB"/>
        </w:rPr>
        <w:t xml:space="preserve">:2440–2451. </w:t>
      </w:r>
    </w:p>
    <w:p w14:paraId="265ABDF9"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22. </w:t>
      </w:r>
      <w:r w:rsidRPr="001D6BE0">
        <w:rPr>
          <w:rFonts w:ascii="Calibri" w:hAnsi="Calibri" w:cs="Calibri"/>
          <w:noProof/>
          <w:lang w:val="en-GB"/>
        </w:rPr>
        <w:tab/>
        <w:t xml:space="preserve">Perin F, Rodríguez-Vázquez Del Rey MDM, Carreras-Blesa C, Arrabal-Fernández L, Jiménez-Jáimez J, Tercedor L. Dilated Cardiomyopathy With Short QT Interval Suggests Primary Carnitine Deficiency. </w:t>
      </w:r>
      <w:r w:rsidRPr="001D6BE0">
        <w:rPr>
          <w:rFonts w:ascii="Calibri" w:hAnsi="Calibri" w:cs="Calibri"/>
          <w:i/>
          <w:iCs/>
          <w:noProof/>
          <w:lang w:val="en-GB"/>
        </w:rPr>
        <w:t>Rev Esp Cardiol (Engl Ed)</w:t>
      </w:r>
      <w:r w:rsidRPr="001D6BE0">
        <w:rPr>
          <w:rFonts w:ascii="Calibri" w:hAnsi="Calibri" w:cs="Calibri"/>
          <w:noProof/>
          <w:lang w:val="en-GB"/>
        </w:rPr>
        <w:t xml:space="preserve"> 2018;</w:t>
      </w:r>
      <w:r w:rsidRPr="001D6BE0">
        <w:rPr>
          <w:rFonts w:ascii="Calibri" w:hAnsi="Calibri" w:cs="Calibri"/>
          <w:b/>
          <w:bCs/>
          <w:noProof/>
          <w:lang w:val="en-GB"/>
        </w:rPr>
        <w:t>71</w:t>
      </w:r>
      <w:r w:rsidRPr="001D6BE0">
        <w:rPr>
          <w:rFonts w:ascii="Calibri" w:hAnsi="Calibri" w:cs="Calibri"/>
          <w:noProof/>
          <w:lang w:val="en-GB"/>
        </w:rPr>
        <w:t xml:space="preserve">:1074–1075. </w:t>
      </w:r>
    </w:p>
    <w:p w14:paraId="0236CEB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23. </w:t>
      </w:r>
      <w:r w:rsidRPr="001D6BE0">
        <w:rPr>
          <w:rFonts w:ascii="Calibri" w:hAnsi="Calibri" w:cs="Calibri"/>
          <w:noProof/>
          <w:lang w:val="en-GB"/>
        </w:rPr>
        <w:tab/>
        <w:t xml:space="preserve">Fischer C, Seeck A, Schroeder R, Goernig M, Schirdewan A, Figulla HR, Baumert M, Voss A. QT variability improves risk stratification in patients with dilated cardiomyopathy. </w:t>
      </w:r>
      <w:r w:rsidRPr="001D6BE0">
        <w:rPr>
          <w:rFonts w:ascii="Calibri" w:hAnsi="Calibri" w:cs="Calibri"/>
          <w:i/>
          <w:iCs/>
          <w:noProof/>
          <w:lang w:val="en-GB"/>
        </w:rPr>
        <w:t>Physiol Meas</w:t>
      </w:r>
      <w:r w:rsidRPr="001D6BE0">
        <w:rPr>
          <w:rFonts w:ascii="Calibri" w:hAnsi="Calibri" w:cs="Calibri"/>
          <w:noProof/>
          <w:lang w:val="en-GB"/>
        </w:rPr>
        <w:t xml:space="preserve"> 2015;</w:t>
      </w:r>
      <w:r w:rsidRPr="001D6BE0">
        <w:rPr>
          <w:rFonts w:ascii="Calibri" w:hAnsi="Calibri" w:cs="Calibri"/>
          <w:b/>
          <w:bCs/>
          <w:noProof/>
          <w:lang w:val="en-GB"/>
        </w:rPr>
        <w:t>36</w:t>
      </w:r>
      <w:r w:rsidRPr="001D6BE0">
        <w:rPr>
          <w:rFonts w:ascii="Calibri" w:hAnsi="Calibri" w:cs="Calibri"/>
          <w:noProof/>
          <w:lang w:val="en-GB"/>
        </w:rPr>
        <w:t xml:space="preserve">:699–713. </w:t>
      </w:r>
    </w:p>
    <w:p w14:paraId="0BA5842C"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24. </w:t>
      </w:r>
      <w:r w:rsidRPr="001D6BE0">
        <w:rPr>
          <w:rFonts w:ascii="Calibri" w:hAnsi="Calibri" w:cs="Calibri"/>
          <w:noProof/>
          <w:lang w:val="en-GB"/>
        </w:rPr>
        <w:tab/>
        <w:t xml:space="preserve">Spezzacatene A, Sinagra G, Merlo M, Barbati G, Graw SL, Brun F, Slavov D, Lenarda A Di, Salcedo EE, Towbin JA, Saffitz JE, Marcus FI, Zareba W, Taylor MRG, Mestroni L. Arrhythmogenic phenotype in dilated cardiomyopathy: Natural history and predictors of life-threatening arrhythmias. </w:t>
      </w:r>
      <w:r w:rsidRPr="001D6BE0">
        <w:rPr>
          <w:rFonts w:ascii="Calibri" w:hAnsi="Calibri" w:cs="Calibri"/>
          <w:i/>
          <w:iCs/>
          <w:noProof/>
          <w:lang w:val="en-GB"/>
        </w:rPr>
        <w:t>J Am Heart Assoc</w:t>
      </w:r>
      <w:r w:rsidRPr="001D6BE0">
        <w:rPr>
          <w:rFonts w:ascii="Calibri" w:hAnsi="Calibri" w:cs="Calibri"/>
          <w:noProof/>
          <w:lang w:val="en-GB"/>
        </w:rPr>
        <w:t xml:space="preserve"> 2015;</w:t>
      </w:r>
      <w:r w:rsidRPr="001D6BE0">
        <w:rPr>
          <w:rFonts w:ascii="Calibri" w:hAnsi="Calibri" w:cs="Calibri"/>
          <w:b/>
          <w:bCs/>
          <w:noProof/>
          <w:lang w:val="en-GB"/>
        </w:rPr>
        <w:t>4</w:t>
      </w:r>
      <w:r w:rsidRPr="001D6BE0">
        <w:rPr>
          <w:rFonts w:ascii="Calibri" w:hAnsi="Calibri" w:cs="Calibri"/>
          <w:noProof/>
          <w:lang w:val="en-GB"/>
        </w:rPr>
        <w:t xml:space="preserve">. </w:t>
      </w:r>
    </w:p>
    <w:p w14:paraId="67CC5437"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25. </w:t>
      </w:r>
      <w:r w:rsidRPr="001D6BE0">
        <w:rPr>
          <w:rFonts w:ascii="Calibri" w:hAnsi="Calibri" w:cs="Calibri"/>
          <w:noProof/>
          <w:lang w:val="en-GB"/>
        </w:rPr>
        <w:tab/>
        <w:t xml:space="preserve">Martin CA, Lambiase PD. Pathophysiology, diagnosis and treatment of tachycardiomyopathy. </w:t>
      </w:r>
      <w:r w:rsidRPr="001D6BE0">
        <w:rPr>
          <w:rFonts w:ascii="Calibri" w:hAnsi="Calibri" w:cs="Calibri"/>
          <w:i/>
          <w:iCs/>
          <w:noProof/>
          <w:lang w:val="en-GB"/>
        </w:rPr>
        <w:t>Heart</w:t>
      </w:r>
      <w:r w:rsidRPr="001D6BE0">
        <w:rPr>
          <w:rFonts w:ascii="Calibri" w:hAnsi="Calibri" w:cs="Calibri"/>
          <w:noProof/>
          <w:lang w:val="en-GB"/>
        </w:rPr>
        <w:t xml:space="preserve"> 2017;</w:t>
      </w:r>
      <w:r w:rsidRPr="001D6BE0">
        <w:rPr>
          <w:rFonts w:ascii="Calibri" w:hAnsi="Calibri" w:cs="Calibri"/>
          <w:b/>
          <w:bCs/>
          <w:noProof/>
          <w:lang w:val="en-GB"/>
        </w:rPr>
        <w:t>103</w:t>
      </w:r>
      <w:r w:rsidRPr="001D6BE0">
        <w:rPr>
          <w:rFonts w:ascii="Calibri" w:hAnsi="Calibri" w:cs="Calibri"/>
          <w:noProof/>
          <w:lang w:val="en-GB"/>
        </w:rPr>
        <w:t xml:space="preserve">:1543–1552. </w:t>
      </w:r>
    </w:p>
    <w:p w14:paraId="24C7B6B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26. </w:t>
      </w:r>
      <w:r w:rsidRPr="001D6BE0">
        <w:rPr>
          <w:rFonts w:ascii="Calibri" w:hAnsi="Calibri" w:cs="Calibri"/>
          <w:noProof/>
          <w:lang w:val="en-GB"/>
        </w:rPr>
        <w:tab/>
        <w:t xml:space="preserve">Corrado D, Drezner JA, D’Ascenzi F, Zorzi A. How to evaluate premature ventricular beats in the athlete: critical review and proposal of a diagnostic algorithm. </w:t>
      </w:r>
      <w:r w:rsidRPr="001D6BE0">
        <w:rPr>
          <w:rFonts w:ascii="Calibri" w:hAnsi="Calibri" w:cs="Calibri"/>
          <w:i/>
          <w:iCs/>
          <w:noProof/>
          <w:lang w:val="en-GB"/>
        </w:rPr>
        <w:t>Br J Sports Med</w:t>
      </w:r>
      <w:r w:rsidRPr="001D6BE0">
        <w:rPr>
          <w:rFonts w:ascii="Calibri" w:hAnsi="Calibri" w:cs="Calibri"/>
          <w:noProof/>
          <w:lang w:val="en-GB"/>
        </w:rPr>
        <w:t xml:space="preserve"> 2019; </w:t>
      </w:r>
    </w:p>
    <w:p w14:paraId="1CB92E8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27. </w:t>
      </w:r>
      <w:r w:rsidRPr="001D6BE0">
        <w:rPr>
          <w:rFonts w:ascii="Calibri" w:hAnsi="Calibri" w:cs="Calibri"/>
          <w:noProof/>
          <w:lang w:val="en-GB"/>
        </w:rPr>
        <w:tab/>
        <w:t xml:space="preserve">Kussmaul W, Eisen H, Mancini DM, Edmunds LH, Wilson JR, Mull R. Value of peak exercise oxygen consumption for optimal timing of cardiac transplantation in ambulatory patients with heart failure. </w:t>
      </w:r>
      <w:r w:rsidRPr="001D6BE0">
        <w:rPr>
          <w:rFonts w:ascii="Calibri" w:hAnsi="Calibri" w:cs="Calibri"/>
          <w:i/>
          <w:iCs/>
          <w:noProof/>
          <w:lang w:val="en-GB"/>
        </w:rPr>
        <w:t>Circulation</w:t>
      </w:r>
      <w:r w:rsidRPr="001D6BE0">
        <w:rPr>
          <w:rFonts w:ascii="Calibri" w:hAnsi="Calibri" w:cs="Calibri"/>
          <w:noProof/>
          <w:lang w:val="en-GB"/>
        </w:rPr>
        <w:t xml:space="preserve"> 2012;</w:t>
      </w:r>
      <w:r w:rsidRPr="001D6BE0">
        <w:rPr>
          <w:rFonts w:ascii="Calibri" w:hAnsi="Calibri" w:cs="Calibri"/>
          <w:b/>
          <w:bCs/>
          <w:noProof/>
          <w:lang w:val="en-GB"/>
        </w:rPr>
        <w:t>83</w:t>
      </w:r>
      <w:r w:rsidRPr="001D6BE0">
        <w:rPr>
          <w:rFonts w:ascii="Calibri" w:hAnsi="Calibri" w:cs="Calibri"/>
          <w:noProof/>
          <w:lang w:val="en-GB"/>
        </w:rPr>
        <w:t xml:space="preserve">:778–786. </w:t>
      </w:r>
    </w:p>
    <w:p w14:paraId="073A8C52"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28. </w:t>
      </w:r>
      <w:r w:rsidRPr="001D6BE0">
        <w:rPr>
          <w:rFonts w:ascii="Calibri" w:hAnsi="Calibri" w:cs="Calibri"/>
          <w:noProof/>
          <w:lang w:val="en-GB"/>
        </w:rPr>
        <w:tab/>
        <w:t xml:space="preserve">Merlo M, Cannatà A, Gobbo M, Stolfo D, Elliott PM, Sinagra G. Evolving concepts in dilated cardiomyopathy. </w:t>
      </w:r>
      <w:r w:rsidRPr="001D6BE0">
        <w:rPr>
          <w:rFonts w:ascii="Calibri" w:hAnsi="Calibri" w:cs="Calibri"/>
          <w:i/>
          <w:iCs/>
          <w:noProof/>
          <w:lang w:val="en-GB"/>
        </w:rPr>
        <w:t>Eur J Heart Fail</w:t>
      </w:r>
      <w:r w:rsidRPr="001D6BE0">
        <w:rPr>
          <w:rFonts w:ascii="Calibri" w:hAnsi="Calibri" w:cs="Calibri"/>
          <w:noProof/>
          <w:lang w:val="en-GB"/>
        </w:rPr>
        <w:t xml:space="preserve"> 2018;</w:t>
      </w:r>
      <w:r w:rsidRPr="001D6BE0">
        <w:rPr>
          <w:rFonts w:ascii="Calibri" w:hAnsi="Calibri" w:cs="Calibri"/>
          <w:b/>
          <w:bCs/>
          <w:noProof/>
          <w:lang w:val="en-GB"/>
        </w:rPr>
        <w:t>20</w:t>
      </w:r>
      <w:r w:rsidRPr="001D6BE0">
        <w:rPr>
          <w:rFonts w:ascii="Calibri" w:hAnsi="Calibri" w:cs="Calibri"/>
          <w:noProof/>
          <w:lang w:val="en-GB"/>
        </w:rPr>
        <w:t xml:space="preserve">:228–239. </w:t>
      </w:r>
    </w:p>
    <w:p w14:paraId="6C25DDC2"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29. </w:t>
      </w:r>
      <w:r w:rsidRPr="001D6BE0">
        <w:rPr>
          <w:rFonts w:ascii="Calibri" w:hAnsi="Calibri" w:cs="Calibri"/>
          <w:noProof/>
          <w:lang w:val="en-GB"/>
        </w:rPr>
        <w:tab/>
        <w:t xml:space="preserve">Herman DS, Lam L, Taylor MRG, Wang L, Teekakirikul P, Christodoulou D, Conner L, DePalma SR, McDonough B, Sparks E, Teodorescu DL, Cirino AL, Banner NR, Pennell DJ, Graw S, Merlo M, Lenarda A Di, Sinagra G, Bos JM, Ackerman MJ, Mitchell RN, Murry CE, Lakdawala NK, Ho CY, Barton PJR, Cook SA, Mestroni L, Seidman JG, Seidman CE. Truncations of titin causing dilated cardiomyopathy. </w:t>
      </w:r>
      <w:r w:rsidRPr="001D6BE0">
        <w:rPr>
          <w:rFonts w:ascii="Calibri" w:hAnsi="Calibri" w:cs="Calibri"/>
          <w:i/>
          <w:iCs/>
          <w:noProof/>
          <w:lang w:val="en-GB"/>
        </w:rPr>
        <w:t>N Engl J Med</w:t>
      </w:r>
      <w:r w:rsidRPr="001D6BE0">
        <w:rPr>
          <w:rFonts w:ascii="Calibri" w:hAnsi="Calibri" w:cs="Calibri"/>
          <w:noProof/>
          <w:lang w:val="en-GB"/>
        </w:rPr>
        <w:t xml:space="preserve"> 2012;</w:t>
      </w:r>
      <w:r w:rsidRPr="001D6BE0">
        <w:rPr>
          <w:rFonts w:ascii="Calibri" w:hAnsi="Calibri" w:cs="Calibri"/>
          <w:b/>
          <w:bCs/>
          <w:noProof/>
          <w:lang w:val="en-GB"/>
        </w:rPr>
        <w:t>366</w:t>
      </w:r>
      <w:r w:rsidRPr="001D6BE0">
        <w:rPr>
          <w:rFonts w:ascii="Calibri" w:hAnsi="Calibri" w:cs="Calibri"/>
          <w:noProof/>
          <w:lang w:val="en-GB"/>
        </w:rPr>
        <w:t xml:space="preserve">:619–628. </w:t>
      </w:r>
    </w:p>
    <w:p w14:paraId="03B94F9F"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30. </w:t>
      </w:r>
      <w:r w:rsidRPr="001D6BE0">
        <w:rPr>
          <w:rFonts w:ascii="Calibri" w:hAnsi="Calibri" w:cs="Calibri"/>
          <w:noProof/>
          <w:lang w:val="en-GB"/>
        </w:rPr>
        <w:tab/>
        <w:t xml:space="preserve">Tayal U, Newsome S, Buchan R, Whiffin N, Halliday B, Lota A, Roberts A, Baksi AJ, Voges I, Midwinter W, Wilk A, Govind R, Walsh R, Daubeney P, Jarman JWE, Baruah R, Frenneaux M, Barton PJ, Pennell D, Ware JS, Prasad SK, Cook SA. Phenotype and Clinical Outcomes of Titin Cardiomyopathy. </w:t>
      </w:r>
      <w:r w:rsidRPr="001D6BE0">
        <w:rPr>
          <w:rFonts w:ascii="Calibri" w:hAnsi="Calibri" w:cs="Calibri"/>
          <w:i/>
          <w:iCs/>
          <w:noProof/>
          <w:lang w:val="en-GB"/>
        </w:rPr>
        <w:t>J Am Coll Cardiol</w:t>
      </w:r>
      <w:r w:rsidRPr="001D6BE0">
        <w:rPr>
          <w:rFonts w:ascii="Calibri" w:hAnsi="Calibri" w:cs="Calibri"/>
          <w:noProof/>
          <w:lang w:val="en-GB"/>
        </w:rPr>
        <w:t xml:space="preserve"> 2017;</w:t>
      </w:r>
      <w:r w:rsidRPr="001D6BE0">
        <w:rPr>
          <w:rFonts w:ascii="Calibri" w:hAnsi="Calibri" w:cs="Calibri"/>
          <w:b/>
          <w:bCs/>
          <w:noProof/>
          <w:lang w:val="en-GB"/>
        </w:rPr>
        <w:t>70</w:t>
      </w:r>
      <w:r w:rsidRPr="001D6BE0">
        <w:rPr>
          <w:rFonts w:ascii="Calibri" w:hAnsi="Calibri" w:cs="Calibri"/>
          <w:noProof/>
          <w:lang w:val="en-GB"/>
        </w:rPr>
        <w:t xml:space="preserve">:2264–2274. </w:t>
      </w:r>
    </w:p>
    <w:p w14:paraId="773028DA"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31. </w:t>
      </w:r>
      <w:r w:rsidRPr="001D6BE0">
        <w:rPr>
          <w:rFonts w:ascii="Calibri" w:hAnsi="Calibri" w:cs="Calibri"/>
          <w:noProof/>
          <w:lang w:val="en-GB"/>
        </w:rPr>
        <w:tab/>
        <w:t xml:space="preserve">Paldino A, Angelis G De, Merlo M, Gigli M, Dal Ferro M, Severini GM, Mestroni L, Sinagra G. Genetics of Dilated Cardiomyopathy: Clinical Implications. Curr. Cardiol. Rep. 2018. </w:t>
      </w:r>
    </w:p>
    <w:p w14:paraId="0D9C25D7"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32. </w:t>
      </w:r>
      <w:r w:rsidRPr="001D6BE0">
        <w:rPr>
          <w:rFonts w:ascii="Calibri" w:hAnsi="Calibri" w:cs="Calibri"/>
          <w:noProof/>
          <w:lang w:val="en-GB"/>
        </w:rPr>
        <w:tab/>
        <w:t xml:space="preserve">Kumar S, Baldinger SH, Gandjbakhch E, Maury P, Sellal JM, Androulakis AFA, Waintraub X, Charron P, Rollin A, Richard P, Stevenson WG, Macintyre CJ, Ho CY, Thompson T, Vohra JK, Kalman JM, Zeppenfeld K, Sacher F, Tedrow UB, Lakdawala NK. Long-Term Arrhythmic and Nonarrhythmic Outcomes of Lamin A/C Mutation Carriers. </w:t>
      </w:r>
      <w:r w:rsidRPr="001D6BE0">
        <w:rPr>
          <w:rFonts w:ascii="Calibri" w:hAnsi="Calibri" w:cs="Calibri"/>
          <w:i/>
          <w:iCs/>
          <w:noProof/>
          <w:lang w:val="en-GB"/>
        </w:rPr>
        <w:t>J Am Coll Cardiol</w:t>
      </w:r>
      <w:r w:rsidRPr="001D6BE0">
        <w:rPr>
          <w:rFonts w:ascii="Calibri" w:hAnsi="Calibri" w:cs="Calibri"/>
          <w:noProof/>
          <w:lang w:val="en-GB"/>
        </w:rPr>
        <w:t xml:space="preserve"> 2016;</w:t>
      </w:r>
      <w:r w:rsidRPr="001D6BE0">
        <w:rPr>
          <w:rFonts w:ascii="Calibri" w:hAnsi="Calibri" w:cs="Calibri"/>
          <w:b/>
          <w:bCs/>
          <w:noProof/>
          <w:lang w:val="en-GB"/>
        </w:rPr>
        <w:t>68</w:t>
      </w:r>
      <w:r w:rsidRPr="001D6BE0">
        <w:rPr>
          <w:rFonts w:ascii="Calibri" w:hAnsi="Calibri" w:cs="Calibri"/>
          <w:noProof/>
          <w:lang w:val="en-GB"/>
        </w:rPr>
        <w:t xml:space="preserve">:2299–2307. </w:t>
      </w:r>
    </w:p>
    <w:p w14:paraId="3A645949"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33. </w:t>
      </w:r>
      <w:r w:rsidRPr="001D6BE0">
        <w:rPr>
          <w:rFonts w:ascii="Calibri" w:hAnsi="Calibri" w:cs="Calibri"/>
          <w:noProof/>
          <w:lang w:val="en-GB"/>
        </w:rPr>
        <w:tab/>
        <w:t xml:space="preserve">Rakovec P, Zidar J, Šinkovec M, Zupan I, Brecelj A. Cardiac Involvement in Emery‐Dreifuss Muscular Dystrophy: Role of a Diagnostic Pacemaker. </w:t>
      </w:r>
      <w:r w:rsidRPr="001D6BE0">
        <w:rPr>
          <w:rFonts w:ascii="Calibri" w:hAnsi="Calibri" w:cs="Calibri"/>
          <w:i/>
          <w:iCs/>
          <w:noProof/>
          <w:lang w:val="en-GB"/>
        </w:rPr>
        <w:t>Pacing Clin Electrophysiol</w:t>
      </w:r>
      <w:r w:rsidRPr="001D6BE0">
        <w:rPr>
          <w:rFonts w:ascii="Calibri" w:hAnsi="Calibri" w:cs="Calibri"/>
          <w:noProof/>
          <w:lang w:val="en-GB"/>
        </w:rPr>
        <w:t xml:space="preserve"> 1995; </w:t>
      </w:r>
    </w:p>
    <w:p w14:paraId="36C2177E"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34. </w:t>
      </w:r>
      <w:r w:rsidRPr="001D6BE0">
        <w:rPr>
          <w:rFonts w:ascii="Calibri" w:hAnsi="Calibri" w:cs="Calibri"/>
          <w:noProof/>
          <w:lang w:val="en-GB"/>
        </w:rPr>
        <w:tab/>
        <w:t xml:space="preserve">Sakata K, Shimizu M, Ino H, Yamaguchi M, Terai H, Fujino N, Hayashi K, Kaneda T, Inoue M, Oda Y, Fujita T, Kaku B, Kanaya H, Mabuchi H. High incidence of sudden cardiac death with conduction disturbances and atrial cardiomyopathy caused by a nonsense mutation in the STA gene. </w:t>
      </w:r>
      <w:r w:rsidRPr="001D6BE0">
        <w:rPr>
          <w:rFonts w:ascii="Calibri" w:hAnsi="Calibri" w:cs="Calibri"/>
          <w:i/>
          <w:iCs/>
          <w:noProof/>
          <w:lang w:val="en-GB"/>
        </w:rPr>
        <w:t>Circulation</w:t>
      </w:r>
      <w:r w:rsidRPr="001D6BE0">
        <w:rPr>
          <w:rFonts w:ascii="Calibri" w:hAnsi="Calibri" w:cs="Calibri"/>
          <w:noProof/>
          <w:lang w:val="en-GB"/>
        </w:rPr>
        <w:t xml:space="preserve"> 2005; </w:t>
      </w:r>
    </w:p>
    <w:p w14:paraId="4F0C0BAC"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35. </w:t>
      </w:r>
      <w:r w:rsidRPr="001D6BE0">
        <w:rPr>
          <w:rFonts w:ascii="Calibri" w:hAnsi="Calibri" w:cs="Calibri"/>
          <w:noProof/>
          <w:lang w:val="en-GB"/>
        </w:rPr>
        <w:tab/>
        <w:t xml:space="preserve">Begay RL, Graw SL, Sinagra G, Asimaki A, Rowland TJ, Slavov DB, Gowan K, Jones KL, Brun F, Merlo M, Miani D, Sweet M, Devaraj K, Wartchow EP, Gigli M, Puggia I, Salcedo EE, Garrity DM, Ambardekar A V, Buttrick P, Reece TB, Bristow MR, Saffitz JE, Mestroni L, Taylor MRG. Filamin C Truncation Mutations Are Associated With Arrhythmogenic Dilated Cardiomyopathy and Changes in the Cell-Cell Adhesion Structures. </w:t>
      </w:r>
      <w:r w:rsidRPr="001D6BE0">
        <w:rPr>
          <w:rFonts w:ascii="Calibri" w:hAnsi="Calibri" w:cs="Calibri"/>
          <w:i/>
          <w:iCs/>
          <w:noProof/>
          <w:lang w:val="en-GB"/>
        </w:rPr>
        <w:t>JACC Clin Electrophysiol</w:t>
      </w:r>
      <w:r w:rsidRPr="001D6BE0">
        <w:rPr>
          <w:rFonts w:ascii="Calibri" w:hAnsi="Calibri" w:cs="Calibri"/>
          <w:noProof/>
          <w:lang w:val="en-GB"/>
        </w:rPr>
        <w:t xml:space="preserve"> 2018;</w:t>
      </w:r>
      <w:r w:rsidRPr="001D6BE0">
        <w:rPr>
          <w:rFonts w:ascii="Calibri" w:hAnsi="Calibri" w:cs="Calibri"/>
          <w:b/>
          <w:bCs/>
          <w:noProof/>
          <w:lang w:val="en-GB"/>
        </w:rPr>
        <w:t>4</w:t>
      </w:r>
      <w:r w:rsidRPr="001D6BE0">
        <w:rPr>
          <w:rFonts w:ascii="Calibri" w:hAnsi="Calibri" w:cs="Calibri"/>
          <w:noProof/>
          <w:lang w:val="en-GB"/>
        </w:rPr>
        <w:t xml:space="preserve">:504–514. </w:t>
      </w:r>
    </w:p>
    <w:p w14:paraId="1C28A997"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36. </w:t>
      </w:r>
      <w:r w:rsidRPr="001D6BE0">
        <w:rPr>
          <w:rFonts w:ascii="Calibri" w:hAnsi="Calibri" w:cs="Calibri"/>
          <w:noProof/>
          <w:lang w:val="en-GB"/>
        </w:rPr>
        <w:tab/>
        <w:t xml:space="preserve">Hor K, Raman S, Subramanian S, Moran T, Gnyawali T, Lao K, Benson W, Cripe L. ECG abnormalities correlate with myocardial fibrosis by cardiac magnetic resonance imaging in DMD. </w:t>
      </w:r>
      <w:r w:rsidRPr="001D6BE0">
        <w:rPr>
          <w:rFonts w:ascii="Calibri" w:hAnsi="Calibri" w:cs="Calibri"/>
          <w:i/>
          <w:iCs/>
          <w:noProof/>
          <w:lang w:val="en-GB"/>
        </w:rPr>
        <w:t>Neuromuscul Disord</w:t>
      </w:r>
      <w:r w:rsidRPr="001D6BE0">
        <w:rPr>
          <w:rFonts w:ascii="Calibri" w:hAnsi="Calibri" w:cs="Calibri"/>
          <w:noProof/>
          <w:lang w:val="en-GB"/>
        </w:rPr>
        <w:t xml:space="preserve"> 2016; </w:t>
      </w:r>
    </w:p>
    <w:p w14:paraId="5EFED31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37. </w:t>
      </w:r>
      <w:r w:rsidRPr="001D6BE0">
        <w:rPr>
          <w:rFonts w:ascii="Calibri" w:hAnsi="Calibri" w:cs="Calibri"/>
          <w:noProof/>
          <w:lang w:val="en-GB"/>
        </w:rPr>
        <w:tab/>
        <w:t xml:space="preserve">Perloff JK, Roberts WC, Leon AC de, O’Doherty D. The distinctive electrocardiogram of Duchenne’s progressive muscular dystrophy. </w:t>
      </w:r>
      <w:r w:rsidRPr="001D6BE0">
        <w:rPr>
          <w:rFonts w:ascii="Calibri" w:hAnsi="Calibri" w:cs="Calibri"/>
          <w:i/>
          <w:iCs/>
          <w:noProof/>
          <w:lang w:val="en-GB"/>
        </w:rPr>
        <w:t>Am J Med</w:t>
      </w:r>
      <w:r w:rsidRPr="001D6BE0">
        <w:rPr>
          <w:rFonts w:ascii="Calibri" w:hAnsi="Calibri" w:cs="Calibri"/>
          <w:noProof/>
          <w:lang w:val="en-GB"/>
        </w:rPr>
        <w:t xml:space="preserve"> 2004; </w:t>
      </w:r>
    </w:p>
    <w:p w14:paraId="70F5970F"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38. </w:t>
      </w:r>
      <w:r w:rsidRPr="001D6BE0">
        <w:rPr>
          <w:rFonts w:ascii="Calibri" w:hAnsi="Calibri" w:cs="Calibri"/>
          <w:noProof/>
          <w:lang w:val="en-GB"/>
        </w:rPr>
        <w:tab/>
        <w:t xml:space="preserve">Clemen CS, Herrmann H, Strelkov S V., Schröder R. Desminopathies: Pathology and mechanisms. </w:t>
      </w:r>
      <w:r w:rsidRPr="001D6BE0">
        <w:rPr>
          <w:rFonts w:ascii="Calibri" w:hAnsi="Calibri" w:cs="Calibri"/>
          <w:i/>
          <w:iCs/>
          <w:noProof/>
          <w:lang w:val="en-GB"/>
        </w:rPr>
        <w:t>Acta Neuropathol</w:t>
      </w:r>
      <w:r w:rsidRPr="001D6BE0">
        <w:rPr>
          <w:rFonts w:ascii="Calibri" w:hAnsi="Calibri" w:cs="Calibri"/>
          <w:noProof/>
          <w:lang w:val="en-GB"/>
        </w:rPr>
        <w:t xml:space="preserve"> 2013;</w:t>
      </w:r>
      <w:r w:rsidRPr="001D6BE0">
        <w:rPr>
          <w:rFonts w:ascii="Calibri" w:hAnsi="Calibri" w:cs="Calibri"/>
          <w:b/>
          <w:bCs/>
          <w:noProof/>
          <w:lang w:val="en-GB"/>
        </w:rPr>
        <w:t>125</w:t>
      </w:r>
      <w:r w:rsidRPr="001D6BE0">
        <w:rPr>
          <w:rFonts w:ascii="Calibri" w:hAnsi="Calibri" w:cs="Calibri"/>
          <w:noProof/>
          <w:lang w:val="en-GB"/>
        </w:rPr>
        <w:t xml:space="preserve">:47–75. </w:t>
      </w:r>
    </w:p>
    <w:p w14:paraId="18B11C0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39. </w:t>
      </w:r>
      <w:r w:rsidRPr="001D6BE0">
        <w:rPr>
          <w:rFonts w:ascii="Calibri" w:hAnsi="Calibri" w:cs="Calibri"/>
          <w:noProof/>
          <w:lang w:val="en-GB"/>
        </w:rPr>
        <w:tab/>
        <w:t xml:space="preserve">Finocchiaro G, Papadakis M, Dhutia H, Zaidi A, Malhotra A, Fabi E, Cappelletto C, Brook J, Papatheodorou E, Ensam B, Miles CJ, Bastiaenen R, Attard V, Homfray T, Sharma R, Tome M, Carr-White G, Merlo M, Behr ER, Sinagra G, Sharma S. Electrocardiographic differentiation between ‘benign T-wave inversion’ and arrhythmogenic right ventricular cardiomyopathy. </w:t>
      </w:r>
      <w:r w:rsidRPr="001D6BE0">
        <w:rPr>
          <w:rFonts w:ascii="Calibri" w:hAnsi="Calibri" w:cs="Calibri"/>
          <w:i/>
          <w:iCs/>
          <w:noProof/>
          <w:lang w:val="en-GB"/>
        </w:rPr>
        <w:t>Europace</w:t>
      </w:r>
      <w:r w:rsidRPr="001D6BE0">
        <w:rPr>
          <w:rFonts w:ascii="Calibri" w:hAnsi="Calibri" w:cs="Calibri"/>
          <w:noProof/>
          <w:lang w:val="en-GB"/>
        </w:rPr>
        <w:t xml:space="preserve"> 2018; </w:t>
      </w:r>
    </w:p>
    <w:p w14:paraId="5D8C081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40. </w:t>
      </w:r>
      <w:r w:rsidRPr="001D6BE0">
        <w:rPr>
          <w:rFonts w:ascii="Calibri" w:hAnsi="Calibri" w:cs="Calibri"/>
          <w:noProof/>
          <w:lang w:val="en-GB"/>
        </w:rPr>
        <w:tab/>
        <w:t xml:space="preserve">Hoogenhof MMG van den, Beqqali A, Amin AS, Made I van der, Aufiero S, Khan MAF, Schumacher CA, Jansweijer JA, Spaendonck-Zwarts KY van, Remme CA, Backs J, Verkerk AO, Baartscheer A, Pinto YM, Creemers EE. RBM20 Mutations Induce an Arrhythmogenic Dilated Cardiomyopathy Related to Disturbed Calcium Handling. </w:t>
      </w:r>
      <w:r w:rsidRPr="001D6BE0">
        <w:rPr>
          <w:rFonts w:ascii="Calibri" w:hAnsi="Calibri" w:cs="Calibri"/>
          <w:i/>
          <w:iCs/>
          <w:noProof/>
          <w:lang w:val="en-GB"/>
        </w:rPr>
        <w:t>Circulation</w:t>
      </w:r>
      <w:r w:rsidRPr="001D6BE0">
        <w:rPr>
          <w:rFonts w:ascii="Calibri" w:hAnsi="Calibri" w:cs="Calibri"/>
          <w:noProof/>
          <w:lang w:val="en-GB"/>
        </w:rPr>
        <w:t xml:space="preserve"> 2018;</w:t>
      </w:r>
      <w:r w:rsidRPr="001D6BE0">
        <w:rPr>
          <w:rFonts w:ascii="Calibri" w:hAnsi="Calibri" w:cs="Calibri"/>
          <w:b/>
          <w:bCs/>
          <w:noProof/>
          <w:lang w:val="en-GB"/>
        </w:rPr>
        <w:t>138</w:t>
      </w:r>
      <w:r w:rsidRPr="001D6BE0">
        <w:rPr>
          <w:rFonts w:ascii="Calibri" w:hAnsi="Calibri" w:cs="Calibri"/>
          <w:noProof/>
          <w:lang w:val="en-GB"/>
        </w:rPr>
        <w:t xml:space="preserve">:1330–1342. </w:t>
      </w:r>
    </w:p>
    <w:p w14:paraId="601F16E5"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41. </w:t>
      </w:r>
      <w:r w:rsidRPr="001D6BE0">
        <w:rPr>
          <w:rFonts w:ascii="Calibri" w:hAnsi="Calibri" w:cs="Calibri"/>
          <w:noProof/>
          <w:lang w:val="en-GB"/>
        </w:rPr>
        <w:tab/>
        <w:t xml:space="preserve">Haghighi K, Kolokathis F, Gramolini AO, Waggoner JR, Pater L, Lynch RA, Fan G-C, Tsiapras D, Parekh RR, Dorn GW, MacLennan DH, Kremastinos DT, Kranias EG. A mutation in the human phospholamban gene, deleting arginine 14, results in lethal, hereditary cardiomyopathy. </w:t>
      </w:r>
      <w:r w:rsidRPr="001D6BE0">
        <w:rPr>
          <w:rFonts w:ascii="Calibri" w:hAnsi="Calibri" w:cs="Calibri"/>
          <w:i/>
          <w:iCs/>
          <w:noProof/>
          <w:lang w:val="en-GB"/>
        </w:rPr>
        <w:t>Proc Natl Acad Sci U S A</w:t>
      </w:r>
      <w:r w:rsidRPr="001D6BE0">
        <w:rPr>
          <w:rFonts w:ascii="Calibri" w:hAnsi="Calibri" w:cs="Calibri"/>
          <w:noProof/>
          <w:lang w:val="en-GB"/>
        </w:rPr>
        <w:t xml:space="preserve"> 2006;</w:t>
      </w:r>
      <w:r w:rsidRPr="001D6BE0">
        <w:rPr>
          <w:rFonts w:ascii="Calibri" w:hAnsi="Calibri" w:cs="Calibri"/>
          <w:b/>
          <w:bCs/>
          <w:noProof/>
          <w:lang w:val="en-GB"/>
        </w:rPr>
        <w:t>103</w:t>
      </w:r>
      <w:r w:rsidRPr="001D6BE0">
        <w:rPr>
          <w:rFonts w:ascii="Calibri" w:hAnsi="Calibri" w:cs="Calibri"/>
          <w:noProof/>
          <w:lang w:val="en-GB"/>
        </w:rPr>
        <w:t xml:space="preserve">:1388–1393. </w:t>
      </w:r>
    </w:p>
    <w:p w14:paraId="23BE4668"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42. </w:t>
      </w:r>
      <w:r w:rsidRPr="001D6BE0">
        <w:rPr>
          <w:rFonts w:ascii="Calibri" w:hAnsi="Calibri" w:cs="Calibri"/>
          <w:noProof/>
          <w:lang w:val="en-GB"/>
        </w:rPr>
        <w:tab/>
        <w:t xml:space="preserve">Remme CA. Cardiac sodium channelopathy associated with SCN5A mutations: Electrophysiological, molecular and genetic aspects. </w:t>
      </w:r>
      <w:r w:rsidRPr="001D6BE0">
        <w:rPr>
          <w:rFonts w:ascii="Calibri" w:hAnsi="Calibri" w:cs="Calibri"/>
          <w:i/>
          <w:iCs/>
          <w:noProof/>
          <w:lang w:val="en-GB"/>
        </w:rPr>
        <w:t>J Physiol</w:t>
      </w:r>
      <w:r w:rsidRPr="001D6BE0">
        <w:rPr>
          <w:rFonts w:ascii="Calibri" w:hAnsi="Calibri" w:cs="Calibri"/>
          <w:noProof/>
          <w:lang w:val="en-GB"/>
        </w:rPr>
        <w:t xml:space="preserve"> 2013; </w:t>
      </w:r>
    </w:p>
    <w:p w14:paraId="559FB6E2"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43. </w:t>
      </w:r>
      <w:r w:rsidRPr="001D6BE0">
        <w:rPr>
          <w:rFonts w:ascii="Calibri" w:hAnsi="Calibri" w:cs="Calibri"/>
          <w:noProof/>
          <w:lang w:val="en-GB"/>
        </w:rPr>
        <w:tab/>
        <w:t xml:space="preserve">McNair WP, Sinagra G, Taylor MRG, Lenarda A Di, Ferguson DA, Salcedo EE, Slavov D, Zhu X, Caldwell JH, Mestroni L. SCN5A mutations associate with arrhythmic dilated cardiomyopathy and commonly localize to the voltage-sensing mechanism. </w:t>
      </w:r>
      <w:r w:rsidRPr="001D6BE0">
        <w:rPr>
          <w:rFonts w:ascii="Calibri" w:hAnsi="Calibri" w:cs="Calibri"/>
          <w:i/>
          <w:iCs/>
          <w:noProof/>
          <w:lang w:val="en-GB"/>
        </w:rPr>
        <w:t>J Am Coll Cardiol</w:t>
      </w:r>
      <w:r w:rsidRPr="001D6BE0">
        <w:rPr>
          <w:rFonts w:ascii="Calibri" w:hAnsi="Calibri" w:cs="Calibri"/>
          <w:noProof/>
          <w:lang w:val="en-GB"/>
        </w:rPr>
        <w:t xml:space="preserve"> 2011; </w:t>
      </w:r>
    </w:p>
    <w:p w14:paraId="6B37D14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44. </w:t>
      </w:r>
      <w:r w:rsidRPr="001D6BE0">
        <w:rPr>
          <w:rFonts w:ascii="Calibri" w:hAnsi="Calibri" w:cs="Calibri"/>
          <w:noProof/>
          <w:lang w:val="en-GB"/>
        </w:rPr>
        <w:tab/>
        <w:t xml:space="preserve">D’Ambrosio A. The fate of acute myocarditis between spontaneous improvement and evolution to dilated cardiomyopathy: a review. </w:t>
      </w:r>
      <w:r w:rsidRPr="001D6BE0">
        <w:rPr>
          <w:rFonts w:ascii="Calibri" w:hAnsi="Calibri" w:cs="Calibri"/>
          <w:i/>
          <w:iCs/>
          <w:noProof/>
          <w:lang w:val="en-GB"/>
        </w:rPr>
        <w:t>Heart</w:t>
      </w:r>
      <w:r w:rsidRPr="001D6BE0">
        <w:rPr>
          <w:rFonts w:ascii="Calibri" w:hAnsi="Calibri" w:cs="Calibri"/>
          <w:noProof/>
          <w:lang w:val="en-GB"/>
        </w:rPr>
        <w:t xml:space="preserve"> 2001; </w:t>
      </w:r>
    </w:p>
    <w:p w14:paraId="5765183D"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45. </w:t>
      </w:r>
      <w:r w:rsidRPr="001D6BE0">
        <w:rPr>
          <w:rFonts w:ascii="Calibri" w:hAnsi="Calibri" w:cs="Calibri"/>
          <w:noProof/>
          <w:lang w:val="en-GB"/>
        </w:rPr>
        <w:tab/>
        <w:t xml:space="preserve">Towbin JA, McKenna WJ, Abrams DJ, Ackerman MJ, Calkins H, Darrieux FCC, Daubert JP, Chillou C de, DePasquale EC, Desai MY, Estes NAM, Hua W, Indik JH, Ingles J, James CA, John RM, Judge DP, Keegan R, Krahn AD, Link MS, Marcus FI, McLeod CJ, Mestroni L, Priori SG, Saffitz JE, Sanatani S, Shimizu W, Peter van Tintelen J, Wilde AAM, Zareba W. 2019 HRS Expert Consensus Statement on Evaluation, Risk Stratification, and Management of Arrhythmogenic Cardiomyopathy. </w:t>
      </w:r>
      <w:r w:rsidRPr="001D6BE0">
        <w:rPr>
          <w:rFonts w:ascii="Calibri" w:hAnsi="Calibri" w:cs="Calibri"/>
          <w:i/>
          <w:iCs/>
          <w:noProof/>
          <w:lang w:val="en-GB"/>
        </w:rPr>
        <w:t>Hear Rhythm</w:t>
      </w:r>
      <w:r w:rsidRPr="001D6BE0">
        <w:rPr>
          <w:rFonts w:ascii="Calibri" w:hAnsi="Calibri" w:cs="Calibri"/>
          <w:noProof/>
          <w:lang w:val="en-GB"/>
        </w:rPr>
        <w:t xml:space="preserve"> 2019; </w:t>
      </w:r>
    </w:p>
    <w:p w14:paraId="5C5FCEE0"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46. </w:t>
      </w:r>
      <w:r w:rsidRPr="001D6BE0">
        <w:rPr>
          <w:rFonts w:ascii="Calibri" w:hAnsi="Calibri" w:cs="Calibri"/>
          <w:noProof/>
          <w:lang w:val="en-GB"/>
        </w:rPr>
        <w:tab/>
        <w:t xml:space="preserve">Nunes MCP, Beaton A, Acquatella H, Bern C, Bolger AF, Echeverría LE, Dutra WO, Gascon J, Morillo CA, Oliveira-Filho J, Ribeiro ALP, Marin-Neto JA. Chagas Cardiomyopathy: An Update of Current Clinical Knowledge and Management: A Scientific Statement From the American Heart Association. </w:t>
      </w:r>
      <w:r w:rsidRPr="001D6BE0">
        <w:rPr>
          <w:rFonts w:ascii="Calibri" w:hAnsi="Calibri" w:cs="Calibri"/>
          <w:i/>
          <w:iCs/>
          <w:noProof/>
          <w:lang w:val="en-GB"/>
        </w:rPr>
        <w:t>Circulation</w:t>
      </w:r>
      <w:r w:rsidRPr="001D6BE0">
        <w:rPr>
          <w:rFonts w:ascii="Calibri" w:hAnsi="Calibri" w:cs="Calibri"/>
          <w:noProof/>
          <w:lang w:val="en-GB"/>
        </w:rPr>
        <w:t xml:space="preserve"> 2018; </w:t>
      </w:r>
    </w:p>
    <w:p w14:paraId="629044BC"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47. </w:t>
      </w:r>
      <w:r w:rsidRPr="001D6BE0">
        <w:rPr>
          <w:rFonts w:ascii="Calibri" w:hAnsi="Calibri" w:cs="Calibri"/>
          <w:noProof/>
          <w:lang w:val="en-GB"/>
        </w:rPr>
        <w:tab/>
        <w:t xml:space="preserve">Birnie DH, Nery PB, Ha AC, Beanlands RSB. Cardiac Sarcoidosis. J. Am. Coll. Cardiol. 2016. </w:t>
      </w:r>
    </w:p>
    <w:p w14:paraId="53A9C693"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48. </w:t>
      </w:r>
      <w:r w:rsidRPr="001D6BE0">
        <w:rPr>
          <w:rFonts w:ascii="Calibri" w:hAnsi="Calibri" w:cs="Calibri"/>
          <w:noProof/>
          <w:lang w:val="en-GB"/>
        </w:rPr>
        <w:tab/>
        <w:t xml:space="preserve">Mehta D, Lubitz SA, Frankel Z, Wisnivesky JP, Einstein AJ, Goldman M, Machac J, Teirstein A. Cardiac involvement in patients with sarcoidosis: Diagnostic and prognostic value of outpatient testing. </w:t>
      </w:r>
      <w:r w:rsidRPr="001D6BE0">
        <w:rPr>
          <w:rFonts w:ascii="Calibri" w:hAnsi="Calibri" w:cs="Calibri"/>
          <w:i/>
          <w:iCs/>
          <w:noProof/>
          <w:lang w:val="en-GB"/>
        </w:rPr>
        <w:t>Chest</w:t>
      </w:r>
      <w:r w:rsidRPr="001D6BE0">
        <w:rPr>
          <w:rFonts w:ascii="Calibri" w:hAnsi="Calibri" w:cs="Calibri"/>
          <w:noProof/>
          <w:lang w:val="en-GB"/>
        </w:rPr>
        <w:t xml:space="preserve"> 2008; </w:t>
      </w:r>
    </w:p>
    <w:p w14:paraId="3333CCE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49. </w:t>
      </w:r>
      <w:r w:rsidRPr="001D6BE0">
        <w:rPr>
          <w:rFonts w:ascii="Calibri" w:hAnsi="Calibri" w:cs="Calibri"/>
          <w:noProof/>
          <w:lang w:val="en-GB"/>
        </w:rPr>
        <w:tab/>
        <w:t xml:space="preserve">Schuller JL, Olson MD, Zipse MM, Schneider PM, Aleong RG, Wienberger HD, Varosy PD, Sauer WH. Electrocardiographic characteristics in patients with pulmonary sarcoidosis indicating cardiac involvement. </w:t>
      </w:r>
      <w:r w:rsidRPr="001D6BE0">
        <w:rPr>
          <w:rFonts w:ascii="Calibri" w:hAnsi="Calibri" w:cs="Calibri"/>
          <w:i/>
          <w:iCs/>
          <w:noProof/>
          <w:lang w:val="en-GB"/>
        </w:rPr>
        <w:t>J Cardiovasc Electrophysiol</w:t>
      </w:r>
      <w:r w:rsidRPr="001D6BE0">
        <w:rPr>
          <w:rFonts w:ascii="Calibri" w:hAnsi="Calibri" w:cs="Calibri"/>
          <w:noProof/>
          <w:lang w:val="en-GB"/>
        </w:rPr>
        <w:t xml:space="preserve"> 2011; </w:t>
      </w:r>
    </w:p>
    <w:p w14:paraId="65493334"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50. </w:t>
      </w:r>
      <w:r w:rsidRPr="001D6BE0">
        <w:rPr>
          <w:rFonts w:ascii="Calibri" w:hAnsi="Calibri" w:cs="Calibri"/>
          <w:noProof/>
          <w:lang w:val="en-GB"/>
        </w:rPr>
        <w:tab/>
        <w:t xml:space="preserve">Nery PB, Beanlands RS, Nair GM, Green M, Yang J, McArdle BA, Davis D, Ohira H, Gollob MH, Leung E, Healey JS, Birnie DH. Atrioventricular block as the initial manifestation of cardiac sarcoidosis in middle-aged adults. </w:t>
      </w:r>
      <w:r w:rsidRPr="001D6BE0">
        <w:rPr>
          <w:rFonts w:ascii="Calibri" w:hAnsi="Calibri" w:cs="Calibri"/>
          <w:i/>
          <w:iCs/>
          <w:noProof/>
          <w:lang w:val="en-GB"/>
        </w:rPr>
        <w:t>J Cardiovasc Electrophysiol</w:t>
      </w:r>
      <w:r w:rsidRPr="001D6BE0">
        <w:rPr>
          <w:rFonts w:ascii="Calibri" w:hAnsi="Calibri" w:cs="Calibri"/>
          <w:noProof/>
          <w:lang w:val="en-GB"/>
        </w:rPr>
        <w:t xml:space="preserve"> 2014; </w:t>
      </w:r>
    </w:p>
    <w:p w14:paraId="443E37F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51. </w:t>
      </w:r>
      <w:r w:rsidRPr="001D6BE0">
        <w:rPr>
          <w:rFonts w:ascii="Calibri" w:hAnsi="Calibri" w:cs="Calibri"/>
          <w:noProof/>
          <w:lang w:val="en-GB"/>
        </w:rPr>
        <w:tab/>
        <w:t xml:space="preserve">Birnie DH, Sauer WH, Bogun F, Cooper JM, Culver DA, Duvernoy CS, Judson MA, Kron J, Mehta D, Cosedis Nielsen J, Patel AR, Ohe T, Raatikainen P, Soejima K. HRS expert consensus statement on the diagnosis and management of arrhythmias associated with cardiac sarcoidosis. </w:t>
      </w:r>
      <w:r w:rsidRPr="001D6BE0">
        <w:rPr>
          <w:rFonts w:ascii="Calibri" w:hAnsi="Calibri" w:cs="Calibri"/>
          <w:i/>
          <w:iCs/>
          <w:noProof/>
          <w:lang w:val="en-GB"/>
        </w:rPr>
        <w:t>Hear Rhythm</w:t>
      </w:r>
      <w:r w:rsidRPr="001D6BE0">
        <w:rPr>
          <w:rFonts w:ascii="Calibri" w:hAnsi="Calibri" w:cs="Calibri"/>
          <w:noProof/>
          <w:lang w:val="en-GB"/>
        </w:rPr>
        <w:t xml:space="preserve"> 2014; </w:t>
      </w:r>
    </w:p>
    <w:p w14:paraId="21F50187"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52. </w:t>
      </w:r>
      <w:r w:rsidRPr="001D6BE0">
        <w:rPr>
          <w:rFonts w:ascii="Calibri" w:hAnsi="Calibri" w:cs="Calibri"/>
          <w:noProof/>
          <w:lang w:val="en-GB"/>
        </w:rPr>
        <w:tab/>
        <w:t xml:space="preserve">Horacek JM, Jakl M, Horackova J, Pudil R, Jebavy L, Maly J. Assessment of anthracycline-induced cardiotoxicity with electrocardiography. </w:t>
      </w:r>
      <w:r w:rsidRPr="001D6BE0">
        <w:rPr>
          <w:rFonts w:ascii="Calibri" w:hAnsi="Calibri" w:cs="Calibri"/>
          <w:i/>
          <w:iCs/>
          <w:noProof/>
          <w:lang w:val="en-GB"/>
        </w:rPr>
        <w:t>Exp Oncol</w:t>
      </w:r>
      <w:r w:rsidRPr="001D6BE0">
        <w:rPr>
          <w:rFonts w:ascii="Calibri" w:hAnsi="Calibri" w:cs="Calibri"/>
          <w:noProof/>
          <w:lang w:val="en-GB"/>
        </w:rPr>
        <w:t xml:space="preserve"> 2009;</w:t>
      </w:r>
      <w:r w:rsidRPr="001D6BE0">
        <w:rPr>
          <w:rFonts w:ascii="Calibri" w:hAnsi="Calibri" w:cs="Calibri"/>
          <w:b/>
          <w:bCs/>
          <w:noProof/>
          <w:lang w:val="en-GB"/>
        </w:rPr>
        <w:t>31</w:t>
      </w:r>
      <w:r w:rsidRPr="001D6BE0">
        <w:rPr>
          <w:rFonts w:ascii="Calibri" w:hAnsi="Calibri" w:cs="Calibri"/>
          <w:noProof/>
          <w:lang w:val="en-GB"/>
        </w:rPr>
        <w:t xml:space="preserve">:115–117. </w:t>
      </w:r>
    </w:p>
    <w:p w14:paraId="4F485DE0"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53. </w:t>
      </w:r>
      <w:r w:rsidRPr="001D6BE0">
        <w:rPr>
          <w:rFonts w:ascii="Calibri" w:hAnsi="Calibri" w:cs="Calibri"/>
          <w:noProof/>
          <w:lang w:val="en-GB"/>
        </w:rPr>
        <w:tab/>
        <w:t xml:space="preserve">Mazur M, Wang F, Hodge DO, Siontis BL, Beinborn DS, Villarraga HR, Lerman A, Friedman PA, Herrmann J. Burden of Cardiac Arrhythmias in Patients With Anthracycline-Related Cardiomyopathy. </w:t>
      </w:r>
      <w:r w:rsidRPr="001D6BE0">
        <w:rPr>
          <w:rFonts w:ascii="Calibri" w:hAnsi="Calibri" w:cs="Calibri"/>
          <w:i/>
          <w:iCs/>
          <w:noProof/>
          <w:lang w:val="en-GB"/>
        </w:rPr>
        <w:t>JACC Clin Electrophysiol</w:t>
      </w:r>
      <w:r w:rsidRPr="001D6BE0">
        <w:rPr>
          <w:rFonts w:ascii="Calibri" w:hAnsi="Calibri" w:cs="Calibri"/>
          <w:noProof/>
          <w:lang w:val="en-GB"/>
        </w:rPr>
        <w:t xml:space="preserve"> 2017;</w:t>
      </w:r>
      <w:r w:rsidRPr="001D6BE0">
        <w:rPr>
          <w:rFonts w:ascii="Calibri" w:hAnsi="Calibri" w:cs="Calibri"/>
          <w:b/>
          <w:bCs/>
          <w:noProof/>
          <w:lang w:val="en-GB"/>
        </w:rPr>
        <w:t>3</w:t>
      </w:r>
      <w:r w:rsidRPr="001D6BE0">
        <w:rPr>
          <w:rFonts w:ascii="Calibri" w:hAnsi="Calibri" w:cs="Calibri"/>
          <w:noProof/>
          <w:lang w:val="en-GB"/>
        </w:rPr>
        <w:t xml:space="preserve">:139–150. </w:t>
      </w:r>
    </w:p>
    <w:p w14:paraId="26463F4E"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54. </w:t>
      </w:r>
      <w:r w:rsidRPr="001D6BE0">
        <w:rPr>
          <w:rFonts w:ascii="Calibri" w:hAnsi="Calibri" w:cs="Calibri"/>
          <w:noProof/>
          <w:lang w:val="en-GB"/>
        </w:rPr>
        <w:tab/>
        <w:t xml:space="preserve">Ware JS, Amor-Salamanca A, Tayal U, Govind R, Serrano I, Salazar-Mendiguchía J, García-Pinilla JM, Pascual-Figal DA, Nuñez J, Guzzo-Merello G, Gonzalez-Vioque E, Bardaji A, Manito N, López-Garrido MA, Padron-Barthe L, Edwards E, Whiffin N, Walsh R, Buchan RJ, Midwinter W, Wilk A, Prasad S, Pantazis A, Baski J, O’Regan DP, Alonso-Pulpon L, Cook SA, Lara-Pezzi E, Barton PJ, Garcia-Pavia P. Genetic Etiology for Alcohol-Induced Cardiac Toxicity. </w:t>
      </w:r>
      <w:r w:rsidRPr="001D6BE0">
        <w:rPr>
          <w:rFonts w:ascii="Calibri" w:hAnsi="Calibri" w:cs="Calibri"/>
          <w:i/>
          <w:iCs/>
          <w:noProof/>
          <w:lang w:val="en-GB"/>
        </w:rPr>
        <w:t>J Am Coll Cardiol</w:t>
      </w:r>
      <w:r w:rsidRPr="001D6BE0">
        <w:rPr>
          <w:rFonts w:ascii="Calibri" w:hAnsi="Calibri" w:cs="Calibri"/>
          <w:noProof/>
          <w:lang w:val="en-GB"/>
        </w:rPr>
        <w:t xml:space="preserve"> 2018;</w:t>
      </w:r>
      <w:r w:rsidRPr="001D6BE0">
        <w:rPr>
          <w:rFonts w:ascii="Calibri" w:hAnsi="Calibri" w:cs="Calibri"/>
          <w:b/>
          <w:bCs/>
          <w:noProof/>
          <w:lang w:val="en-GB"/>
        </w:rPr>
        <w:t>71</w:t>
      </w:r>
      <w:r w:rsidRPr="001D6BE0">
        <w:rPr>
          <w:rFonts w:ascii="Calibri" w:hAnsi="Calibri" w:cs="Calibri"/>
          <w:noProof/>
          <w:lang w:val="en-GB"/>
        </w:rPr>
        <w:t xml:space="preserve">:2293–2302. </w:t>
      </w:r>
    </w:p>
    <w:p w14:paraId="6FF76082"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55. </w:t>
      </w:r>
      <w:r w:rsidRPr="001D6BE0">
        <w:rPr>
          <w:rFonts w:ascii="Calibri" w:hAnsi="Calibri" w:cs="Calibri"/>
          <w:noProof/>
          <w:lang w:val="en-GB"/>
        </w:rPr>
        <w:tab/>
        <w:t xml:space="preserve">Rodrigues P, Santos-Ribeiro S, Teodoro T, Gomes FV, Leal I, Reis JP, Goff DC, Gonçalves A, Lima JAC. Association Between Alcohol Intake and Cardiac Remodeling. </w:t>
      </w:r>
      <w:r w:rsidRPr="001D6BE0">
        <w:rPr>
          <w:rFonts w:ascii="Calibri" w:hAnsi="Calibri" w:cs="Calibri"/>
          <w:i/>
          <w:iCs/>
          <w:noProof/>
          <w:lang w:val="en-GB"/>
        </w:rPr>
        <w:t>J Am Coll Cardiol</w:t>
      </w:r>
      <w:r w:rsidRPr="001D6BE0">
        <w:rPr>
          <w:rFonts w:ascii="Calibri" w:hAnsi="Calibri" w:cs="Calibri"/>
          <w:noProof/>
          <w:lang w:val="en-GB"/>
        </w:rPr>
        <w:t xml:space="preserve"> 2018;</w:t>
      </w:r>
      <w:r w:rsidRPr="001D6BE0">
        <w:rPr>
          <w:rFonts w:ascii="Calibri" w:hAnsi="Calibri" w:cs="Calibri"/>
          <w:b/>
          <w:bCs/>
          <w:noProof/>
          <w:lang w:val="en-GB"/>
        </w:rPr>
        <w:t>72</w:t>
      </w:r>
      <w:r w:rsidRPr="001D6BE0">
        <w:rPr>
          <w:rFonts w:ascii="Calibri" w:hAnsi="Calibri" w:cs="Calibri"/>
          <w:noProof/>
          <w:lang w:val="en-GB"/>
        </w:rPr>
        <w:t xml:space="preserve">:1452–1462. </w:t>
      </w:r>
    </w:p>
    <w:p w14:paraId="003E5EE1"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DC34BC">
        <w:rPr>
          <w:rFonts w:ascii="Calibri" w:hAnsi="Calibri" w:cs="Calibri"/>
          <w:noProof/>
        </w:rPr>
        <w:t xml:space="preserve">56. </w:t>
      </w:r>
      <w:r w:rsidRPr="00DC34BC">
        <w:rPr>
          <w:rFonts w:ascii="Calibri" w:hAnsi="Calibri" w:cs="Calibri"/>
          <w:noProof/>
        </w:rPr>
        <w:tab/>
        <w:t xml:space="preserve">Pelliccia A, Culasso F, Paolo FM Di, Maron BJ. </w:t>
      </w:r>
      <w:r w:rsidRPr="001D6BE0">
        <w:rPr>
          <w:rFonts w:ascii="Calibri" w:hAnsi="Calibri" w:cs="Calibri"/>
          <w:noProof/>
          <w:lang w:val="en-GB"/>
        </w:rPr>
        <w:t xml:space="preserve">Physiologic left ventricular cavity dilatation in elite athletes. </w:t>
      </w:r>
      <w:r w:rsidRPr="001D6BE0">
        <w:rPr>
          <w:rFonts w:ascii="Calibri" w:hAnsi="Calibri" w:cs="Calibri"/>
          <w:i/>
          <w:iCs/>
          <w:noProof/>
          <w:lang w:val="en-GB"/>
        </w:rPr>
        <w:t>Ann Intern Med</w:t>
      </w:r>
      <w:r w:rsidRPr="001D6BE0">
        <w:rPr>
          <w:rFonts w:ascii="Calibri" w:hAnsi="Calibri" w:cs="Calibri"/>
          <w:noProof/>
          <w:lang w:val="en-GB"/>
        </w:rPr>
        <w:t xml:space="preserve"> 1999;</w:t>
      </w:r>
      <w:r w:rsidRPr="001D6BE0">
        <w:rPr>
          <w:rFonts w:ascii="Calibri" w:hAnsi="Calibri" w:cs="Calibri"/>
          <w:b/>
          <w:bCs/>
          <w:noProof/>
          <w:lang w:val="en-GB"/>
        </w:rPr>
        <w:t>130</w:t>
      </w:r>
      <w:r w:rsidRPr="001D6BE0">
        <w:rPr>
          <w:rFonts w:ascii="Calibri" w:hAnsi="Calibri" w:cs="Calibri"/>
          <w:noProof/>
          <w:lang w:val="en-GB"/>
        </w:rPr>
        <w:t xml:space="preserve">:23–31. </w:t>
      </w:r>
    </w:p>
    <w:p w14:paraId="73CA96C2"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57. </w:t>
      </w:r>
      <w:r w:rsidRPr="001D6BE0">
        <w:rPr>
          <w:rFonts w:ascii="Calibri" w:hAnsi="Calibri" w:cs="Calibri"/>
          <w:noProof/>
          <w:lang w:val="en-GB"/>
        </w:rPr>
        <w:tab/>
        <w:t xml:space="preserve">Akhtar MM, Elliott P. Impact of left bundle branch block (LBBB) in dilated cardiomyopathy (DCM) with intermediate left ventricular systolic dysfunction (LVSD). Int. J. Cardiol. 2019. </w:t>
      </w:r>
    </w:p>
    <w:p w14:paraId="3E06731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58. </w:t>
      </w:r>
      <w:r w:rsidRPr="001D6BE0">
        <w:rPr>
          <w:rFonts w:ascii="Calibri" w:hAnsi="Calibri" w:cs="Calibri"/>
          <w:noProof/>
          <w:lang w:val="en-GB"/>
        </w:rPr>
        <w:tab/>
        <w:t xml:space="preserve">Aleksova A, Carriere C, Zecchin M, Barbati G, Vitrella G, Lenarda A Di, Sinagra G. New-onset left bundle branch block independently predicts long-term mortality in patients with idiopathic dilated cardiomyopathy: data from the Trieste Heart Muscle Disease Registry. </w:t>
      </w:r>
      <w:r w:rsidRPr="001D6BE0">
        <w:rPr>
          <w:rFonts w:ascii="Calibri" w:hAnsi="Calibri" w:cs="Calibri"/>
          <w:i/>
          <w:iCs/>
          <w:noProof/>
          <w:lang w:val="en-GB"/>
        </w:rPr>
        <w:t>Europace</w:t>
      </w:r>
      <w:r w:rsidRPr="001D6BE0">
        <w:rPr>
          <w:rFonts w:ascii="Calibri" w:hAnsi="Calibri" w:cs="Calibri"/>
          <w:noProof/>
          <w:lang w:val="en-GB"/>
        </w:rPr>
        <w:t xml:space="preserve"> 2014;</w:t>
      </w:r>
      <w:r w:rsidRPr="001D6BE0">
        <w:rPr>
          <w:rFonts w:ascii="Calibri" w:hAnsi="Calibri" w:cs="Calibri"/>
          <w:b/>
          <w:bCs/>
          <w:noProof/>
          <w:lang w:val="en-GB"/>
        </w:rPr>
        <w:t>16</w:t>
      </w:r>
      <w:r w:rsidRPr="001D6BE0">
        <w:rPr>
          <w:rFonts w:ascii="Calibri" w:hAnsi="Calibri" w:cs="Calibri"/>
          <w:noProof/>
          <w:lang w:val="en-GB"/>
        </w:rPr>
        <w:t xml:space="preserve">:1450–1459. </w:t>
      </w:r>
    </w:p>
    <w:p w14:paraId="1879D65B"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59. </w:t>
      </w:r>
      <w:r w:rsidRPr="001D6BE0">
        <w:rPr>
          <w:rFonts w:ascii="Calibri" w:hAnsi="Calibri" w:cs="Calibri"/>
          <w:noProof/>
          <w:lang w:val="en-GB"/>
        </w:rPr>
        <w:tab/>
        <w:t xml:space="preserve">Ponikowski P, Voors AA, Anker SD, Bueno H, Cleland JGF, Coats AJS, Falk V, González-Juanatey JR, Harjola VP, Jankowska EA, Jessup M, Linde C, Nihoyannopoulos P, Parissis JT, Pieske B, Riley JP, Rosano GMC, Ruilope LM, Ruschitzka F, Rutten FH, Meer P Van Der. 2016 ESC Guidelines for the diagnosis and treatment of acute and chronic heart failure. Eur. Heart J. 2016. p. 2129–2200m. </w:t>
      </w:r>
    </w:p>
    <w:p w14:paraId="15211FDA"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60. </w:t>
      </w:r>
      <w:r w:rsidRPr="001D6BE0">
        <w:rPr>
          <w:rFonts w:ascii="Calibri" w:hAnsi="Calibri" w:cs="Calibri"/>
          <w:noProof/>
          <w:lang w:val="en-GB"/>
        </w:rPr>
        <w:tab/>
        <w:t xml:space="preserve">Yancy CW, Jessup M, Bozkurt B, Butler J, Casey DE, Drazner MH, Fonarow GC, Geraci SA, Horwich T, Januzzi JL, Johnson MR, Kasper EK, Levy WC, Masoudi FA, McBride PE, McMurray JJV, Mitchell JE, Peterson PN, Riegel B, Sam F, Stevenson LW, Tang WHW, Tsai EJ, Wilkoff BL. 2013 ACCF/AHA Guideline for the Management of Heart Failure: Executive Summary. </w:t>
      </w:r>
      <w:r w:rsidRPr="001D6BE0">
        <w:rPr>
          <w:rFonts w:ascii="Calibri" w:hAnsi="Calibri" w:cs="Calibri"/>
          <w:i/>
          <w:iCs/>
          <w:noProof/>
          <w:lang w:val="en-GB"/>
        </w:rPr>
        <w:t>Circulation</w:t>
      </w:r>
      <w:r w:rsidRPr="001D6BE0">
        <w:rPr>
          <w:rFonts w:ascii="Calibri" w:hAnsi="Calibri" w:cs="Calibri"/>
          <w:noProof/>
          <w:lang w:val="en-GB"/>
        </w:rPr>
        <w:t xml:space="preserve"> 2013;</w:t>
      </w:r>
      <w:r w:rsidRPr="001D6BE0">
        <w:rPr>
          <w:rFonts w:ascii="Calibri" w:hAnsi="Calibri" w:cs="Calibri"/>
          <w:b/>
          <w:bCs/>
          <w:noProof/>
          <w:lang w:val="en-GB"/>
        </w:rPr>
        <w:t>128</w:t>
      </w:r>
      <w:r w:rsidRPr="001D6BE0">
        <w:rPr>
          <w:rFonts w:ascii="Calibri" w:hAnsi="Calibri" w:cs="Calibri"/>
          <w:noProof/>
          <w:lang w:val="en-GB"/>
        </w:rPr>
        <w:t xml:space="preserve">:1810–1852. </w:t>
      </w:r>
    </w:p>
    <w:p w14:paraId="32CFA9EA"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61. </w:t>
      </w:r>
      <w:r w:rsidRPr="001D6BE0">
        <w:rPr>
          <w:rFonts w:ascii="Calibri" w:hAnsi="Calibri" w:cs="Calibri"/>
          <w:noProof/>
          <w:lang w:val="en-GB"/>
        </w:rPr>
        <w:tab/>
        <w:t xml:space="preserve">Barsheshet A, Goldenberg I, Moss AJ, Eldar M, Huang DT, McNitt S, Klein HU, Hall WJ, Brown MW, Goldberger JJ, Goldstein RE, Schuger C, Zareba W, Daubert JP. Response to preventive cardiac resynchronization therapy in patients with ischaemic and nonischaemic cardiomyopathy in MADIT-CRT. </w:t>
      </w:r>
      <w:r w:rsidRPr="001D6BE0">
        <w:rPr>
          <w:rFonts w:ascii="Calibri" w:hAnsi="Calibri" w:cs="Calibri"/>
          <w:i/>
          <w:iCs/>
          <w:noProof/>
          <w:lang w:val="en-GB"/>
        </w:rPr>
        <w:t>Eur Heart J</w:t>
      </w:r>
      <w:r w:rsidRPr="001D6BE0">
        <w:rPr>
          <w:rFonts w:ascii="Calibri" w:hAnsi="Calibri" w:cs="Calibri"/>
          <w:noProof/>
          <w:lang w:val="en-GB"/>
        </w:rPr>
        <w:t xml:space="preserve"> 2011;</w:t>
      </w:r>
      <w:r w:rsidRPr="001D6BE0">
        <w:rPr>
          <w:rFonts w:ascii="Calibri" w:hAnsi="Calibri" w:cs="Calibri"/>
          <w:b/>
          <w:bCs/>
          <w:noProof/>
          <w:lang w:val="en-GB"/>
        </w:rPr>
        <w:t>32</w:t>
      </w:r>
      <w:r w:rsidRPr="001D6BE0">
        <w:rPr>
          <w:rFonts w:ascii="Calibri" w:hAnsi="Calibri" w:cs="Calibri"/>
          <w:noProof/>
          <w:lang w:val="en-GB"/>
        </w:rPr>
        <w:t xml:space="preserve">:1622–1630. </w:t>
      </w:r>
    </w:p>
    <w:p w14:paraId="63B646EE"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62. </w:t>
      </w:r>
      <w:r w:rsidRPr="001D6BE0">
        <w:rPr>
          <w:rFonts w:ascii="Calibri" w:hAnsi="Calibri" w:cs="Calibri"/>
          <w:noProof/>
          <w:lang w:val="en-GB"/>
        </w:rPr>
        <w:tab/>
        <w:t xml:space="preserve">Stolfo D, Ceschia N, Zecchin M, Luca A De, Gobbo M, Barbati G, Gigli M, Masè M, Pinamonti B, Pivetta A, Merlo M, Sinagra G. Arrhythmic Risk Stratification in Patients With Idiopathic Dilated Cardiomyopathy. </w:t>
      </w:r>
      <w:r w:rsidRPr="001D6BE0">
        <w:rPr>
          <w:rFonts w:ascii="Calibri" w:hAnsi="Calibri" w:cs="Calibri"/>
          <w:i/>
          <w:iCs/>
          <w:noProof/>
          <w:lang w:val="en-GB"/>
        </w:rPr>
        <w:t>Am J Cardiol</w:t>
      </w:r>
      <w:r w:rsidRPr="001D6BE0">
        <w:rPr>
          <w:rFonts w:ascii="Calibri" w:hAnsi="Calibri" w:cs="Calibri"/>
          <w:noProof/>
          <w:lang w:val="en-GB"/>
        </w:rPr>
        <w:t xml:space="preserve"> 2018;</w:t>
      </w:r>
      <w:r w:rsidRPr="001D6BE0">
        <w:rPr>
          <w:rFonts w:ascii="Calibri" w:hAnsi="Calibri" w:cs="Calibri"/>
          <w:b/>
          <w:bCs/>
          <w:noProof/>
          <w:lang w:val="en-GB"/>
        </w:rPr>
        <w:t>121</w:t>
      </w:r>
      <w:r w:rsidRPr="001D6BE0">
        <w:rPr>
          <w:rFonts w:ascii="Calibri" w:hAnsi="Calibri" w:cs="Calibri"/>
          <w:noProof/>
          <w:lang w:val="en-GB"/>
        </w:rPr>
        <w:t xml:space="preserve">:1601–1609. </w:t>
      </w:r>
    </w:p>
    <w:p w14:paraId="62CBF8E4"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63. </w:t>
      </w:r>
      <w:r w:rsidRPr="001D6BE0">
        <w:rPr>
          <w:rFonts w:ascii="Calibri" w:hAnsi="Calibri" w:cs="Calibri"/>
          <w:noProof/>
          <w:lang w:val="en-GB"/>
        </w:rPr>
        <w:tab/>
        <w:t xml:space="preserve">Hombach V, Merkle N, Torzewski J, Kraus JM, Kunze M, Zimmermann O, Kestler HA, Wöhrle J. Electrocardiographic and cardiac magnetic resonance imaging parameters as predictors of a worse outcome in patients with idiopathic dilated cardiomyopathy. </w:t>
      </w:r>
      <w:r w:rsidRPr="001D6BE0">
        <w:rPr>
          <w:rFonts w:ascii="Calibri" w:hAnsi="Calibri" w:cs="Calibri"/>
          <w:i/>
          <w:iCs/>
          <w:noProof/>
          <w:lang w:val="en-GB"/>
        </w:rPr>
        <w:t>Eur Heart J</w:t>
      </w:r>
      <w:r w:rsidRPr="001D6BE0">
        <w:rPr>
          <w:rFonts w:ascii="Calibri" w:hAnsi="Calibri" w:cs="Calibri"/>
          <w:noProof/>
          <w:lang w:val="en-GB"/>
        </w:rPr>
        <w:t xml:space="preserve"> 2009; </w:t>
      </w:r>
    </w:p>
    <w:p w14:paraId="46183A44"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64. </w:t>
      </w:r>
      <w:r w:rsidRPr="001D6BE0">
        <w:rPr>
          <w:rFonts w:ascii="Calibri" w:hAnsi="Calibri" w:cs="Calibri"/>
          <w:noProof/>
          <w:lang w:val="en-GB"/>
        </w:rPr>
        <w:tab/>
        <w:t xml:space="preserve">Goldberger JJ, Subačius H, Patel T, Cunnane R, Kadish AH. Sudden cardiac death risk stratification in patients with nonischemic dilated cardiomyopathy. </w:t>
      </w:r>
      <w:r w:rsidRPr="001D6BE0">
        <w:rPr>
          <w:rFonts w:ascii="Calibri" w:hAnsi="Calibri" w:cs="Calibri"/>
          <w:i/>
          <w:iCs/>
          <w:noProof/>
          <w:lang w:val="en-GB"/>
        </w:rPr>
        <w:t>J Am Coll Cardiol</w:t>
      </w:r>
      <w:r w:rsidRPr="001D6BE0">
        <w:rPr>
          <w:rFonts w:ascii="Calibri" w:hAnsi="Calibri" w:cs="Calibri"/>
          <w:noProof/>
          <w:lang w:val="en-GB"/>
        </w:rPr>
        <w:t xml:space="preserve"> 2014;</w:t>
      </w:r>
      <w:r w:rsidRPr="001D6BE0">
        <w:rPr>
          <w:rFonts w:ascii="Calibri" w:hAnsi="Calibri" w:cs="Calibri"/>
          <w:b/>
          <w:bCs/>
          <w:noProof/>
          <w:lang w:val="en-GB"/>
        </w:rPr>
        <w:t>63</w:t>
      </w:r>
      <w:r w:rsidRPr="001D6BE0">
        <w:rPr>
          <w:rFonts w:ascii="Calibri" w:hAnsi="Calibri" w:cs="Calibri"/>
          <w:noProof/>
          <w:lang w:val="en-GB"/>
        </w:rPr>
        <w:t xml:space="preserve">:1879–1889. </w:t>
      </w:r>
    </w:p>
    <w:p w14:paraId="2A800AB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65. </w:t>
      </w:r>
      <w:r w:rsidRPr="001D6BE0">
        <w:rPr>
          <w:rFonts w:ascii="Calibri" w:hAnsi="Calibri" w:cs="Calibri"/>
          <w:noProof/>
          <w:lang w:val="en-GB"/>
        </w:rPr>
        <w:tab/>
        <w:t xml:space="preserve">Losurdo P, Stolfo D, Merlo M, Barbati G, Gobbo M, Gigli M, Ramani F, Pinamonti B, Zecchin M, Finocchiaro G, Mestroni L, Sinagra G. Early Arrhythmic Events in Idiopathic Dilated Cardiomyopathy. </w:t>
      </w:r>
      <w:r w:rsidRPr="001D6BE0">
        <w:rPr>
          <w:rFonts w:ascii="Calibri" w:hAnsi="Calibri" w:cs="Calibri"/>
          <w:i/>
          <w:iCs/>
          <w:noProof/>
          <w:lang w:val="en-GB"/>
        </w:rPr>
        <w:t>JACC Clin Electrophysiol</w:t>
      </w:r>
      <w:r w:rsidRPr="001D6BE0">
        <w:rPr>
          <w:rFonts w:ascii="Calibri" w:hAnsi="Calibri" w:cs="Calibri"/>
          <w:noProof/>
          <w:lang w:val="en-GB"/>
        </w:rPr>
        <w:t xml:space="preserve"> 2016;</w:t>
      </w:r>
      <w:r w:rsidRPr="001D6BE0">
        <w:rPr>
          <w:rFonts w:ascii="Calibri" w:hAnsi="Calibri" w:cs="Calibri"/>
          <w:b/>
          <w:bCs/>
          <w:noProof/>
          <w:lang w:val="en-GB"/>
        </w:rPr>
        <w:t>2</w:t>
      </w:r>
      <w:r w:rsidRPr="001D6BE0">
        <w:rPr>
          <w:rFonts w:ascii="Calibri" w:hAnsi="Calibri" w:cs="Calibri"/>
          <w:noProof/>
          <w:lang w:val="en-GB"/>
        </w:rPr>
        <w:t xml:space="preserve">. </w:t>
      </w:r>
    </w:p>
    <w:p w14:paraId="0D27B0F3"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66. </w:t>
      </w:r>
      <w:r w:rsidRPr="001D6BE0">
        <w:rPr>
          <w:rFonts w:ascii="Calibri" w:hAnsi="Calibri" w:cs="Calibri"/>
          <w:noProof/>
          <w:lang w:val="en-GB"/>
        </w:rPr>
        <w:tab/>
        <w:t xml:space="preserve">Aleksova A, Merlo M, Zecchin M, Sabbadini G, Barbati G, Vitrella G, Lenarda A Di, Sinagra G. Impact of atrial fibrillation on outcome of patients with idiopathic dilated cardiomyopathy: data from the Heart Muscle Disease Registry of Trieste. </w:t>
      </w:r>
      <w:r w:rsidRPr="001D6BE0">
        <w:rPr>
          <w:rFonts w:ascii="Calibri" w:hAnsi="Calibri" w:cs="Calibri"/>
          <w:i/>
          <w:iCs/>
          <w:noProof/>
          <w:lang w:val="en-GB"/>
        </w:rPr>
        <w:t>Clin Med Res</w:t>
      </w:r>
      <w:r w:rsidRPr="001D6BE0">
        <w:rPr>
          <w:rFonts w:ascii="Calibri" w:hAnsi="Calibri" w:cs="Calibri"/>
          <w:noProof/>
          <w:lang w:val="en-GB"/>
        </w:rPr>
        <w:t xml:space="preserve"> United States; 2010;</w:t>
      </w:r>
      <w:r w:rsidRPr="001D6BE0">
        <w:rPr>
          <w:rFonts w:ascii="Calibri" w:hAnsi="Calibri" w:cs="Calibri"/>
          <w:b/>
          <w:bCs/>
          <w:noProof/>
          <w:lang w:val="en-GB"/>
        </w:rPr>
        <w:t>8</w:t>
      </w:r>
      <w:r w:rsidRPr="001D6BE0">
        <w:rPr>
          <w:rFonts w:ascii="Calibri" w:hAnsi="Calibri" w:cs="Calibri"/>
          <w:noProof/>
          <w:lang w:val="en-GB"/>
        </w:rPr>
        <w:t xml:space="preserve">:142–149. </w:t>
      </w:r>
    </w:p>
    <w:p w14:paraId="46BC2308"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67. </w:t>
      </w:r>
      <w:r w:rsidRPr="001D6BE0">
        <w:rPr>
          <w:rFonts w:ascii="Calibri" w:hAnsi="Calibri" w:cs="Calibri"/>
          <w:noProof/>
          <w:lang w:val="en-GB"/>
        </w:rPr>
        <w:tab/>
        <w:t xml:space="preserve">Ahn MS, Kim JB, Joung B, Lee MH, Kim SS. Prognostic implications of fragmented QRS and its relationship with delayed contrast-enhanced cardiovascular magnetic resonance imaging in patients with non-ischemic dilated cardiomyopathy. </w:t>
      </w:r>
      <w:r w:rsidRPr="001D6BE0">
        <w:rPr>
          <w:rFonts w:ascii="Calibri" w:hAnsi="Calibri" w:cs="Calibri"/>
          <w:i/>
          <w:iCs/>
          <w:noProof/>
          <w:lang w:val="en-GB"/>
        </w:rPr>
        <w:t>Int J Cardiol</w:t>
      </w:r>
      <w:r w:rsidRPr="001D6BE0">
        <w:rPr>
          <w:rFonts w:ascii="Calibri" w:hAnsi="Calibri" w:cs="Calibri"/>
          <w:noProof/>
          <w:lang w:val="en-GB"/>
        </w:rPr>
        <w:t xml:space="preserve"> 2013; </w:t>
      </w:r>
    </w:p>
    <w:p w14:paraId="3A98D20F"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68. </w:t>
      </w:r>
      <w:r w:rsidRPr="001D6BE0">
        <w:rPr>
          <w:rFonts w:ascii="Calibri" w:hAnsi="Calibri" w:cs="Calibri"/>
          <w:noProof/>
          <w:lang w:val="en-GB"/>
        </w:rPr>
        <w:tab/>
        <w:t xml:space="preserve">Pei J, Li N, Gao Y, Wang Z, Li X, Zhang Y, Chen J, Zhang P, Cao K, Pu J. The J wave and fragmented QRS complexes in inferior leads associated with sudden cardiac death in patients with chronic heart failure. </w:t>
      </w:r>
      <w:r w:rsidRPr="001D6BE0">
        <w:rPr>
          <w:rFonts w:ascii="Calibri" w:hAnsi="Calibri" w:cs="Calibri"/>
          <w:i/>
          <w:iCs/>
          <w:noProof/>
          <w:lang w:val="en-GB"/>
        </w:rPr>
        <w:t>Europace</w:t>
      </w:r>
      <w:r w:rsidRPr="001D6BE0">
        <w:rPr>
          <w:rFonts w:ascii="Calibri" w:hAnsi="Calibri" w:cs="Calibri"/>
          <w:noProof/>
          <w:lang w:val="en-GB"/>
        </w:rPr>
        <w:t xml:space="preserve"> 2012; </w:t>
      </w:r>
    </w:p>
    <w:p w14:paraId="13BF4F5C"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69. </w:t>
      </w:r>
      <w:r w:rsidRPr="001D6BE0">
        <w:rPr>
          <w:rFonts w:ascii="Calibri" w:hAnsi="Calibri" w:cs="Calibri"/>
          <w:noProof/>
          <w:lang w:val="en-GB"/>
        </w:rPr>
        <w:tab/>
        <w:t xml:space="preserve">Sha J, Zhang S, Tang M, Chen K, Zhao X, Wang F. Fragmented QRS is associated with all-cause mortality and ventricular arrhythmias in patient with idiopathic dilated cardiomyopathy. </w:t>
      </w:r>
      <w:r w:rsidRPr="001D6BE0">
        <w:rPr>
          <w:rFonts w:ascii="Calibri" w:hAnsi="Calibri" w:cs="Calibri"/>
          <w:i/>
          <w:iCs/>
          <w:noProof/>
          <w:lang w:val="en-GB"/>
        </w:rPr>
        <w:t>Ann Noninvasive Electrocardiol</w:t>
      </w:r>
      <w:r w:rsidRPr="001D6BE0">
        <w:rPr>
          <w:rFonts w:ascii="Calibri" w:hAnsi="Calibri" w:cs="Calibri"/>
          <w:noProof/>
          <w:lang w:val="en-GB"/>
        </w:rPr>
        <w:t xml:space="preserve"> 2011; </w:t>
      </w:r>
    </w:p>
    <w:p w14:paraId="2D5441F5"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70. </w:t>
      </w:r>
      <w:r w:rsidRPr="001D6BE0">
        <w:rPr>
          <w:rFonts w:ascii="Calibri" w:hAnsi="Calibri" w:cs="Calibri"/>
          <w:noProof/>
          <w:lang w:val="en-GB"/>
        </w:rPr>
        <w:tab/>
        <w:t xml:space="preserve">Das MK, Maskoun W, Shen C, Michael MA, Suradi H, Desai M, Subbarao R, Bhakta D. Fragmented QRS on twelve-lead electrocardiogram predicts arrhythmic events in patients with ischemic and nonischemic cardiomyopathy. </w:t>
      </w:r>
      <w:r w:rsidRPr="001D6BE0">
        <w:rPr>
          <w:rFonts w:ascii="Calibri" w:hAnsi="Calibri" w:cs="Calibri"/>
          <w:i/>
          <w:iCs/>
          <w:noProof/>
          <w:lang w:val="en-GB"/>
        </w:rPr>
        <w:t>Hear Rhythm</w:t>
      </w:r>
      <w:r w:rsidRPr="001D6BE0">
        <w:rPr>
          <w:rFonts w:ascii="Calibri" w:hAnsi="Calibri" w:cs="Calibri"/>
          <w:noProof/>
          <w:lang w:val="en-GB"/>
        </w:rPr>
        <w:t xml:space="preserve"> 2010; </w:t>
      </w:r>
    </w:p>
    <w:p w14:paraId="14731D10"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71. </w:t>
      </w:r>
      <w:r w:rsidRPr="001D6BE0">
        <w:rPr>
          <w:rFonts w:ascii="Calibri" w:hAnsi="Calibri" w:cs="Calibri"/>
          <w:noProof/>
          <w:lang w:val="en-GB"/>
        </w:rPr>
        <w:tab/>
        <w:t xml:space="preserve">Ponikowski P, Voors AA, Anker SD, Bueno H, Cleland JGF, Coats AJS, Falk V, González-Juanatey JR, Harjola V-P, Jankowska EA, Jessup M, Linde C, Nihoyannopoulos P, Parissis JT, Pieske B, Riley JP, Rosano GMC, Ruilope LM, Ruschitzka F, Rutten FH, Meer P van der, ESC Scientific Document Group. 2016 ESC Guidelines for the diagnosis and treatment of acute and chronic heart failure: The Task Force for the diagnosis and treatment of acute and chronic heart failure of the European Society of Cardiology (ESC)Developed with the special contribution of. </w:t>
      </w:r>
      <w:r w:rsidRPr="001D6BE0">
        <w:rPr>
          <w:rFonts w:ascii="Calibri" w:hAnsi="Calibri" w:cs="Calibri"/>
          <w:i/>
          <w:iCs/>
          <w:noProof/>
          <w:lang w:val="en-GB"/>
        </w:rPr>
        <w:t>Eur Heart J</w:t>
      </w:r>
      <w:r w:rsidRPr="001D6BE0">
        <w:rPr>
          <w:rFonts w:ascii="Calibri" w:hAnsi="Calibri" w:cs="Calibri"/>
          <w:noProof/>
          <w:lang w:val="en-GB"/>
        </w:rPr>
        <w:t xml:space="preserve"> 2016;</w:t>
      </w:r>
      <w:r w:rsidRPr="001D6BE0">
        <w:rPr>
          <w:rFonts w:ascii="Calibri" w:hAnsi="Calibri" w:cs="Calibri"/>
          <w:b/>
          <w:bCs/>
          <w:noProof/>
          <w:lang w:val="en-GB"/>
        </w:rPr>
        <w:t>37</w:t>
      </w:r>
      <w:r w:rsidRPr="001D6BE0">
        <w:rPr>
          <w:rFonts w:ascii="Calibri" w:hAnsi="Calibri" w:cs="Calibri"/>
          <w:noProof/>
          <w:lang w:val="en-GB"/>
        </w:rPr>
        <w:t xml:space="preserve">:2129–2200. </w:t>
      </w:r>
    </w:p>
    <w:p w14:paraId="1F2EA61D"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72. </w:t>
      </w:r>
      <w:r w:rsidRPr="001D6BE0">
        <w:rPr>
          <w:rFonts w:ascii="Calibri" w:hAnsi="Calibri" w:cs="Calibri"/>
          <w:noProof/>
          <w:lang w:val="en-GB"/>
        </w:rPr>
        <w:tab/>
        <w:t xml:space="preserve">Grimm W, Christ M, Bach J, Müller HH, Maisch B. Noninvasive Arrhythmia Risk Stratification in Idiopathic Dilated Cardiomyopathy: Results of the Marburg Cardiomyopathy Study. </w:t>
      </w:r>
      <w:r w:rsidRPr="001D6BE0">
        <w:rPr>
          <w:rFonts w:ascii="Calibri" w:hAnsi="Calibri" w:cs="Calibri"/>
          <w:i/>
          <w:iCs/>
          <w:noProof/>
          <w:lang w:val="en-GB"/>
        </w:rPr>
        <w:t>Circulation</w:t>
      </w:r>
      <w:r w:rsidRPr="001D6BE0">
        <w:rPr>
          <w:rFonts w:ascii="Calibri" w:hAnsi="Calibri" w:cs="Calibri"/>
          <w:noProof/>
          <w:lang w:val="en-GB"/>
        </w:rPr>
        <w:t xml:space="preserve"> 2003; </w:t>
      </w:r>
    </w:p>
    <w:p w14:paraId="5BA75BF5"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73. </w:t>
      </w:r>
      <w:r w:rsidRPr="001D6BE0">
        <w:rPr>
          <w:rFonts w:ascii="Calibri" w:hAnsi="Calibri" w:cs="Calibri"/>
          <w:noProof/>
          <w:lang w:val="en-GB"/>
        </w:rPr>
        <w:tab/>
        <w:t xml:space="preserve">Elliott P, O’Mahony C, Syrris P, Evans A, Rivera Sorensen C, Sheppard MN, Carr-White G, Pantazis A, McKenna WJ. Prevalence of desmosomal protein gene mutations in patients with dilated cardiomyopathy. </w:t>
      </w:r>
      <w:r w:rsidRPr="001D6BE0">
        <w:rPr>
          <w:rFonts w:ascii="Calibri" w:hAnsi="Calibri" w:cs="Calibri"/>
          <w:i/>
          <w:iCs/>
          <w:noProof/>
          <w:lang w:val="en-GB"/>
        </w:rPr>
        <w:t>Circ Cardiovasc Genet</w:t>
      </w:r>
      <w:r w:rsidRPr="001D6BE0">
        <w:rPr>
          <w:rFonts w:ascii="Calibri" w:hAnsi="Calibri" w:cs="Calibri"/>
          <w:noProof/>
          <w:lang w:val="en-GB"/>
        </w:rPr>
        <w:t xml:space="preserve"> 2010;</w:t>
      </w:r>
      <w:r w:rsidRPr="001D6BE0">
        <w:rPr>
          <w:rFonts w:ascii="Calibri" w:hAnsi="Calibri" w:cs="Calibri"/>
          <w:b/>
          <w:bCs/>
          <w:noProof/>
          <w:lang w:val="en-GB"/>
        </w:rPr>
        <w:t>3</w:t>
      </w:r>
      <w:r w:rsidRPr="001D6BE0">
        <w:rPr>
          <w:rFonts w:ascii="Calibri" w:hAnsi="Calibri" w:cs="Calibri"/>
          <w:noProof/>
          <w:lang w:val="en-GB"/>
        </w:rPr>
        <w:t xml:space="preserve">:314–322. </w:t>
      </w:r>
    </w:p>
    <w:p w14:paraId="3E7FB366" w14:textId="77777777" w:rsidR="00DC34BC" w:rsidRPr="001D6BE0" w:rsidRDefault="00DC34BC" w:rsidP="00DC34BC">
      <w:pPr>
        <w:widowControl w:val="0"/>
        <w:autoSpaceDE w:val="0"/>
        <w:autoSpaceDN w:val="0"/>
        <w:adjustRightInd w:val="0"/>
        <w:spacing w:line="480" w:lineRule="auto"/>
        <w:ind w:left="640" w:hanging="640"/>
        <w:rPr>
          <w:rFonts w:ascii="Calibri" w:hAnsi="Calibri" w:cs="Calibri"/>
          <w:noProof/>
          <w:lang w:val="en-GB"/>
        </w:rPr>
      </w:pPr>
      <w:r w:rsidRPr="001D6BE0">
        <w:rPr>
          <w:rFonts w:ascii="Calibri" w:hAnsi="Calibri" w:cs="Calibri"/>
          <w:noProof/>
          <w:lang w:val="en-GB"/>
        </w:rPr>
        <w:t xml:space="preserve">74. </w:t>
      </w:r>
      <w:r w:rsidRPr="001D6BE0">
        <w:rPr>
          <w:rFonts w:ascii="Calibri" w:hAnsi="Calibri" w:cs="Calibri"/>
          <w:noProof/>
          <w:lang w:val="en-GB"/>
        </w:rPr>
        <w:tab/>
        <w:t xml:space="preserve">Groh WJ. Arrhythmias in the muscular dystrophies. </w:t>
      </w:r>
      <w:r w:rsidRPr="001D6BE0">
        <w:rPr>
          <w:rFonts w:ascii="Calibri" w:hAnsi="Calibri" w:cs="Calibri"/>
          <w:i/>
          <w:iCs/>
          <w:noProof/>
          <w:lang w:val="en-GB"/>
        </w:rPr>
        <w:t>Hear Rhythm</w:t>
      </w:r>
      <w:r w:rsidRPr="001D6BE0">
        <w:rPr>
          <w:rFonts w:ascii="Calibri" w:hAnsi="Calibri" w:cs="Calibri"/>
          <w:noProof/>
          <w:lang w:val="en-GB"/>
        </w:rPr>
        <w:t xml:space="preserve"> Elsevier Inc.; 2012;</w:t>
      </w:r>
      <w:r w:rsidRPr="001D6BE0">
        <w:rPr>
          <w:rFonts w:ascii="Calibri" w:hAnsi="Calibri" w:cs="Calibri"/>
          <w:b/>
          <w:bCs/>
          <w:noProof/>
          <w:lang w:val="en-GB"/>
        </w:rPr>
        <w:t>9</w:t>
      </w:r>
      <w:r w:rsidRPr="001D6BE0">
        <w:rPr>
          <w:rFonts w:ascii="Calibri" w:hAnsi="Calibri" w:cs="Calibri"/>
          <w:noProof/>
          <w:lang w:val="en-GB"/>
        </w:rPr>
        <w:t xml:space="preserve">:1890–1895. </w:t>
      </w:r>
    </w:p>
    <w:p w14:paraId="4CD9CFB1" w14:textId="379E72B4" w:rsidR="001B56EA" w:rsidRPr="0041574E" w:rsidRDefault="004470C5" w:rsidP="0041574E">
      <w:pPr>
        <w:widowControl w:val="0"/>
        <w:autoSpaceDE w:val="0"/>
        <w:autoSpaceDN w:val="0"/>
        <w:adjustRightInd w:val="0"/>
        <w:spacing w:line="480" w:lineRule="auto"/>
        <w:ind w:left="640" w:hanging="640"/>
        <w:rPr>
          <w:rFonts w:ascii="Calibri" w:hAnsi="Calibri" w:cs="Calibri"/>
          <w:bCs/>
          <w:lang w:val="en-GB"/>
        </w:rPr>
      </w:pPr>
      <w:r w:rsidRPr="0041574E">
        <w:rPr>
          <w:rFonts w:ascii="Calibri" w:hAnsi="Calibri" w:cs="Calibri"/>
          <w:bCs/>
          <w:lang w:val="en-GB"/>
        </w:rPr>
        <w:fldChar w:fldCharType="end"/>
      </w:r>
    </w:p>
    <w:p w14:paraId="14B80779" w14:textId="77777777" w:rsidR="001B56EA" w:rsidRPr="0041574E" w:rsidRDefault="001B56EA" w:rsidP="0041574E">
      <w:pPr>
        <w:rPr>
          <w:rFonts w:ascii="Calibri" w:hAnsi="Calibri" w:cs="Calibri"/>
          <w:bCs/>
          <w:lang w:val="en-GB"/>
        </w:rPr>
      </w:pPr>
      <w:r w:rsidRPr="0041574E">
        <w:rPr>
          <w:rFonts w:ascii="Calibri" w:hAnsi="Calibri" w:cs="Calibri"/>
          <w:bCs/>
          <w:lang w:val="en-GB"/>
        </w:rPr>
        <w:br w:type="page"/>
      </w:r>
    </w:p>
    <w:p w14:paraId="1FEC3257" w14:textId="25046C0E" w:rsidR="006E26CF" w:rsidRDefault="006E26CF" w:rsidP="0041574E">
      <w:pPr>
        <w:widowControl w:val="0"/>
        <w:autoSpaceDE w:val="0"/>
        <w:autoSpaceDN w:val="0"/>
        <w:adjustRightInd w:val="0"/>
        <w:spacing w:line="276" w:lineRule="auto"/>
        <w:rPr>
          <w:rFonts w:ascii="Calibri" w:hAnsi="Calibri" w:cs="Calibri"/>
          <w:lang w:val="en-US"/>
        </w:rPr>
      </w:pPr>
      <w:r w:rsidRPr="0041574E">
        <w:rPr>
          <w:rFonts w:ascii="Calibri" w:hAnsi="Calibri" w:cs="Calibri"/>
          <w:b/>
          <w:bCs/>
          <w:lang w:val="en-US"/>
        </w:rPr>
        <w:t xml:space="preserve">Table 1. </w:t>
      </w:r>
      <w:r w:rsidRPr="00E04E06">
        <w:rPr>
          <w:rFonts w:ascii="Calibri" w:hAnsi="Calibri" w:cs="Calibri"/>
          <w:bCs/>
          <w:lang w:val="en-US"/>
        </w:rPr>
        <w:t>Main ECG features in DCM.</w:t>
      </w:r>
      <w:r w:rsidRPr="00E04E06">
        <w:rPr>
          <w:rFonts w:ascii="Calibri" w:hAnsi="Calibri" w:cs="Calibri"/>
          <w:lang w:val="en-US"/>
        </w:rPr>
        <w:t xml:space="preserve"> </w:t>
      </w:r>
    </w:p>
    <w:p w14:paraId="35B22A94" w14:textId="77777777" w:rsidR="001004FD" w:rsidRPr="0041574E" w:rsidRDefault="001004FD" w:rsidP="0041574E">
      <w:pPr>
        <w:widowControl w:val="0"/>
        <w:autoSpaceDE w:val="0"/>
        <w:autoSpaceDN w:val="0"/>
        <w:adjustRightInd w:val="0"/>
        <w:spacing w:line="276" w:lineRule="auto"/>
        <w:rPr>
          <w:rFonts w:ascii="Calibri" w:hAnsi="Calibri" w:cs="Calibri"/>
          <w:lang w:val="en-US"/>
        </w:rPr>
      </w:pPr>
    </w:p>
    <w:p w14:paraId="6FEED446" w14:textId="3ABECA4E" w:rsidR="00410D6D" w:rsidRDefault="00410D6D" w:rsidP="0041574E">
      <w:pPr>
        <w:rPr>
          <w:rFonts w:ascii="Calibri" w:hAnsi="Calibri" w:cs="Calibr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413"/>
        <w:gridCol w:w="1559"/>
        <w:gridCol w:w="1559"/>
        <w:gridCol w:w="1502"/>
      </w:tblGrid>
      <w:tr w:rsidR="0068125B" w:rsidRPr="008C16DE" w14:paraId="0D380B12" w14:textId="77777777" w:rsidTr="001D6BE0">
        <w:tc>
          <w:tcPr>
            <w:tcW w:w="2977" w:type="dxa"/>
            <w:tcBorders>
              <w:bottom w:val="single" w:sz="4" w:space="0" w:color="auto"/>
            </w:tcBorders>
          </w:tcPr>
          <w:p w14:paraId="242B93CA"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ECG feature</w:t>
            </w:r>
          </w:p>
        </w:tc>
        <w:tc>
          <w:tcPr>
            <w:tcW w:w="1413" w:type="dxa"/>
            <w:tcBorders>
              <w:bottom w:val="single" w:sz="4" w:space="0" w:color="auto"/>
            </w:tcBorders>
          </w:tcPr>
          <w:p w14:paraId="36D1852C"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Number</w:t>
            </w:r>
          </w:p>
        </w:tc>
        <w:tc>
          <w:tcPr>
            <w:tcW w:w="1559" w:type="dxa"/>
            <w:tcBorders>
              <w:bottom w:val="single" w:sz="4" w:space="0" w:color="auto"/>
            </w:tcBorders>
          </w:tcPr>
          <w:p w14:paraId="1EEECC31"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Males (%)</w:t>
            </w:r>
          </w:p>
        </w:tc>
        <w:tc>
          <w:tcPr>
            <w:tcW w:w="1559" w:type="dxa"/>
            <w:tcBorders>
              <w:bottom w:val="single" w:sz="4" w:space="0" w:color="auto"/>
            </w:tcBorders>
          </w:tcPr>
          <w:p w14:paraId="4A1C3A28"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mean LVEF (%)</w:t>
            </w:r>
          </w:p>
        </w:tc>
        <w:tc>
          <w:tcPr>
            <w:tcW w:w="1502" w:type="dxa"/>
            <w:tcBorders>
              <w:bottom w:val="single" w:sz="4" w:space="0" w:color="auto"/>
            </w:tcBorders>
          </w:tcPr>
          <w:p w14:paraId="37EFFFE0"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Prevalence (%)</w:t>
            </w:r>
          </w:p>
        </w:tc>
      </w:tr>
      <w:tr w:rsidR="0068125B" w:rsidRPr="008C16DE" w14:paraId="07049522" w14:textId="77777777" w:rsidTr="001D6BE0">
        <w:tc>
          <w:tcPr>
            <w:tcW w:w="2977" w:type="dxa"/>
            <w:tcBorders>
              <w:top w:val="single" w:sz="4" w:space="0" w:color="auto"/>
            </w:tcBorders>
          </w:tcPr>
          <w:p w14:paraId="3A0D6B16" w14:textId="77777777" w:rsidR="0068125B" w:rsidRPr="008C16DE" w:rsidRDefault="0068125B" w:rsidP="003B3ADA">
            <w:pPr>
              <w:rPr>
                <w:rFonts w:ascii="Calibri" w:hAnsi="Calibri" w:cs="Calibri"/>
                <w:b/>
                <w:sz w:val="21"/>
                <w:szCs w:val="21"/>
                <w:lang w:val="en-US"/>
              </w:rPr>
            </w:pPr>
            <w:r w:rsidRPr="008C16DE">
              <w:rPr>
                <w:rFonts w:ascii="Calibri" w:hAnsi="Calibri" w:cs="Calibri"/>
                <w:b/>
                <w:sz w:val="21"/>
                <w:szCs w:val="21"/>
                <w:lang w:val="en-US"/>
              </w:rPr>
              <w:t>LVH*</w:t>
            </w:r>
          </w:p>
        </w:tc>
        <w:tc>
          <w:tcPr>
            <w:tcW w:w="1413" w:type="dxa"/>
            <w:tcBorders>
              <w:top w:val="single" w:sz="4" w:space="0" w:color="auto"/>
            </w:tcBorders>
          </w:tcPr>
          <w:p w14:paraId="2FD1F1A7" w14:textId="77777777" w:rsidR="0068125B" w:rsidRPr="008C16DE" w:rsidRDefault="0068125B" w:rsidP="003B3ADA">
            <w:pPr>
              <w:jc w:val="center"/>
              <w:rPr>
                <w:rFonts w:ascii="Calibri" w:hAnsi="Calibri" w:cs="Calibri"/>
                <w:sz w:val="21"/>
                <w:szCs w:val="21"/>
                <w:lang w:val="en-US"/>
              </w:rPr>
            </w:pPr>
          </w:p>
        </w:tc>
        <w:tc>
          <w:tcPr>
            <w:tcW w:w="1559" w:type="dxa"/>
            <w:tcBorders>
              <w:top w:val="single" w:sz="4" w:space="0" w:color="auto"/>
            </w:tcBorders>
          </w:tcPr>
          <w:p w14:paraId="24305229" w14:textId="77777777" w:rsidR="0068125B" w:rsidRPr="008C16DE" w:rsidRDefault="0068125B" w:rsidP="003B3ADA">
            <w:pPr>
              <w:jc w:val="center"/>
              <w:rPr>
                <w:rFonts w:ascii="Calibri" w:hAnsi="Calibri" w:cs="Calibri"/>
                <w:sz w:val="21"/>
                <w:szCs w:val="21"/>
                <w:lang w:val="en-US"/>
              </w:rPr>
            </w:pPr>
          </w:p>
        </w:tc>
        <w:tc>
          <w:tcPr>
            <w:tcW w:w="1559" w:type="dxa"/>
            <w:tcBorders>
              <w:top w:val="single" w:sz="4" w:space="0" w:color="auto"/>
            </w:tcBorders>
          </w:tcPr>
          <w:p w14:paraId="6CCCB51A" w14:textId="77777777" w:rsidR="0068125B" w:rsidRPr="008C16DE" w:rsidRDefault="0068125B" w:rsidP="003B3ADA">
            <w:pPr>
              <w:jc w:val="center"/>
              <w:rPr>
                <w:rFonts w:ascii="Calibri" w:hAnsi="Calibri" w:cs="Calibri"/>
                <w:sz w:val="21"/>
                <w:szCs w:val="21"/>
                <w:lang w:val="en-US"/>
              </w:rPr>
            </w:pPr>
          </w:p>
        </w:tc>
        <w:tc>
          <w:tcPr>
            <w:tcW w:w="1502" w:type="dxa"/>
            <w:tcBorders>
              <w:top w:val="single" w:sz="4" w:space="0" w:color="auto"/>
            </w:tcBorders>
          </w:tcPr>
          <w:p w14:paraId="044C87DB"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17-69</w:t>
            </w:r>
          </w:p>
        </w:tc>
      </w:tr>
      <w:tr w:rsidR="0068125B" w:rsidRPr="008C16DE" w14:paraId="427C73A1" w14:textId="77777777" w:rsidTr="001D6BE0">
        <w:tc>
          <w:tcPr>
            <w:tcW w:w="2977" w:type="dxa"/>
          </w:tcPr>
          <w:p w14:paraId="55D9F225" w14:textId="1A5D6819"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252B698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0D7B619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515ABA2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20A3AEFA"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39</w:t>
            </w:r>
          </w:p>
        </w:tc>
      </w:tr>
      <w:tr w:rsidR="0068125B" w:rsidRPr="008C16DE" w14:paraId="5A9BD784" w14:textId="77777777" w:rsidTr="001D6BE0">
        <w:tc>
          <w:tcPr>
            <w:tcW w:w="2977" w:type="dxa"/>
          </w:tcPr>
          <w:p w14:paraId="3B6CB3EA" w14:textId="4282DC3E" w:rsidR="0068125B" w:rsidRPr="008C16DE" w:rsidRDefault="0068125B" w:rsidP="003B3ADA">
            <w:pPr>
              <w:ind w:left="720"/>
              <w:rPr>
                <w:rFonts w:ascii="Calibri" w:hAnsi="Calibri" w:cs="Calibri"/>
                <w:sz w:val="21"/>
                <w:szCs w:val="21"/>
                <w:lang w:val="en-US"/>
              </w:rPr>
            </w:pPr>
            <w:proofErr w:type="spellStart"/>
            <w:r w:rsidRPr="008C16DE">
              <w:rPr>
                <w:rFonts w:ascii="Calibri" w:hAnsi="Calibri" w:cs="Calibri"/>
                <w:sz w:val="21"/>
                <w:szCs w:val="21"/>
                <w:lang w:val="en-US"/>
              </w:rPr>
              <w:t>Momiyama</w:t>
            </w:r>
            <w:proofErr w:type="spellEnd"/>
            <w:r w:rsidRPr="008C16DE">
              <w:rPr>
                <w:rFonts w:ascii="Calibri" w:hAnsi="Calibri" w:cs="Calibri"/>
                <w:sz w:val="21"/>
                <w:szCs w:val="21"/>
                <w:lang w:val="en-US"/>
              </w:rPr>
              <w:t xml:space="preserve"> et al., 1994</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{"citationItems":[{"id":"ITEM-1","itemData":{"DOI":"10.1016/S0022-0736(05)80270-5","ISSN":"00220736","abstract":"To elucidate the electrocardiographic (ECG) characteristics of dilated cardiomyopathy (DCM), the authors analyzed the 12-lead ECGs and echocardiograms in 45 patients with DCM, 54 patients with left ventricular (LV) dilatation secondary to valvular heart disease (VHD), 101 hypertensive patients with LV hypertrophy, and 63 normal control subjects. In addition, serial ECG and echocardiographic changes in DCM during a mean follow-up period of 1.6 years were evaluated. Sokolow's criterion (S wave in lead V 1 [SV 1 ] + R wave in lead V 5 or V 6 [RV 5 or RV 6 ] &gt; 35 mm) was met comparably in patients with DCM (69%), VHD (61%), and hypertension (74%) (P = NS). Notably, RV 6 in DCM was the highest among the four groups and correlated with the degree of LV dilatation. In contrast, the R waves in leads I, II, and III (RI, RII, RIII) in DCM were the lowest and were not affected by the degree of LV dilatation, although RII and RIII in VHD and RI in hypertension correlated with the degree of LV dilatation and hypertrophy, respectively. As a result, all voltage ratios of RV6/RI, RII, RIII in DCM were not only the highest, but also increased linearly as the LV dilated progressively during the follow-up period. In particular, RV 6 over the maximum R wave in leads I, II, and III (RV 6 /Rmax) in DCM correlated with the degree of LV dilatation and inversely correlated with ejection fraction. Subjects with DCM had a significantly higher RV 6 /Rmax than did patients with VHD, hypertension, and normal subjects (3.4 vs 1.7, 1.4, 1.2, respectively; P &lt; .001), and this ratio of ≥3 was seen in 67% of the DCM patients versus 4% of the VHD patients, 1% of the hypertensive patients, and 0% of the normal subjects. Thus, DCM commonly shows the ECG signs of LV hypertrophy, but characteristically has the high voltage ratios of RV6/RI, RII, RIII. © 1994 Churchill Livingstone.","author":[{"dropping-particle":"","family":"Momiyama","given":"Yukihiko","non-dropping-particle":"","parse-names":false,"suffix":""},{"dropping-particle":"","family":"Mitamura","given":"Hideo","non-dropping-particle":"","parse-names":false,"suffix":""},{"dropping-particle":"","family":"Kimura","given":"Mitsuru","non-dropping-particle":"","parse-names":false,"suffix":""}],"container-title":"Journal of Electrocardiology","id":"ITEM-1","issued":{"date-parts":[["1994"]]},"title":"ECG characteristics of dilated cardiomyopathy","type":"article-journal"},"uris":["http://www.mendeley.com/documents/?uuid=0acd58eb-ecc0-4171-8a26-436cf9eb43b7"]}],"mendeley":{"formattedCitation":"&lt;sup&gt;11&lt;/sup&gt;","plainTextFormattedCitation":"11","previouslyFormattedCitation":"&lt;sup&gt;2&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11</w:t>
            </w:r>
            <w:r w:rsidRPr="008C16DE">
              <w:rPr>
                <w:rFonts w:ascii="Calibri" w:hAnsi="Calibri" w:cs="Calibri"/>
                <w:sz w:val="21"/>
                <w:szCs w:val="21"/>
                <w:lang w:val="en-US"/>
              </w:rPr>
              <w:fldChar w:fldCharType="end"/>
            </w:r>
          </w:p>
        </w:tc>
        <w:tc>
          <w:tcPr>
            <w:tcW w:w="1413" w:type="dxa"/>
          </w:tcPr>
          <w:p w14:paraId="543EFC56"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45</w:t>
            </w:r>
          </w:p>
        </w:tc>
        <w:tc>
          <w:tcPr>
            <w:tcW w:w="1559" w:type="dxa"/>
          </w:tcPr>
          <w:p w14:paraId="0F635167"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59" w:type="dxa"/>
          </w:tcPr>
          <w:p w14:paraId="70368DF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77F05939"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69</w:t>
            </w:r>
          </w:p>
        </w:tc>
      </w:tr>
      <w:tr w:rsidR="0068125B" w:rsidRPr="008C16DE" w14:paraId="089ED180" w14:textId="77777777" w:rsidTr="001D6BE0">
        <w:tc>
          <w:tcPr>
            <w:tcW w:w="2977" w:type="dxa"/>
          </w:tcPr>
          <w:p w14:paraId="27A7CDE1" w14:textId="603AF80C"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6B91EBEE"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5814F65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373AF1D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6B5DCD6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17</w:t>
            </w:r>
          </w:p>
        </w:tc>
      </w:tr>
      <w:tr w:rsidR="0068125B" w:rsidRPr="008C16DE" w14:paraId="6F2E12CE" w14:textId="77777777" w:rsidTr="001D6BE0">
        <w:tc>
          <w:tcPr>
            <w:tcW w:w="2977" w:type="dxa"/>
          </w:tcPr>
          <w:p w14:paraId="4FD7DB90" w14:textId="77777777" w:rsidR="0068125B" w:rsidRPr="008C16DE" w:rsidRDefault="0068125B" w:rsidP="003B3ADA">
            <w:pPr>
              <w:rPr>
                <w:rFonts w:ascii="Calibri" w:hAnsi="Calibri" w:cs="Calibri"/>
                <w:sz w:val="21"/>
                <w:szCs w:val="21"/>
                <w:lang w:val="en-US"/>
              </w:rPr>
            </w:pPr>
            <w:r w:rsidRPr="008C16DE">
              <w:rPr>
                <w:rFonts w:ascii="Calibri" w:hAnsi="Calibri" w:cs="Calibri"/>
                <w:b/>
                <w:sz w:val="21"/>
                <w:szCs w:val="21"/>
                <w:lang w:val="en-US"/>
              </w:rPr>
              <w:t>LA enlargement</w:t>
            </w:r>
          </w:p>
        </w:tc>
        <w:tc>
          <w:tcPr>
            <w:tcW w:w="1413" w:type="dxa"/>
          </w:tcPr>
          <w:p w14:paraId="270F08C4" w14:textId="77777777" w:rsidR="0068125B" w:rsidRPr="008C16DE" w:rsidRDefault="0068125B" w:rsidP="003B3ADA">
            <w:pPr>
              <w:jc w:val="center"/>
              <w:rPr>
                <w:rFonts w:ascii="Calibri" w:hAnsi="Calibri" w:cs="Calibri"/>
                <w:sz w:val="21"/>
                <w:szCs w:val="21"/>
                <w:lang w:val="en-US"/>
              </w:rPr>
            </w:pPr>
          </w:p>
        </w:tc>
        <w:tc>
          <w:tcPr>
            <w:tcW w:w="1559" w:type="dxa"/>
          </w:tcPr>
          <w:p w14:paraId="06D01ECC" w14:textId="77777777" w:rsidR="0068125B" w:rsidRPr="008C16DE" w:rsidRDefault="0068125B" w:rsidP="003B3ADA">
            <w:pPr>
              <w:jc w:val="center"/>
              <w:rPr>
                <w:rFonts w:ascii="Calibri" w:hAnsi="Calibri" w:cs="Calibri"/>
                <w:sz w:val="21"/>
                <w:szCs w:val="21"/>
                <w:lang w:val="en-US"/>
              </w:rPr>
            </w:pPr>
          </w:p>
        </w:tc>
        <w:tc>
          <w:tcPr>
            <w:tcW w:w="1559" w:type="dxa"/>
          </w:tcPr>
          <w:p w14:paraId="793A388B" w14:textId="77777777" w:rsidR="0068125B" w:rsidRPr="008C16DE" w:rsidRDefault="0068125B" w:rsidP="003B3ADA">
            <w:pPr>
              <w:jc w:val="center"/>
              <w:rPr>
                <w:rFonts w:ascii="Calibri" w:hAnsi="Calibri" w:cs="Calibri"/>
                <w:sz w:val="21"/>
                <w:szCs w:val="21"/>
                <w:lang w:val="en-US"/>
              </w:rPr>
            </w:pPr>
          </w:p>
        </w:tc>
        <w:tc>
          <w:tcPr>
            <w:tcW w:w="1502" w:type="dxa"/>
          </w:tcPr>
          <w:p w14:paraId="499834CA"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17-51</w:t>
            </w:r>
          </w:p>
        </w:tc>
      </w:tr>
      <w:tr w:rsidR="0068125B" w:rsidRPr="008C16DE" w14:paraId="10AD578E" w14:textId="77777777" w:rsidTr="001D6BE0">
        <w:tc>
          <w:tcPr>
            <w:tcW w:w="2977" w:type="dxa"/>
          </w:tcPr>
          <w:p w14:paraId="5594587A" w14:textId="7D4479E2"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37133309"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7699BDA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030CAFC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18BFC9C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35</w:t>
            </w:r>
          </w:p>
        </w:tc>
      </w:tr>
      <w:tr w:rsidR="0068125B" w:rsidRPr="008C16DE" w14:paraId="60EF47E4" w14:textId="77777777" w:rsidTr="001D6BE0">
        <w:tc>
          <w:tcPr>
            <w:tcW w:w="2977" w:type="dxa"/>
          </w:tcPr>
          <w:p w14:paraId="65048ECB" w14:textId="65F8C70D"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Wilensky et al., 1988</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Cardiology","id":"ITEM-1","issued":{"date-parts":[["1988"]]},"title":"Serial electrocardiographic changes in idiopathic dilated cardiomyopathy confirmed at necropsy","type":"article-journal"},"uris":["http://www.mendeley.com/documents/?uuid=8e8641bf-d716-45f2-a7a1-af7eceec75f4"]}],"mendeley":{"formattedCitation":"&lt;sup&gt;3&lt;/sup&gt;","plainTextFormattedCitation":"3","previouslyFormattedCitation":"&lt;sup&gt;4&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3</w:t>
            </w:r>
            <w:r w:rsidRPr="008C16DE">
              <w:rPr>
                <w:rFonts w:ascii="Calibri" w:hAnsi="Calibri" w:cs="Calibri"/>
                <w:bCs/>
                <w:sz w:val="21"/>
                <w:szCs w:val="21"/>
                <w:lang w:val="en-US"/>
              </w:rPr>
              <w:fldChar w:fldCharType="end"/>
            </w:r>
          </w:p>
        </w:tc>
        <w:tc>
          <w:tcPr>
            <w:tcW w:w="1413" w:type="dxa"/>
          </w:tcPr>
          <w:p w14:paraId="7AE6E207"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56</w:t>
            </w:r>
          </w:p>
        </w:tc>
        <w:tc>
          <w:tcPr>
            <w:tcW w:w="1559" w:type="dxa"/>
          </w:tcPr>
          <w:p w14:paraId="067A100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82</w:t>
            </w:r>
          </w:p>
        </w:tc>
        <w:tc>
          <w:tcPr>
            <w:tcW w:w="1559" w:type="dxa"/>
          </w:tcPr>
          <w:p w14:paraId="13C6463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3881A6F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51</w:t>
            </w:r>
          </w:p>
        </w:tc>
      </w:tr>
      <w:tr w:rsidR="0068125B" w:rsidRPr="008C16DE" w14:paraId="2E12A3E4" w14:textId="77777777" w:rsidTr="001D6BE0">
        <w:tc>
          <w:tcPr>
            <w:tcW w:w="2977" w:type="dxa"/>
          </w:tcPr>
          <w:p w14:paraId="56A5E0D3" w14:textId="30689744" w:rsidR="0068125B" w:rsidRPr="008C16DE" w:rsidRDefault="0068125B" w:rsidP="003B3ADA">
            <w:pPr>
              <w:ind w:left="720"/>
              <w:rPr>
                <w:rFonts w:ascii="Calibri" w:hAnsi="Calibri" w:cs="Calibri"/>
                <w:bCs/>
                <w:sz w:val="21"/>
                <w:szCs w:val="21"/>
                <w:lang w:val="en-US"/>
              </w:rPr>
            </w:pPr>
            <w:proofErr w:type="spellStart"/>
            <w:r w:rsidRPr="008C16DE">
              <w:rPr>
                <w:rFonts w:ascii="Calibri" w:hAnsi="Calibri" w:cs="Calibri"/>
                <w:bCs/>
                <w:sz w:val="21"/>
                <w:szCs w:val="21"/>
                <w:lang w:val="en-US"/>
              </w:rPr>
              <w:t>Kamiyama</w:t>
            </w:r>
            <w:proofErr w:type="spellEnd"/>
            <w:r w:rsidRPr="008C16DE">
              <w:rPr>
                <w:rFonts w:ascii="Calibri" w:hAnsi="Calibri" w:cs="Calibri"/>
                <w:bCs/>
                <w:sz w:val="21"/>
                <w:szCs w:val="21"/>
                <w:lang w:val="en-US"/>
              </w:rPr>
              <w:t xml:space="preserve"> et al., 1997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{"citationItems":[{"id":"ITEM-1","itemData":{"DOI":"10.1016/S0022-0736(97)80042-8","ISSN":"00220736","abstract":"To determine the usefulness of electrocardiographic (ECG) features in differentiating between hypertrophic cardiomyopathy with features mimicking dilated cardiomyopathy (D-HCM) and true dilated cardiomyopathy (DCM), we compared ECGs of 52 consecutive patients (11 with D-HCM, 41 with DCM). Left atrial dimension, left ventricular internal dimension, and septal and posterior wall thickness were employed as echocardiographic indexes, while QRS duration, amplitude of RV5 or V6 + SV1, number of abnormal Q waves, P- terminal force in V1 and frontal plane QRS axis were used as ECG parameters. The patients with D-HCM demonstrated a larger number of abnormal Q waves (P &lt; .0001), greater prolongation of QRS duration (P &lt; .0001), and lower amplitude of RV5 or V6 + SV1 (P &lt; .0001). In all cases of D-HCM, atrial overload was observed and abnormal QRS axis in 9 (82%) of the 11 patients. These features were noted in 21 (51%) and 17 (41%), respectively, of the 41 DCM patients (P &lt; .005 and P &lt; .05, respectively). Despite significant differences in the echocardiographic parameters between D-HCM and DCM, excluding left ventricular end-diastolic dimension, ECG abnormalities were more significant between the two groups. The results indicate that ECG features are extremely useful in differentiation between DCM and D-HCM.","author":[{"dropping-particle":"","family":"Kamiyama","given":"Norio","non-dropping-particle":"","parse-names":false,"suffix":""},{"dropping-particle":"","family":"Nezuo","given":"Shoso","non-dropping-particle":"","parse-names":false,"suffix":""},{"dropping-particle":"","family":"Sawayama","given":"Toshitami","non-dropping-particle":"","parse-names":false,"suffix":""},{"dropping-particle":"","family":"Kawahara","given":"Yousuke","non-dropping-particle":"","parse-names":false,"suffix":""},{"dropping-particle":"","family":"Samukawa","given":"Masanobu","non-dropping-particle":"","parse-names":false,"suffix":""},{"dropping-particle":"","family":"Suetuna","given":"Ryouji","non-dropping-particle":"","parse-names":false,"suffix":""},{"dropping-particle":"","family":"Saitou","given":"Yasuhiro","non-dropping-particle":"","parse-names":false,"suffix":""}],"container-title":"Journal of Electrocardiology","id":"ITEM-1","issued":{"date-parts":[["1997"]]},"title":"Electrocardiographic features differentiating dilated cardiomyopathy from hypertrophic cardiomyopathy","type":"article-journal"},"uris":["http://www.mendeley.com/documents/?uuid=09958a60-6582-4143-b2a5-f65bf80b4281"]}],"mendeley":{"formattedCitation":"&lt;sup&gt;6&lt;/sup&gt;","plainTextFormattedCitation":"6","previouslyFormattedCitation":"&lt;sup&gt;5&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6</w:t>
            </w:r>
            <w:r w:rsidRPr="008C16DE">
              <w:rPr>
                <w:rFonts w:ascii="Calibri" w:hAnsi="Calibri" w:cs="Calibri"/>
                <w:bCs/>
                <w:sz w:val="21"/>
                <w:szCs w:val="21"/>
                <w:lang w:val="en-US"/>
              </w:rPr>
              <w:fldChar w:fldCharType="end"/>
            </w:r>
          </w:p>
        </w:tc>
        <w:tc>
          <w:tcPr>
            <w:tcW w:w="1413" w:type="dxa"/>
          </w:tcPr>
          <w:p w14:paraId="34AEE72E"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w:t>
            </w:r>
          </w:p>
        </w:tc>
        <w:tc>
          <w:tcPr>
            <w:tcW w:w="1559" w:type="dxa"/>
          </w:tcPr>
          <w:p w14:paraId="34E79219"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32DCA060"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55014DC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51</w:t>
            </w:r>
          </w:p>
        </w:tc>
      </w:tr>
      <w:tr w:rsidR="0068125B" w:rsidRPr="008C16DE" w14:paraId="0FF9D5B9" w14:textId="77777777" w:rsidTr="001D6BE0">
        <w:tc>
          <w:tcPr>
            <w:tcW w:w="2977" w:type="dxa"/>
          </w:tcPr>
          <w:p w14:paraId="1C262351" w14:textId="046883E2"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7E25AAD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061736A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43992C0A"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663B676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17</w:t>
            </w:r>
          </w:p>
        </w:tc>
      </w:tr>
      <w:tr w:rsidR="0068125B" w:rsidRPr="008C16DE" w14:paraId="409D483B" w14:textId="77777777" w:rsidTr="001D6BE0">
        <w:tc>
          <w:tcPr>
            <w:tcW w:w="2977" w:type="dxa"/>
          </w:tcPr>
          <w:p w14:paraId="7E88D9BE"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LBBB</w:t>
            </w:r>
          </w:p>
        </w:tc>
        <w:tc>
          <w:tcPr>
            <w:tcW w:w="1413" w:type="dxa"/>
          </w:tcPr>
          <w:p w14:paraId="63164F6C" w14:textId="77777777" w:rsidR="0068125B" w:rsidRPr="008C16DE" w:rsidRDefault="0068125B" w:rsidP="003B3ADA">
            <w:pPr>
              <w:jc w:val="center"/>
              <w:rPr>
                <w:rFonts w:ascii="Calibri" w:hAnsi="Calibri" w:cs="Calibri"/>
                <w:sz w:val="21"/>
                <w:szCs w:val="21"/>
                <w:lang w:val="en-US"/>
              </w:rPr>
            </w:pPr>
          </w:p>
        </w:tc>
        <w:tc>
          <w:tcPr>
            <w:tcW w:w="1559" w:type="dxa"/>
          </w:tcPr>
          <w:p w14:paraId="69F1D6BF" w14:textId="77777777" w:rsidR="0068125B" w:rsidRPr="008C16DE" w:rsidRDefault="0068125B" w:rsidP="003B3ADA">
            <w:pPr>
              <w:jc w:val="center"/>
              <w:rPr>
                <w:rFonts w:ascii="Calibri" w:hAnsi="Calibri" w:cs="Calibri"/>
                <w:sz w:val="21"/>
                <w:szCs w:val="21"/>
                <w:lang w:val="en-US"/>
              </w:rPr>
            </w:pPr>
          </w:p>
        </w:tc>
        <w:tc>
          <w:tcPr>
            <w:tcW w:w="1559" w:type="dxa"/>
          </w:tcPr>
          <w:p w14:paraId="7DC84888" w14:textId="77777777" w:rsidR="0068125B" w:rsidRPr="008C16DE" w:rsidRDefault="0068125B" w:rsidP="003B3ADA">
            <w:pPr>
              <w:jc w:val="center"/>
              <w:rPr>
                <w:rFonts w:ascii="Calibri" w:hAnsi="Calibri" w:cs="Calibri"/>
                <w:sz w:val="21"/>
                <w:szCs w:val="21"/>
                <w:lang w:val="en-US"/>
              </w:rPr>
            </w:pPr>
          </w:p>
        </w:tc>
        <w:tc>
          <w:tcPr>
            <w:tcW w:w="1502" w:type="dxa"/>
          </w:tcPr>
          <w:p w14:paraId="07937FDF"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23-28</w:t>
            </w:r>
          </w:p>
        </w:tc>
      </w:tr>
      <w:tr w:rsidR="0068125B" w:rsidRPr="008C16DE" w14:paraId="2AF29B4D" w14:textId="77777777" w:rsidTr="001D6BE0">
        <w:tc>
          <w:tcPr>
            <w:tcW w:w="2977" w:type="dxa"/>
          </w:tcPr>
          <w:p w14:paraId="6CE8DE71" w14:textId="6F396A2E"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Grimm et al., 2003</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{"citationItems":[{"id":"ITEM-1","itemData":{"DOI":"10.1161/01.CIR.0000100721.52503.85","ISSN":"00097322","abstract":"BACKGROUND: Arrhythmia risk stratification with regard to prophylactic implantable cardioverter-defibrillator therapy is a completely unsolved issue in idiopathic dilated cardiomyopathy (IDC).\\n\\nMETHODS AND RESULTS: Arrhythmia risk stratification was performed prospectively in 343 patients with IDC, including analysis of left ventricular (LV) ejection fraction and size by echocardiography, signal-averaged ECG, arrhythmias on Holter ECG, QTc dispersion, heart rate variability, baroreflex sensitivity, and microvolt T-wave alternans. During 52+/-21 months of follow-up, major arrhythmic events, defined as sustained ventricular tachycardia, ventricular fibrillation, or sudden death, occurred in 46 patients (13%). On multivariate analysis, LV ejection fraction was the only significant arrhythmia risk predictor in patients with sinus rhythm, with a relative risk of 2.3 per 10% decrease of ejection fraction (95% CI, 1.5 to 3.3; P=0.0001). Nonsustained ventricular tachycardia on Holter was associated with a trend toward higher arrhythmia risk (RR, 1.7; 95% CI, 0.9 to 3.3; P=0.11), whereas beta-blocker therapy was associated with a trend toward lower arrhythmia risk (RR, 0.6; 95% CI, 0.3 to 1.2; P=0.13). In patients with atrial fibrillation, multivariate Cox analysis also identified LV ejection fraction and absence of beta-blocker therapy as the only significant arrhythmia risk predictors.\\n\\nCONCLUSIONS: Reduced LV ejection fraction and lack of beta-blocker use are important arrhythmia risk predictors in IDC, whereas signal-averaged ECG, baroreflex sensitivity, heart rate variability, and T-wave alternans do not seem to be helpful for arrhythmia risk stratification. These findings have important implications for the design of future studies evaluating prophylactic implantable cardioverter-defibrillator therapy in IDC.","author":[{"dropping-particle":"","family":"Grimm","given":"Wolfram","non-dropping-particle":"","parse-names":false,"suffix":""},{"dropping-particle":"","family":"Christ","given":"Michael","non-dropping-particle":"","parse-names":false,"suffix":""},{"dropping-particle":"","family":"Bach","given":"Jennifer","non-dropping-particle":"","parse-names":false,"suffix":""},{"dropping-particle":"","family":"Müller","given":"Hans Helge","non-dropping-particle":"","parse-names":false,"suffix":""},{"dropping-particle":"","family":"Maisch","given":"Bernhard","non-dropping-particle":"","parse-names":false,"suffix":""}],"container-title":"Circulation","id":"ITEM-1","issued":{"date-parts":[["2003"]]},"title":"Noninvasive Arrhythmia Risk Stratification in Idiopathic Dilated Cardiomyopathy: Results of the Marburg Cardiomyopathy Study","type":"article-journal"},"uris":["http://www.mendeley.com/documents/?uuid=b61b5724-8c67-4ae1-9886-55d156f8f850"]}],"mendeley":{"formattedCitation":"&lt;sup&gt;72&lt;/sup&gt;","plainTextFormattedCitation":"72","previouslyFormattedCitation":"&lt;sup&gt;6&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72</w:t>
            </w:r>
            <w:r w:rsidRPr="008C16DE">
              <w:rPr>
                <w:rFonts w:ascii="Calibri" w:hAnsi="Calibri" w:cs="Calibri"/>
                <w:sz w:val="21"/>
                <w:szCs w:val="21"/>
                <w:lang w:val="en-US"/>
              </w:rPr>
              <w:fldChar w:fldCharType="end"/>
            </w:r>
          </w:p>
        </w:tc>
        <w:tc>
          <w:tcPr>
            <w:tcW w:w="1413" w:type="dxa"/>
          </w:tcPr>
          <w:p w14:paraId="3CAA7B2E"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343</w:t>
            </w:r>
          </w:p>
        </w:tc>
        <w:tc>
          <w:tcPr>
            <w:tcW w:w="1559" w:type="dxa"/>
          </w:tcPr>
          <w:p w14:paraId="73445D5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78</w:t>
            </w:r>
          </w:p>
        </w:tc>
        <w:tc>
          <w:tcPr>
            <w:tcW w:w="1559" w:type="dxa"/>
          </w:tcPr>
          <w:p w14:paraId="20BEA7D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31</w:t>
            </w:r>
          </w:p>
        </w:tc>
        <w:tc>
          <w:tcPr>
            <w:tcW w:w="1502" w:type="dxa"/>
          </w:tcPr>
          <w:p w14:paraId="4D395159"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28</w:t>
            </w:r>
          </w:p>
        </w:tc>
      </w:tr>
      <w:tr w:rsidR="0068125B" w:rsidRPr="008C16DE" w14:paraId="300D692E" w14:textId="77777777" w:rsidTr="001D6BE0">
        <w:tc>
          <w:tcPr>
            <w:tcW w:w="2977" w:type="dxa"/>
          </w:tcPr>
          <w:p w14:paraId="383C95E4" w14:textId="376E19A2"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074F192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0084D86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036E4B66"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394F3E1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23</w:t>
            </w:r>
          </w:p>
        </w:tc>
      </w:tr>
      <w:tr w:rsidR="0068125B" w:rsidRPr="008C16DE" w14:paraId="50C3DF8E" w14:textId="77777777" w:rsidTr="001D6BE0">
        <w:tc>
          <w:tcPr>
            <w:tcW w:w="2977" w:type="dxa"/>
          </w:tcPr>
          <w:p w14:paraId="0D88D11F"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Abnormal Q waves</w:t>
            </w:r>
          </w:p>
        </w:tc>
        <w:tc>
          <w:tcPr>
            <w:tcW w:w="1413" w:type="dxa"/>
          </w:tcPr>
          <w:p w14:paraId="54CB49B5" w14:textId="77777777" w:rsidR="0068125B" w:rsidRPr="008C16DE" w:rsidRDefault="0068125B" w:rsidP="003B3ADA">
            <w:pPr>
              <w:jc w:val="center"/>
              <w:rPr>
                <w:rFonts w:ascii="Calibri" w:hAnsi="Calibri" w:cs="Calibri"/>
                <w:sz w:val="21"/>
                <w:szCs w:val="21"/>
                <w:lang w:val="en-US"/>
              </w:rPr>
            </w:pPr>
          </w:p>
        </w:tc>
        <w:tc>
          <w:tcPr>
            <w:tcW w:w="1559" w:type="dxa"/>
          </w:tcPr>
          <w:p w14:paraId="15D78E7B" w14:textId="77777777" w:rsidR="0068125B" w:rsidRPr="008C16DE" w:rsidRDefault="0068125B" w:rsidP="003B3ADA">
            <w:pPr>
              <w:jc w:val="center"/>
              <w:rPr>
                <w:rFonts w:ascii="Calibri" w:hAnsi="Calibri" w:cs="Calibri"/>
                <w:sz w:val="21"/>
                <w:szCs w:val="21"/>
                <w:lang w:val="en-US"/>
              </w:rPr>
            </w:pPr>
          </w:p>
        </w:tc>
        <w:tc>
          <w:tcPr>
            <w:tcW w:w="1559" w:type="dxa"/>
          </w:tcPr>
          <w:p w14:paraId="0981C37A" w14:textId="77777777" w:rsidR="0068125B" w:rsidRPr="008C16DE" w:rsidRDefault="0068125B" w:rsidP="003B3ADA">
            <w:pPr>
              <w:jc w:val="center"/>
              <w:rPr>
                <w:rFonts w:ascii="Calibri" w:hAnsi="Calibri" w:cs="Calibri"/>
                <w:sz w:val="21"/>
                <w:szCs w:val="21"/>
                <w:lang w:val="en-US"/>
              </w:rPr>
            </w:pPr>
          </w:p>
        </w:tc>
        <w:tc>
          <w:tcPr>
            <w:tcW w:w="1502" w:type="dxa"/>
          </w:tcPr>
          <w:p w14:paraId="5234DB0A"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26-36</w:t>
            </w:r>
          </w:p>
        </w:tc>
      </w:tr>
      <w:tr w:rsidR="0068125B" w:rsidRPr="008C16DE" w14:paraId="26552393" w14:textId="77777777" w:rsidTr="001D6BE0">
        <w:tc>
          <w:tcPr>
            <w:tcW w:w="2977" w:type="dxa"/>
          </w:tcPr>
          <w:p w14:paraId="05642B06" w14:textId="5B5C9073"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Wilensky et al., 1988</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Cardiology","id":"ITEM-1","issued":{"date-parts":[["1988"]]},"title":"Serial electrocardiographic changes in idiopathic dilated cardiomyopathy confirmed at necropsy","type":"article-journal"},"uris":["http://www.mendeley.com/documents/?uuid=8e8641bf-d716-45f2-a7a1-af7eceec75f4"]}],"mendeley":{"formattedCitation":"&lt;sup&gt;3&lt;/sup&gt;","plainTextFormattedCitation":"3","previouslyFormattedCitation":"&lt;sup&gt;4&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3</w:t>
            </w:r>
            <w:r w:rsidRPr="008C16DE">
              <w:rPr>
                <w:rFonts w:ascii="Calibri" w:hAnsi="Calibri" w:cs="Calibri"/>
                <w:bCs/>
                <w:sz w:val="21"/>
                <w:szCs w:val="21"/>
                <w:lang w:val="en-US"/>
              </w:rPr>
              <w:fldChar w:fldCharType="end"/>
            </w:r>
          </w:p>
        </w:tc>
        <w:tc>
          <w:tcPr>
            <w:tcW w:w="1413" w:type="dxa"/>
          </w:tcPr>
          <w:p w14:paraId="6ED32FE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56</w:t>
            </w:r>
          </w:p>
        </w:tc>
        <w:tc>
          <w:tcPr>
            <w:tcW w:w="1559" w:type="dxa"/>
          </w:tcPr>
          <w:p w14:paraId="36E105D6"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82</w:t>
            </w:r>
          </w:p>
        </w:tc>
        <w:tc>
          <w:tcPr>
            <w:tcW w:w="1559" w:type="dxa"/>
          </w:tcPr>
          <w:p w14:paraId="71A9ABA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152ACF0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36</w:t>
            </w:r>
          </w:p>
        </w:tc>
      </w:tr>
      <w:tr w:rsidR="0068125B" w:rsidRPr="008C16DE" w14:paraId="39B237D3" w14:textId="77777777" w:rsidTr="001D6BE0">
        <w:tc>
          <w:tcPr>
            <w:tcW w:w="2977" w:type="dxa"/>
          </w:tcPr>
          <w:p w14:paraId="2B4284B0" w14:textId="68D2FC91"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31E915F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55FBE617"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3BB6DFE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71B7F80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26</w:t>
            </w:r>
          </w:p>
        </w:tc>
      </w:tr>
      <w:tr w:rsidR="0068125B" w:rsidRPr="008C16DE" w14:paraId="1FC7134E" w14:textId="77777777" w:rsidTr="001D6BE0">
        <w:tc>
          <w:tcPr>
            <w:tcW w:w="2977" w:type="dxa"/>
          </w:tcPr>
          <w:p w14:paraId="05145E11"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AF</w:t>
            </w:r>
          </w:p>
        </w:tc>
        <w:tc>
          <w:tcPr>
            <w:tcW w:w="1413" w:type="dxa"/>
          </w:tcPr>
          <w:p w14:paraId="79695F6E" w14:textId="77777777" w:rsidR="0068125B" w:rsidRPr="008C16DE" w:rsidRDefault="0068125B" w:rsidP="003B3ADA">
            <w:pPr>
              <w:jc w:val="center"/>
              <w:rPr>
                <w:rFonts w:ascii="Calibri" w:hAnsi="Calibri" w:cs="Calibri"/>
                <w:sz w:val="21"/>
                <w:szCs w:val="21"/>
                <w:lang w:val="en-US"/>
              </w:rPr>
            </w:pPr>
          </w:p>
        </w:tc>
        <w:tc>
          <w:tcPr>
            <w:tcW w:w="1559" w:type="dxa"/>
          </w:tcPr>
          <w:p w14:paraId="5A7EF413" w14:textId="77777777" w:rsidR="0068125B" w:rsidRPr="008C16DE" w:rsidRDefault="0068125B" w:rsidP="003B3ADA">
            <w:pPr>
              <w:jc w:val="center"/>
              <w:rPr>
                <w:rFonts w:ascii="Calibri" w:hAnsi="Calibri" w:cs="Calibri"/>
                <w:sz w:val="21"/>
                <w:szCs w:val="21"/>
                <w:lang w:val="en-US"/>
              </w:rPr>
            </w:pPr>
          </w:p>
        </w:tc>
        <w:tc>
          <w:tcPr>
            <w:tcW w:w="1559" w:type="dxa"/>
          </w:tcPr>
          <w:p w14:paraId="53665325" w14:textId="77777777" w:rsidR="0068125B" w:rsidRPr="008C16DE" w:rsidRDefault="0068125B" w:rsidP="003B3ADA">
            <w:pPr>
              <w:jc w:val="center"/>
              <w:rPr>
                <w:rFonts w:ascii="Calibri" w:hAnsi="Calibri" w:cs="Calibri"/>
                <w:sz w:val="21"/>
                <w:szCs w:val="21"/>
                <w:lang w:val="en-US"/>
              </w:rPr>
            </w:pPr>
          </w:p>
        </w:tc>
        <w:tc>
          <w:tcPr>
            <w:tcW w:w="1502" w:type="dxa"/>
          </w:tcPr>
          <w:p w14:paraId="17908EE8"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3-25</w:t>
            </w:r>
          </w:p>
        </w:tc>
      </w:tr>
      <w:tr w:rsidR="0068125B" w:rsidRPr="008C16DE" w14:paraId="533A8B9F" w14:textId="77777777" w:rsidTr="001D6BE0">
        <w:tc>
          <w:tcPr>
            <w:tcW w:w="2977" w:type="dxa"/>
          </w:tcPr>
          <w:p w14:paraId="333C5394" w14:textId="1A0F3AB9"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2C5F301B"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5AC53F6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5C1DD96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002980B0"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25</w:t>
            </w:r>
          </w:p>
        </w:tc>
      </w:tr>
      <w:tr w:rsidR="0068125B" w:rsidRPr="008C16DE" w14:paraId="6A970461" w14:textId="77777777" w:rsidTr="001D6BE0">
        <w:tc>
          <w:tcPr>
            <w:tcW w:w="2977" w:type="dxa"/>
          </w:tcPr>
          <w:p w14:paraId="080B28A2" w14:textId="19B03F0D"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Wilensky et al., 1988</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Cardiology","id":"ITEM-1","issued":{"date-parts":[["1988"]]},"title":"Serial electrocardiographic changes in idiopathic dilated cardiomyopathy confirmed at necropsy","type":"article-journal"},"uris":["http://www.mendeley.com/documents/?uuid=8e8641bf-d716-45f2-a7a1-af7eceec75f4"]}],"mendeley":{"formattedCitation":"&lt;sup&gt;3&lt;/sup&gt;","plainTextFormattedCitation":"3","previouslyFormattedCitation":"&lt;sup&gt;4&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3</w:t>
            </w:r>
            <w:r w:rsidRPr="008C16DE">
              <w:rPr>
                <w:rFonts w:ascii="Calibri" w:hAnsi="Calibri" w:cs="Calibri"/>
                <w:bCs/>
                <w:sz w:val="21"/>
                <w:szCs w:val="21"/>
                <w:lang w:val="en-US"/>
              </w:rPr>
              <w:fldChar w:fldCharType="end"/>
            </w:r>
          </w:p>
        </w:tc>
        <w:tc>
          <w:tcPr>
            <w:tcW w:w="1413" w:type="dxa"/>
          </w:tcPr>
          <w:p w14:paraId="2F2296D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56</w:t>
            </w:r>
          </w:p>
        </w:tc>
        <w:tc>
          <w:tcPr>
            <w:tcW w:w="1559" w:type="dxa"/>
          </w:tcPr>
          <w:p w14:paraId="5D023EC0"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82</w:t>
            </w:r>
          </w:p>
        </w:tc>
        <w:tc>
          <w:tcPr>
            <w:tcW w:w="1559" w:type="dxa"/>
          </w:tcPr>
          <w:p w14:paraId="3A2E3AD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1A953EC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14</w:t>
            </w:r>
          </w:p>
        </w:tc>
      </w:tr>
      <w:tr w:rsidR="0068125B" w:rsidRPr="008C16DE" w14:paraId="5655BEF9" w14:textId="77777777" w:rsidTr="001D6BE0">
        <w:tc>
          <w:tcPr>
            <w:tcW w:w="2977" w:type="dxa"/>
          </w:tcPr>
          <w:p w14:paraId="3E8FE923" w14:textId="2D4202CF" w:rsidR="0068125B" w:rsidRPr="008C16DE" w:rsidRDefault="0068125B" w:rsidP="003B3ADA">
            <w:pPr>
              <w:ind w:left="720"/>
              <w:rPr>
                <w:rFonts w:ascii="Calibri" w:hAnsi="Calibri" w:cs="Calibri"/>
                <w:sz w:val="21"/>
                <w:szCs w:val="21"/>
                <w:lang w:val="en-US"/>
              </w:rPr>
            </w:pPr>
            <w:proofErr w:type="spellStart"/>
            <w:r w:rsidRPr="008C16DE">
              <w:rPr>
                <w:rFonts w:ascii="Calibri" w:hAnsi="Calibri" w:cs="Calibri"/>
                <w:sz w:val="21"/>
                <w:szCs w:val="21"/>
                <w:lang w:val="en-US"/>
              </w:rPr>
              <w:t>Aleksova</w:t>
            </w:r>
            <w:proofErr w:type="spellEnd"/>
            <w:r w:rsidRPr="008C16DE">
              <w:rPr>
                <w:rFonts w:ascii="Calibri" w:hAnsi="Calibri" w:cs="Calibri"/>
                <w:sz w:val="21"/>
                <w:szCs w:val="21"/>
                <w:lang w:val="en-US"/>
              </w:rPr>
              <w:t xml:space="preserve"> et al., 2010</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{"citationItems":[{"id":"ITEM-1","itemData":{"DOI":"10.3121/cmr.2010.908","ISSN":"1554-6179 (Electronic)","PMID":"20682760","abstract":"OBJECTIVE: There is a paucity and inconsistency of data regarding the natural history of patients affected by idiopathic dilated cardiomyopathy (IDCM) and atrial fibrillation (AF). We examined the prognostic implications of AF in a subset of patients with IDCM. METHODS: We analyzed the data of 539 patients with IDCM enrolled in the Heart Muscle Disease Registry of Trieste. RESULTS: At baseline, 52 (9.6%) of 539 patients had AF. There was no difference in survival of patients with either AF or sinus rhythm at enrollment (P = .28). During long-term follow-up (90 +/- 58 months), AF was detected on ECG/ECG-Holter monitoring in 28 (5.7%) of 487 patients in sinus rhythm at baseline. Predictors of new onset of AF at multivariate analysis were a more dilated left atrium (OR 1.35, 95% CI 1.06-1.72; P = .01) and a lower left ventricle ejection fraction (for 10% decrease, OR 2.41, 95% CI 1.24-4.69, P = .016). Patients developing AF had higher mortality/heart transplantation rate compared to patients who maintained sinus rhythm during follow-up (P &lt; .001). At multivariate analysis, new onset AF (HR 3.67, 95% CI 2.07-6.5; P &lt; .001) in the first three years after diagnosis, but not baseline AF, was found to be independently associated with a worse outcome. CONCLUSIONS: Atrial fibrillation is relatively frequent in patients with IDCM. The early development of AF during follow-up, but not its presence at baseline, is associated with poor survival.","author":[{"dropping-particle":"","family":"Aleksova","given":"Aneta","non-dropping-particle":"","parse-names":false,"suffix":""},{"dropping-particle":"","family":"Merlo","given":"Marco","non-dropping-particle":"","parse-names":false,"suffix":""},{"dropping-particle":"","family":"Zecchin","given":"Massimo","non-dropping-particle":"","parse-names":false,"suffix":""},{"dropping-particle":"","family":"Sabbadini","given":"Gastone","non-dropping-particle":"","parse-names":false,"suffix":""},{"dropping-particle":"","family":"Barbati","given":"Giulia","non-dropping-particle":"","parse-names":false,"suffix":""},{"dropping-particle":"","family":"Vitrella","given":"Giancarlo","non-dropping-particle":"","parse-names":false,"suffix":""},{"dropping-particle":"","family":"Lenarda","given":"Andrea","non-dropping-particle":"Di","parse-names":false,"suffix":""},{"dropping-particle":"","family":"Sinagra","given":"Gianfranco","non-dropping-particle":"","parse-names":false,"suffix":""}],"container-title":"Clinical medicine &amp; research","id":"ITEM-1","issue":"3-4","issued":{"date-parts":[["2010","12"]]},"language":"eng","page":"142-149","publisher-place":"United States","title":"Impact of atrial fibrillation on outcome of patients with idiopathic dilated cardiomyopathy: data from the Heart Muscle Disease Registry of Trieste.","type":"article-journal","volume":"8"},"uris":["http://www.mendeley.com/documents/?uuid=b531bca7-5e0f-4a19-9ffd-9932317e16ca"]}],"mendeley":{"formattedCitation":"&lt;sup&gt;66&lt;/sup&gt;","plainTextFormattedCitation":"66","previouslyFormattedCitation":"&lt;sup&gt;7&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66</w:t>
            </w:r>
            <w:r w:rsidRPr="008C16DE">
              <w:rPr>
                <w:rFonts w:ascii="Calibri" w:hAnsi="Calibri" w:cs="Calibri"/>
                <w:sz w:val="21"/>
                <w:szCs w:val="21"/>
                <w:lang w:val="en-US"/>
              </w:rPr>
              <w:fldChar w:fldCharType="end"/>
            </w:r>
          </w:p>
        </w:tc>
        <w:tc>
          <w:tcPr>
            <w:tcW w:w="1413" w:type="dxa"/>
          </w:tcPr>
          <w:p w14:paraId="31EFACC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539</w:t>
            </w:r>
          </w:p>
        </w:tc>
        <w:tc>
          <w:tcPr>
            <w:tcW w:w="1559" w:type="dxa"/>
          </w:tcPr>
          <w:p w14:paraId="52C3DF3A"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73</w:t>
            </w:r>
          </w:p>
        </w:tc>
        <w:tc>
          <w:tcPr>
            <w:tcW w:w="1559" w:type="dxa"/>
          </w:tcPr>
          <w:p w14:paraId="3F578FD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30</w:t>
            </w:r>
          </w:p>
        </w:tc>
        <w:tc>
          <w:tcPr>
            <w:tcW w:w="1502" w:type="dxa"/>
          </w:tcPr>
          <w:p w14:paraId="1D36B1F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10</w:t>
            </w:r>
          </w:p>
        </w:tc>
      </w:tr>
      <w:tr w:rsidR="0068125B" w:rsidRPr="008C16DE" w14:paraId="2A47F2B4" w14:textId="77777777" w:rsidTr="001D6BE0">
        <w:tc>
          <w:tcPr>
            <w:tcW w:w="2977" w:type="dxa"/>
          </w:tcPr>
          <w:p w14:paraId="328C2E6D" w14:textId="61A7A11D"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46DDC88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45623D47"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64D5B80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7601488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w:t>
            </w:r>
          </w:p>
        </w:tc>
      </w:tr>
      <w:tr w:rsidR="0068125B" w:rsidRPr="008C16DE" w14:paraId="05E9C450" w14:textId="77777777" w:rsidTr="001D6BE0">
        <w:tc>
          <w:tcPr>
            <w:tcW w:w="2977" w:type="dxa"/>
          </w:tcPr>
          <w:p w14:paraId="2536BBE2" w14:textId="77777777" w:rsidR="0068125B" w:rsidRPr="008C16DE" w:rsidRDefault="0068125B" w:rsidP="003B3ADA">
            <w:pPr>
              <w:rPr>
                <w:rFonts w:ascii="Calibri" w:hAnsi="Calibri" w:cs="Calibri"/>
                <w:sz w:val="21"/>
                <w:szCs w:val="21"/>
                <w:lang w:val="en-US"/>
              </w:rPr>
            </w:pPr>
            <w:r w:rsidRPr="008C16DE">
              <w:rPr>
                <w:rFonts w:ascii="Calibri" w:hAnsi="Calibri" w:cs="Calibri"/>
                <w:b/>
                <w:bCs/>
                <w:sz w:val="21"/>
                <w:szCs w:val="21"/>
                <w:lang w:val="en-US"/>
              </w:rPr>
              <w:t>First degree AV-block</w:t>
            </w:r>
          </w:p>
        </w:tc>
        <w:tc>
          <w:tcPr>
            <w:tcW w:w="1413" w:type="dxa"/>
          </w:tcPr>
          <w:p w14:paraId="3FD2946F" w14:textId="77777777" w:rsidR="0068125B" w:rsidRPr="008C16DE" w:rsidRDefault="0068125B" w:rsidP="003B3ADA">
            <w:pPr>
              <w:jc w:val="center"/>
              <w:rPr>
                <w:rFonts w:ascii="Calibri" w:hAnsi="Calibri" w:cs="Calibri"/>
                <w:sz w:val="21"/>
                <w:szCs w:val="21"/>
                <w:lang w:val="en-US"/>
              </w:rPr>
            </w:pPr>
          </w:p>
        </w:tc>
        <w:tc>
          <w:tcPr>
            <w:tcW w:w="1559" w:type="dxa"/>
          </w:tcPr>
          <w:p w14:paraId="0C953D2B" w14:textId="77777777" w:rsidR="0068125B" w:rsidRPr="008C16DE" w:rsidRDefault="0068125B" w:rsidP="003B3ADA">
            <w:pPr>
              <w:jc w:val="center"/>
              <w:rPr>
                <w:rFonts w:ascii="Calibri" w:hAnsi="Calibri" w:cs="Calibri"/>
                <w:sz w:val="21"/>
                <w:szCs w:val="21"/>
                <w:lang w:val="en-US"/>
              </w:rPr>
            </w:pPr>
          </w:p>
        </w:tc>
        <w:tc>
          <w:tcPr>
            <w:tcW w:w="1559" w:type="dxa"/>
          </w:tcPr>
          <w:p w14:paraId="5458621A" w14:textId="77777777" w:rsidR="0068125B" w:rsidRPr="008C16DE" w:rsidRDefault="0068125B" w:rsidP="003B3ADA">
            <w:pPr>
              <w:jc w:val="center"/>
              <w:rPr>
                <w:rFonts w:ascii="Calibri" w:hAnsi="Calibri" w:cs="Calibri"/>
                <w:sz w:val="21"/>
                <w:szCs w:val="21"/>
                <w:lang w:val="en-US"/>
              </w:rPr>
            </w:pPr>
          </w:p>
        </w:tc>
        <w:tc>
          <w:tcPr>
            <w:tcW w:w="1502" w:type="dxa"/>
          </w:tcPr>
          <w:p w14:paraId="5DB86439"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10-23</w:t>
            </w:r>
          </w:p>
        </w:tc>
      </w:tr>
      <w:tr w:rsidR="0068125B" w:rsidRPr="008C16DE" w14:paraId="18A64693" w14:textId="77777777" w:rsidTr="001D6BE0">
        <w:tc>
          <w:tcPr>
            <w:tcW w:w="2977" w:type="dxa"/>
          </w:tcPr>
          <w:p w14:paraId="741CF039" w14:textId="7632ECB1"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Hamby et al., 1868</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{"citationItems":[{"id":"ITEM-1","itemData":{"DOI":"10.1016/0002-8703(68)90225-1","ISSN":"10976744","abstract":"The VCG's of 50 patients with PMD is presented. The vector loops were classified into two general groups. A percentage of 56 of the patients had normal frontal loops (Group I) and 44 per cent had superior frontal loops (Group II). In each group, the various types of vector were defined by the horizontal vector loop. In Group I, 18 per cent had left ventricular hypertrophy (Type Ia), 30 per cent had posterior loops (Type Ib), and eight per cent had left bundle branch block (Type Ic). In Group II, 6 per cent had left ventricular hypertrophy (Type IIa), 16 per cent had posterior loops (Type IIb), 12 per cent had left bundle branch block (Type IIc), and 10 per cent had right bundle branch block (Type IId). Characteristic features of the entire group, exclusive of Type IId included a posteriorly oriented loop directed toward the \"Z\" axis and relatively narrow loops especially in the frontal and right sagittal plane. These features although nondiagnostic appear characteristic for the group of patients with PMD. © 1968.","author":[{"dropping-particle":"","family":"Hamby","given":"Robert I.","non-dropping-particle":"","parse-names":false,"suffix":""},{"dropping-particle":"","family":"Raia","given":"Francis","non-dropping-particle":"","parse-names":false,"suffix":""}],"container-title":"American Heart Journal","id":"ITEM-1","issue":"3","issued":{"date-parts":[["1968"]]},"page":"304-315","title":"Electrocardiographic aspects of primary myocardial disease in 50 patients","type":"article-journal","volume":"76"},"uris":["http://www.mendeley.com/documents/?uuid=1ae3ab28-3e79-4835-8617-d80042ba41f5"]}],"mendeley":{"formattedCitation":"&lt;sup&gt;9&lt;/sup&gt;","plainTextFormattedCitation":"9","previouslyFormattedCitation":"&lt;sup&gt;8&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9</w:t>
            </w:r>
            <w:r w:rsidRPr="008C16DE">
              <w:rPr>
                <w:rFonts w:ascii="Calibri" w:hAnsi="Calibri" w:cs="Calibri"/>
                <w:sz w:val="21"/>
                <w:szCs w:val="21"/>
                <w:lang w:val="en-US"/>
              </w:rPr>
              <w:fldChar w:fldCharType="end"/>
            </w:r>
          </w:p>
        </w:tc>
        <w:tc>
          <w:tcPr>
            <w:tcW w:w="1413" w:type="dxa"/>
          </w:tcPr>
          <w:p w14:paraId="1538BFA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60</w:t>
            </w:r>
          </w:p>
        </w:tc>
        <w:tc>
          <w:tcPr>
            <w:tcW w:w="1559" w:type="dxa"/>
          </w:tcPr>
          <w:p w14:paraId="3D1C665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59" w:type="dxa"/>
          </w:tcPr>
          <w:p w14:paraId="058E21A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38AE7AB5"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18</w:t>
            </w:r>
          </w:p>
        </w:tc>
      </w:tr>
      <w:tr w:rsidR="0068125B" w:rsidRPr="008C16DE" w14:paraId="4F4C09A1" w14:textId="77777777" w:rsidTr="001D6BE0">
        <w:tc>
          <w:tcPr>
            <w:tcW w:w="2977" w:type="dxa"/>
          </w:tcPr>
          <w:p w14:paraId="3DEE408E" w14:textId="139B660E"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782F688A"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4DCA77F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6B69D02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5562EDD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23</w:t>
            </w:r>
          </w:p>
        </w:tc>
      </w:tr>
      <w:tr w:rsidR="0068125B" w:rsidRPr="008C16DE" w14:paraId="09AFA4EE" w14:textId="77777777" w:rsidTr="001D6BE0">
        <w:tc>
          <w:tcPr>
            <w:tcW w:w="2977" w:type="dxa"/>
          </w:tcPr>
          <w:p w14:paraId="331A573B" w14:textId="7F123604"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149141E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239B3CF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157E08E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1F292CF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10</w:t>
            </w:r>
          </w:p>
        </w:tc>
      </w:tr>
      <w:tr w:rsidR="0068125B" w:rsidRPr="008C16DE" w14:paraId="69840AB3" w14:textId="77777777" w:rsidTr="001D6BE0">
        <w:tc>
          <w:tcPr>
            <w:tcW w:w="2977" w:type="dxa"/>
          </w:tcPr>
          <w:p w14:paraId="3256E8B9"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Inferior T wave inversion</w:t>
            </w:r>
          </w:p>
        </w:tc>
        <w:tc>
          <w:tcPr>
            <w:tcW w:w="1413" w:type="dxa"/>
          </w:tcPr>
          <w:p w14:paraId="4B2AC5C4" w14:textId="77777777" w:rsidR="0068125B" w:rsidRPr="008C16DE" w:rsidRDefault="0068125B" w:rsidP="003B3ADA">
            <w:pPr>
              <w:jc w:val="center"/>
              <w:rPr>
                <w:rFonts w:ascii="Calibri" w:hAnsi="Calibri" w:cs="Calibri"/>
                <w:sz w:val="21"/>
                <w:szCs w:val="21"/>
                <w:lang w:val="en-US"/>
              </w:rPr>
            </w:pPr>
          </w:p>
        </w:tc>
        <w:tc>
          <w:tcPr>
            <w:tcW w:w="1559" w:type="dxa"/>
          </w:tcPr>
          <w:p w14:paraId="42F1D1C3" w14:textId="77777777" w:rsidR="0068125B" w:rsidRPr="008C16DE" w:rsidRDefault="0068125B" w:rsidP="003B3ADA">
            <w:pPr>
              <w:jc w:val="center"/>
              <w:rPr>
                <w:rFonts w:ascii="Calibri" w:hAnsi="Calibri" w:cs="Calibri"/>
                <w:sz w:val="21"/>
                <w:szCs w:val="21"/>
                <w:lang w:val="en-US"/>
              </w:rPr>
            </w:pPr>
          </w:p>
        </w:tc>
        <w:tc>
          <w:tcPr>
            <w:tcW w:w="1559" w:type="dxa"/>
          </w:tcPr>
          <w:p w14:paraId="5208EC59" w14:textId="77777777" w:rsidR="0068125B" w:rsidRPr="008C16DE" w:rsidRDefault="0068125B" w:rsidP="003B3ADA">
            <w:pPr>
              <w:jc w:val="center"/>
              <w:rPr>
                <w:rFonts w:ascii="Calibri" w:hAnsi="Calibri" w:cs="Calibri"/>
                <w:sz w:val="21"/>
                <w:szCs w:val="21"/>
                <w:lang w:val="en-US"/>
              </w:rPr>
            </w:pPr>
          </w:p>
        </w:tc>
        <w:tc>
          <w:tcPr>
            <w:tcW w:w="1502" w:type="dxa"/>
          </w:tcPr>
          <w:p w14:paraId="3B5FE940" w14:textId="77777777" w:rsidR="0068125B" w:rsidRPr="008C16DE" w:rsidRDefault="0068125B" w:rsidP="003B3ADA">
            <w:pPr>
              <w:jc w:val="center"/>
              <w:rPr>
                <w:rFonts w:ascii="Calibri" w:hAnsi="Calibri" w:cs="Calibri"/>
                <w:sz w:val="21"/>
                <w:szCs w:val="21"/>
                <w:lang w:val="en-US"/>
              </w:rPr>
            </w:pPr>
          </w:p>
        </w:tc>
      </w:tr>
      <w:tr w:rsidR="0068125B" w:rsidRPr="008C16DE" w14:paraId="054CC92B" w14:textId="77777777" w:rsidTr="001D6BE0">
        <w:tc>
          <w:tcPr>
            <w:tcW w:w="2977" w:type="dxa"/>
          </w:tcPr>
          <w:p w14:paraId="099B55B0" w14:textId="076EF9CB"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2733008E"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6AA9033A"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70EDB86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6AC7928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14</w:t>
            </w:r>
          </w:p>
        </w:tc>
      </w:tr>
      <w:tr w:rsidR="0068125B" w:rsidRPr="008C16DE" w14:paraId="47269EAC" w14:textId="77777777" w:rsidTr="001D6BE0">
        <w:tc>
          <w:tcPr>
            <w:tcW w:w="2977" w:type="dxa"/>
          </w:tcPr>
          <w:p w14:paraId="6DCE29CB" w14:textId="77777777" w:rsidR="0068125B" w:rsidRPr="008C16DE" w:rsidRDefault="0068125B" w:rsidP="003B3ADA">
            <w:pPr>
              <w:rPr>
                <w:rFonts w:ascii="Calibri" w:hAnsi="Calibri" w:cs="Calibri"/>
                <w:sz w:val="21"/>
                <w:szCs w:val="21"/>
                <w:lang w:val="en-US"/>
              </w:rPr>
            </w:pPr>
            <w:r w:rsidRPr="008C16DE">
              <w:rPr>
                <w:rFonts w:ascii="Calibri" w:hAnsi="Calibri" w:cs="Calibri"/>
                <w:b/>
                <w:bCs/>
                <w:sz w:val="21"/>
                <w:szCs w:val="21"/>
                <w:lang w:val="en-US"/>
              </w:rPr>
              <w:t>Anterolateral T wave inversion</w:t>
            </w:r>
          </w:p>
        </w:tc>
        <w:tc>
          <w:tcPr>
            <w:tcW w:w="1413" w:type="dxa"/>
          </w:tcPr>
          <w:p w14:paraId="19265346" w14:textId="77777777" w:rsidR="0068125B" w:rsidRPr="008C16DE" w:rsidRDefault="0068125B" w:rsidP="003B3ADA">
            <w:pPr>
              <w:jc w:val="center"/>
              <w:rPr>
                <w:rFonts w:ascii="Calibri" w:hAnsi="Calibri" w:cs="Calibri"/>
                <w:sz w:val="21"/>
                <w:szCs w:val="21"/>
                <w:lang w:val="en-US"/>
              </w:rPr>
            </w:pPr>
          </w:p>
        </w:tc>
        <w:tc>
          <w:tcPr>
            <w:tcW w:w="1559" w:type="dxa"/>
          </w:tcPr>
          <w:p w14:paraId="6E556816" w14:textId="77777777" w:rsidR="0068125B" w:rsidRPr="008C16DE" w:rsidRDefault="0068125B" w:rsidP="003B3ADA">
            <w:pPr>
              <w:jc w:val="center"/>
              <w:rPr>
                <w:rFonts w:ascii="Calibri" w:hAnsi="Calibri" w:cs="Calibri"/>
                <w:sz w:val="21"/>
                <w:szCs w:val="21"/>
                <w:lang w:val="en-US"/>
              </w:rPr>
            </w:pPr>
          </w:p>
        </w:tc>
        <w:tc>
          <w:tcPr>
            <w:tcW w:w="1559" w:type="dxa"/>
          </w:tcPr>
          <w:p w14:paraId="5D871504" w14:textId="77777777" w:rsidR="0068125B" w:rsidRPr="008C16DE" w:rsidRDefault="0068125B" w:rsidP="003B3ADA">
            <w:pPr>
              <w:jc w:val="center"/>
              <w:rPr>
                <w:rFonts w:ascii="Calibri" w:hAnsi="Calibri" w:cs="Calibri"/>
                <w:sz w:val="21"/>
                <w:szCs w:val="21"/>
                <w:lang w:val="en-US"/>
              </w:rPr>
            </w:pPr>
          </w:p>
        </w:tc>
        <w:tc>
          <w:tcPr>
            <w:tcW w:w="1502" w:type="dxa"/>
          </w:tcPr>
          <w:p w14:paraId="223E3291" w14:textId="77777777" w:rsidR="0068125B" w:rsidRPr="008C16DE" w:rsidRDefault="0068125B" w:rsidP="003B3ADA">
            <w:pPr>
              <w:jc w:val="center"/>
              <w:rPr>
                <w:rFonts w:ascii="Calibri" w:hAnsi="Calibri" w:cs="Calibri"/>
                <w:sz w:val="21"/>
                <w:szCs w:val="21"/>
                <w:lang w:val="en-US"/>
              </w:rPr>
            </w:pPr>
          </w:p>
        </w:tc>
      </w:tr>
      <w:tr w:rsidR="0068125B" w:rsidRPr="008C16DE" w14:paraId="5CCE4B62" w14:textId="77777777" w:rsidTr="001D6BE0">
        <w:tc>
          <w:tcPr>
            <w:tcW w:w="2977" w:type="dxa"/>
          </w:tcPr>
          <w:p w14:paraId="2FA1F697" w14:textId="4716EDAC"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737DCAFB"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3BE0EE0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3F1768B7"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001911D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13</w:t>
            </w:r>
          </w:p>
        </w:tc>
      </w:tr>
      <w:tr w:rsidR="0068125B" w:rsidRPr="008C16DE" w14:paraId="63EFD4E0" w14:textId="77777777" w:rsidTr="001D6BE0">
        <w:tc>
          <w:tcPr>
            <w:tcW w:w="2977" w:type="dxa"/>
          </w:tcPr>
          <w:p w14:paraId="712EC61E" w14:textId="77777777" w:rsidR="0068125B" w:rsidRPr="008C16DE" w:rsidRDefault="0068125B" w:rsidP="003B3ADA">
            <w:pPr>
              <w:rPr>
                <w:rFonts w:ascii="Calibri" w:hAnsi="Calibri" w:cs="Calibri"/>
                <w:b/>
                <w:bCs/>
                <w:sz w:val="21"/>
                <w:szCs w:val="21"/>
                <w:lang w:val="en-US"/>
              </w:rPr>
            </w:pPr>
            <w:r w:rsidRPr="008C16DE">
              <w:rPr>
                <w:rFonts w:ascii="Calibri" w:hAnsi="Calibri" w:cs="Calibri"/>
                <w:b/>
                <w:bCs/>
                <w:sz w:val="21"/>
                <w:szCs w:val="21"/>
                <w:lang w:val="en-US"/>
              </w:rPr>
              <w:t>RBBB</w:t>
            </w:r>
          </w:p>
        </w:tc>
        <w:tc>
          <w:tcPr>
            <w:tcW w:w="1413" w:type="dxa"/>
          </w:tcPr>
          <w:p w14:paraId="2A735A5F" w14:textId="77777777" w:rsidR="0068125B" w:rsidRPr="008C16DE" w:rsidRDefault="0068125B" w:rsidP="003B3ADA">
            <w:pPr>
              <w:jc w:val="center"/>
              <w:rPr>
                <w:rFonts w:ascii="Calibri" w:hAnsi="Calibri" w:cs="Calibri"/>
                <w:sz w:val="21"/>
                <w:szCs w:val="21"/>
                <w:lang w:val="en-US"/>
              </w:rPr>
            </w:pPr>
          </w:p>
        </w:tc>
        <w:tc>
          <w:tcPr>
            <w:tcW w:w="1559" w:type="dxa"/>
          </w:tcPr>
          <w:p w14:paraId="265EB087" w14:textId="77777777" w:rsidR="0068125B" w:rsidRPr="008C16DE" w:rsidRDefault="0068125B" w:rsidP="003B3ADA">
            <w:pPr>
              <w:jc w:val="center"/>
              <w:rPr>
                <w:rFonts w:ascii="Calibri" w:hAnsi="Calibri" w:cs="Calibri"/>
                <w:sz w:val="21"/>
                <w:szCs w:val="21"/>
                <w:lang w:val="en-US"/>
              </w:rPr>
            </w:pPr>
          </w:p>
        </w:tc>
        <w:tc>
          <w:tcPr>
            <w:tcW w:w="1559" w:type="dxa"/>
          </w:tcPr>
          <w:p w14:paraId="19A6DF7F" w14:textId="77777777" w:rsidR="0068125B" w:rsidRPr="008C16DE" w:rsidRDefault="0068125B" w:rsidP="003B3ADA">
            <w:pPr>
              <w:jc w:val="center"/>
              <w:rPr>
                <w:rFonts w:ascii="Calibri" w:hAnsi="Calibri" w:cs="Calibri"/>
                <w:sz w:val="21"/>
                <w:szCs w:val="21"/>
                <w:lang w:val="en-US"/>
              </w:rPr>
            </w:pPr>
          </w:p>
        </w:tc>
        <w:tc>
          <w:tcPr>
            <w:tcW w:w="1502" w:type="dxa"/>
          </w:tcPr>
          <w:p w14:paraId="31D8C44F"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2-6</w:t>
            </w:r>
          </w:p>
        </w:tc>
      </w:tr>
      <w:tr w:rsidR="0068125B" w:rsidRPr="008C16DE" w14:paraId="4E2295E0" w14:textId="77777777" w:rsidTr="001D6BE0">
        <w:tc>
          <w:tcPr>
            <w:tcW w:w="2977" w:type="dxa"/>
          </w:tcPr>
          <w:p w14:paraId="02C68ED6" w14:textId="2F216787"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16626C1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58D907EB"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1911AC3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5609B99D"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6</w:t>
            </w:r>
          </w:p>
        </w:tc>
      </w:tr>
      <w:tr w:rsidR="0068125B" w:rsidRPr="008C16DE" w14:paraId="4459AB1F" w14:textId="77777777" w:rsidTr="001D6BE0">
        <w:tc>
          <w:tcPr>
            <w:tcW w:w="2977" w:type="dxa"/>
          </w:tcPr>
          <w:p w14:paraId="1FDC840D" w14:textId="3E0FA1BF"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Wilensky et al., 1988</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Cardiology","id":"ITEM-1","issued":{"date-parts":[["1988"]]},"title":"Serial electrocardiographic changes in idiopathic dilated cardiomyopathy confirmed at necropsy","type":"article-journal"},"uris":["http://www.mendeley.com/documents/?uuid=8e8641bf-d716-45f2-a7a1-af7eceec75f4"]}],"mendeley":{"formattedCitation":"&lt;sup&gt;3&lt;/sup&gt;","plainTextFormattedCitation":"3","previouslyFormattedCitation":"&lt;sup&gt;4&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3</w:t>
            </w:r>
            <w:r w:rsidRPr="008C16DE">
              <w:rPr>
                <w:rFonts w:ascii="Calibri" w:hAnsi="Calibri" w:cs="Calibri"/>
                <w:bCs/>
                <w:sz w:val="21"/>
                <w:szCs w:val="21"/>
                <w:lang w:val="en-US"/>
              </w:rPr>
              <w:fldChar w:fldCharType="end"/>
            </w:r>
          </w:p>
        </w:tc>
        <w:tc>
          <w:tcPr>
            <w:tcW w:w="1413" w:type="dxa"/>
          </w:tcPr>
          <w:p w14:paraId="69C299B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56</w:t>
            </w:r>
          </w:p>
        </w:tc>
        <w:tc>
          <w:tcPr>
            <w:tcW w:w="1559" w:type="dxa"/>
          </w:tcPr>
          <w:p w14:paraId="699128F9"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82</w:t>
            </w:r>
          </w:p>
        </w:tc>
        <w:tc>
          <w:tcPr>
            <w:tcW w:w="1559" w:type="dxa"/>
          </w:tcPr>
          <w:p w14:paraId="00DDCA9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57B1356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6</w:t>
            </w:r>
          </w:p>
        </w:tc>
      </w:tr>
      <w:tr w:rsidR="0068125B" w:rsidRPr="008C16DE" w14:paraId="414E232A" w14:textId="77777777" w:rsidTr="001D6BE0">
        <w:tc>
          <w:tcPr>
            <w:tcW w:w="2977" w:type="dxa"/>
          </w:tcPr>
          <w:p w14:paraId="3F06A43F" w14:textId="5DD55363"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Pr>
          <w:p w14:paraId="7CD7D28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Pr>
          <w:p w14:paraId="7EB3CC5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Pr>
          <w:p w14:paraId="52B252C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Pr>
          <w:p w14:paraId="1E1FB421"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2</w:t>
            </w:r>
          </w:p>
        </w:tc>
      </w:tr>
      <w:tr w:rsidR="0068125B" w:rsidRPr="008C16DE" w14:paraId="1BC319D9" w14:textId="77777777" w:rsidTr="001D6BE0">
        <w:tc>
          <w:tcPr>
            <w:tcW w:w="2977" w:type="dxa"/>
          </w:tcPr>
          <w:p w14:paraId="6DA7DF8B" w14:textId="77777777" w:rsidR="0068125B" w:rsidRPr="008C16DE" w:rsidRDefault="0068125B" w:rsidP="003B3ADA">
            <w:pPr>
              <w:rPr>
                <w:rFonts w:ascii="Calibri" w:hAnsi="Calibri" w:cs="Calibri"/>
                <w:sz w:val="21"/>
                <w:szCs w:val="21"/>
                <w:lang w:val="en-US"/>
              </w:rPr>
            </w:pPr>
            <w:r w:rsidRPr="008C16DE">
              <w:rPr>
                <w:rFonts w:ascii="Calibri" w:hAnsi="Calibri" w:cs="Calibri"/>
                <w:b/>
                <w:bCs/>
                <w:sz w:val="21"/>
                <w:szCs w:val="21"/>
                <w:lang w:val="en-US"/>
              </w:rPr>
              <w:t>RA enlargement</w:t>
            </w:r>
          </w:p>
        </w:tc>
        <w:tc>
          <w:tcPr>
            <w:tcW w:w="1413" w:type="dxa"/>
          </w:tcPr>
          <w:p w14:paraId="5C37B6CE" w14:textId="77777777" w:rsidR="0068125B" w:rsidRPr="008C16DE" w:rsidRDefault="0068125B" w:rsidP="003B3ADA">
            <w:pPr>
              <w:jc w:val="center"/>
              <w:rPr>
                <w:rFonts w:ascii="Calibri" w:hAnsi="Calibri" w:cs="Calibri"/>
                <w:sz w:val="21"/>
                <w:szCs w:val="21"/>
                <w:lang w:val="en-US"/>
              </w:rPr>
            </w:pPr>
          </w:p>
        </w:tc>
        <w:tc>
          <w:tcPr>
            <w:tcW w:w="1559" w:type="dxa"/>
          </w:tcPr>
          <w:p w14:paraId="606CD879" w14:textId="77777777" w:rsidR="0068125B" w:rsidRPr="008C16DE" w:rsidRDefault="0068125B" w:rsidP="003B3ADA">
            <w:pPr>
              <w:jc w:val="center"/>
              <w:rPr>
                <w:rFonts w:ascii="Calibri" w:hAnsi="Calibri" w:cs="Calibri"/>
                <w:sz w:val="21"/>
                <w:szCs w:val="21"/>
                <w:lang w:val="en-US"/>
              </w:rPr>
            </w:pPr>
          </w:p>
        </w:tc>
        <w:tc>
          <w:tcPr>
            <w:tcW w:w="1559" w:type="dxa"/>
          </w:tcPr>
          <w:p w14:paraId="4AB9796A" w14:textId="77777777" w:rsidR="0068125B" w:rsidRPr="008C16DE" w:rsidRDefault="0068125B" w:rsidP="003B3ADA">
            <w:pPr>
              <w:jc w:val="center"/>
              <w:rPr>
                <w:rFonts w:ascii="Calibri" w:hAnsi="Calibri" w:cs="Calibri"/>
                <w:sz w:val="21"/>
                <w:szCs w:val="21"/>
                <w:lang w:val="en-US"/>
              </w:rPr>
            </w:pPr>
          </w:p>
        </w:tc>
        <w:tc>
          <w:tcPr>
            <w:tcW w:w="1502" w:type="dxa"/>
          </w:tcPr>
          <w:p w14:paraId="4873C115" w14:textId="77777777" w:rsidR="0068125B" w:rsidRPr="008C16DE" w:rsidRDefault="0068125B" w:rsidP="003B3ADA">
            <w:pPr>
              <w:jc w:val="center"/>
              <w:rPr>
                <w:rFonts w:ascii="Calibri" w:hAnsi="Calibri" w:cs="Calibri"/>
                <w:b/>
                <w:bCs/>
                <w:sz w:val="21"/>
                <w:szCs w:val="21"/>
                <w:lang w:val="en-US"/>
              </w:rPr>
            </w:pPr>
            <w:r w:rsidRPr="008C16DE">
              <w:rPr>
                <w:rFonts w:ascii="Calibri" w:hAnsi="Calibri" w:cs="Calibri"/>
                <w:b/>
                <w:bCs/>
                <w:sz w:val="21"/>
                <w:szCs w:val="21"/>
                <w:lang w:val="en-US"/>
              </w:rPr>
              <w:t>3-6</w:t>
            </w:r>
          </w:p>
        </w:tc>
      </w:tr>
      <w:tr w:rsidR="0068125B" w:rsidRPr="008C16DE" w14:paraId="7F840AA1" w14:textId="77777777" w:rsidTr="001D6BE0">
        <w:tc>
          <w:tcPr>
            <w:tcW w:w="2977" w:type="dxa"/>
          </w:tcPr>
          <w:p w14:paraId="26C35DCB" w14:textId="05A667B5"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Roberts et al., 1987</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{"citationItems":[{"id":"ITEM-1","itemData":{"DOI":"10.1016/0002-9149(87)90618-7","ISSN":"00029149","abstract":"Certain clinical and cardiac necropsy findings are described in 152 patients aged 16 to 78 years (mean 45) with idiopathic dilated cardiomyopathy: 109 (72%) were men and 43 (28%) were women. Compared with the women, the men had a significantly (p &lt; 0.05) shorter mean duration of chronic congestive heart failure (CHF) (43 vs 69 months), a higher percentage of habitual alcoholism (40 vs 24%) and a higher mean heart weight (632 vs 551 g). The male to female ratio among the 58 known alcoholics was 7.3:1 and among the 70 known nonalcoholics, 1.5:1 (p &lt; 0.05). The mean duration of clinical evidence of CHF was similar among the known alcoholics and the known non-alcoholics (each 50 months). Of the 152 patients, 148 (97%) had clinical evidence of chronic CHF; in 114 patients it was the initial manifestation of idiopathic dilated cardiomyopathy, and in most it became intractable and caused death. The interval from onset of chronic CHF to death (known in 120 patients) ranged from 1 to 264 months (mean 54). Comparison of the 27 patients surviving &gt;72 months after onset of chronic CHF to the 64 patients surviving &lt;-36 months disclosed a significantly higher frequency in the longer survival group of older patients, of women, of habitual alcoholics, of patients with chest pain syndromes, diabetes mellitus, pulmonary emboli, of patients treated with warfarin and of patients with larger hearts at necropsy. Each of the 4 patients without chronic CHF died suddenly and sudden death was the initial manifestation of idiopathic dilated cardiomyopathy in them. An additional 33 patients also died suddenly, but each of them previously had had chronic CHF. Of the 79 patients (of the 131 for whom information was available) with either pulmonary or systemic emboli or both, 67 (85%) had either right- or left-sided thrombi or mural endocardial plaques or both, whereas of the 52 patients without emboli, 36 (69%) had intracardiac thrombi or plaques (p &lt; 0.05). Electrocardiograms in the last 6 months of life in 101 patients disclosed atrial fibrillation in 25; complete left (41 patients) or right (6 patients) bundle branch block or indeterminate intraventricular conduction delay (4 patients) in 51 patients; QRS voltage indicative of ventricular hypertrophy in 44 patients (left ventricular in 39 patients). The patients with left bundle branch block compared with those without had a significantly longer duration of CHF, (83 vs 43 months), larger mean heart weights (628 vs 590 g) and a hi…","author":[{"dropping-particle":"","family":"Roberts","given":"William C.","non-dropping-particle":"","parse-names":false,"suffix":""},{"dropping-particle":"","family":"Siegel","given":"Robert J.","non-dropping-particle":"","parse-names":false,"suffix":""},{"dropping-particle":"","family":"McManus","given":"Bruce M.","non-dropping-particle":"","parse-names":false,"suffix":""}],"container-title":"The American Journal of Cardiology","id":"ITEM-1","issued":{"date-parts":[["1987"]]},"title":"Idiopathic dilated Cardiomyopathy: Analysis of 152 necropsy patients","type":"article-journal"},"uris":["http://www.mendeley.com/documents/?uuid=b21c543c-eed7-4263-95fa-11de3d31f599"]}],"mendeley":{"formattedCitation":"&lt;sup&gt;5&lt;/sup&gt;","plainTextFormattedCitation":"5","previouslyFormattedCitation":"&lt;sup&gt;1&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5</w:t>
            </w:r>
            <w:r w:rsidRPr="008C16DE">
              <w:rPr>
                <w:rFonts w:ascii="Calibri" w:hAnsi="Calibri" w:cs="Calibri"/>
                <w:bCs/>
                <w:sz w:val="21"/>
                <w:szCs w:val="21"/>
                <w:lang w:val="en-US"/>
              </w:rPr>
              <w:fldChar w:fldCharType="end"/>
            </w:r>
          </w:p>
        </w:tc>
        <w:tc>
          <w:tcPr>
            <w:tcW w:w="1413" w:type="dxa"/>
          </w:tcPr>
          <w:p w14:paraId="2FF204EC"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152</w:t>
            </w:r>
          </w:p>
        </w:tc>
        <w:tc>
          <w:tcPr>
            <w:tcW w:w="1559" w:type="dxa"/>
          </w:tcPr>
          <w:p w14:paraId="72B392D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72</w:t>
            </w:r>
          </w:p>
        </w:tc>
        <w:tc>
          <w:tcPr>
            <w:tcW w:w="1559" w:type="dxa"/>
          </w:tcPr>
          <w:p w14:paraId="6E1562C0"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457A4A5F"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6</w:t>
            </w:r>
          </w:p>
        </w:tc>
      </w:tr>
      <w:tr w:rsidR="0068125B" w:rsidRPr="008C16DE" w14:paraId="754D1D54" w14:textId="77777777" w:rsidTr="001D6BE0">
        <w:tc>
          <w:tcPr>
            <w:tcW w:w="2977" w:type="dxa"/>
          </w:tcPr>
          <w:p w14:paraId="0798C6D1" w14:textId="572171DA" w:rsidR="0068125B" w:rsidRPr="008C16DE" w:rsidRDefault="0068125B" w:rsidP="003B3ADA">
            <w:pPr>
              <w:ind w:left="720"/>
              <w:rPr>
                <w:rFonts w:ascii="Calibri" w:hAnsi="Calibri" w:cs="Calibri"/>
                <w:bCs/>
                <w:sz w:val="21"/>
                <w:szCs w:val="21"/>
                <w:lang w:val="en-US"/>
              </w:rPr>
            </w:pPr>
            <w:r w:rsidRPr="008C16DE">
              <w:rPr>
                <w:rFonts w:ascii="Calibri" w:hAnsi="Calibri" w:cs="Calibri"/>
                <w:bCs/>
                <w:sz w:val="21"/>
                <w:szCs w:val="21"/>
                <w:lang w:val="en-US"/>
              </w:rPr>
              <w:t>Wilensky et al., 1988</w:t>
            </w:r>
            <w:r w:rsidRPr="008C16DE">
              <w:rPr>
                <w:rFonts w:ascii="Calibri" w:hAnsi="Calibri" w:cs="Calibri"/>
                <w:bCs/>
                <w:sz w:val="21"/>
                <w:szCs w:val="21"/>
                <w:lang w:val="en-US"/>
              </w:rPr>
              <w:fldChar w:fldCharType="begin" w:fldLock="1"/>
            </w:r>
            <w:r w:rsidR="00DC34BC" w:rsidRPr="008C16DE">
              <w:rPr>
                <w:rFonts w:ascii="Calibri" w:hAnsi="Calibri" w:cs="Calibri"/>
                <w:bCs/>
                <w:sz w:val="21"/>
                <w:szCs w:val="21"/>
                <w:lang w:val="en-US"/>
              </w:rPr>
              <w:instrText>ADDIN CSL_CITATION {"citationItems":[{"id":"ITEM-1","itemData":{"DOI":"10.1016/0002-9149(88)90225-1","ISSN":"00029149","abstract":"Serial electrocardiographic changes in necropsyproven idiopathic dilated cardiomyopathy are evaluated and a method of predicting heart weight using QRS amplitudes is described. In 34 patients with multiple electrocardiograms (mean 3/patient) progressive prolongation of PR interval (0.18 ±0.03 to 0.21 ± 0.03, p &lt;0.001) and QRS duration (0.10 ± 0.02 to 0.13 ± 0.03, p &lt;0.0001) was noted. Progressive conduction abnormalities were common (82%). QTc interval and QRS- and T-wave axes did not change. In 50 patients with electrocardiograms within 60 days of death, total 12-lead QRS and V1 through V6 QRS amplitude correlated better with heart weight (r = 0.51, p &lt;0.0001 and r = 0.55, p &lt;0.0001) than the Estes-Romhilt score did. The mean total 12-lead QRS amplitude was 138 mm with a mean of 106 for V1 through V6. In 31 patients cardiac mass index was calculated and showed significant correlation with 12-lead and V1 through V6 QRS amplitudes (r = 0.68, p &lt;0.0001 and r = 0.75, p &lt;0.0001, respectively). The QRS amplitudes remained constant during the illness. By using total 12-lead QRS or frontal plane QRS amplitude, heart weight can be predicted as early as 2 years before death. Use of body surface area and QRS amplitude criteria increases the accuracy of heart weight prediction. Thus, progressive electrocardiographic changes are common in patients with idiopathic dilated cardiomyopathy and QRS amplitude criteria are more accurate in the prediction of left ventricular hypertrophy than standard criteria. © 1988.","author":[{"dropping-particle":"","family":"Wilensky","given":"Robert L.","non-dropping-particle":"","parse-names":false,"suffix":""},{"dropping-particle":"","family":"Yudelman","given":"Paul","non-dropping-particle":"","parse-names":false,"suffix":""},{"dropping-particle":"","family":"Cohen","given":"Andrew I.","non-dropping-particle":"","parse-names":false,"suffix":""},{"dropping-particle":"","family":"Fletcher","given":"Ross D.","non-dropping-particle":"","parse-names":false,"suffix":""},{"dropping-particle":"","family":"Atkinson","given":"James","non-dropping-particle":"","parse-names":false,"suffix":""},{"dropping-particle":"","family":"Virmani","given":"Renu","non-dropping-particle":"","parse-names":false,"suffix":""},{"dropping-particle":"","family":"Roberts","given":"William C.","non-dropping-particle":"","parse-names":false,"suffix":""}],"container-title":"The American Journal of Cardiology","id":"ITEM-1","issued":{"date-parts":[["1988"]]},"title":"Serial electrocardiographic changes in idiopathic dilated cardiomyopathy confirmed at necropsy","type":"article-journal"},"uris":["http://www.mendeley.com/documents/?uuid=8e8641bf-d716-45f2-a7a1-af7eceec75f4"]}],"mendeley":{"formattedCitation":"&lt;sup&gt;3&lt;/sup&gt;","plainTextFormattedCitation":"3","previouslyFormattedCitation":"&lt;sup&gt;4&lt;/sup&gt;"},"properties":{"noteIndex":0},"schema":"https://github.com/citation-style-language/schema/raw/master/csl-citation.json"}</w:instrText>
            </w:r>
            <w:r w:rsidRPr="008C16DE">
              <w:rPr>
                <w:rFonts w:ascii="Calibri" w:hAnsi="Calibri" w:cs="Calibri"/>
                <w:bCs/>
                <w:sz w:val="21"/>
                <w:szCs w:val="21"/>
                <w:lang w:val="en-US"/>
              </w:rPr>
              <w:fldChar w:fldCharType="separate"/>
            </w:r>
            <w:r w:rsidR="00DC34BC" w:rsidRPr="008C16DE">
              <w:rPr>
                <w:rFonts w:ascii="Calibri" w:hAnsi="Calibri" w:cs="Calibri"/>
                <w:bCs/>
                <w:noProof/>
                <w:sz w:val="21"/>
                <w:szCs w:val="21"/>
                <w:vertAlign w:val="superscript"/>
                <w:lang w:val="en-US"/>
              </w:rPr>
              <w:t>3</w:t>
            </w:r>
            <w:r w:rsidRPr="008C16DE">
              <w:rPr>
                <w:rFonts w:ascii="Calibri" w:hAnsi="Calibri" w:cs="Calibri"/>
                <w:bCs/>
                <w:sz w:val="21"/>
                <w:szCs w:val="21"/>
                <w:lang w:val="en-US"/>
              </w:rPr>
              <w:fldChar w:fldCharType="end"/>
            </w:r>
          </w:p>
        </w:tc>
        <w:tc>
          <w:tcPr>
            <w:tcW w:w="1413" w:type="dxa"/>
          </w:tcPr>
          <w:p w14:paraId="0B0FEB0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56</w:t>
            </w:r>
          </w:p>
        </w:tc>
        <w:tc>
          <w:tcPr>
            <w:tcW w:w="1559" w:type="dxa"/>
          </w:tcPr>
          <w:p w14:paraId="7CB79692"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82</w:t>
            </w:r>
          </w:p>
        </w:tc>
        <w:tc>
          <w:tcPr>
            <w:tcW w:w="1559" w:type="dxa"/>
          </w:tcPr>
          <w:p w14:paraId="2A185FFE"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w:t>
            </w:r>
          </w:p>
        </w:tc>
        <w:tc>
          <w:tcPr>
            <w:tcW w:w="1502" w:type="dxa"/>
          </w:tcPr>
          <w:p w14:paraId="04275DFB"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w:t>
            </w:r>
          </w:p>
        </w:tc>
      </w:tr>
      <w:tr w:rsidR="0068125B" w:rsidRPr="008C16DE" w14:paraId="5014CB68" w14:textId="77777777" w:rsidTr="001D6BE0">
        <w:tc>
          <w:tcPr>
            <w:tcW w:w="2977" w:type="dxa"/>
            <w:tcBorders>
              <w:bottom w:val="single" w:sz="4" w:space="0" w:color="auto"/>
            </w:tcBorders>
          </w:tcPr>
          <w:p w14:paraId="2A6B13BB" w14:textId="5DCCD954" w:rsidR="0068125B" w:rsidRPr="008C16DE" w:rsidRDefault="0068125B" w:rsidP="003B3ADA">
            <w:pPr>
              <w:ind w:left="720"/>
              <w:rPr>
                <w:rFonts w:ascii="Calibri" w:hAnsi="Calibri" w:cs="Calibri"/>
                <w:sz w:val="21"/>
                <w:szCs w:val="21"/>
                <w:lang w:val="en-US"/>
              </w:rPr>
            </w:pPr>
            <w:r w:rsidRPr="008C16DE">
              <w:rPr>
                <w:rFonts w:ascii="Calibri" w:hAnsi="Calibri" w:cs="Calibri"/>
                <w:sz w:val="21"/>
                <w:szCs w:val="21"/>
                <w:lang w:val="en-US"/>
              </w:rPr>
              <w:t>Merlo et al., 2019</w:t>
            </w:r>
            <w:r w:rsidRPr="008C16DE">
              <w:rPr>
                <w:rFonts w:ascii="Calibri" w:hAnsi="Calibri" w:cs="Calibri"/>
                <w:sz w:val="21"/>
                <w:szCs w:val="21"/>
                <w:lang w:val="en-US"/>
              </w:rPr>
              <w:fldChar w:fldCharType="begin" w:fldLock="1"/>
            </w:r>
            <w:r w:rsidR="00DC34BC" w:rsidRPr="008C16DE">
              <w:rPr>
                <w:rFonts w:ascii="Calibri" w:hAnsi="Calibri" w:cs="Calibri"/>
                <w:sz w:val="21"/>
                <w:szCs w:val="21"/>
                <w:lang w:val="en-US"/>
              </w:rPr>
              <w:instrText>ADDIN CSL_CITATION {"citationItems":[{"id":"ITEM-1","itemData":{"DOI":"10.2459/JCM.0000000000000804","ISBN":"0000000000000","ISSN":"1558-2027","author":[{"dropping-particle":"","family":"Merlo","given":"Marco","non-dropping-particle":"","parse-names":false,"suffix":""},{"dropping-particle":"","family":"Zaffalon","given":"Denise","non-dropping-particle":"","parse-names":false,"suffix":""},{"dropping-particle":"","family":"Stolfo","given":"Davide","non-dropping-particle":"","parse-names":false,"suffix":""},{"dropping-particle":"","family":"Altinier","given":"Alessandro","non-dropping-particle":"","parse-names":false,"suffix":""},{"dropping-particle":"","family":"Barbati","given":"Giulia","non-dropping-particle":"","parse-names":false,"suffix":""},{"dropping-particle":"","family":"Zecchin","given":"Massimo","non-dropping-particle":"","parse-names":false,"suffix":""},{"dropping-particle":"","family":"Bardari","given":"Stefano","non-dropping-particle":"","parse-names":false,"suffix":""},{"dropping-particle":"","family":"Sinagra","given":"Gianfranco","non-dropping-particle":"","parse-names":false,"suffix":""}],"container-title":"Journal of Cardiovascular Medicine","id":"ITEM-1","issued":{"date-parts":[["2019"]]},"page":"1","title":"ECG in dilated cardiomyopathy","type":"article-journal"},"uris":["http://www.mendeley.com/documents/?uuid=5b48a96d-6f5b-490f-b672-42cab0d4d9c8"]}],"mendeley":{"formattedCitation":"&lt;sup&gt;2&lt;/sup&gt;","plainTextFormattedCitation":"2","previouslyFormattedCitation":"&lt;sup&gt;3&lt;/sup&gt;"},"properties":{"noteIndex":0},"schema":"https://github.com/citation-style-language/schema/raw/master/csl-citation.json"}</w:instrText>
            </w:r>
            <w:r w:rsidRPr="008C16DE">
              <w:rPr>
                <w:rFonts w:ascii="Calibri" w:hAnsi="Calibri" w:cs="Calibri"/>
                <w:sz w:val="21"/>
                <w:szCs w:val="21"/>
                <w:lang w:val="en-US"/>
              </w:rPr>
              <w:fldChar w:fldCharType="separate"/>
            </w:r>
            <w:r w:rsidR="00DC34BC" w:rsidRPr="008C16DE">
              <w:rPr>
                <w:rFonts w:ascii="Calibri" w:hAnsi="Calibri" w:cs="Calibri"/>
                <w:noProof/>
                <w:sz w:val="21"/>
                <w:szCs w:val="21"/>
                <w:vertAlign w:val="superscript"/>
                <w:lang w:val="en-US"/>
              </w:rPr>
              <w:t>2</w:t>
            </w:r>
            <w:r w:rsidRPr="008C16DE">
              <w:rPr>
                <w:rFonts w:ascii="Calibri" w:hAnsi="Calibri" w:cs="Calibri"/>
                <w:sz w:val="21"/>
                <w:szCs w:val="21"/>
                <w:lang w:val="en-US"/>
              </w:rPr>
              <w:fldChar w:fldCharType="end"/>
            </w:r>
          </w:p>
        </w:tc>
        <w:tc>
          <w:tcPr>
            <w:tcW w:w="1413" w:type="dxa"/>
            <w:tcBorders>
              <w:bottom w:val="single" w:sz="4" w:space="0" w:color="auto"/>
            </w:tcBorders>
          </w:tcPr>
          <w:p w14:paraId="68E0BC48"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414</w:t>
            </w:r>
          </w:p>
        </w:tc>
        <w:tc>
          <w:tcPr>
            <w:tcW w:w="1559" w:type="dxa"/>
            <w:tcBorders>
              <w:bottom w:val="single" w:sz="4" w:space="0" w:color="auto"/>
            </w:tcBorders>
          </w:tcPr>
          <w:p w14:paraId="10A3FDB6"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71</w:t>
            </w:r>
          </w:p>
        </w:tc>
        <w:tc>
          <w:tcPr>
            <w:tcW w:w="1559" w:type="dxa"/>
            <w:tcBorders>
              <w:bottom w:val="single" w:sz="4" w:space="0" w:color="auto"/>
            </w:tcBorders>
          </w:tcPr>
          <w:p w14:paraId="7E48E3A3"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32</w:t>
            </w:r>
          </w:p>
        </w:tc>
        <w:tc>
          <w:tcPr>
            <w:tcW w:w="1502" w:type="dxa"/>
            <w:tcBorders>
              <w:bottom w:val="single" w:sz="4" w:space="0" w:color="auto"/>
            </w:tcBorders>
          </w:tcPr>
          <w:p w14:paraId="4D51F114" w14:textId="77777777" w:rsidR="0068125B" w:rsidRPr="008C16DE" w:rsidRDefault="0068125B" w:rsidP="003B3ADA">
            <w:pPr>
              <w:jc w:val="center"/>
              <w:rPr>
                <w:rFonts w:ascii="Calibri" w:hAnsi="Calibri" w:cs="Calibri"/>
                <w:sz w:val="21"/>
                <w:szCs w:val="21"/>
                <w:lang w:val="en-US"/>
              </w:rPr>
            </w:pPr>
            <w:r w:rsidRPr="008C16DE">
              <w:rPr>
                <w:rFonts w:ascii="Calibri" w:hAnsi="Calibri" w:cs="Calibri"/>
                <w:sz w:val="21"/>
                <w:szCs w:val="21"/>
                <w:lang w:val="en-US"/>
              </w:rPr>
              <w:t>4</w:t>
            </w:r>
          </w:p>
          <w:p w14:paraId="5B9A78AF" w14:textId="77777777" w:rsidR="0068125B" w:rsidRPr="008C16DE" w:rsidRDefault="0068125B" w:rsidP="003B3ADA">
            <w:pPr>
              <w:jc w:val="center"/>
              <w:rPr>
                <w:rFonts w:ascii="Calibri" w:hAnsi="Calibri" w:cs="Calibri"/>
                <w:sz w:val="21"/>
                <w:szCs w:val="21"/>
                <w:lang w:val="en-US"/>
              </w:rPr>
            </w:pPr>
          </w:p>
        </w:tc>
      </w:tr>
      <w:tr w:rsidR="0068125B" w:rsidRPr="002E52D3" w14:paraId="5E250469" w14:textId="77777777" w:rsidTr="003B3ADA">
        <w:tc>
          <w:tcPr>
            <w:tcW w:w="9010" w:type="dxa"/>
            <w:gridSpan w:val="5"/>
            <w:tcBorders>
              <w:top w:val="single" w:sz="4" w:space="0" w:color="auto"/>
              <w:bottom w:val="single" w:sz="4" w:space="0" w:color="auto"/>
            </w:tcBorders>
          </w:tcPr>
          <w:p w14:paraId="48CC3BF5" w14:textId="77777777" w:rsidR="0068125B" w:rsidRPr="008C16DE" w:rsidRDefault="0068125B" w:rsidP="003B3ADA">
            <w:pPr>
              <w:rPr>
                <w:rFonts w:ascii="Calibri" w:hAnsi="Calibri" w:cs="Calibri"/>
                <w:sz w:val="21"/>
                <w:szCs w:val="21"/>
                <w:lang w:val="en-US"/>
              </w:rPr>
            </w:pPr>
            <w:r w:rsidRPr="008C16DE">
              <w:rPr>
                <w:rFonts w:ascii="Calibri" w:hAnsi="Calibri" w:cs="Calibri"/>
                <w:b/>
                <w:bCs/>
                <w:sz w:val="21"/>
                <w:szCs w:val="21"/>
                <w:lang w:val="en-US"/>
              </w:rPr>
              <w:t>Abbreviations:</w:t>
            </w:r>
            <w:r w:rsidRPr="008C16DE">
              <w:rPr>
                <w:rFonts w:ascii="Calibri" w:hAnsi="Calibri" w:cs="Calibri"/>
                <w:sz w:val="21"/>
                <w:szCs w:val="21"/>
                <w:lang w:val="en-US"/>
              </w:rPr>
              <w:t xml:space="preserve"> AF: atrial fibrillation; AV: </w:t>
            </w:r>
            <w:proofErr w:type="spellStart"/>
            <w:r w:rsidRPr="008C16DE">
              <w:rPr>
                <w:rFonts w:ascii="Calibri" w:hAnsi="Calibri" w:cs="Calibri"/>
                <w:sz w:val="21"/>
                <w:szCs w:val="21"/>
                <w:lang w:val="en-US"/>
              </w:rPr>
              <w:t>atrio</w:t>
            </w:r>
            <w:proofErr w:type="spellEnd"/>
            <w:r w:rsidRPr="008C16DE">
              <w:rPr>
                <w:rFonts w:ascii="Calibri" w:hAnsi="Calibri" w:cs="Calibri"/>
                <w:sz w:val="21"/>
                <w:szCs w:val="21"/>
                <w:lang w:val="en-US"/>
              </w:rPr>
              <w:t>-ventricular; LA: left atrial; LBBB: left bundle branch block; LVH: left ventricular hypertrophy *based on Sokolow-Lyon or Cornell voltage criteria; RA: right atrial</w:t>
            </w:r>
          </w:p>
        </w:tc>
      </w:tr>
    </w:tbl>
    <w:p w14:paraId="4463EA87" w14:textId="48290EDD" w:rsidR="0068125B" w:rsidRPr="00790C5D" w:rsidRDefault="0068125B" w:rsidP="0041574E">
      <w:pPr>
        <w:rPr>
          <w:rFonts w:ascii="Calibri" w:hAnsi="Calibri" w:cs="Calibri"/>
          <w:lang w:val="en-GB"/>
        </w:rPr>
      </w:pPr>
    </w:p>
    <w:p w14:paraId="6A2C1B9C" w14:textId="392C1C05" w:rsidR="0068125B" w:rsidRDefault="0068125B" w:rsidP="0041574E">
      <w:pPr>
        <w:rPr>
          <w:rFonts w:ascii="Calibri" w:hAnsi="Calibri" w:cs="Calibri"/>
          <w:lang w:val="en-US"/>
        </w:rPr>
      </w:pPr>
    </w:p>
    <w:p w14:paraId="6C3BB851" w14:textId="4A1AE6B9" w:rsidR="0068125B" w:rsidRDefault="0068125B" w:rsidP="0041574E">
      <w:pPr>
        <w:rPr>
          <w:rFonts w:ascii="Calibri" w:hAnsi="Calibri" w:cs="Calibri"/>
          <w:lang w:val="en-US"/>
        </w:rPr>
      </w:pPr>
    </w:p>
    <w:p w14:paraId="0512253F" w14:textId="77777777" w:rsidR="0068125B" w:rsidRPr="0041574E" w:rsidRDefault="0068125B" w:rsidP="0041574E">
      <w:pPr>
        <w:rPr>
          <w:rFonts w:ascii="Calibri" w:hAnsi="Calibri" w:cs="Calibri"/>
          <w:lang w:val="en-US"/>
        </w:rPr>
      </w:pPr>
    </w:p>
    <w:p w14:paraId="4353FBE9" w14:textId="77777777" w:rsidR="006E26CF" w:rsidRPr="0041574E" w:rsidRDefault="006E26CF" w:rsidP="0041574E">
      <w:pPr>
        <w:rPr>
          <w:rFonts w:ascii="Calibri" w:hAnsi="Calibri" w:cs="Calibri"/>
          <w:lang w:val="en-US"/>
        </w:rPr>
      </w:pPr>
    </w:p>
    <w:p w14:paraId="2D7CFB32" w14:textId="77777777" w:rsidR="006E26CF" w:rsidRPr="0041574E" w:rsidRDefault="006E26CF" w:rsidP="0041574E">
      <w:pPr>
        <w:rPr>
          <w:rFonts w:ascii="Calibri" w:hAnsi="Calibri" w:cs="Calibri"/>
          <w:lang w:val="en-US"/>
        </w:rPr>
      </w:pPr>
    </w:p>
    <w:p w14:paraId="00715BF3" w14:textId="5581D464" w:rsidR="00A814F4" w:rsidRDefault="00A814F4" w:rsidP="0041574E">
      <w:pPr>
        <w:rPr>
          <w:rFonts w:ascii="Calibri" w:hAnsi="Calibri" w:cs="Calibri"/>
          <w:noProof/>
          <w:lang w:val="en-US"/>
        </w:rPr>
      </w:pPr>
      <w:r w:rsidRPr="0041574E">
        <w:rPr>
          <w:rFonts w:ascii="Calibri" w:hAnsi="Calibri" w:cs="Calibri"/>
          <w:noProof/>
          <w:lang w:val="en-US"/>
        </w:rPr>
        <w:br w:type="page"/>
      </w:r>
      <w:r w:rsidRPr="0041574E">
        <w:rPr>
          <w:rFonts w:ascii="Calibri" w:hAnsi="Calibri" w:cs="Calibri"/>
          <w:b/>
          <w:bCs/>
          <w:lang w:val="en-US"/>
        </w:rPr>
        <w:t xml:space="preserve">Table 2. </w:t>
      </w:r>
      <w:r w:rsidRPr="00E04E06">
        <w:rPr>
          <w:rFonts w:ascii="Calibri" w:hAnsi="Calibri" w:cs="Calibri"/>
          <w:bCs/>
          <w:lang w:val="en-US"/>
        </w:rPr>
        <w:t>Electrocardiographic “red flags” for geneti</w:t>
      </w:r>
      <w:r w:rsidR="00801C23">
        <w:rPr>
          <w:rFonts w:ascii="Calibri" w:hAnsi="Calibri" w:cs="Calibri"/>
          <w:bCs/>
          <w:lang w:val="en-US"/>
        </w:rPr>
        <w:t>c forms of</w:t>
      </w:r>
      <w:r w:rsidRPr="00E04E06">
        <w:rPr>
          <w:rFonts w:ascii="Calibri" w:hAnsi="Calibri" w:cs="Calibri"/>
          <w:bCs/>
          <w:lang w:val="en-US"/>
        </w:rPr>
        <w:t xml:space="preserve"> DCM.</w:t>
      </w:r>
      <w:r w:rsidRPr="0041574E">
        <w:rPr>
          <w:rFonts w:ascii="Calibri" w:hAnsi="Calibri" w:cs="Calibri"/>
          <w:lang w:val="en-US"/>
        </w:rPr>
        <w:t xml:space="preserve"> </w:t>
      </w:r>
    </w:p>
    <w:p w14:paraId="38685F81" w14:textId="1724A245" w:rsidR="0068125B" w:rsidRDefault="0068125B" w:rsidP="0041574E">
      <w:pPr>
        <w:rPr>
          <w:rFonts w:ascii="Calibri" w:hAnsi="Calibri" w:cs="Calibri"/>
          <w:lang w:val="en-US"/>
        </w:rPr>
      </w:pPr>
    </w:p>
    <w:p w14:paraId="7371F2B3" w14:textId="7578C1B9" w:rsidR="0068125B" w:rsidRDefault="0068125B" w:rsidP="0041574E">
      <w:pPr>
        <w:rPr>
          <w:rFonts w:ascii="Calibri" w:hAnsi="Calibri" w:cs="Calibri"/>
          <w:lang w:val="en-US"/>
        </w:rPr>
      </w:pPr>
    </w:p>
    <w:tbl>
      <w:tblPr>
        <w:tblStyle w:val="TableGrid"/>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2236"/>
        <w:gridCol w:w="2127"/>
        <w:gridCol w:w="1790"/>
      </w:tblGrid>
      <w:tr w:rsidR="0068125B" w:rsidRPr="00DE0A3B" w14:paraId="08291266" w14:textId="77777777" w:rsidTr="001D6BE0">
        <w:tc>
          <w:tcPr>
            <w:tcW w:w="2867" w:type="dxa"/>
            <w:tcBorders>
              <w:bottom w:val="single" w:sz="4" w:space="0" w:color="auto"/>
            </w:tcBorders>
            <w:vAlign w:val="center"/>
          </w:tcPr>
          <w:p w14:paraId="39E8968D"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Red flag</w:t>
            </w:r>
          </w:p>
        </w:tc>
        <w:tc>
          <w:tcPr>
            <w:tcW w:w="2236" w:type="dxa"/>
            <w:tcBorders>
              <w:bottom w:val="single" w:sz="4" w:space="0" w:color="auto"/>
            </w:tcBorders>
            <w:vAlign w:val="center"/>
          </w:tcPr>
          <w:p w14:paraId="2AE472B2" w14:textId="77777777" w:rsidR="0068125B" w:rsidRPr="007C1A11" w:rsidRDefault="0068125B" w:rsidP="0068125B">
            <w:pPr>
              <w:spacing w:line="276" w:lineRule="auto"/>
              <w:rPr>
                <w:rFonts w:ascii="Calibri" w:hAnsi="Calibri" w:cs="Calibri"/>
                <w:b/>
                <w:bCs/>
                <w:sz w:val="22"/>
                <w:szCs w:val="22"/>
                <w:lang w:val="en-US"/>
              </w:rPr>
            </w:pPr>
          </w:p>
        </w:tc>
        <w:tc>
          <w:tcPr>
            <w:tcW w:w="2127" w:type="dxa"/>
            <w:tcBorders>
              <w:bottom w:val="single" w:sz="4" w:space="0" w:color="auto"/>
            </w:tcBorders>
            <w:vAlign w:val="center"/>
          </w:tcPr>
          <w:p w14:paraId="1910D77B"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 xml:space="preserve">Possible underlying </w:t>
            </w:r>
          </w:p>
          <w:p w14:paraId="362741BB"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genetic variant</w:t>
            </w:r>
          </w:p>
        </w:tc>
        <w:tc>
          <w:tcPr>
            <w:tcW w:w="1790" w:type="dxa"/>
            <w:tcBorders>
              <w:bottom w:val="single" w:sz="4" w:space="0" w:color="auto"/>
            </w:tcBorders>
          </w:tcPr>
          <w:p w14:paraId="1B1177AE"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 xml:space="preserve">Reported prevalence </w:t>
            </w:r>
          </w:p>
        </w:tc>
      </w:tr>
      <w:tr w:rsidR="0068125B" w:rsidRPr="002E52D3" w14:paraId="177A42B3" w14:textId="77777777" w:rsidTr="001D6BE0">
        <w:tc>
          <w:tcPr>
            <w:tcW w:w="2867" w:type="dxa"/>
            <w:tcBorders>
              <w:top w:val="single" w:sz="4" w:space="0" w:color="auto"/>
            </w:tcBorders>
          </w:tcPr>
          <w:p w14:paraId="2AB391C5"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Sinus node disease</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Mechanisms.","type":"article-journal","volume":"121"},"uris":["http://www.mendeley.com/documents/?uuid=ad80ecea-756e-4645-977a-9e2bf808ec79"]},{"id":"ITEM-2","itemData":{"DOI":"10.1016/j.jacc.2010.09.084","ISSN":"07351097","abstract":"Objectives: The aim of this study was to discern the role of the cardiac voltage-gated sodium ion channel SCN5A in the etiology of dilated cardiomyopathy (DCM). Background: Dilated cardiomyopathy associates with mutations in the SCN5A gene, but the frequency, phenotype, and causative nature of these associations remain the focus of ongoing investigation. Methods: Since 1991, DCM probands and family members have been enrolled in the Familial Cardiomyopathy Registry and extensively evaluated by clinical phenotype. Genomic deoxyribonucleic acid samples from 338 individuals among 289 DCM families were obtained and screened for SCN5A mutations by denaturing high-performance liquid chromatography and sequence analysis. Results: We identified 5 missense SCN5A mutations among our DCM families, including novel mutations E446K, F1520L, and V1279I, as well as previously reported mutations D1275N and R222Q. Of 15 SCN5A mutation carriers in our study, 14 (93%) manifested arrhythmia: supraventricular arrhythmia (13 of 15), including sick sinus syndrome (5 of 15) and atrial fibrillation (9 of 15), ventricular tachycardia (5 of 15), and conduction disease (9 of 15). Conclusions: Mutations in SCN5A were detected in 1.7% of DCM families. Two-thirds (6 of 9) of all reported DCM mutations in SCN5A localize to the highly conserved homologous S3 and S4 transmembrane segments, suggesting a shared mechanism of disruption of the voltage-sensing mechanism of this channel leading to DCM. Not surprisingly, SCN5A mutation carriers show a strong arrhythmic pattern that has clinical and diagnostic implications. © 2011 American College of Cardiology Foundation.","author":[{"dropping-particle":"","family":"McNair","given":"William P.","non-dropping-particle":"","parse-names":false,"suffix":""},{"dropping-particle":"","family":"Sinagra","given":"Gianfranco","non-dropping-particle":"","parse-names":false,"suffix":""},{"dropping-particle":"","family":"Taylor","given":"Matthew R.G.","non-dropping-particle":"","parse-names":false,"suffix":""},{"dropping-particle":"","family":"Lenarda","given":"Andrea","non-dropping-particle":"Di","parse-names":false,"suffix":""},{"dropping-particle":"","family":"Ferguson","given":"Debra A.","non-dropping-particle":"","parse-names":false,"suffix":""},{"dropping-particle":"","family":"Salcedo","given":"Ernesto E.","non-dropping-particle":"","parse-names":false,"suffix":""},{"dropping-particle":"","family":"Slavov","given":"Dobromir","non-dropping-particle":"","parse-names":false,"suffix":""},{"dropping-particle":"","family":"Zhu","given":"Xiao","non-dropping-particle":"","parse-names":false,"suffix":""},{"dropping-particle":"","family":"Caldwell","given":"John H.","non-dropping-particle":"","parse-names":false,"suffix":""},{"dropping-particle":"","family":"Mestroni","given":"Luisa","non-dropping-particle":"","parse-names":false,"suffix":""}],"container-title":"Journal of the American College of Cardiology","id":"ITEM-2","issued":{"date-parts":[["2011"]]},"title":"SCN5A mutations associate with arrhythmic dilated cardiomyopathy and commonly localize to the voltage-sensing mechanism","type":"article-journal"},"uris":["http://www.mendeley.com/documents/?uuid=8561195c-065b-4a26-bf77-8f13653d8577"]}],"mendeley":{"formattedCitation":"&lt;sup&gt;1,43&lt;/sup&gt;","plainTextFormattedCitation":"1,43","previouslyFormattedCitation":"&lt;sup&gt;1,43&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1,43</w:t>
            </w:r>
            <w:r w:rsidRPr="007C1A11">
              <w:rPr>
                <w:rFonts w:ascii="Calibri" w:hAnsi="Calibri" w:cs="Calibri"/>
                <w:b/>
                <w:bCs/>
                <w:sz w:val="22"/>
                <w:szCs w:val="22"/>
                <w:lang w:val="en-US"/>
              </w:rPr>
              <w:fldChar w:fldCharType="end"/>
            </w:r>
          </w:p>
        </w:tc>
        <w:tc>
          <w:tcPr>
            <w:tcW w:w="2236" w:type="dxa"/>
            <w:tcBorders>
              <w:top w:val="single" w:sz="4" w:space="0" w:color="auto"/>
            </w:tcBorders>
          </w:tcPr>
          <w:p w14:paraId="45EC0DAE"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Sinus bradycardia or sinus node arrest</w:t>
            </w:r>
          </w:p>
        </w:tc>
        <w:tc>
          <w:tcPr>
            <w:tcW w:w="2127" w:type="dxa"/>
            <w:tcBorders>
              <w:top w:val="single" w:sz="4" w:space="0" w:color="auto"/>
            </w:tcBorders>
          </w:tcPr>
          <w:p w14:paraId="0BD5A142"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1D981AAC"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SCN5A</w:t>
            </w:r>
          </w:p>
        </w:tc>
        <w:tc>
          <w:tcPr>
            <w:tcW w:w="1790" w:type="dxa"/>
            <w:tcBorders>
              <w:top w:val="single" w:sz="4" w:space="0" w:color="auto"/>
            </w:tcBorders>
          </w:tcPr>
          <w:p w14:paraId="6F440D13"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13%</w:t>
            </w:r>
          </w:p>
          <w:p w14:paraId="20B694E1"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61F6E1CA" w14:textId="77777777" w:rsidTr="001D6BE0">
        <w:tc>
          <w:tcPr>
            <w:tcW w:w="2867" w:type="dxa"/>
            <w:tcBorders>
              <w:top w:val="single" w:sz="4" w:space="0" w:color="auto"/>
            </w:tcBorders>
          </w:tcPr>
          <w:p w14:paraId="485D8107" w14:textId="77777777" w:rsidR="0068125B" w:rsidRPr="007C1A11" w:rsidRDefault="0068125B" w:rsidP="0068125B">
            <w:pPr>
              <w:spacing w:line="276" w:lineRule="auto"/>
              <w:rPr>
                <w:rFonts w:ascii="Calibri" w:hAnsi="Calibri" w:cs="Calibri"/>
                <w:b/>
                <w:bCs/>
                <w:sz w:val="22"/>
                <w:szCs w:val="22"/>
                <w:lang w:val="en-US"/>
              </w:rPr>
            </w:pPr>
          </w:p>
        </w:tc>
        <w:tc>
          <w:tcPr>
            <w:tcW w:w="2236" w:type="dxa"/>
            <w:tcBorders>
              <w:top w:val="single" w:sz="4" w:space="0" w:color="auto"/>
            </w:tcBorders>
          </w:tcPr>
          <w:p w14:paraId="462BC5A1"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AV-block (various degree)</w:t>
            </w:r>
          </w:p>
        </w:tc>
        <w:tc>
          <w:tcPr>
            <w:tcW w:w="2127" w:type="dxa"/>
            <w:tcBorders>
              <w:top w:val="single" w:sz="4" w:space="0" w:color="auto"/>
            </w:tcBorders>
          </w:tcPr>
          <w:p w14:paraId="18499465"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59CEB78A"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EMD</w:t>
            </w:r>
          </w:p>
          <w:p w14:paraId="6A640298"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DES</w:t>
            </w:r>
          </w:p>
          <w:p w14:paraId="19C47CC7"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SCN5A</w:t>
            </w:r>
          </w:p>
        </w:tc>
        <w:tc>
          <w:tcPr>
            <w:tcW w:w="1790" w:type="dxa"/>
            <w:tcBorders>
              <w:top w:val="single" w:sz="4" w:space="0" w:color="auto"/>
            </w:tcBorders>
          </w:tcPr>
          <w:p w14:paraId="21F3A5ED"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45-77%</w:t>
            </w:r>
          </w:p>
          <w:p w14:paraId="1B314174"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4BA8B623"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226042FE"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02C935A1" w14:textId="77777777" w:rsidTr="001D6BE0">
        <w:tc>
          <w:tcPr>
            <w:tcW w:w="2867" w:type="dxa"/>
            <w:tcBorders>
              <w:top w:val="single" w:sz="4" w:space="0" w:color="auto"/>
            </w:tcBorders>
          </w:tcPr>
          <w:p w14:paraId="5740E237"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Conduction system disease</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{"citationItems":[{"id":"ITEM-1","itemData":{"DOI":"10.1016/j.jacc.2010.09.084","ISSN":"07351097","abstract":"Objectives: The aim of this study was to discern the role of the cardiac voltage-gated sodium ion channel SCN5A in the etiology of dilated cardiomyopathy (DCM). Background: Dilated cardiomyopathy associates with mutations in the SCN5A gene, but the frequency, phenotype, and causative nature of these associations remain the focus of ongoing investigation. Methods: Since 1991, DCM probands and family members have been enrolled in the Familial Cardiomyopathy Registry and extensively evaluated by clinical phenotype. Genomic deoxyribonucleic acid samples from 338 individuals among 289 DCM families were obtained and screened for SCN5A mutations by denaturing high-performance liquid chromatography and sequence analysis. Results: We identified 5 missense SCN5A mutations among our DCM families, including novel mutations E446K, F1520L, and V1279I, as well as previously reported mutations D1275N and R222Q. Of 15 SCN5A mutation carriers in our study, 14 (93%) manifested arrhythmia: supraventricular arrhythmia (13 of 15), including sick sinus syndrome (5 of 15) and atrial fibrillation (9 of 15), ventricular tachycardia (5 of 15), and conduction disease (9 of 15). Conclusions: Mutations in SCN5A were detected in 1.7% of DCM families. Two-thirds (6 of 9) of all reported DCM mutations in SCN5A localize to the highly conserved homologous S3 and S4 transmembrane segments, suggesting a shared mechanism of disruption of the voltage-sensing mechanism of this channel leading to DCM. Not surprisingly, SCN5A mutation carriers show a strong arrhythmic pattern that has clinical and diagnostic implications. © 2011 American College of Cardiology Foundation.","author":[{"dropping-particle":"","family":"McNair","given":"William P.","non-dropping-particle":"","parse-names":false,"suffix":""},{"dropping-particle":"","family":"Sinagra","given":"Gianfranco","non-dropping-particle":"","parse-names":false,"suffix":""},{"dropping-particle":"","family":"Taylor","given":"Matthew R.G.","non-dropping-particle":"","parse-names":false,"suffix":""},{"dropping-particle":"","family":"Lenarda","given":"Andrea","non-dropping-particle":"Di","parse-names":false,"suffix":""},{"dropping-particle":"","family":"Ferguson","given":"Debra A.","non-dropping-particle":"","parse-names":false,"suffix":""},{"dropping-particle":"","family":"Salcedo","given":"Ernesto E.","non-dropping-particle":"","parse-names":false,"suffix":""},{"dropping-particle":"","family":"Slavov","given":"Dobromir","non-dropping-particle":"","parse-names":false,"suffix":""},{"dropping-particle":"","family":"Zhu","given":"Xiao","non-dropping-particle":"","parse-names":false,"suffix":""},{"dropping-particle":"","family":"Caldwell","given":"John H.","non-dropping-particle":"","parse-names":false,"suffix":""},{"dropping-particle":"","family":"Mestroni","given":"Luisa","non-dropping-particle":"","parse-names":false,"suffix":""}],"container-title":"Journal of the American College of Cardiology","id":"ITEM-1","issued":{"date-parts":[["2011"]]},"title":"SCN5A mutations associate with arrhythmic dilated cardiomyopathy and commonly localize to the voltage-sensing mechanism","type":"article-journal"},"uris":["http://www.mendeley.com/documents/?uuid=8561195c-065b-4a26-bf77-8f13653d8577"]},{"id":"ITEM-2","itemData":{"ISSN":"0735-1097","PMID":"12628721","abstract":"OBJECTIVES We examined the prevalence, genotype-phenotype correlation, and natural history of lamin A/C gene (LMNA) mutations in subjects with dilated cardiomyopathy (DCM). BACKGROUND Mutations in LMNA have been found in patients with DCM with familial conduction defects and muscular dystrophy, but the clinical spectrum, prognosis, and clinical relevance of laminopathies in DCM are unknown. BACKGROUND A cohort of 49 nuclear families, 40 with familial DCM and 9 with sporadic DCM (269 subjects, 105 affected), was screened for mutations in LMNA using denaturing high-performance liquid chromatography and sequence analysis. Bivariate analysis of clinical predictors of LMNA mutation carrier status and Kaplan-Meier survival analysis were performed. RESULTS Mutations in LMNA were detected in four families (8%), three with familial (R89L, 959delT, R377H) and one with sporadic DCM (S573L). There was significant phenotypic variability, but the presence of skeletal muscle involvement (p &lt; 0.001), supraventricular arrhythmia (p = 0.003), conduction defects (p = 0.01), and \"mildly\" DCM (p = 0.006) were predictors of LMNA mutations. The LMNA mutation carriers had a significantly poorer cumulative survival compared with non-carrier DCM patients: event-free survival at the age of 45 years was 31% versus 75% in non-carriers. CONCLUSIONS Mutations in LMNA cause a severe and progressive DCM in a relevant proportion of patients. Mutation screening should be considered in patients with DCM, in particular when clinical predictors of LMNA mutation are present, regardless of family history.","author":[{"dropping-particle":"","family":"Taylor","given":"Matthew R G","non-dropping-particle":"","parse-names":false,"suffix":""},{"dropping-particle":"","family":"Fain","given":"Pamela R","non-dropping-particle":"","parse-names":false,"suffix":""},{"dropping-particle":"","family":"Sinagra","given":"Gianfranco","non-dropping-particle":"","parse-names":false,"suffix":""},{"dropping-particle":"","family":"Robinson","given":"Misi L","non-dropping-particle":"","parse-names":false,"suffix":""},{"dropping-particle":"","family":"Robertson","given":"Alastair D","non-dropping-particle":"","parse-names":false,"suffix":""},{"dropping-particle":"","family":"Carniel","given":"Elisa","non-dropping-particle":"","parse-names":false,"suffix":""},{"dropping-particle":"","family":"Lenarda","given":"Andrea","non-dropping-particle":"Di","parse-names":false,"suffix":""},{"dropping-particle":"","family":"Bohlmeyer","given":"Teresa J","non-dropping-particle":"","parse-names":false,"suffix":""},{"dropping-particle":"","family":"Ferguson","given":"Debra A","non-dropping-particle":"","parse-names":false,"suffix":""},{"dropping-particle":"","family":"Brodsky","given":"Gary L","non-dropping-particle":"","parse-names":false,"suffix":""},{"dropping-particle":"","family":"Boucek","given":"Mark M","non-dropping-particle":"","parse-names":false,"suffix":""},{"dropping-particle":"","family":"Lascor","given":"Jean","non-dropping-particle":"","parse-names":false,"suffix":""},{"dropping-particle":"","family":"Moss","given":"Andrew C","non-dropping-particle":"","parse-names":false,"suffix":""},{"dropping-particle":"","family":"Li","given":"Wai Lun P","non-dropping-particle":"","parse-names":false,"suffix":""},{"dropping-particle":"","family":"Stetler","given":"Gary L","non-dropping-particle":"","parse-names":false,"suffix":""},{"dropping-particle":"","family":"Muntoni","given":"Francesco","non-dropping-particle":"","parse-names":false,"suffix":""},{"dropping-particle":"","family":"Bristow","given":"Michael R","non-dropping-particle":"","parse-names":false,"suffix":""},{"dropping-particle":"","family":"Mestroni","given":"Luisa","non-dropping-particle":"","parse-names":false,"suffix":""},{"dropping-particle":"","family":"Familial Dilated Cardiomyopathy Registry Research Group","given":"","non-dropping-particle":"","parse-names":false,"suffix":""}],"container-title":"Journal of the American College of Cardiology","id":"ITEM-2","issue":"5","issued":{"date-parts":[["2003","3","5"]]},"page":"771-80","title":"Natural history of dilated cardiomyopathy due to lamin A/C gene mutations.","type":"article-journal","volume":"41"},"uris":["http://www.mendeley.com/documents/?uuid=61141a5c-774a-43d4-9881-3c11cce6bff1"]}],"mendeley":{"formattedCitation":"&lt;sup&gt;7,43&lt;/sup&gt;","plainTextFormattedCitation":"7,43","previouslyFormattedCitation":"&lt;sup&gt;7,43&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7,43</w:t>
            </w:r>
            <w:r w:rsidRPr="007C1A11">
              <w:rPr>
                <w:rFonts w:ascii="Calibri" w:hAnsi="Calibri" w:cs="Calibri"/>
                <w:b/>
                <w:bCs/>
                <w:sz w:val="22"/>
                <w:szCs w:val="22"/>
                <w:lang w:val="en-US"/>
              </w:rPr>
              <w:fldChar w:fldCharType="end"/>
            </w:r>
          </w:p>
        </w:tc>
        <w:tc>
          <w:tcPr>
            <w:tcW w:w="2236" w:type="dxa"/>
            <w:tcBorders>
              <w:top w:val="single" w:sz="4" w:space="0" w:color="auto"/>
            </w:tcBorders>
          </w:tcPr>
          <w:p w14:paraId="6F333E08"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Short PR interval</w:t>
            </w:r>
          </w:p>
        </w:tc>
        <w:tc>
          <w:tcPr>
            <w:tcW w:w="2127" w:type="dxa"/>
            <w:tcBorders>
              <w:top w:val="single" w:sz="4" w:space="0" w:color="auto"/>
            </w:tcBorders>
          </w:tcPr>
          <w:p w14:paraId="1BDFA1E2"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DMD</w:t>
            </w:r>
          </w:p>
        </w:tc>
        <w:tc>
          <w:tcPr>
            <w:tcW w:w="1790" w:type="dxa"/>
            <w:tcBorders>
              <w:top w:val="single" w:sz="4" w:space="0" w:color="auto"/>
            </w:tcBorders>
          </w:tcPr>
          <w:p w14:paraId="6D522102"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35%</w:t>
            </w:r>
          </w:p>
        </w:tc>
      </w:tr>
      <w:tr w:rsidR="0068125B" w:rsidRPr="002E52D3" w14:paraId="4B2EBF92" w14:textId="77777777" w:rsidTr="001D6BE0">
        <w:tc>
          <w:tcPr>
            <w:tcW w:w="2867" w:type="dxa"/>
          </w:tcPr>
          <w:p w14:paraId="7C1B042D" w14:textId="77777777" w:rsidR="0068125B" w:rsidRPr="007C1A11" w:rsidRDefault="0068125B" w:rsidP="0068125B">
            <w:pPr>
              <w:spacing w:line="276" w:lineRule="auto"/>
              <w:rPr>
                <w:rFonts w:ascii="Calibri" w:hAnsi="Calibri" w:cs="Calibri"/>
                <w:b/>
                <w:bCs/>
                <w:sz w:val="22"/>
                <w:szCs w:val="22"/>
                <w:lang w:val="en-US"/>
              </w:rPr>
            </w:pPr>
          </w:p>
        </w:tc>
        <w:tc>
          <w:tcPr>
            <w:tcW w:w="2236" w:type="dxa"/>
          </w:tcPr>
          <w:p w14:paraId="337C3660"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RBBB</w:t>
            </w:r>
          </w:p>
        </w:tc>
        <w:tc>
          <w:tcPr>
            <w:tcW w:w="2127" w:type="dxa"/>
          </w:tcPr>
          <w:p w14:paraId="3F3ECD61"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DMD</w:t>
            </w:r>
          </w:p>
          <w:p w14:paraId="6759C72C"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DES</w:t>
            </w:r>
          </w:p>
        </w:tc>
        <w:tc>
          <w:tcPr>
            <w:tcW w:w="1790" w:type="dxa"/>
          </w:tcPr>
          <w:p w14:paraId="7A3AC104"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3B0BB515"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55B4D0EF" w14:textId="77777777" w:rsidTr="001D6BE0">
        <w:tc>
          <w:tcPr>
            <w:tcW w:w="2867" w:type="dxa"/>
            <w:tcBorders>
              <w:top w:val="single" w:sz="4" w:space="0" w:color="auto"/>
            </w:tcBorders>
          </w:tcPr>
          <w:p w14:paraId="5B780ED1" w14:textId="77777777" w:rsidR="0068125B" w:rsidRPr="007C1A11" w:rsidRDefault="0068125B" w:rsidP="0068125B">
            <w:pPr>
              <w:spacing w:line="276" w:lineRule="auto"/>
              <w:rPr>
                <w:rFonts w:ascii="Calibri" w:hAnsi="Calibri" w:cs="Calibri"/>
                <w:b/>
                <w:bCs/>
                <w:sz w:val="22"/>
                <w:szCs w:val="22"/>
                <w:lang w:val="en-US"/>
              </w:rPr>
            </w:pPr>
          </w:p>
        </w:tc>
        <w:tc>
          <w:tcPr>
            <w:tcW w:w="2236" w:type="dxa"/>
            <w:tcBorders>
              <w:top w:val="single" w:sz="4" w:space="0" w:color="auto"/>
            </w:tcBorders>
          </w:tcPr>
          <w:p w14:paraId="27DD4C68"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Low voltages</w:t>
            </w:r>
          </w:p>
        </w:tc>
        <w:tc>
          <w:tcPr>
            <w:tcW w:w="2127" w:type="dxa"/>
            <w:tcBorders>
              <w:top w:val="single" w:sz="4" w:space="0" w:color="auto"/>
            </w:tcBorders>
          </w:tcPr>
          <w:p w14:paraId="6FC8FB82"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FLNC</w:t>
            </w:r>
          </w:p>
          <w:p w14:paraId="0C65A03E"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DSP</w:t>
            </w:r>
          </w:p>
          <w:p w14:paraId="31C1214C"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PLN</w:t>
            </w:r>
          </w:p>
        </w:tc>
        <w:tc>
          <w:tcPr>
            <w:tcW w:w="1790" w:type="dxa"/>
            <w:tcBorders>
              <w:top w:val="single" w:sz="4" w:space="0" w:color="auto"/>
            </w:tcBorders>
          </w:tcPr>
          <w:p w14:paraId="592731FB"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36%</w:t>
            </w:r>
          </w:p>
          <w:p w14:paraId="4FB54E10"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79809A85"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46%</w:t>
            </w:r>
          </w:p>
        </w:tc>
      </w:tr>
      <w:tr w:rsidR="0068125B" w:rsidRPr="002E52D3" w14:paraId="1DA1F6F7" w14:textId="77777777" w:rsidTr="001D6BE0">
        <w:tc>
          <w:tcPr>
            <w:tcW w:w="2867" w:type="dxa"/>
            <w:tcBorders>
              <w:bottom w:val="single" w:sz="4" w:space="0" w:color="auto"/>
            </w:tcBorders>
          </w:tcPr>
          <w:p w14:paraId="14C03AF7"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Depolarization abnormalities</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Cardiology","id":"ITEM-1","issue":"22","issued":{"date-parts":[["2016"]]},"page":"2440-2451","title":"Truncating FLNC Mutations Are Associated With High-Risk Dilated and Arrhythmogenic Cardiomyopathies","type":"article-journal","volume":"68"},"uris":["http://www.mendeley.com/documents/?uuid=f19b7278-7f60-4d40-8d3f-2ada5182bc26"]},{"id":"ITEM-2","itemData":{"DOI":"10.1016/j.jacc.2019.06.072","ISSN":"1558-3597","PMID":"31514951","abstract":"BACKGROUND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Cardiology","id":"ITEM-2","issue":"11","issued":{"date-parts":[["2019","9","17"]]},"page":"1480-1490","title":"Genetic Risk of Arrhythmic Phenotypes in Patients With Dilated Cardiomyopathy.","type":"article-journal","volume":"74"},"uris":["http://www.mendeley.com/documents/?uuid=39fdd594-dfc9-434f-9394-92777b6f2a44"]},{"id":"ITEM-3","itemData":{"DOI":"10.1073/pnas.0510519103","ISSN":"0027-8424","PMID":"16432188","abstract":"The sarcoplasmic reticulum Ca(2+)-cycling proteins are key regulators of cardiac contractility, and alterations in sarcoplasmic reticulum Ca(2+)-cycling properties have been shown to be causal of familial cardiomyopathies. Through genetic screening of dilated cardiomyopathy patients, we identified a previously uncharacterized deletion of arginine 14 (PLN-R14Del) in the coding region of the phospholamban (PLN) gene in a large family with hereditary heart failure. No homozygous individuals were identified. By middle age, heterozygous individuals developed left ventricular dilation, contractile dysfunction, and episodic ventricular arrhythmias, with overt heart failure in some cases. Transgenic mice overexpressing the mutant PLN-R14Del recapitulated human cardiomyopathy exhibiting similar histopathologic abnormalities and premature death. Coexpression of the normal and mutant-PLN in HEK-293 cells resulted in sarcoplasmic reticulum Ca(2+)-ATPase superinhibition. The dominant effect of the PLN-R14Del mutation could not be fully removed, even upon phosphorylation by protein kinase A. Thus, by chronic suppression of sarcoplasmic reticulum Ca(2+)-ATPase activity, the nonreversible superinhibitory function of mutant PLN-R14Del may lead to inherited dilated cardiomyopathy and premature death in both humans and mice.","author":[{"dropping-particle":"","family":"Haghighi","given":"Kobra","non-dropping-particle":"","parse-names":false,"suffix":""},{"dropping-particle":"","family":"Kolokathis","given":"Fotis","non-dropping-particle":"","parse-names":false,"suffix":""},{"dropping-particle":"","family":"Gramolini","given":"Anthony O","non-dropping-particle":"","parse-names":false,"suffix":""},{"dropping-particle":"","family":"Waggoner","given":"Jason R","non-dropping-particle":"","parse-names":false,"suffix":""},{"dropping-particle":"","family":"Pater","given":"Luke","non-dropping-particle":"","parse-names":false,"suffix":""},{"dropping-particle":"","family":"Lynch","given":"Roy A","non-dropping-particle":"","parse-names":false,"suffix":""},{"dropping-particle":"","family":"Fan","given":"Guo-Chang","non-dropping-particle":"","parse-names":false,"suffix":""},{"dropping-particle":"","family":"Tsiapras","given":"Dimitris","non-dropping-particle":"","parse-names":false,"suffix":""},{"dropping-particle":"","family":"Parekh","given":"Rohan R","non-dropping-particle":"","parse-names":false,"suffix":""},{"dropping-particle":"","family":"Dorn","given":"Gerald W","non-dropping-particle":"","parse-names":false,"suffix":""},{"dropping-particle":"","family":"MacLennan","given":"David H","non-dropping-particle":"","parse-names":false,"suffix":""},{"dropping-particle":"","family":"Kremastinos","given":"Dimitrios Th","non-dropping-particle":"","parse-names":false,"suffix":""},{"dropping-particle":"","family":"Kranias","given":"Evangelia G","non-dropping-particle":"","parse-names":false,"suffix":""}],"container-title":"Proceedings of the National Academy of Sciences of the United States of America","id":"ITEM-3","issue":"5","issued":{"date-parts":[["2006","1","31"]]},"page":"1388-93","title":"A mutation in the human phospholamban gene, deleting arginine 14, results in lethal, hereditary cardiomyopathy.","type":"article-journal","volume":"103"},"uris":["http://www.mendeley.com/documents/?uuid=5f8209c5-cf24-438e-af7e-9c40fd5a9561"]}],"mendeley":{"formattedCitation":"&lt;sup&gt;19,21,41&lt;/sup&gt;","plainTextFormattedCitation":"19,21,41","previouslyFormattedCitation":"&lt;sup&gt;19,21,41&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19,21,41</w:t>
            </w:r>
            <w:r w:rsidRPr="007C1A11">
              <w:rPr>
                <w:rFonts w:ascii="Calibri" w:hAnsi="Calibri" w:cs="Calibri"/>
                <w:b/>
                <w:bCs/>
                <w:sz w:val="22"/>
                <w:szCs w:val="22"/>
                <w:lang w:val="en-US"/>
              </w:rPr>
              <w:fldChar w:fldCharType="end"/>
            </w:r>
          </w:p>
        </w:tc>
        <w:tc>
          <w:tcPr>
            <w:tcW w:w="2236" w:type="dxa"/>
            <w:tcBorders>
              <w:bottom w:val="single" w:sz="4" w:space="0" w:color="auto"/>
            </w:tcBorders>
          </w:tcPr>
          <w:p w14:paraId="2DA2DCEA"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Inferolateral Q waves</w:t>
            </w:r>
          </w:p>
        </w:tc>
        <w:tc>
          <w:tcPr>
            <w:tcW w:w="2127" w:type="dxa"/>
            <w:tcBorders>
              <w:bottom w:val="single" w:sz="4" w:space="0" w:color="auto"/>
            </w:tcBorders>
          </w:tcPr>
          <w:p w14:paraId="5C01C5E9"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DMD</w:t>
            </w:r>
          </w:p>
        </w:tc>
        <w:tc>
          <w:tcPr>
            <w:tcW w:w="1790" w:type="dxa"/>
            <w:tcBorders>
              <w:bottom w:val="single" w:sz="4" w:space="0" w:color="auto"/>
            </w:tcBorders>
          </w:tcPr>
          <w:p w14:paraId="4B1271BB"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13%</w:t>
            </w:r>
          </w:p>
        </w:tc>
      </w:tr>
      <w:tr w:rsidR="0068125B" w:rsidRPr="002E52D3" w14:paraId="399D9131" w14:textId="77777777" w:rsidTr="001D6BE0">
        <w:tc>
          <w:tcPr>
            <w:tcW w:w="2867" w:type="dxa"/>
            <w:tcBorders>
              <w:top w:val="single" w:sz="4" w:space="0" w:color="auto"/>
              <w:bottom w:val="single" w:sz="4" w:space="0" w:color="auto"/>
            </w:tcBorders>
          </w:tcPr>
          <w:p w14:paraId="698C2803" w14:textId="77777777" w:rsidR="0068125B" w:rsidRPr="007C1A11" w:rsidRDefault="0068125B" w:rsidP="0068125B">
            <w:pPr>
              <w:spacing w:line="276" w:lineRule="auto"/>
              <w:rPr>
                <w:rFonts w:ascii="Calibri" w:hAnsi="Calibri" w:cs="Calibri"/>
                <w:b/>
                <w:bCs/>
                <w:sz w:val="22"/>
                <w:szCs w:val="22"/>
                <w:lang w:val="en-US"/>
              </w:rPr>
            </w:pPr>
          </w:p>
        </w:tc>
        <w:tc>
          <w:tcPr>
            <w:tcW w:w="2236" w:type="dxa"/>
            <w:tcBorders>
              <w:top w:val="single" w:sz="4" w:space="0" w:color="auto"/>
              <w:bottom w:val="single" w:sz="4" w:space="0" w:color="auto"/>
            </w:tcBorders>
          </w:tcPr>
          <w:p w14:paraId="40E7E377"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T wave inversion</w:t>
            </w:r>
          </w:p>
        </w:tc>
        <w:tc>
          <w:tcPr>
            <w:tcW w:w="2127" w:type="dxa"/>
            <w:tcBorders>
              <w:top w:val="single" w:sz="4" w:space="0" w:color="auto"/>
              <w:bottom w:val="single" w:sz="4" w:space="0" w:color="auto"/>
            </w:tcBorders>
          </w:tcPr>
          <w:p w14:paraId="1B0E270C"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FLNC</w:t>
            </w:r>
          </w:p>
          <w:p w14:paraId="08FCB089"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DSP</w:t>
            </w:r>
          </w:p>
        </w:tc>
        <w:tc>
          <w:tcPr>
            <w:tcW w:w="1790" w:type="dxa"/>
            <w:tcBorders>
              <w:top w:val="single" w:sz="4" w:space="0" w:color="auto"/>
              <w:bottom w:val="single" w:sz="4" w:space="0" w:color="auto"/>
            </w:tcBorders>
          </w:tcPr>
          <w:p w14:paraId="610D1B95"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62%</w:t>
            </w:r>
          </w:p>
          <w:p w14:paraId="4EE81C96"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DE0A3B" w14:paraId="70DF9657" w14:textId="77777777" w:rsidTr="001D6BE0">
        <w:tc>
          <w:tcPr>
            <w:tcW w:w="2867" w:type="dxa"/>
            <w:tcBorders>
              <w:top w:val="single" w:sz="4" w:space="0" w:color="auto"/>
            </w:tcBorders>
          </w:tcPr>
          <w:p w14:paraId="6CD7D173"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Repolarization abnormalities</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{"citationItems":[{"id":"ITEM-1","itemData":{"DOI":"10.1016/j.jacep.2017.12.003","ISSN":"2405-5018","PMID":"30067491","abstract":"OBJECTIVES The purpose of this study was to assess the phenotype of Filamin C (FLNC) truncating variants in dilated cardiomyopathy (DCM) and understand the mechanism leading to an arrhythmogenic phenotype. BACKGROUND Mutations in FLNC are known to lead to skeletal myopathies, which may have an associated cardiac component. Recently, the clinical spectrum of FLNC mutations has been recognized to include a cardiac-restricted presentation in the absence of skeletal muscle involvement. METHODS A population of 319 U.S. and European DCM cardiomyopathy families was evaluated using whole-exome and targeted next-generation sequencing. FLNC truncation probands were identified and evaluated by clinical examination, histology, transmission electron microscopy, and immunohistochemistry. RESULTS A total of 13 individuals in 7 families (2.2%) were found to harbor 6 different FLNC truncation variants (2 stopgain, 1 frameshift, and 3 splicing). Of the 13 FLNC truncation carriers, 11 (85%) had either ventricular arrhythmias or sudden cardiac death, and 5 (38%) presented with evidence of right ventricular dilation. Pathology analysis of 2 explanted hearts from affected FLNC truncation carriers showed interstitial fibrosis in the right ventricle and epicardial fibrofatty infiltration in the left ventricle. Ultrastructural findings included occasional disarray of Z-discs within the sarcomere. Immunohistochemistry showed normal plakoglobin signal at cell-cell junctions, but decreased signals for desmoplakin and synapse-associated protein 97 in the myocardium and buccal mucosa. CONCLUSIONS We found FLNC truncating variants, present in 2.2% of DCM families, to be associated with a cardiac-restricted arrhythmogenic DCM phenotype characterized by a high risk of life-threatening ventricular arrhythmias and a pathological cellular phenotype partially overlapping with arrhythmogenic right ventricular cardiomyopathy.","author":[{"dropping-particle":"","family":"Begay","given":"Rene L","non-dropping-particle":"","parse-names":false,"suffix":""},{"dropping-particle":"","family":"Graw","given":"Sharon L","non-dropping-particle":"","parse-names":false,"suffix":""},{"dropping-particle":"","family":"Sinagra","given":"Gianfranco","non-dropping-particle":"","parse-names":false,"suffix":""},{"dropping-particle":"","family":"Asimaki","given":"Angeliki","non-dropping-particle":"","parse-names":false,"suffix":""},{"dropping-particle":"","family":"Rowland","given":"Teisha J","non-dropping-particle":"","parse-names":false,"suffix":""},{"dropping-particle":"","family":"Slavov","given":"Dobromir B","non-dropping-particle":"","parse-names":false,"suffix":""},{"dropping-particle":"","family":"Gowan","given":"Katherine","non-dropping-particle":"","parse-names":false,"suffix":""},{"dropping-particle":"","family":"Jones","given":"Kenneth L","non-dropping-particle":"","parse-names":false,"suffix":""},{"dropping-particle":"","family":"Brun","given":"Francesca","non-dropping-particle":"","parse-names":false,"suffix":""},{"dropping-particle":"","family":"Merlo","given":"Marco","non-dropping-particle":"","parse-names":false,"suffix":""},{"dropping-particle":"","family":"Miani","given":"Daniela","non-dropping-particle":"","parse-names":false,"suffix":""},{"dropping-particle":"","family":"Sweet","given":"Mary","non-dropping-particle":"","parse-names":false,"suffix":""},{"dropping-particle":"","family":"Devaraj","given":"Kalpana","non-dropping-particle":"","parse-names":false,"suffix":""},{"dropping-particle":"","family":"Wartchow","given":"Eric P","non-dropping-particle":"","parse-names":false,"suffix":""},{"dropping-particle":"","family":"Gigli","given":"Marta","non-dropping-particle":"","parse-names":false,"suffix":""},{"dropping-particle":"","family":"Puggia","given":"Ilaria","non-dropping-particle":"","parse-names":false,"suffix":""},{"dropping-particle":"","family":"Salcedo","given":"Ernesto E","non-dropping-particle":"","parse-names":false,"suffix":""},{"dropping-particle":"","family":"Garrity","given":"Deborah M","non-dropping-particle":"","parse-names":false,"suffix":""},{"dropping-particle":"V","family":"Ambardekar","given":"Amrut","non-dropping-particle":"","parse-names":false,"suffix":""},{"dropping-particle":"","family":"Buttrick","given":"Peter","non-dropping-particle":"","parse-names":false,"suffix":""},{"dropping-particle":"","family":"Reece","given":"T Brett","non-dropping-particle":"","parse-names":false,"suffix":""},{"dropping-particle":"","family":"Bristow","given":"Michael R","non-dropping-particle":"","parse-names":false,"suffix":""},{"dropping-particle":"","family":"Saffitz","given":"Jeffrey E","non-dropping-particle":"","parse-names":false,"suffix":""},{"dropping-particle":"","family":"Mestroni","given":"Luisa","non-dropping-particle":"","parse-names":false,"suffix":""},{"dropping-particle":"","family":"Taylor","given":"Matthew R G","non-dropping-particle":"","parse-names":false,"suffix":""}],"container-title":"JACC. Clinical electrophysiology","id":"ITEM-1","issue":"4","issued":{"date-parts":[["2018"]]},"page":"504-514","title":"Filamin C Truncation Mutations Are Associated With Arrhythmogenic Dilated Cardiomyopathy and Changes in the Cell-Cell Adhesion Structures.","type":"article-journal","volume":"4"},"uris":["http://www.mendeley.com/documents/?uuid=5eb3dcd3-a7c7-483b-9139-1c5aae800b03"]},{"id":"ITEM-2","itemData":{"DOI":"10.1161/CIRCGENETICS.110.937805","ISSN":"1942-3268","PMID":"20716751","abstract":"BACKGROUND Idiopathic dilated cardiomyopathy is a familial disorder in 25% to 50% of patients, but the genetic basis in the majority of cases remains unknown. Genes encoding desmosomal proteins, currently regarded as synonymous with another disorder, arrhythmogenic right ventricular cardiomyopathy, are known to cause left ventricular dysfunction, but their importance in unselected patients with unequivocal dilated cardiomyopathy is unknown. The objective of this study was to determine the prevalence of mutations in 5 desmosomal protein genes in patients with dilated cardiomyopathy. METHODS AND RESULTS We studied 100 unrelated patients with idiopathic dilated cardiomyopathy consecutively referred to a dedicated cardiomyopathy unit. Patients underwent clinical evaluation, ECG, echocardiography, exercise testing, 24-hour ambulatory ECG monitoring, and mutation screening of 5 genes implicated in arrhythmogenic right ventricular cardiomyopathy: plakoglobin, desmoplakin, plakophilin-2, desmoglein-2, and desmocollin-2. Of the 100 patients (mean age at evaluation, 46.8+/-13.8 years; range, 17.0 to 72.8 years; male sex, 63%), 5 were found to carry pathogenic desmosomal protein gene mutations. An additional 13 patients had sequence variants of uncertain pathogenic significance and were excluded from further comparative analysis. Patients harboring desmosomal gene mutations had a phenotype indistinguishable from the 82 noncarriers, with the exception of exercise-induced ventricular ectopy, which was more frequent in the desmosomal mutation carriers (P=0.033). None of the 5 carriers of desmosomal mutations fulfilled current diagnostic criteria for arrhythmogenic right ventricular cardiomyopathy, but 1 had fibrofatty change in the left ventricle at autopsy. CONCLUSIONS Heart failure caused by a dilated, poorly contracting left ventricle and arrhythmogenic right ventricular cardiomyopathy have been considered distinct clinicopathologic entities. This study suggests that both clinical presentations can be caused by mutations in desmosomal protein genes.","author":[{"dropping-particle":"","family":"Elliott","given":"Perry","non-dropping-particle":"","parse-names":false,"suffix":""},{"dropping-particle":"","family":"O'Mahony","given":"Constantinos","non-dropping-particle":"","parse-names":false,"suffix":""},{"dropping-particle":"","family":"Syrris","given":"Petros","non-dropping-particle":"","parse-names":false,"suffix":""},{"dropping-particle":"","family":"Evans","given":"Alison","non-dropping-particle":"","parse-names":false,"suffix":""},{"dropping-particle":"","family":"Rivera Sorensen","given":"Christina","non-dropping-particle":"","parse-names":false,"suffix":""},{"dropping-particle":"","family":"Sheppard","given":"Mary N","non-dropping-particle":"","parse-names":false,"suffix":""},{"dropping-particle":"","family":"Carr-White","given":"Gerald","non-dropping-particle":"","parse-names":false,"suffix":""},{"dropping-particle":"","family":"Pantazis","given":"Antonios","non-dropping-particle":"","parse-names":false,"suffix":""},{"dropping-particle":"","family":"McKenna","given":"William J","non-dropping-particle":"","parse-names":false,"suffix":""}],"container-title":"Circulation. Cardiovascular genetics","id":"ITEM-2","issue":"4","issued":{"date-parts":[["2010","8"]]},"page":"314-22","title":"Prevalence of desmosomal protein gene mutations in patients with dilated cardiomyopathy.","type":"article-journal","volume":"3"},"uris":["http://www.mendeley.com/documents/?uuid=53030703-d988-4221-bcab-279e1b6e0ad6"]}],"mendeley":{"formattedCitation":"&lt;sup&gt;35,73&lt;/sup&gt;","plainTextFormattedCitation":"35,73","previouslyFormattedCitation":"&lt;sup&gt;35,73&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35,73</w:t>
            </w:r>
            <w:r w:rsidRPr="007C1A11">
              <w:rPr>
                <w:rFonts w:ascii="Calibri" w:hAnsi="Calibri" w:cs="Calibri"/>
                <w:b/>
                <w:bCs/>
                <w:sz w:val="22"/>
                <w:szCs w:val="22"/>
                <w:lang w:val="en-US"/>
              </w:rPr>
              <w:fldChar w:fldCharType="end"/>
            </w:r>
          </w:p>
        </w:tc>
        <w:tc>
          <w:tcPr>
            <w:tcW w:w="2236" w:type="dxa"/>
            <w:tcBorders>
              <w:top w:val="single" w:sz="4" w:space="0" w:color="auto"/>
            </w:tcBorders>
          </w:tcPr>
          <w:p w14:paraId="2E8B2203"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AF</w:t>
            </w:r>
          </w:p>
        </w:tc>
        <w:tc>
          <w:tcPr>
            <w:tcW w:w="2127" w:type="dxa"/>
            <w:tcBorders>
              <w:top w:val="single" w:sz="4" w:space="0" w:color="auto"/>
            </w:tcBorders>
          </w:tcPr>
          <w:p w14:paraId="2AA4A309"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090F50DD"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EMD</w:t>
            </w:r>
          </w:p>
          <w:p w14:paraId="2B9DD16E"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DES</w:t>
            </w:r>
          </w:p>
          <w:p w14:paraId="607823B4"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SCN5A</w:t>
            </w:r>
          </w:p>
        </w:tc>
        <w:tc>
          <w:tcPr>
            <w:tcW w:w="1790" w:type="dxa"/>
            <w:tcBorders>
              <w:top w:val="single" w:sz="4" w:space="0" w:color="auto"/>
            </w:tcBorders>
          </w:tcPr>
          <w:p w14:paraId="7BFE99D0"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36-76%*</w:t>
            </w:r>
          </w:p>
          <w:p w14:paraId="715FB034"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7EF7AD9A"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7ECBF0BE"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6F276001" w14:textId="77777777" w:rsidTr="001D6BE0">
        <w:tc>
          <w:tcPr>
            <w:tcW w:w="2867" w:type="dxa"/>
          </w:tcPr>
          <w:p w14:paraId="4C978868"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Supraventricular arrhythmias</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{"citationItems":[{"id":"ITEM-1","itemData":{"DOI":"10.1161/CIRCRESAHA.116.309396","ISSN":"1524-4571","PMID":"28912180","abstract":"Nonischemic dilated cardiomyopathy (DCM) often has a genetic pathogenesis. Because of the large number of genes and alleles attributed to DCM, comprehensive genetic testing encompasses ever-increasing gene panels. Genetic diagnosis can help predict prognosis, especially with regard to arrhythmia risk for certain subtypes. Moreover, cascade genetic testing in family members can identify those who are at risk or with early stage disease, offering the opportunity for early intervention. This review will address diagnosis and management of DCM, including the role of genetic evaluation. We will also overview distinct genetic pathways linked to DCM and their pathogenetic mechanisms. Historically, cardiac morphology has been used to classify cardiomyopathy subtypes. Determining genetic variants is emerging as an additional adjunct to help further refine subtypes of DCM, especially where arrhythmia risk is increased, and ultimately contribute to clinical management.","author":[{"dropping-particle":"","family":"McNally","given":"Elizabeth M","non-dropping-particle":"","parse-names":false,"suffix":""},{"dropping-particle":"","family":"Mestroni","given":"Luisa","non-dropping-particle":"","parse-names":false,"suffix":""}],"container-title":"Circulation research","id":"ITEM-1","issue":"7","issued":{"date-parts":[["2017","9","15"]]},"page":"731-748","title":"Dilated Cardiomyopathy: Genetic Determinants and Mechanisms.","type":"article-journal","volume":"121"},"uris":["http://www.mendeley.com/documents/?uuid=64f8d3f5-9841-461f-affa-396133521174"]},{"id":"ITEM-2","itemData":{"DOI":"10.1016/j.hrthm.2012.06.038","ISSN":"15475271","PMID":"22760083","abstract":"The muscular dystrophies are a group of inherited diseases affecting skeletal muscle that also affect cardiac muscle. Cardiac involvement occurs as a degenerative process with fibrosis and fatty replacement of the myocardium. Electrophysiologists are asked to participate in the care of muscular dystrophy patients because of the risk of atrial arrhythmias, conduction disease, bradycardia, ventricular arrhythmias, and sudden death. Duchenne, Becker, and limb-girdle types 2C-2F and 2I are muscular dystrophies in which the development of a dilated cardiomyopathy is common. Arrhythmias and conduction disease occur after the development of the dilated cardiomyopathy. Patients are considered for pacemakers or implantable cardioverter-defibrillators on the basis of guidelines used for nonischemic cardiomyopathies. Myotonic types 1 and 2, Emery-Dreifuss, limb-girdle type 1B, and facioscapulohumeral muscular dystrophies present with conduction disease and associated arrhythmias and variably with a dilated cardiomyopathy. In myotonic type 1, Emery-Dreifuss, and limb-girdle type 1B muscular dystrophies, conduction abnormalities are frequent and often require pacing. Recent studies support the use of prophylactic implantable cardioverter-defibrillators rather than pacemakers. In all the muscular dystrophies, respiratory muscle involvement can impact quality and quantity of life and needs to be factored in when considering a prophylactic device. © 2012 Heart Rhythm Society.","author":[{"dropping-particle":"","family":"Groh","given":"William J.","non-dropping-particle":"","parse-names":false,"suffix":""}],"container-title":"Heart Rhythm","id":"ITEM-2","issue":"11","issued":{"date-parts":[["2012"]]},"page":"1890-1895","publisher":"Elsevier Inc.","title":"Arrhythmias in the muscular dystrophies","type":"article-journal","volume":"9"},"uris":["http://www.mendeley.com/documents/?uuid=d50746ab-29be-407e-8c55-079880fa154f"]}],"mendeley":{"formattedCitation":"&lt;sup&gt;1,74&lt;/sup&gt;","plainTextFormattedCitation":"1,74","previouslyFormattedCitation":"&lt;sup&gt;1,74&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1,74</w:t>
            </w:r>
            <w:r w:rsidRPr="007C1A11">
              <w:rPr>
                <w:rFonts w:ascii="Calibri" w:hAnsi="Calibri" w:cs="Calibri"/>
                <w:b/>
                <w:bCs/>
                <w:sz w:val="22"/>
                <w:szCs w:val="22"/>
                <w:lang w:val="en-US"/>
              </w:rPr>
              <w:fldChar w:fldCharType="end"/>
            </w:r>
          </w:p>
        </w:tc>
        <w:tc>
          <w:tcPr>
            <w:tcW w:w="2236" w:type="dxa"/>
          </w:tcPr>
          <w:p w14:paraId="6C58E0E9"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Atrial flutter</w:t>
            </w:r>
          </w:p>
        </w:tc>
        <w:tc>
          <w:tcPr>
            <w:tcW w:w="2127" w:type="dxa"/>
          </w:tcPr>
          <w:p w14:paraId="28B93066"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6382864E"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EMD</w:t>
            </w:r>
          </w:p>
        </w:tc>
        <w:tc>
          <w:tcPr>
            <w:tcW w:w="1790" w:type="dxa"/>
          </w:tcPr>
          <w:p w14:paraId="21674298"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1172760C"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1BBF3BF0" w14:textId="77777777" w:rsidTr="001D6BE0">
        <w:tc>
          <w:tcPr>
            <w:tcW w:w="2867" w:type="dxa"/>
          </w:tcPr>
          <w:p w14:paraId="549B08AA" w14:textId="77777777" w:rsidR="0068125B" w:rsidRPr="007C1A11" w:rsidRDefault="0068125B" w:rsidP="0068125B">
            <w:pPr>
              <w:spacing w:line="276" w:lineRule="auto"/>
              <w:rPr>
                <w:rFonts w:ascii="Calibri" w:hAnsi="Calibri" w:cs="Calibri"/>
                <w:b/>
                <w:bCs/>
                <w:sz w:val="22"/>
                <w:szCs w:val="22"/>
                <w:lang w:val="en-US"/>
              </w:rPr>
            </w:pPr>
          </w:p>
        </w:tc>
        <w:tc>
          <w:tcPr>
            <w:tcW w:w="2236" w:type="dxa"/>
          </w:tcPr>
          <w:p w14:paraId="5AA836CD"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Atrial tachycardia</w:t>
            </w:r>
          </w:p>
        </w:tc>
        <w:tc>
          <w:tcPr>
            <w:tcW w:w="2127" w:type="dxa"/>
          </w:tcPr>
          <w:p w14:paraId="024B3689"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1A77D401"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EMD</w:t>
            </w:r>
          </w:p>
        </w:tc>
        <w:tc>
          <w:tcPr>
            <w:tcW w:w="1790" w:type="dxa"/>
          </w:tcPr>
          <w:p w14:paraId="020CE09E"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4311C4FF"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3DFC6CE6" w14:textId="77777777" w:rsidTr="001D6BE0">
        <w:tc>
          <w:tcPr>
            <w:tcW w:w="2867" w:type="dxa"/>
            <w:tcBorders>
              <w:bottom w:val="single" w:sz="4" w:space="0" w:color="auto"/>
            </w:tcBorders>
          </w:tcPr>
          <w:p w14:paraId="126B33BE" w14:textId="77777777" w:rsidR="0068125B" w:rsidRPr="007C1A11" w:rsidRDefault="0068125B" w:rsidP="0068125B">
            <w:pPr>
              <w:spacing w:line="276" w:lineRule="auto"/>
              <w:rPr>
                <w:rFonts w:ascii="Calibri" w:hAnsi="Calibri" w:cs="Calibri"/>
                <w:b/>
                <w:bCs/>
                <w:sz w:val="22"/>
                <w:szCs w:val="22"/>
                <w:lang w:val="en-US"/>
              </w:rPr>
            </w:pPr>
          </w:p>
        </w:tc>
        <w:tc>
          <w:tcPr>
            <w:tcW w:w="2236" w:type="dxa"/>
            <w:tcBorders>
              <w:bottom w:val="single" w:sz="4" w:space="0" w:color="auto"/>
            </w:tcBorders>
          </w:tcPr>
          <w:p w14:paraId="35ACB36D"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Sinus tachycardia</w:t>
            </w:r>
          </w:p>
        </w:tc>
        <w:tc>
          <w:tcPr>
            <w:tcW w:w="2127" w:type="dxa"/>
            <w:tcBorders>
              <w:bottom w:val="single" w:sz="4" w:space="0" w:color="auto"/>
            </w:tcBorders>
          </w:tcPr>
          <w:p w14:paraId="3D6C274D"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DMD</w:t>
            </w:r>
          </w:p>
        </w:tc>
        <w:tc>
          <w:tcPr>
            <w:tcW w:w="1790" w:type="dxa"/>
            <w:tcBorders>
              <w:bottom w:val="single" w:sz="4" w:space="0" w:color="auto"/>
            </w:tcBorders>
          </w:tcPr>
          <w:p w14:paraId="792C927B"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04597F3C" w14:textId="77777777" w:rsidTr="001D6BE0">
        <w:tc>
          <w:tcPr>
            <w:tcW w:w="2867" w:type="dxa"/>
            <w:tcBorders>
              <w:top w:val="single" w:sz="4" w:space="0" w:color="auto"/>
            </w:tcBorders>
          </w:tcPr>
          <w:p w14:paraId="17EA82E8" w14:textId="77777777" w:rsidR="0068125B" w:rsidRPr="007C1A11" w:rsidRDefault="0068125B" w:rsidP="0068125B">
            <w:pPr>
              <w:spacing w:line="276" w:lineRule="auto"/>
              <w:rPr>
                <w:rFonts w:ascii="Calibri" w:hAnsi="Calibri" w:cs="Calibri"/>
                <w:b/>
                <w:bCs/>
                <w:sz w:val="22"/>
                <w:szCs w:val="22"/>
                <w:lang w:val="en-US"/>
              </w:rPr>
            </w:pPr>
          </w:p>
        </w:tc>
        <w:tc>
          <w:tcPr>
            <w:tcW w:w="2236" w:type="dxa"/>
            <w:tcBorders>
              <w:top w:val="single" w:sz="4" w:space="0" w:color="auto"/>
            </w:tcBorders>
          </w:tcPr>
          <w:p w14:paraId="1AACBF79"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Frequent VPBs</w:t>
            </w:r>
          </w:p>
        </w:tc>
        <w:tc>
          <w:tcPr>
            <w:tcW w:w="2127" w:type="dxa"/>
            <w:tcBorders>
              <w:top w:val="single" w:sz="4" w:space="0" w:color="auto"/>
            </w:tcBorders>
          </w:tcPr>
          <w:p w14:paraId="703A397B"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04BC0A30"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FLNC</w:t>
            </w:r>
          </w:p>
          <w:p w14:paraId="3CDF997F"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DES</w:t>
            </w:r>
          </w:p>
          <w:p w14:paraId="6910709B"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DSP</w:t>
            </w:r>
          </w:p>
          <w:p w14:paraId="36BCD17C"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SCN5A</w:t>
            </w:r>
          </w:p>
        </w:tc>
        <w:tc>
          <w:tcPr>
            <w:tcW w:w="1790" w:type="dxa"/>
            <w:tcBorders>
              <w:top w:val="single" w:sz="4" w:space="0" w:color="auto"/>
            </w:tcBorders>
          </w:tcPr>
          <w:p w14:paraId="04BD6076"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702A3D3F"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70%</w:t>
            </w:r>
          </w:p>
          <w:p w14:paraId="1F7C8470"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06F17B8E"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791DB945"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44E66340" w14:textId="77777777" w:rsidTr="001D6BE0">
        <w:tc>
          <w:tcPr>
            <w:tcW w:w="2867" w:type="dxa"/>
            <w:tcBorders>
              <w:bottom w:val="single" w:sz="4" w:space="0" w:color="auto"/>
            </w:tcBorders>
          </w:tcPr>
          <w:p w14:paraId="7872DB50" w14:textId="77777777" w:rsidR="0068125B" w:rsidRPr="007C1A11" w:rsidRDefault="0068125B" w:rsidP="0068125B">
            <w:pPr>
              <w:spacing w:line="276" w:lineRule="auto"/>
              <w:rPr>
                <w:rFonts w:ascii="Calibri" w:hAnsi="Calibri" w:cs="Calibri"/>
                <w:b/>
                <w:bCs/>
                <w:sz w:val="22"/>
                <w:szCs w:val="22"/>
                <w:lang w:val="en-US"/>
              </w:rPr>
            </w:pPr>
            <w:r w:rsidRPr="007C1A11">
              <w:rPr>
                <w:rFonts w:ascii="Calibri" w:hAnsi="Calibri" w:cs="Calibri"/>
                <w:b/>
                <w:bCs/>
                <w:sz w:val="22"/>
                <w:szCs w:val="22"/>
                <w:lang w:val="en-US"/>
              </w:rPr>
              <w:t>Ventricular arrhythmias</w:t>
            </w:r>
            <w:r w:rsidRPr="007C1A11">
              <w:rPr>
                <w:rFonts w:ascii="Calibri" w:hAnsi="Calibri" w:cs="Calibri"/>
                <w:b/>
                <w:bCs/>
                <w:sz w:val="22"/>
                <w:szCs w:val="22"/>
                <w:lang w:val="en-US"/>
              </w:rPr>
              <w:fldChar w:fldCharType="begin" w:fldLock="1"/>
            </w:r>
            <w:r w:rsidRPr="007C1A11">
              <w:rPr>
                <w:rFonts w:ascii="Calibri" w:hAnsi="Calibri" w:cs="Calibri"/>
                <w:b/>
                <w:bCs/>
                <w:sz w:val="22"/>
                <w:szCs w:val="22"/>
                <w:lang w:val="en-US"/>
              </w:rPr>
              <w:instrText>ADDIN CSL_CITATION {"citationItems":[{"id":"ITEM-1","itemData":{"DOI":"10.1016/j.jacc.2019.06.072","ISSN":"1558-3597","PMID":"31514951","abstract":"BACKGROUND Genotype-phenotype correlations in dilated cardiomyopathy (DCM) and, in particular, the effects of gene variants on clinical outcomes remain poorly understood. OBJECTIVES The purpose of this study was to investigate the prognostic role of genetic variant carrier status in a large cohort of DCM patients. METHODS A total of 487 DCM patients were analyzed by next-generation sequencing and categorized the disease genes into functional gene groups. The following composite outcome measures were assessed: 1) all-cause mortality; 2) heart failure-related death, heart transplantation, or destination left ventricular assist device implantation (DHF/HTx/VAD); and 3) sudden cardiac death/sustained ventricular tachycardia/ventricular fibrillation (SCD/VT/VF). RESULTS A total of 183 pathogenic/likely pathogenic variants were found in 178 patients (37%): 54 (11%) Titin; 19 (4%) Lamin A/C (LMNA); 24 (5%) structural cytoskeleton-Z disk genes; 16 (3.5%) desmosomal genes; 46 (9.5%) sarcomeric genes; 8 (1.6%) ion channel genes; and 11 (2.5%) other genes. All-cause mortality was no different between variant carriers and noncarriers (p = 0.99). A trend toward worse SCD/VT/VF (p = 0.062) and DHF/HTx/VAD (p = 0.061) was found in carriers. Carriers of desmosomal and LMNA variants experienced the highest rate of SCD/VT/VF, which was independent of the left ventricular ejection fraction. CONCLUSIONS Desmosomal and LMNA gene variants identify the subset of DCM patients who are at greatest risk for SCD and life-threatening ventricular arrhythmias, regardless of the left ventricular ejection fraction.","author":[{"dropping-particle":"","family":"Gigli","given":"Marta","non-dropping-particle":"","parse-names":false,"suffix":""},{"dropping-particle":"","family":"Merlo","given":"Marco","non-dropping-particle":"","parse-names":false,"suffix":""},{"dropping-particle":"","family":"Graw","given":"Sharon L","non-dropping-particle":"","parse-names":false,"suffix":""},{"dropping-particle":"","family":"Barbati","given":"Giulia","non-dropping-particle":"","parse-names":false,"suffix":""},{"dropping-particle":"","family":"Rowland","given":"Teisha J","non-dropping-particle":"","parse-names":false,"suffix":""},{"dropping-particle":"","family":"Slavov","given":"Dobromir B","non-dropping-particle":"","parse-names":false,"suffix":""},{"dropping-particle":"","family":"Stolfo","given":"Davide","non-dropping-particle":"","parse-names":false,"suffix":""},{"dropping-particle":"","family":"Haywood","given":"Mary E","non-dropping-particle":"","parse-names":false,"suffix":""},{"dropping-particle":"","family":"Dal Ferro","given":"Matteo","non-dropping-particle":"","parse-names":false,"suffix":""},{"dropping-particle":"","family":"Altinier","given":"Alessandro","non-dropping-particle":"","parse-names":false,"suffix":""},{"dropping-particle":"","family":"Ramani","given":"Federica","non-dropping-particle":"","parse-names":false,"suffix":""},{"dropping-particle":"","family":"Brun","given":"Francesca","non-dropping-particle":"","parse-names":false,"suffix":""},{"dropping-particle":"","family":"Cocciolo","given":"Andrea","non-dropping-particle":"","parse-names":false,"suffix":""},{"dropping-particle":"","family":"Puggia","given":"Ilaria","non-dropping-particle":"","parse-names":false,"suffix":""},{"dropping-particle":"","family":"Morea","given":"Gaetano","non-dropping-particle":"","parse-names":false,"suffix":""},{"dropping-particle":"","family":"McKenna","given":"William J","non-dropping-particle":"","parse-names":false,"suffix":""},{"dropping-particle":"","family":"Rosa","given":"Francisco G","non-dropping-particle":"La","parse-names":false,"suffix":""},{"dropping-particle":"","family":"Taylor","given":"Matthew R G","non-dropping-particle":"","parse-names":false,"suffix":""},{"dropping-particle":"","family":"Sinagra","given":"Gianfranco","non-dropping-particle":"","parse-names":false,"suffix":""},{"dropping-particle":"","family":"Mestroni","given":"Luisa","non-dropping-particle":"","parse-names":false,"suffix":""}],"container-title":"Journal of the American College of Cardiology","id":"ITEM-1","issue":"11","issued":{"date-parts":[["2019","9","17"]]},"page":"1480-1490","title":"Genetic Risk of Arrhythmic Phenotypes in Patients With Dilated Cardiomyopathy.","type":"article-journal","volume":"74"},"uris":["http://www.mendeley.com/documents/?uuid=39fdd594-dfc9-434f-9394-92777b6f2a44"]},{"id":"ITEM-2","itemData":{"DOI":"10.1136/heartjnl-2016-310391","ISSN":"1468-201X","PMID":"28855272","author":[{"dropping-particle":"","family":"Martin","given":"Claire A","non-dropping-particle":"","parse-names":false,"suffix":""},{"dropping-particle":"","family":"Lambiase","given":"Pier D","non-dropping-particle":"","parse-names":false,"suffix":""}],"container-title":"Heart (British Cardiac Society)","id":"ITEM-2","issue":"19","issued":{"date-parts":[["2017"]]},"page":"1543-1552","title":"Pathophysiology, diagnosis and treatment of tachycardiomyopathy.","type":"article-journal","volume":"103"},"uris":["http://www.mendeley.com/documents/?uuid=6dae4da1-9596-4f65-9aff-26fcb75a22aa"]},{"id":"ITEM-3","itemData":{"DOI":"10.1016/j.jacc.2010.09.084","ISSN":"07351097","abstract":"Objectives: The aim of this study was to discern the role of the cardiac voltage-gated sodium ion channel SCN5A in the etiology of dilated cardiomyopathy (DCM). Background: Dilated cardiomyopathy associates with mutations in the SCN5A gene, but the frequency, phenotype, and causative nature of these associations remain the focus of ongoing investigation. Methods: Since 1991, DCM probands and family members have been enrolled in the Familial Cardiomyopathy Registry and extensively evaluated by clinical phenotype. Genomic deoxyribonucleic acid samples from 338 individuals among 289 DCM families were obtained and screened for SCN5A mutations by denaturing high-performance liquid chromatography and sequence analysis. Results: We identified 5 missense SCN5A mutations among our DCM families, including novel mutations E446K, F1520L, and V1279I, as well as previously reported mutations D1275N and R222Q. Of 15 SCN5A mutation carriers in our study, 14 (93%) manifested arrhythmia: supraventricular arrhythmia (13 of 15), including sick sinus syndrome (5 of 15) and atrial fibrillation (9 of 15), ventricular tachycardia (5 of 15), and conduction disease (9 of 15). Conclusions: Mutations in SCN5A were detected in 1.7% of DCM families. Two-thirds (6 of 9) of all reported DCM mutations in SCN5A localize to the highly conserved homologous S3 and S4 transmembrane segments, suggesting a shared mechanism of disruption of the voltage-sensing mechanism of this channel leading to DCM. Not surprisingly, SCN5A mutation carriers show a strong arrhythmic pattern that has clinical and diagnostic implications. © 2011 American College of Cardiology Foundation.","author":[{"dropping-particle":"","family":"McNair","given":"William P.","non-dropping-particle":"","parse-names":false,"suffix":""},{"dropping-particle":"","family":"Sinagra","given":"Gianfranco","non-dropping-particle":"","parse-names":false,"suffix":""},{"dropping-particle":"","family":"Taylor","given":"Matthew R.G.","non-dropping-particle":"","parse-names":false,"suffix":""},{"dropping-particle":"","family":"Lenarda","given":"Andrea","non-dropping-particle":"Di","parse-names":false,"suffix":""},{"dropping-particle":"","family":"Ferguson","given":"Debra A.","non-dropping-particle":"","parse-names":false,"suffix":""},{"dropping-particle":"","family":"Salcedo","given":"Ernesto E.","non-dropping-particle":"","parse-names":false,"suffix":""},{"dropping-particle":"","family":"Slavov","given":"Dobromir","non-dropping-particle":"","parse-names":false,"suffix":""},{"dropping-particle":"","family":"Zhu","given":"Xiao","non-dropping-particle":"","parse-names":false,"suffix":""},{"dropping-particle":"","family":"Caldwell","given":"John H.","non-dropping-particle":"","parse-names":false,"suffix":""},{"dropping-particle":"","family":"Mestroni","given":"Luisa","non-dropping-particle":"","parse-names":false,"suffix":""}],"container-title":"Journal of the American College of Cardiology","id":"ITEM-3","issued":{"date-parts":[["2011"]]},"title":"SCN5A mutations associate with arrhythmic dilated cardiomyopathy and commonly localize to the voltage-sensing mechanism","type":"article-journal"},"uris":["http://www.mendeley.com/documents/?uuid=8561195c-065b-4a26-bf77-8f13653d8577"]},{"id":"ITEM-4","itemData":{"DOI":"10.1016/j.jacep.2017.12.003","ISSN":"2405-5018","PMID":"30067491","abstract":"OBJECTIVES The purpose of this study was to assess the phenotype of Filamin C (FLNC) truncating variants in dilated cardiomyopathy (DCM) and understand the mechanism leading to an arrhythmogenic phenotype. BACKGROUND Mutations in FLNC are known to lead to skeletal myopathies, which may have an associated cardiac component. Recently, the clinical spectrum of FLNC mutations has been recognized to include a cardiac-restricted presentation in the absence of skeletal muscle involvement. METHODS A population of 319 U.S. and European DCM cardiomyopathy families was evaluated using whole-exome and targeted next-generation sequencing. FLNC truncation probands were identified and evaluated by clinical examination, histology, transmission electron microscopy, and immunohistochemistry. RESULTS A total of 13 individuals in 7 families (2.2%) were found to harbor 6 different FLNC truncation variants (2 stopgain, 1 frameshift, and 3 splicing). Of the 13 FLNC truncation carriers, 11 (85%) had either ventricular arrhythmias or sudden cardiac death, and 5 (38%) presented with evidence of right ventricular dilation. Pathology analysis of 2 explanted hearts from affected FLNC truncation carriers showed interstitial fibrosis in the right ventricle and epicardial fibrofatty infiltration in the left ventricle. Ultrastructural findings included occasional disarray of Z-discs within the sarcomere. Immunohistochemistry showed normal plakoglobin signal at cell-cell junctions, but decreased signals for desmoplakin and synapse-associated protein 97 in the myocardium and buccal mucosa. CONCLUSIONS We found FLNC truncating variants, present in 2.2% of DCM families, to be associated with a cardiac-restricted arrhythmogenic DCM phenotype characterized by a high risk of life-threatening ventricular arrhythmias and a pathological cellular phenotype partially overlapping with arrhythmogenic right ventricular cardiomyopathy.","author":[{"dropping-particle":"","family":"Begay","given":"Rene L","non-dropping-particle":"","parse-names":false,"suffix":""},{"dropping-particle":"","family":"Graw","given":"Sharon L","non-dropping-particle":"","parse-names":false,"suffix":""},{"dropping-particle":"","family":"Sinagra","given":"Gianfranco","non-dropping-particle":"","parse-names":false,"suffix":""},{"dropping-particle":"","family":"Asimaki","given":"Angeliki","non-dropping-particle":"","parse-names":false,"suffix":""},{"dropping-particle":"","family":"Rowland","given":"Teisha J","non-dropping-particle":"","parse-names":false,"suffix":""},{"dropping-particle":"","family":"Slavov","given":"Dobromir B","non-dropping-particle":"","parse-names":false,"suffix":""},{"dropping-particle":"","family":"Gowan","given":"Katherine","non-dropping-particle":"","parse-names":false,"suffix":""},{"dropping-particle":"","family":"Jones","given":"Kenneth L","non-dropping-particle":"","parse-names":false,"suffix":""},{"dropping-particle":"","family":"Brun","given":"Francesca","non-dropping-particle":"","parse-names":false,"suffix":""},{"dropping-particle":"","family":"Merlo","given":"Marco","non-dropping-particle":"","parse-names":false,"suffix":""},{"dropping-particle":"","family":"Miani","given":"Daniela","non-dropping-particle":"","parse-names":false,"suffix":""},{"dropping-particle":"","family":"Sweet","given":"Mary","non-dropping-particle":"","parse-names":false,"suffix":""},{"dropping-particle":"","family":"Devaraj","given":"Kalpana","non-dropping-particle":"","parse-names":false,"suffix":""},{"dropping-particle":"","family":"Wartchow","given":"Eric P","non-dropping-particle":"","parse-names":false,"suffix":""},{"dropping-particle":"","family":"Gigli","given":"Marta","non-dropping-particle":"","parse-names":false,"suffix":""},{"dropping-particle":"","family":"Puggia","given":"Ilaria","non-dropping-particle":"","parse-names":false,"suffix":""},{"dropping-particle":"","family":"Salcedo","given":"Ernesto E","non-dropping-particle":"","parse-names":false,"suffix":""},{"dropping-particle":"","family":"Garrity","given":"Deborah M","non-dropping-particle":"","parse-names":false,"suffix":""},{"dropping-particle":"V","family":"Ambardekar","given":"Amrut","non-dropping-particle":"","parse-names":false,"suffix":""},{"dropping-particle":"","family":"Buttrick","given":"Peter","non-dropping-particle":"","parse-names":false,"suffix":""},{"dropping-particle":"","family":"Reece","given":"T Brett","non-dropping-particle":"","parse-names":false,"suffix":""},{"dropping-particle":"","family":"Bristow","given":"Michael R","non-dropping-particle":"","parse-names":false,"suffix":""},{"dropping-particle":"","family":"Saffitz","given":"Jeffrey E","non-dropping-particle":"","parse-names":false,"suffix":""},{"dropping-particle":"","family":"Mestroni","given":"Luisa","non-dropping-particle":"","parse-names":false,"suffix":""},{"dropping-particle":"","family":"Taylor","given":"Matthew R G","non-dropping-particle":"","parse-names":false,"suffix":""}],"container-title":"JACC. Clinical electrophysiology","id":"ITEM-4","issue":"4","issued":{"date-parts":[["2018"]]},"page":"504-514","title":"Filamin C Truncation Mutations Are Associated With Arrhythmogenic Dilated Cardiomyopathy and Changes in the Cell-Cell Adhesion Structures.","type":"article-journal","volume":"4"},"uris":["http://www.mendeley.com/documents/?uuid=5eb3dcd3-a7c7-483b-9139-1c5aae800b03"]},{"id":"ITEM-5","itemData":{"DOI":"10.1016/j.jacc.2016.09.927","ISBN":"e0735-1097","ISSN":"15583597","PMID":"27908349","abstract":"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FLNC.","author":[{"dropping-particle":"","family":"Ortiz-Genga","given":"Martín F.","non-dropping-particle":"","parse-names":false,"suffix":""},{"dropping-particle":"","family":"Cuenca","given":"Sofía","non-dropping-particle":"","parse-names":false,"suffix":""},{"dropping-particle":"","family":"Dal Ferro","given":"Matteo","non-dropping-particle":"","parse-names":false,"suffix":""},{"dropping-particle":"","family":"Zorio","given":"Esther","non-dropping-particle":"","parse-names":false,"suffix":""},{"dropping-particle":"","family":"Salgado-Aranda","given":"Ricardo","non-dropping-particle":"","parse-names":false,"suffix":""},{"dropping-particle":"","family":"Climent","given":"Vicente","non-dropping-particle":"","parse-names":false,"suffix":""},{"dropping-particle":"","family":"Padrón-Barthe","given":"Laura","non-dropping-particle":"","parse-names":false,"suffix":""},{"dropping-particle":"","family":"Duro-Aguado","given":"Iria","non-dropping-particle":"","parse-names":false,"suffix":""},{"dropping-particle":"","family":"Jiménez-Jáimez","given":"Juan","non-dropping-particle":"","parse-names":false,"suffix":""},{"dropping-particle":"","family":"Hidalgo-Olivares","given":"Víctor M.","non-dropping-particle":"","parse-names":false,"suffix":""},{"dropping-particle":"","family":"García-Campo","given":"Enrique","non-dropping-particle":"","parse-names":false,"suffix":""},{"dropping-particle":"","family":"Lanzillo","given":"Chiara","non-dropping-particle":"","parse-names":false,"suffix":""},{"dropping-particle":"","family":"Suárez-Mier","given":"M. Paz","non-dropping-particle":"","parse-names":false,"suffix":""},{"dropping-particle":"","family":"Yonath","given":"Hagith","non-dropping-particle":"","parse-names":false,"suffix":""},{"dropping-particle":"","family":"Marcos-Alonso","given":"Sonia","non-dropping-particle":"","parse-names":false,"suffix":""},{"dropping-particle":"","family":"Ochoa","given":"Juan P.","non-dropping-particle":"","parse-names":false,"suffix":""},{"dropping-particle":"","family":"Santomé","given":"José L.","non-dropping-particle":"","parse-names":false,"suffix":""},{"dropping-particle":"","family":"García-Giustiniani","given":"Diego","non-dropping-particle":"","parse-names":false,"suffix":""},{"dropping-particle":"","family":"Rodríguez-Garrido","given":"Jorge L.","non-dropping-particle":"","parse-names":false,"suffix":""},{"dropping-particle":"","family":"Domínguez","given":"Fernando","non-dropping-particle":"","parse-names":false,"suffix":""},{"dropping-particle":"","family":"Merlo","given":"Marco","non-dropping-particle":"","parse-names":false,"suffix":""},{"dropping-particle":"","family":"Palomino","given":"Julián","non-dropping-particle":"","parse-names":false,"suffix":""},{"dropping-particle":"","family":"Peña","given":"María L.","non-dropping-particle":"","parse-names":false,"suffix":""},{"dropping-particle":"","family":"Trujillo","given":"Juan P.","non-dropping-particle":"","parse-names":false,"suffix":""},{"dropping-particle":"","family":"Martín-Vila","given":"Alicia","non-dropping-particle":"","parse-names":false,"suffix":""},{"dropping-particle":"","family":"Stolfo","given":"Davide","non-dropping-particle":"","parse-names":false,"suffix":""},{"dropping-particle":"","family":"Molina","given":"Pilar","non-dropping-particle":"","parse-names":false,"suffix":""},{"dropping-particle":"","family":"Lara-Pezzi","given":"Enrique","non-dropping-particle":"","parse-names":false,"suffix":""},{"dropping-particle":"","family":"Calvo-Iglesias","given":"Francisco E.","non-dropping-particle":"","parse-names":false,"suffix":""},{"dropping-particle":"","family":"Nof","given":"Eyal","non-dropping-particle":"","parse-names":false,"suffix":""},{"dropping-particle":"","family":"Calò","given":"Leonardo","non-dropping-particle":"","parse-names":false,"suffix":""},{"dropping-particle":"","family":"Barriales-Villa","given":"Roberto","non-dropping-particle":"","parse-names":false,"suffix":""},{"dropping-particle":"","family":"Gimeno-Blanes","given":"Juan R.","non-dropping-particle":"","parse-names":false,"suffix":""},{"dropping-particle":"","family":"Arad","given":"Michael","non-dropping-particle":"","parse-names":false,"suffix":""},{"dropping-particle":"","family":"García-Pavía","given":"Pablo","non-dropping-particle":"","parse-names":false,"suffix":""},{"dropping-particle":"","family":"Monserrat","given":"Lorenzo","non-dropping-particle":"","parse-names":false,"suffix":""}],"container-title":"Journal of the American College of Cardiology","id":"ITEM-5","issue":"22","issued":{"date-parts":[["2016"]]},"page":"2440-2451","title":"Truncating FLNC Mutations Are Associated With High-Risk Dilated and Arrhythmogenic Cardiomyopathies","type":"article-journal","volume":"68"},"uris":["http://www.mendeley.com/documents/?uuid=f19b7278-7f60-4d40-8d3f-2ada5182bc26"]}],"mendeley":{"formattedCitation":"&lt;sup&gt;19,21,25,35,43&lt;/sup&gt;","plainTextFormattedCitation":"19,21,25,35,43","previouslyFormattedCitation":"&lt;sup&gt;19,21,25,35,43&lt;/sup&gt;"},"properties":{"noteIndex":0},"schema":"https://github.com/citation-style-language/schema/raw/master/csl-citation.json"}</w:instrText>
            </w:r>
            <w:r w:rsidRPr="007C1A11">
              <w:rPr>
                <w:rFonts w:ascii="Calibri" w:hAnsi="Calibri" w:cs="Calibri"/>
                <w:b/>
                <w:bCs/>
                <w:sz w:val="22"/>
                <w:szCs w:val="22"/>
                <w:lang w:val="en-US"/>
              </w:rPr>
              <w:fldChar w:fldCharType="separate"/>
            </w:r>
            <w:r w:rsidRPr="007C1A11">
              <w:rPr>
                <w:rFonts w:ascii="Calibri" w:hAnsi="Calibri" w:cs="Calibri"/>
                <w:bCs/>
                <w:noProof/>
                <w:sz w:val="22"/>
                <w:szCs w:val="22"/>
                <w:vertAlign w:val="superscript"/>
                <w:lang w:val="en-US"/>
              </w:rPr>
              <w:t>19,21,25,35,43</w:t>
            </w:r>
            <w:r w:rsidRPr="007C1A11">
              <w:rPr>
                <w:rFonts w:ascii="Calibri" w:hAnsi="Calibri" w:cs="Calibri"/>
                <w:b/>
                <w:bCs/>
                <w:sz w:val="22"/>
                <w:szCs w:val="22"/>
                <w:lang w:val="en-US"/>
              </w:rPr>
              <w:fldChar w:fldCharType="end"/>
            </w:r>
          </w:p>
        </w:tc>
        <w:tc>
          <w:tcPr>
            <w:tcW w:w="2236" w:type="dxa"/>
            <w:tcBorders>
              <w:bottom w:val="single" w:sz="4" w:space="0" w:color="auto"/>
            </w:tcBorders>
          </w:tcPr>
          <w:p w14:paraId="695486F1" w14:textId="77777777" w:rsidR="0068125B" w:rsidRPr="00DE0A3B" w:rsidRDefault="0068125B" w:rsidP="0068125B">
            <w:pPr>
              <w:spacing w:line="276" w:lineRule="auto"/>
              <w:rPr>
                <w:rFonts w:ascii="Calibri" w:hAnsi="Calibri" w:cs="Calibri"/>
                <w:sz w:val="18"/>
                <w:szCs w:val="18"/>
                <w:lang w:val="en-US"/>
              </w:rPr>
            </w:pPr>
            <w:r w:rsidRPr="00DE0A3B">
              <w:rPr>
                <w:rFonts w:ascii="Calibri" w:hAnsi="Calibri" w:cs="Calibri"/>
                <w:sz w:val="18"/>
                <w:szCs w:val="18"/>
                <w:lang w:val="en-US"/>
              </w:rPr>
              <w:t>NSVT</w:t>
            </w:r>
          </w:p>
        </w:tc>
        <w:tc>
          <w:tcPr>
            <w:tcW w:w="2127" w:type="dxa"/>
            <w:tcBorders>
              <w:bottom w:val="single" w:sz="4" w:space="0" w:color="auto"/>
            </w:tcBorders>
          </w:tcPr>
          <w:p w14:paraId="6AC9C78E"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LMNA</w:t>
            </w:r>
          </w:p>
          <w:p w14:paraId="59F98407"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FLNC</w:t>
            </w:r>
          </w:p>
          <w:p w14:paraId="544ADAAE"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DES</w:t>
            </w:r>
          </w:p>
          <w:p w14:paraId="56B432C1"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DSP</w:t>
            </w:r>
          </w:p>
          <w:p w14:paraId="5A0C0561" w14:textId="77777777" w:rsidR="0068125B" w:rsidRPr="00DE0A3B" w:rsidRDefault="0068125B" w:rsidP="0068125B">
            <w:pPr>
              <w:spacing w:line="276" w:lineRule="auto"/>
              <w:rPr>
                <w:rFonts w:ascii="Calibri" w:hAnsi="Calibri" w:cs="Calibri"/>
                <w:i/>
                <w:iCs/>
                <w:sz w:val="18"/>
                <w:szCs w:val="18"/>
                <w:lang w:val="en-US"/>
              </w:rPr>
            </w:pPr>
            <w:r w:rsidRPr="00DE0A3B">
              <w:rPr>
                <w:rFonts w:ascii="Calibri" w:hAnsi="Calibri" w:cs="Calibri"/>
                <w:i/>
                <w:iCs/>
                <w:sz w:val="18"/>
                <w:szCs w:val="18"/>
                <w:lang w:val="en-US"/>
              </w:rPr>
              <w:t>SCN5A</w:t>
            </w:r>
          </w:p>
        </w:tc>
        <w:tc>
          <w:tcPr>
            <w:tcW w:w="1790" w:type="dxa"/>
            <w:tcBorders>
              <w:bottom w:val="single" w:sz="4" w:space="0" w:color="auto"/>
            </w:tcBorders>
          </w:tcPr>
          <w:p w14:paraId="1A375054"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37%</w:t>
            </w:r>
          </w:p>
          <w:p w14:paraId="5711642E"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83%</w:t>
            </w:r>
          </w:p>
          <w:p w14:paraId="513D255B"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31CEFC6F"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p w14:paraId="6CB70923" w14:textId="77777777" w:rsidR="0068125B" w:rsidRPr="00DE0A3B" w:rsidRDefault="0068125B" w:rsidP="0068125B">
            <w:pPr>
              <w:spacing w:line="276" w:lineRule="auto"/>
              <w:jc w:val="center"/>
              <w:rPr>
                <w:rFonts w:ascii="Calibri" w:hAnsi="Calibri" w:cs="Calibri"/>
                <w:sz w:val="18"/>
                <w:szCs w:val="18"/>
                <w:lang w:val="en-US"/>
              </w:rPr>
            </w:pPr>
            <w:r w:rsidRPr="00DE0A3B">
              <w:rPr>
                <w:rFonts w:ascii="Calibri" w:hAnsi="Calibri" w:cs="Calibri"/>
                <w:sz w:val="18"/>
                <w:szCs w:val="18"/>
                <w:lang w:val="en-US"/>
              </w:rPr>
              <w:t>-</w:t>
            </w:r>
          </w:p>
        </w:tc>
      </w:tr>
      <w:tr w:rsidR="0068125B" w:rsidRPr="002E52D3" w14:paraId="54BC38AC" w14:textId="77777777" w:rsidTr="0068125B">
        <w:tc>
          <w:tcPr>
            <w:tcW w:w="9020" w:type="dxa"/>
            <w:gridSpan w:val="4"/>
            <w:tcBorders>
              <w:top w:val="single" w:sz="4" w:space="0" w:color="auto"/>
              <w:bottom w:val="single" w:sz="4" w:space="0" w:color="auto"/>
            </w:tcBorders>
          </w:tcPr>
          <w:p w14:paraId="557A5881" w14:textId="77777777" w:rsidR="0068125B" w:rsidRPr="007C1A11" w:rsidRDefault="0068125B" w:rsidP="0068125B">
            <w:pPr>
              <w:rPr>
                <w:rFonts w:ascii="Calibri" w:hAnsi="Calibri" w:cs="Calibri"/>
                <w:sz w:val="22"/>
                <w:szCs w:val="22"/>
                <w:lang w:val="en-US"/>
              </w:rPr>
            </w:pPr>
            <w:r w:rsidRPr="007C1A11">
              <w:rPr>
                <w:rFonts w:ascii="Calibri" w:hAnsi="Calibri" w:cs="Calibri"/>
                <w:b/>
                <w:sz w:val="22"/>
                <w:szCs w:val="22"/>
                <w:lang w:val="en-US"/>
              </w:rPr>
              <w:t xml:space="preserve">Abbreviations: </w:t>
            </w:r>
            <w:r w:rsidRPr="007C1A11">
              <w:rPr>
                <w:rFonts w:ascii="Calibri" w:hAnsi="Calibri" w:cs="Calibri"/>
                <w:sz w:val="22"/>
                <w:szCs w:val="22"/>
                <w:lang w:val="en-US"/>
              </w:rPr>
              <w:t xml:space="preserve">AF: atrial fibrillation; AV: </w:t>
            </w:r>
            <w:proofErr w:type="spellStart"/>
            <w:r w:rsidRPr="007C1A11">
              <w:rPr>
                <w:rFonts w:ascii="Calibri" w:hAnsi="Calibri" w:cs="Calibri"/>
                <w:sz w:val="22"/>
                <w:szCs w:val="22"/>
                <w:lang w:val="en-US"/>
              </w:rPr>
              <w:t>atrio</w:t>
            </w:r>
            <w:proofErr w:type="spellEnd"/>
            <w:r w:rsidRPr="007C1A11">
              <w:rPr>
                <w:rFonts w:ascii="Calibri" w:hAnsi="Calibri" w:cs="Calibri"/>
                <w:sz w:val="22"/>
                <w:szCs w:val="22"/>
                <w:lang w:val="en-US"/>
              </w:rPr>
              <w:t xml:space="preserve">-ventricular; </w:t>
            </w:r>
            <w:r w:rsidRPr="007C1A11">
              <w:rPr>
                <w:rFonts w:ascii="Calibri" w:hAnsi="Calibri" w:cs="Calibri"/>
                <w:i/>
                <w:iCs/>
                <w:sz w:val="22"/>
                <w:szCs w:val="22"/>
                <w:lang w:val="en-US"/>
              </w:rPr>
              <w:t>DES</w:t>
            </w:r>
            <w:r w:rsidRPr="007C1A11">
              <w:rPr>
                <w:rFonts w:ascii="Calibri" w:hAnsi="Calibri" w:cs="Calibri"/>
                <w:sz w:val="22"/>
                <w:szCs w:val="22"/>
                <w:lang w:val="en-US"/>
              </w:rPr>
              <w:t xml:space="preserve">: </w:t>
            </w:r>
            <w:proofErr w:type="spellStart"/>
            <w:r w:rsidRPr="007C1A11">
              <w:rPr>
                <w:rFonts w:ascii="Calibri" w:hAnsi="Calibri" w:cs="Calibri"/>
                <w:sz w:val="22"/>
                <w:szCs w:val="22"/>
                <w:lang w:val="en-US"/>
              </w:rPr>
              <w:t>desmin</w:t>
            </w:r>
            <w:proofErr w:type="spellEnd"/>
            <w:r w:rsidRPr="007C1A11">
              <w:rPr>
                <w:rFonts w:ascii="Calibri" w:hAnsi="Calibri" w:cs="Calibri"/>
                <w:sz w:val="22"/>
                <w:szCs w:val="22"/>
                <w:lang w:val="en-US"/>
              </w:rPr>
              <w:t xml:space="preserve">; </w:t>
            </w:r>
            <w:r w:rsidRPr="007C1A11">
              <w:rPr>
                <w:rFonts w:ascii="Calibri" w:hAnsi="Calibri" w:cs="Calibri"/>
                <w:i/>
                <w:iCs/>
                <w:sz w:val="22"/>
                <w:szCs w:val="22"/>
                <w:lang w:val="en-US"/>
              </w:rPr>
              <w:t>DMD</w:t>
            </w:r>
            <w:r w:rsidRPr="007C1A11">
              <w:rPr>
                <w:rFonts w:ascii="Calibri" w:hAnsi="Calibri" w:cs="Calibri"/>
                <w:sz w:val="22"/>
                <w:szCs w:val="22"/>
                <w:lang w:val="en-US"/>
              </w:rPr>
              <w:t xml:space="preserve">: dystrophin; </w:t>
            </w:r>
            <w:r w:rsidRPr="007C1A11">
              <w:rPr>
                <w:rFonts w:ascii="Calibri" w:hAnsi="Calibri" w:cs="Calibri"/>
                <w:i/>
                <w:iCs/>
                <w:sz w:val="22"/>
                <w:szCs w:val="22"/>
                <w:lang w:val="en-US"/>
              </w:rPr>
              <w:t>EMD</w:t>
            </w:r>
            <w:r w:rsidRPr="007C1A11">
              <w:rPr>
                <w:rFonts w:ascii="Calibri" w:hAnsi="Calibri" w:cs="Calibri"/>
                <w:sz w:val="22"/>
                <w:szCs w:val="22"/>
                <w:lang w:val="en-US"/>
              </w:rPr>
              <w:t xml:space="preserve">: </w:t>
            </w:r>
            <w:proofErr w:type="spellStart"/>
            <w:r w:rsidRPr="007C1A11">
              <w:rPr>
                <w:rFonts w:ascii="Calibri" w:hAnsi="Calibri" w:cs="Calibri"/>
                <w:sz w:val="22"/>
                <w:szCs w:val="22"/>
                <w:lang w:val="en-US"/>
              </w:rPr>
              <w:t>emerin</w:t>
            </w:r>
            <w:proofErr w:type="spellEnd"/>
            <w:r w:rsidRPr="007C1A11">
              <w:rPr>
                <w:rFonts w:ascii="Calibri" w:hAnsi="Calibri" w:cs="Calibri"/>
                <w:sz w:val="22"/>
                <w:szCs w:val="22"/>
                <w:lang w:val="en-US"/>
              </w:rPr>
              <w:t xml:space="preserve">; </w:t>
            </w:r>
            <w:r w:rsidRPr="007C1A11">
              <w:rPr>
                <w:rFonts w:ascii="Calibri" w:hAnsi="Calibri" w:cs="Calibri"/>
                <w:i/>
                <w:iCs/>
                <w:sz w:val="22"/>
                <w:szCs w:val="22"/>
                <w:lang w:val="en-US"/>
              </w:rPr>
              <w:t>FLNC</w:t>
            </w:r>
            <w:r w:rsidRPr="007C1A11">
              <w:rPr>
                <w:rFonts w:ascii="Calibri" w:hAnsi="Calibri" w:cs="Calibri"/>
                <w:sz w:val="22"/>
                <w:szCs w:val="22"/>
                <w:lang w:val="en-US"/>
              </w:rPr>
              <w:t xml:space="preserve">: filamin C; </w:t>
            </w:r>
            <w:r w:rsidRPr="007C1A11">
              <w:rPr>
                <w:rFonts w:ascii="Calibri" w:hAnsi="Calibri" w:cs="Calibri"/>
                <w:i/>
                <w:iCs/>
                <w:sz w:val="22"/>
                <w:szCs w:val="22"/>
                <w:lang w:val="en-US"/>
              </w:rPr>
              <w:t>LMNA</w:t>
            </w:r>
            <w:r w:rsidRPr="007C1A11">
              <w:rPr>
                <w:rFonts w:ascii="Calibri" w:hAnsi="Calibri" w:cs="Calibri"/>
                <w:sz w:val="22"/>
                <w:szCs w:val="22"/>
                <w:lang w:val="en-US"/>
              </w:rPr>
              <w:t xml:space="preserve">: </w:t>
            </w:r>
            <w:proofErr w:type="spellStart"/>
            <w:r w:rsidRPr="007C1A11">
              <w:rPr>
                <w:rFonts w:ascii="Calibri" w:hAnsi="Calibri" w:cs="Calibri"/>
                <w:sz w:val="22"/>
                <w:szCs w:val="22"/>
                <w:lang w:val="en-US"/>
              </w:rPr>
              <w:t>lamin</w:t>
            </w:r>
            <w:proofErr w:type="spellEnd"/>
            <w:r w:rsidRPr="007C1A11">
              <w:rPr>
                <w:rFonts w:ascii="Calibri" w:hAnsi="Calibri" w:cs="Calibri"/>
                <w:sz w:val="22"/>
                <w:szCs w:val="22"/>
                <w:lang w:val="en-US"/>
              </w:rPr>
              <w:t xml:space="preserve"> A/C; NSVT: non-sustained ventricular tachycardia; RBBB: right bundle branch block; </w:t>
            </w:r>
            <w:r w:rsidRPr="007C1A11">
              <w:rPr>
                <w:rFonts w:ascii="Calibri" w:hAnsi="Calibri" w:cs="Calibri"/>
                <w:i/>
                <w:iCs/>
                <w:sz w:val="22"/>
                <w:szCs w:val="22"/>
                <w:lang w:val="en-US"/>
              </w:rPr>
              <w:t>SCN5A</w:t>
            </w:r>
            <w:r w:rsidRPr="007C1A11">
              <w:rPr>
                <w:rFonts w:ascii="Calibri" w:hAnsi="Calibri" w:cs="Calibri"/>
                <w:sz w:val="22"/>
                <w:szCs w:val="22"/>
                <w:lang w:val="en-US"/>
              </w:rPr>
              <w:t xml:space="preserve">: cardiac sodium channel type 5 </w:t>
            </w:r>
            <w:r w:rsidRPr="007C1A11">
              <w:rPr>
                <w:rFonts w:ascii="Calibri" w:hAnsi="Calibri" w:cs="Calibri"/>
                <w:sz w:val="22"/>
                <w:szCs w:val="22"/>
                <w:lang w:val="en-US"/>
              </w:rPr>
              <w:sym w:font="Symbol" w:char="F061"/>
            </w:r>
            <w:r w:rsidRPr="007C1A11">
              <w:rPr>
                <w:rFonts w:ascii="Calibri" w:hAnsi="Calibri" w:cs="Calibri"/>
                <w:sz w:val="22"/>
                <w:szCs w:val="22"/>
                <w:lang w:val="en-US"/>
              </w:rPr>
              <w:t xml:space="preserve">-subunit; VPBs: ventricular premature beats. </w:t>
            </w:r>
          </w:p>
          <w:p w14:paraId="51A226ED" w14:textId="77777777" w:rsidR="0068125B" w:rsidRPr="007C1A11" w:rsidRDefault="0068125B" w:rsidP="0068125B">
            <w:pPr>
              <w:rPr>
                <w:rFonts w:ascii="Calibri" w:hAnsi="Calibri" w:cs="Calibri"/>
                <w:sz w:val="22"/>
                <w:szCs w:val="22"/>
                <w:lang w:val="en-US"/>
              </w:rPr>
            </w:pPr>
            <w:r w:rsidRPr="007C1A11">
              <w:rPr>
                <w:rFonts w:ascii="Calibri" w:hAnsi="Calibri" w:cs="Calibri"/>
                <w:sz w:val="22"/>
                <w:szCs w:val="22"/>
                <w:lang w:val="en-US"/>
              </w:rPr>
              <w:t>*The number refers to the prevalence of any supraventricular arrhythmia</w:t>
            </w:r>
          </w:p>
        </w:tc>
      </w:tr>
      <w:tr w:rsidR="0068125B" w:rsidRPr="002E52D3" w14:paraId="7CD58DB8" w14:textId="77777777" w:rsidTr="0068125B">
        <w:tc>
          <w:tcPr>
            <w:tcW w:w="9020" w:type="dxa"/>
            <w:gridSpan w:val="4"/>
            <w:tcBorders>
              <w:top w:val="single" w:sz="4" w:space="0" w:color="auto"/>
              <w:bottom w:val="single" w:sz="4" w:space="0" w:color="auto"/>
            </w:tcBorders>
          </w:tcPr>
          <w:p w14:paraId="53D711E0" w14:textId="77777777" w:rsidR="0068125B" w:rsidRPr="007C1A11" w:rsidRDefault="0068125B" w:rsidP="0068125B">
            <w:pPr>
              <w:rPr>
                <w:rFonts w:ascii="Calibri" w:hAnsi="Calibri" w:cs="Calibri"/>
                <w:b/>
                <w:sz w:val="22"/>
                <w:szCs w:val="22"/>
                <w:lang w:val="en-US"/>
              </w:rPr>
            </w:pPr>
          </w:p>
        </w:tc>
      </w:tr>
    </w:tbl>
    <w:p w14:paraId="34ACCA6C" w14:textId="63DE6095" w:rsidR="0068125B" w:rsidRPr="001D6BE0" w:rsidRDefault="0068125B" w:rsidP="0041574E">
      <w:pPr>
        <w:rPr>
          <w:rFonts w:ascii="Calibri" w:hAnsi="Calibri" w:cs="Calibri"/>
          <w:lang w:val="en-GB"/>
        </w:rPr>
      </w:pPr>
    </w:p>
    <w:p w14:paraId="652C1BAE" w14:textId="682EBD19" w:rsidR="0068125B" w:rsidRDefault="0068125B" w:rsidP="0041574E">
      <w:pPr>
        <w:rPr>
          <w:rFonts w:ascii="Calibri" w:hAnsi="Calibri" w:cs="Calibri"/>
          <w:lang w:val="en-US"/>
        </w:rPr>
      </w:pPr>
    </w:p>
    <w:p w14:paraId="64194E95" w14:textId="77777777" w:rsidR="0068125B" w:rsidRDefault="0068125B" w:rsidP="0041574E">
      <w:pPr>
        <w:rPr>
          <w:rFonts w:ascii="Calibri" w:hAnsi="Calibri" w:cs="Calibri"/>
          <w:lang w:val="en-US"/>
        </w:rPr>
      </w:pPr>
    </w:p>
    <w:p w14:paraId="0236F016" w14:textId="77777777" w:rsidR="00123C7F" w:rsidRPr="0041574E" w:rsidRDefault="00123C7F" w:rsidP="0041574E">
      <w:pPr>
        <w:rPr>
          <w:rFonts w:ascii="Calibri" w:hAnsi="Calibri" w:cs="Calibri"/>
          <w:lang w:val="en-US"/>
        </w:rPr>
      </w:pPr>
    </w:p>
    <w:p w14:paraId="09D2DD4C" w14:textId="74E9F87F" w:rsidR="0068125B" w:rsidRDefault="00A62677" w:rsidP="006A2FE5">
      <w:pPr>
        <w:rPr>
          <w:rFonts w:ascii="Calibri" w:hAnsi="Calibri" w:cs="Calibri"/>
          <w:b/>
          <w:bCs/>
          <w:lang w:val="en-US"/>
        </w:rPr>
      </w:pPr>
      <w:r>
        <w:rPr>
          <w:rFonts w:ascii="Calibri" w:hAnsi="Calibri" w:cs="Calibri"/>
          <w:b/>
          <w:bCs/>
          <w:lang w:val="en-US"/>
        </w:rPr>
        <w:t>Table 3.</w:t>
      </w:r>
      <w:r w:rsidR="008C16DE">
        <w:rPr>
          <w:rFonts w:ascii="Calibri" w:hAnsi="Calibri" w:cs="Calibri"/>
          <w:b/>
          <w:bCs/>
          <w:lang w:val="en-US"/>
        </w:rPr>
        <w:t xml:space="preserve"> </w:t>
      </w:r>
      <w:r w:rsidR="008C16DE" w:rsidRPr="008C16DE">
        <w:rPr>
          <w:rFonts w:ascii="Calibri" w:hAnsi="Calibri" w:cs="Calibri"/>
          <w:bCs/>
          <w:lang w:val="en-US"/>
        </w:rPr>
        <w:t>Non-genetic forms of DCM.</w:t>
      </w:r>
    </w:p>
    <w:p w14:paraId="508DF4F7" w14:textId="7696AD53" w:rsidR="00A62677" w:rsidRDefault="00A62677" w:rsidP="006A2FE5">
      <w:pPr>
        <w:rPr>
          <w:rFonts w:ascii="Calibri" w:hAnsi="Calibri" w:cs="Calibri"/>
          <w:b/>
          <w:bCs/>
          <w:lang w:val="en-US"/>
        </w:rPr>
      </w:pPr>
    </w:p>
    <w:p w14:paraId="0D844AEE" w14:textId="66045F65" w:rsidR="00A62677" w:rsidRDefault="00A62677" w:rsidP="006A2FE5">
      <w:pPr>
        <w:rPr>
          <w:rFonts w:ascii="Calibri" w:hAnsi="Calibri" w:cs="Calibri"/>
          <w:b/>
          <w:bCs/>
          <w:lang w:val="en-US"/>
        </w:rPr>
      </w:pPr>
    </w:p>
    <w:tbl>
      <w:tblPr>
        <w:tblStyle w:val="TableGrid"/>
        <w:tblW w:w="0" w:type="auto"/>
        <w:tblBorders>
          <w:insideV w:val="none" w:sz="0" w:space="0" w:color="auto"/>
        </w:tblBorders>
        <w:tblLook w:val="04A0" w:firstRow="1" w:lastRow="0" w:firstColumn="1" w:lastColumn="0" w:noHBand="0" w:noVBand="1"/>
      </w:tblPr>
      <w:tblGrid>
        <w:gridCol w:w="3397"/>
        <w:gridCol w:w="5613"/>
      </w:tblGrid>
      <w:tr w:rsidR="00A62677" w:rsidRPr="002E52D3" w14:paraId="42DD83CA" w14:textId="77777777" w:rsidTr="003B3ADA">
        <w:tc>
          <w:tcPr>
            <w:tcW w:w="3397" w:type="dxa"/>
            <w:tcBorders>
              <w:left w:val="nil"/>
              <w:bottom w:val="single" w:sz="4" w:space="0" w:color="auto"/>
            </w:tcBorders>
          </w:tcPr>
          <w:p w14:paraId="67117724" w14:textId="77777777" w:rsidR="00A62677" w:rsidRPr="00A62677" w:rsidRDefault="00A62677" w:rsidP="003B3ADA">
            <w:pPr>
              <w:rPr>
                <w:rFonts w:ascii="Calibri" w:hAnsi="Calibri" w:cs="Calibri"/>
                <w:b/>
                <w:bCs/>
                <w:sz w:val="22"/>
                <w:szCs w:val="22"/>
                <w:lang w:val="en-GB"/>
              </w:rPr>
            </w:pPr>
            <w:r w:rsidRPr="00A62677">
              <w:rPr>
                <w:rFonts w:ascii="Calibri" w:hAnsi="Calibri" w:cs="Calibri"/>
                <w:b/>
                <w:bCs/>
                <w:sz w:val="22"/>
                <w:szCs w:val="22"/>
                <w:lang w:val="en-GB"/>
              </w:rPr>
              <w:t>Non genetic DCM</w:t>
            </w:r>
          </w:p>
        </w:tc>
        <w:tc>
          <w:tcPr>
            <w:tcW w:w="5613" w:type="dxa"/>
            <w:tcBorders>
              <w:bottom w:val="single" w:sz="4" w:space="0" w:color="auto"/>
              <w:right w:val="nil"/>
            </w:tcBorders>
          </w:tcPr>
          <w:p w14:paraId="24148921" w14:textId="77777777" w:rsidR="00A62677" w:rsidRPr="00A62677" w:rsidRDefault="00A62677" w:rsidP="003B3ADA">
            <w:pPr>
              <w:rPr>
                <w:rFonts w:ascii="Calibri" w:hAnsi="Calibri" w:cs="Calibri"/>
                <w:sz w:val="22"/>
                <w:szCs w:val="22"/>
                <w:lang w:val="en-GB"/>
              </w:rPr>
            </w:pPr>
          </w:p>
        </w:tc>
      </w:tr>
      <w:tr w:rsidR="00A62677" w:rsidRPr="002E52D3" w14:paraId="0F26F22E" w14:textId="77777777" w:rsidTr="003B3ADA">
        <w:tc>
          <w:tcPr>
            <w:tcW w:w="3397" w:type="dxa"/>
            <w:tcBorders>
              <w:left w:val="nil"/>
              <w:bottom w:val="nil"/>
            </w:tcBorders>
          </w:tcPr>
          <w:p w14:paraId="4715BD31" w14:textId="77777777" w:rsidR="00A62677" w:rsidRPr="001D6BE0" w:rsidRDefault="00A62677" w:rsidP="00A62677">
            <w:pPr>
              <w:pStyle w:val="ListParagraph"/>
              <w:numPr>
                <w:ilvl w:val="0"/>
                <w:numId w:val="5"/>
              </w:numPr>
              <w:spacing w:after="160" w:line="259" w:lineRule="auto"/>
              <w:rPr>
                <w:rFonts w:ascii="Calibri" w:hAnsi="Calibri" w:cs="Calibri"/>
                <w:b/>
                <w:bCs/>
                <w:sz w:val="22"/>
                <w:szCs w:val="22"/>
                <w:lang w:val="en-GB"/>
              </w:rPr>
            </w:pPr>
            <w:r w:rsidRPr="001D6BE0">
              <w:rPr>
                <w:rFonts w:ascii="Calibri" w:hAnsi="Calibri" w:cs="Calibri"/>
                <w:b/>
                <w:bCs/>
                <w:sz w:val="22"/>
                <w:szCs w:val="22"/>
                <w:lang w:val="en-GB"/>
              </w:rPr>
              <w:t>Post-inflammatory DCM</w:t>
            </w:r>
          </w:p>
        </w:tc>
        <w:tc>
          <w:tcPr>
            <w:tcW w:w="5613" w:type="dxa"/>
            <w:tcBorders>
              <w:bottom w:val="nil"/>
              <w:right w:val="nil"/>
            </w:tcBorders>
          </w:tcPr>
          <w:p w14:paraId="2807CE5A" w14:textId="77777777" w:rsidR="00A62677" w:rsidRPr="001D6BE0" w:rsidRDefault="00A62677" w:rsidP="003B3ADA">
            <w:pPr>
              <w:rPr>
                <w:rFonts w:ascii="Calibri" w:hAnsi="Calibri" w:cs="Calibri"/>
                <w:sz w:val="22"/>
                <w:szCs w:val="22"/>
                <w:lang w:val="en-GB"/>
              </w:rPr>
            </w:pPr>
            <w:r w:rsidRPr="00A62677">
              <w:rPr>
                <w:rFonts w:ascii="Calibri" w:hAnsi="Calibri" w:cs="Calibri"/>
                <w:sz w:val="22"/>
                <w:szCs w:val="22"/>
                <w:lang w:val="en-GB"/>
              </w:rPr>
              <w:t>-</w:t>
            </w:r>
            <w:r w:rsidRPr="001D6BE0">
              <w:rPr>
                <w:rFonts w:ascii="Calibri" w:hAnsi="Calibri" w:cs="Calibri"/>
                <w:sz w:val="22"/>
                <w:szCs w:val="22"/>
                <w:lang w:val="en-GB"/>
              </w:rPr>
              <w:t xml:space="preserve"> Low voltages (diffuse)</w:t>
            </w:r>
          </w:p>
          <w:p w14:paraId="4E842C75"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US"/>
              </w:rPr>
              <w:t>- T wave inversion (</w:t>
            </w:r>
            <w:r w:rsidRPr="00A62677">
              <w:rPr>
                <w:rFonts w:ascii="Calibri" w:hAnsi="Calibri" w:cs="Calibri"/>
                <w:sz w:val="22"/>
                <w:szCs w:val="22"/>
                <w:lang w:val="en-GB"/>
              </w:rPr>
              <w:t>especially in the lateral leads)</w:t>
            </w:r>
          </w:p>
          <w:p w14:paraId="3FAA7592"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Prolonged QRS duration</w:t>
            </w:r>
          </w:p>
          <w:p w14:paraId="096D3F8E"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Frequent VPBs and NSVT</w:t>
            </w:r>
          </w:p>
          <w:p w14:paraId="3F2BD213"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RBBB and LAH or high-degree AV blocks (Chagas disease)</w:t>
            </w:r>
          </w:p>
        </w:tc>
      </w:tr>
      <w:tr w:rsidR="00A62677" w:rsidRPr="002E52D3" w14:paraId="2CE09F3F" w14:textId="77777777" w:rsidTr="003B3ADA">
        <w:tc>
          <w:tcPr>
            <w:tcW w:w="3397" w:type="dxa"/>
            <w:tcBorders>
              <w:top w:val="nil"/>
              <w:left w:val="nil"/>
              <w:bottom w:val="nil"/>
            </w:tcBorders>
          </w:tcPr>
          <w:p w14:paraId="642588EE" w14:textId="77777777" w:rsidR="00A62677" w:rsidRPr="001D6BE0" w:rsidRDefault="00A62677" w:rsidP="00A62677">
            <w:pPr>
              <w:pStyle w:val="ListParagraph"/>
              <w:numPr>
                <w:ilvl w:val="0"/>
                <w:numId w:val="5"/>
              </w:numPr>
              <w:spacing w:after="160" w:line="259" w:lineRule="auto"/>
              <w:rPr>
                <w:rFonts w:ascii="Calibri" w:hAnsi="Calibri" w:cs="Calibri"/>
                <w:b/>
                <w:bCs/>
                <w:sz w:val="22"/>
                <w:szCs w:val="22"/>
                <w:lang w:val="en-GB"/>
              </w:rPr>
            </w:pPr>
            <w:r w:rsidRPr="001D6BE0">
              <w:rPr>
                <w:rFonts w:ascii="Calibri" w:hAnsi="Calibri" w:cs="Calibri"/>
                <w:b/>
                <w:bCs/>
                <w:sz w:val="22"/>
                <w:szCs w:val="22"/>
                <w:lang w:val="en-GB"/>
              </w:rPr>
              <w:t>Cardiac sarcoidosis</w:t>
            </w:r>
          </w:p>
        </w:tc>
        <w:tc>
          <w:tcPr>
            <w:tcW w:w="5613" w:type="dxa"/>
            <w:tcBorders>
              <w:top w:val="nil"/>
              <w:bottom w:val="nil"/>
              <w:right w:val="nil"/>
            </w:tcBorders>
          </w:tcPr>
          <w:p w14:paraId="0F02F179"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High degree AV blocks</w:t>
            </w:r>
          </w:p>
          <w:p w14:paraId="7EF66EB8"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RBBB</w:t>
            </w:r>
          </w:p>
          <w:p w14:paraId="4F0278C9"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GB"/>
              </w:rPr>
              <w:t>- Frequent VPBs and NSVT</w:t>
            </w:r>
          </w:p>
        </w:tc>
      </w:tr>
      <w:tr w:rsidR="00A62677" w:rsidRPr="002E52D3" w14:paraId="40149D28" w14:textId="77777777" w:rsidTr="003B3ADA">
        <w:tc>
          <w:tcPr>
            <w:tcW w:w="3397" w:type="dxa"/>
            <w:tcBorders>
              <w:top w:val="nil"/>
              <w:left w:val="nil"/>
              <w:bottom w:val="nil"/>
            </w:tcBorders>
          </w:tcPr>
          <w:p w14:paraId="404A00C3" w14:textId="77777777" w:rsidR="00A62677" w:rsidRPr="001D6BE0" w:rsidRDefault="00A62677" w:rsidP="00A62677">
            <w:pPr>
              <w:pStyle w:val="ListParagraph"/>
              <w:numPr>
                <w:ilvl w:val="0"/>
                <w:numId w:val="5"/>
              </w:numPr>
              <w:spacing w:after="160" w:line="259" w:lineRule="auto"/>
              <w:rPr>
                <w:rFonts w:ascii="Calibri" w:hAnsi="Calibri" w:cs="Calibri"/>
                <w:b/>
                <w:bCs/>
                <w:sz w:val="22"/>
                <w:szCs w:val="22"/>
                <w:lang w:val="en-GB"/>
              </w:rPr>
            </w:pPr>
            <w:r w:rsidRPr="001D6BE0">
              <w:rPr>
                <w:rFonts w:ascii="Calibri" w:hAnsi="Calibri" w:cs="Calibri"/>
                <w:b/>
                <w:bCs/>
                <w:sz w:val="22"/>
                <w:szCs w:val="22"/>
                <w:lang w:val="en-GB"/>
              </w:rPr>
              <w:t>Tachycardia-induced DCM</w:t>
            </w:r>
          </w:p>
        </w:tc>
        <w:tc>
          <w:tcPr>
            <w:tcW w:w="5613" w:type="dxa"/>
            <w:tcBorders>
              <w:top w:val="nil"/>
              <w:bottom w:val="nil"/>
              <w:right w:val="nil"/>
            </w:tcBorders>
          </w:tcPr>
          <w:p w14:paraId="720C209D" w14:textId="77777777" w:rsidR="00A62677" w:rsidRPr="00A62677" w:rsidRDefault="00A62677" w:rsidP="003B3ADA">
            <w:pPr>
              <w:rPr>
                <w:rFonts w:ascii="Calibri" w:hAnsi="Calibri" w:cs="Calibri"/>
                <w:sz w:val="22"/>
                <w:szCs w:val="22"/>
                <w:lang w:val="en-US"/>
              </w:rPr>
            </w:pPr>
            <w:r w:rsidRPr="00A62677">
              <w:rPr>
                <w:rFonts w:ascii="Calibri" w:hAnsi="Calibri" w:cs="Calibri"/>
                <w:sz w:val="22"/>
                <w:szCs w:val="22"/>
                <w:lang w:val="en-GB"/>
              </w:rPr>
              <w:t>-</w:t>
            </w:r>
            <w:r w:rsidRPr="00A62677">
              <w:rPr>
                <w:rFonts w:ascii="Calibri" w:hAnsi="Calibri" w:cs="Calibri"/>
                <w:sz w:val="22"/>
                <w:szCs w:val="22"/>
                <w:lang w:val="en-US"/>
              </w:rPr>
              <w:t xml:space="preserve"> AF</w:t>
            </w:r>
          </w:p>
          <w:p w14:paraId="564C16D4"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US"/>
              </w:rPr>
              <w:t xml:space="preserve">- Frequent VPBs </w:t>
            </w:r>
          </w:p>
        </w:tc>
      </w:tr>
      <w:tr w:rsidR="00A62677" w:rsidRPr="002E52D3" w14:paraId="4AD1A4C3" w14:textId="77777777" w:rsidTr="003B3ADA">
        <w:tc>
          <w:tcPr>
            <w:tcW w:w="3397" w:type="dxa"/>
            <w:tcBorders>
              <w:top w:val="nil"/>
              <w:left w:val="nil"/>
              <w:bottom w:val="nil"/>
            </w:tcBorders>
          </w:tcPr>
          <w:p w14:paraId="71DDCEB6" w14:textId="77777777" w:rsidR="00A62677" w:rsidRPr="001D6BE0" w:rsidRDefault="00A62677" w:rsidP="00A62677">
            <w:pPr>
              <w:pStyle w:val="ListParagraph"/>
              <w:numPr>
                <w:ilvl w:val="0"/>
                <w:numId w:val="5"/>
              </w:numPr>
              <w:spacing w:after="160" w:line="259" w:lineRule="auto"/>
              <w:rPr>
                <w:rFonts w:ascii="Calibri" w:hAnsi="Calibri" w:cs="Calibri"/>
                <w:b/>
                <w:bCs/>
                <w:sz w:val="22"/>
                <w:szCs w:val="22"/>
                <w:lang w:val="en-GB"/>
              </w:rPr>
            </w:pPr>
            <w:r w:rsidRPr="001D6BE0">
              <w:rPr>
                <w:rFonts w:ascii="Calibri" w:hAnsi="Calibri" w:cs="Calibri"/>
                <w:b/>
                <w:bCs/>
                <w:sz w:val="22"/>
                <w:szCs w:val="22"/>
                <w:lang w:val="en-GB"/>
              </w:rPr>
              <w:t>Chemotherapy-induced DCM</w:t>
            </w:r>
          </w:p>
        </w:tc>
        <w:tc>
          <w:tcPr>
            <w:tcW w:w="5613" w:type="dxa"/>
            <w:tcBorders>
              <w:top w:val="nil"/>
              <w:bottom w:val="nil"/>
              <w:right w:val="nil"/>
            </w:tcBorders>
          </w:tcPr>
          <w:p w14:paraId="65500B62" w14:textId="77777777" w:rsidR="00A62677" w:rsidRPr="00A62677" w:rsidRDefault="00A62677" w:rsidP="003B3ADA">
            <w:pPr>
              <w:rPr>
                <w:rFonts w:ascii="Calibri" w:hAnsi="Calibri" w:cs="Calibri"/>
                <w:sz w:val="22"/>
                <w:szCs w:val="22"/>
                <w:lang w:val="en-US"/>
              </w:rPr>
            </w:pPr>
            <w:r w:rsidRPr="00A62677">
              <w:rPr>
                <w:rFonts w:ascii="Calibri" w:hAnsi="Calibri" w:cs="Calibri"/>
                <w:sz w:val="22"/>
                <w:szCs w:val="22"/>
                <w:lang w:val="en-GB"/>
              </w:rPr>
              <w:t>-</w:t>
            </w:r>
            <w:r w:rsidRPr="00A62677">
              <w:rPr>
                <w:rFonts w:ascii="Calibri" w:hAnsi="Calibri" w:cs="Calibri"/>
                <w:sz w:val="22"/>
                <w:szCs w:val="22"/>
                <w:lang w:val="en-US"/>
              </w:rPr>
              <w:t xml:space="preserve"> Non-specific findings (low QRS voltages and prolonged QTc correlate with disease prognosis)</w:t>
            </w:r>
          </w:p>
        </w:tc>
      </w:tr>
      <w:tr w:rsidR="00A62677" w:rsidRPr="002E52D3" w14:paraId="1EAE9A75" w14:textId="77777777" w:rsidTr="003B3ADA">
        <w:tc>
          <w:tcPr>
            <w:tcW w:w="3397" w:type="dxa"/>
            <w:tcBorders>
              <w:top w:val="nil"/>
              <w:left w:val="nil"/>
              <w:bottom w:val="single" w:sz="4" w:space="0" w:color="auto"/>
            </w:tcBorders>
          </w:tcPr>
          <w:p w14:paraId="67AAB7D6" w14:textId="77777777" w:rsidR="00A62677" w:rsidRPr="001D6BE0" w:rsidRDefault="00A62677" w:rsidP="00A62677">
            <w:pPr>
              <w:pStyle w:val="ListParagraph"/>
              <w:numPr>
                <w:ilvl w:val="0"/>
                <w:numId w:val="5"/>
              </w:numPr>
              <w:spacing w:after="160" w:line="259" w:lineRule="auto"/>
              <w:rPr>
                <w:rFonts w:ascii="Calibri" w:hAnsi="Calibri" w:cs="Calibri"/>
                <w:b/>
                <w:bCs/>
                <w:sz w:val="22"/>
                <w:szCs w:val="22"/>
                <w:lang w:val="en-GB"/>
              </w:rPr>
            </w:pPr>
            <w:r w:rsidRPr="001D6BE0">
              <w:rPr>
                <w:rFonts w:ascii="Calibri" w:hAnsi="Calibri" w:cs="Calibri"/>
                <w:b/>
                <w:bCs/>
                <w:sz w:val="22"/>
                <w:szCs w:val="22"/>
                <w:lang w:val="en-GB"/>
              </w:rPr>
              <w:t>Toxic-induced DCM</w:t>
            </w:r>
          </w:p>
        </w:tc>
        <w:tc>
          <w:tcPr>
            <w:tcW w:w="5613" w:type="dxa"/>
            <w:tcBorders>
              <w:top w:val="nil"/>
              <w:bottom w:val="single" w:sz="4" w:space="0" w:color="auto"/>
              <w:right w:val="nil"/>
            </w:tcBorders>
          </w:tcPr>
          <w:p w14:paraId="1B5B7545" w14:textId="77777777" w:rsidR="00A62677" w:rsidRPr="00A62677" w:rsidRDefault="00A62677" w:rsidP="003B3ADA">
            <w:pPr>
              <w:rPr>
                <w:rFonts w:ascii="Calibri" w:hAnsi="Calibri" w:cs="Calibri"/>
                <w:sz w:val="22"/>
                <w:szCs w:val="22"/>
                <w:lang w:val="en-US"/>
              </w:rPr>
            </w:pPr>
            <w:r w:rsidRPr="00A62677">
              <w:rPr>
                <w:rFonts w:ascii="Calibri" w:hAnsi="Calibri" w:cs="Calibri"/>
                <w:sz w:val="22"/>
                <w:szCs w:val="22"/>
                <w:lang w:val="en-GB"/>
              </w:rPr>
              <w:t>-</w:t>
            </w:r>
            <w:r w:rsidRPr="00A62677">
              <w:rPr>
                <w:rFonts w:ascii="Calibri" w:hAnsi="Calibri" w:cs="Calibri"/>
                <w:sz w:val="22"/>
                <w:szCs w:val="22"/>
                <w:lang w:val="en-US"/>
              </w:rPr>
              <w:t xml:space="preserve"> Non-specific findings (LBBB, various degree AV blocks, </w:t>
            </w:r>
            <w:proofErr w:type="spellStart"/>
            <w:r w:rsidRPr="00A62677">
              <w:rPr>
                <w:rFonts w:ascii="Calibri" w:hAnsi="Calibri" w:cs="Calibri"/>
                <w:sz w:val="22"/>
                <w:szCs w:val="22"/>
                <w:lang w:val="en-US"/>
              </w:rPr>
              <w:t>non specific</w:t>
            </w:r>
            <w:proofErr w:type="spellEnd"/>
            <w:r w:rsidRPr="00A62677">
              <w:rPr>
                <w:rFonts w:ascii="Calibri" w:hAnsi="Calibri" w:cs="Calibri"/>
                <w:sz w:val="22"/>
                <w:szCs w:val="22"/>
                <w:lang w:val="en-US"/>
              </w:rPr>
              <w:t xml:space="preserve"> ST segment alterations)</w:t>
            </w:r>
          </w:p>
        </w:tc>
      </w:tr>
      <w:tr w:rsidR="00A62677" w:rsidRPr="002E52D3" w14:paraId="56570C40" w14:textId="77777777" w:rsidTr="003B3ADA">
        <w:tc>
          <w:tcPr>
            <w:tcW w:w="9010" w:type="dxa"/>
            <w:gridSpan w:val="2"/>
            <w:tcBorders>
              <w:left w:val="nil"/>
              <w:bottom w:val="single" w:sz="4" w:space="0" w:color="auto"/>
              <w:right w:val="nil"/>
            </w:tcBorders>
          </w:tcPr>
          <w:p w14:paraId="2B682B6F" w14:textId="77777777" w:rsidR="00A62677" w:rsidRPr="00A62677" w:rsidRDefault="00A62677" w:rsidP="003B3ADA">
            <w:pPr>
              <w:rPr>
                <w:rFonts w:ascii="Calibri" w:hAnsi="Calibri" w:cs="Calibri"/>
                <w:sz w:val="22"/>
                <w:szCs w:val="22"/>
                <w:lang w:val="en-GB"/>
              </w:rPr>
            </w:pPr>
            <w:r w:rsidRPr="00A62677">
              <w:rPr>
                <w:rFonts w:ascii="Calibri" w:hAnsi="Calibri" w:cs="Calibri"/>
                <w:sz w:val="22"/>
                <w:szCs w:val="22"/>
                <w:lang w:val="en-US"/>
              </w:rPr>
              <w:t xml:space="preserve">Abbreviations: AF: atrial fibrillation; AV: </w:t>
            </w:r>
            <w:proofErr w:type="spellStart"/>
            <w:r w:rsidRPr="00A62677">
              <w:rPr>
                <w:rFonts w:ascii="Calibri" w:hAnsi="Calibri" w:cs="Calibri"/>
                <w:sz w:val="22"/>
                <w:szCs w:val="22"/>
                <w:lang w:val="en-US"/>
              </w:rPr>
              <w:t>atrio</w:t>
            </w:r>
            <w:proofErr w:type="spellEnd"/>
            <w:r w:rsidRPr="00A62677">
              <w:rPr>
                <w:rFonts w:ascii="Calibri" w:hAnsi="Calibri" w:cs="Calibri"/>
                <w:sz w:val="22"/>
                <w:szCs w:val="22"/>
                <w:lang w:val="en-US"/>
              </w:rPr>
              <w:t xml:space="preserve">-ventricular; DCM: dilated cardiomyopathy; LAH: left anterior hemiblock; LBBB: left bundle branch block; NSVT: non-sustained ventricular tachycardia; RBBB: right bundle branch block; VPBs: ventricular premature beats; </w:t>
            </w:r>
          </w:p>
        </w:tc>
      </w:tr>
    </w:tbl>
    <w:p w14:paraId="50CC95C9" w14:textId="34EA3C4B" w:rsidR="00A62677" w:rsidRPr="00A62677" w:rsidRDefault="00A62677" w:rsidP="006A2FE5">
      <w:pPr>
        <w:rPr>
          <w:rFonts w:ascii="Calibri" w:hAnsi="Calibri" w:cs="Calibri"/>
          <w:b/>
          <w:bCs/>
          <w:lang w:val="en-GB"/>
        </w:rPr>
      </w:pPr>
    </w:p>
    <w:p w14:paraId="1917DAC5" w14:textId="2280DAFD" w:rsidR="00A62677" w:rsidRDefault="00A62677" w:rsidP="006A2FE5">
      <w:pPr>
        <w:rPr>
          <w:rFonts w:ascii="Calibri" w:hAnsi="Calibri" w:cs="Calibri"/>
          <w:b/>
          <w:bCs/>
          <w:lang w:val="en-US"/>
        </w:rPr>
      </w:pPr>
    </w:p>
    <w:p w14:paraId="445DD681" w14:textId="127DD6EC" w:rsidR="00A62677" w:rsidRDefault="00A62677" w:rsidP="006A2FE5">
      <w:pPr>
        <w:rPr>
          <w:rFonts w:ascii="Calibri" w:hAnsi="Calibri" w:cs="Calibri"/>
          <w:b/>
          <w:bCs/>
          <w:lang w:val="en-US"/>
        </w:rPr>
      </w:pPr>
    </w:p>
    <w:p w14:paraId="00AADD27" w14:textId="77777777" w:rsidR="00A62677" w:rsidRDefault="00A62677" w:rsidP="006A2FE5">
      <w:pPr>
        <w:rPr>
          <w:rFonts w:ascii="Calibri" w:hAnsi="Calibri" w:cs="Calibri"/>
          <w:b/>
          <w:bCs/>
          <w:lang w:val="en-US"/>
        </w:rPr>
      </w:pPr>
    </w:p>
    <w:p w14:paraId="6A0E9769" w14:textId="77777777" w:rsidR="00A62677" w:rsidRDefault="00A62677">
      <w:pPr>
        <w:rPr>
          <w:rFonts w:ascii="Calibri" w:hAnsi="Calibri" w:cs="Calibri"/>
          <w:b/>
          <w:bCs/>
          <w:lang w:val="en-US"/>
        </w:rPr>
      </w:pPr>
      <w:r>
        <w:rPr>
          <w:rFonts w:ascii="Calibri" w:hAnsi="Calibri" w:cs="Calibri"/>
          <w:b/>
          <w:bCs/>
          <w:lang w:val="en-US"/>
        </w:rPr>
        <w:br w:type="page"/>
      </w:r>
    </w:p>
    <w:p w14:paraId="6679959A" w14:textId="5DD5B1B0" w:rsidR="003973C1" w:rsidRPr="0041574E" w:rsidRDefault="00406728" w:rsidP="006A2FE5">
      <w:pPr>
        <w:rPr>
          <w:rFonts w:ascii="Calibri" w:hAnsi="Calibri" w:cs="Calibri"/>
          <w:noProof/>
          <w:lang w:val="en-US"/>
        </w:rPr>
      </w:pPr>
      <w:r w:rsidRPr="0041574E">
        <w:rPr>
          <w:rFonts w:ascii="Calibri" w:hAnsi="Calibri" w:cs="Calibri"/>
          <w:b/>
          <w:bCs/>
          <w:lang w:val="en-US"/>
        </w:rPr>
        <w:t xml:space="preserve">Figure 1. </w:t>
      </w:r>
      <w:r w:rsidRPr="00E04E06">
        <w:rPr>
          <w:rFonts w:ascii="Calibri" w:hAnsi="Calibri" w:cs="Calibri"/>
          <w:bCs/>
          <w:lang w:val="en-US"/>
        </w:rPr>
        <w:t>ECG of DCM patients with underlying pathogenic variants.</w:t>
      </w:r>
      <w:r w:rsidR="002879F5" w:rsidRPr="00E04E06">
        <w:rPr>
          <w:rFonts w:ascii="Calibri" w:hAnsi="Calibri" w:cs="Calibri"/>
          <w:bCs/>
          <w:lang w:val="en-US"/>
        </w:rPr>
        <w:t xml:space="preserve"> </w:t>
      </w:r>
      <w:r w:rsidR="002879F5" w:rsidRPr="00DE4F09">
        <w:rPr>
          <w:rFonts w:ascii="Calibri" w:hAnsi="Calibri" w:cs="Calibri"/>
          <w:b/>
          <w:bCs/>
          <w:lang w:val="en-US"/>
        </w:rPr>
        <w:t>A.</w:t>
      </w:r>
      <w:r w:rsidR="002879F5" w:rsidRPr="00E04E06">
        <w:rPr>
          <w:rFonts w:ascii="Calibri" w:hAnsi="Calibri" w:cs="Calibri"/>
          <w:bCs/>
          <w:lang w:val="en-US"/>
        </w:rPr>
        <w:t xml:space="preserve"> </w:t>
      </w:r>
      <w:r w:rsidR="0085375B" w:rsidRPr="00E04E06">
        <w:rPr>
          <w:rFonts w:ascii="Calibri" w:hAnsi="Calibri" w:cs="Calibri"/>
          <w:lang w:val="en-US"/>
        </w:rPr>
        <w:t xml:space="preserve">First degree AV-block and RBBB </w:t>
      </w:r>
      <w:r w:rsidR="00675635" w:rsidRPr="00E04E06">
        <w:rPr>
          <w:rFonts w:ascii="Calibri" w:hAnsi="Calibri" w:cs="Calibri"/>
          <w:lang w:val="en-US"/>
        </w:rPr>
        <w:t xml:space="preserve">with left anterior hemiblock </w:t>
      </w:r>
      <w:r w:rsidR="0085375B" w:rsidRPr="00E04E06">
        <w:rPr>
          <w:rFonts w:ascii="Calibri" w:hAnsi="Calibri" w:cs="Calibri"/>
          <w:lang w:val="en-US"/>
        </w:rPr>
        <w:t>in a carrier of</w:t>
      </w:r>
      <w:r w:rsidR="002879F5" w:rsidRPr="00E04E06">
        <w:rPr>
          <w:rFonts w:ascii="Calibri" w:hAnsi="Calibri" w:cs="Calibri"/>
          <w:lang w:val="en-US"/>
        </w:rPr>
        <w:t xml:space="preserve"> </w:t>
      </w:r>
      <w:r w:rsidR="002879F5" w:rsidRPr="00E04E06">
        <w:rPr>
          <w:rFonts w:ascii="Calibri" w:hAnsi="Calibri" w:cs="Calibri"/>
          <w:i/>
          <w:iCs/>
          <w:lang w:val="en-US"/>
        </w:rPr>
        <w:t>LMNA</w:t>
      </w:r>
      <w:r w:rsidR="002879F5" w:rsidRPr="00E04E06">
        <w:rPr>
          <w:rFonts w:ascii="Calibri" w:hAnsi="Calibri" w:cs="Calibri"/>
          <w:lang w:val="en-US"/>
        </w:rPr>
        <w:t xml:space="preserve"> pathogenic variant</w:t>
      </w:r>
      <w:r w:rsidR="0085375B" w:rsidRPr="00E04E06">
        <w:rPr>
          <w:rFonts w:ascii="Calibri" w:hAnsi="Calibri" w:cs="Calibri"/>
          <w:lang w:val="en-US"/>
        </w:rPr>
        <w:t>.</w:t>
      </w:r>
      <w:r w:rsidR="008405D0" w:rsidRPr="00E04E06">
        <w:rPr>
          <w:rFonts w:ascii="Calibri" w:hAnsi="Calibri" w:cs="Calibri"/>
          <w:lang w:val="en-US"/>
        </w:rPr>
        <w:t xml:space="preserve"> </w:t>
      </w:r>
      <w:r w:rsidR="008405D0" w:rsidRPr="00DE4F09">
        <w:rPr>
          <w:rFonts w:ascii="Calibri" w:hAnsi="Calibri" w:cs="Calibri"/>
          <w:b/>
          <w:bCs/>
          <w:lang w:val="en-US"/>
        </w:rPr>
        <w:t>B.</w:t>
      </w:r>
      <w:r w:rsidR="008405D0" w:rsidRPr="00E04E06">
        <w:rPr>
          <w:rFonts w:ascii="Calibri" w:hAnsi="Calibri" w:cs="Calibri"/>
          <w:lang w:val="en-US"/>
        </w:rPr>
        <w:t xml:space="preserve"> </w:t>
      </w:r>
      <w:r w:rsidR="008A299F" w:rsidRPr="00E04E06">
        <w:rPr>
          <w:rFonts w:ascii="Calibri" w:hAnsi="Calibri" w:cs="Calibri"/>
          <w:lang w:val="en-US"/>
        </w:rPr>
        <w:t>Low voltages in the limb leads and</w:t>
      </w:r>
      <w:r w:rsidR="008A299F" w:rsidRPr="0041574E">
        <w:rPr>
          <w:rFonts w:ascii="Calibri" w:hAnsi="Calibri" w:cs="Calibri"/>
          <w:lang w:val="en-US"/>
        </w:rPr>
        <w:t xml:space="preserve"> inferolateral T wave inversion in a carrier of </w:t>
      </w:r>
      <w:r w:rsidR="008A299F" w:rsidRPr="0041574E">
        <w:rPr>
          <w:rFonts w:ascii="Calibri" w:hAnsi="Calibri" w:cs="Calibri"/>
          <w:i/>
          <w:iCs/>
          <w:lang w:val="en-US"/>
        </w:rPr>
        <w:t>FLNC</w:t>
      </w:r>
      <w:r w:rsidR="008A299F" w:rsidRPr="0041574E">
        <w:rPr>
          <w:rFonts w:ascii="Calibri" w:hAnsi="Calibri" w:cs="Calibri"/>
          <w:lang w:val="en-US"/>
        </w:rPr>
        <w:t xml:space="preserve"> pathogenic variant. </w:t>
      </w:r>
      <w:r w:rsidR="008A299F" w:rsidRPr="0041574E">
        <w:rPr>
          <w:rFonts w:ascii="Calibri" w:hAnsi="Calibri" w:cs="Calibri"/>
          <w:b/>
          <w:bCs/>
          <w:lang w:val="en-US"/>
        </w:rPr>
        <w:t>C.</w:t>
      </w:r>
      <w:r w:rsidR="008A299F" w:rsidRPr="0041574E">
        <w:rPr>
          <w:rFonts w:ascii="Calibri" w:hAnsi="Calibri" w:cs="Calibri"/>
          <w:lang w:val="en-US"/>
        </w:rPr>
        <w:t xml:space="preserve"> Inferolateral pseudo</w:t>
      </w:r>
      <w:r w:rsidR="00FC4541">
        <w:rPr>
          <w:rFonts w:ascii="Calibri" w:hAnsi="Calibri" w:cs="Calibri"/>
          <w:lang w:val="en-US"/>
        </w:rPr>
        <w:t>-</w:t>
      </w:r>
      <w:r w:rsidR="008A299F" w:rsidRPr="0041574E">
        <w:rPr>
          <w:rFonts w:ascii="Calibri" w:hAnsi="Calibri" w:cs="Calibri"/>
          <w:lang w:val="en-US"/>
        </w:rPr>
        <w:t xml:space="preserve">necrosis in a carrier of </w:t>
      </w:r>
      <w:r w:rsidR="008A299F" w:rsidRPr="0041574E">
        <w:rPr>
          <w:rFonts w:ascii="Calibri" w:hAnsi="Calibri" w:cs="Calibri"/>
          <w:i/>
          <w:iCs/>
          <w:lang w:val="en-US"/>
        </w:rPr>
        <w:t>DMD</w:t>
      </w:r>
      <w:r w:rsidR="008A299F" w:rsidRPr="0041574E">
        <w:rPr>
          <w:rFonts w:ascii="Calibri" w:hAnsi="Calibri" w:cs="Calibri"/>
          <w:lang w:val="en-US"/>
        </w:rPr>
        <w:t xml:space="preserve"> pathogenic variant. </w:t>
      </w:r>
      <w:r w:rsidR="008A299F" w:rsidRPr="0041574E">
        <w:rPr>
          <w:rFonts w:ascii="Calibri" w:hAnsi="Calibri" w:cs="Calibri"/>
          <w:b/>
          <w:bCs/>
          <w:lang w:val="en-US"/>
        </w:rPr>
        <w:t>D.</w:t>
      </w:r>
      <w:r w:rsidR="008A299F" w:rsidRPr="0041574E">
        <w:rPr>
          <w:rFonts w:ascii="Calibri" w:hAnsi="Calibri" w:cs="Calibri"/>
          <w:lang w:val="en-US"/>
        </w:rPr>
        <w:t xml:space="preserve"> First degree AV-block and frequent </w:t>
      </w:r>
      <w:r w:rsidR="006A2FE5">
        <w:rPr>
          <w:rFonts w:ascii="Calibri" w:hAnsi="Calibri" w:cs="Calibri"/>
          <w:lang w:val="en-US"/>
        </w:rPr>
        <w:t>VPB</w:t>
      </w:r>
      <w:r w:rsidR="008A299F" w:rsidRPr="0041574E">
        <w:rPr>
          <w:rFonts w:ascii="Calibri" w:hAnsi="Calibri" w:cs="Calibri"/>
          <w:lang w:val="en-US"/>
        </w:rPr>
        <w:t xml:space="preserve">s in a carrier of </w:t>
      </w:r>
      <w:r w:rsidR="008A299F" w:rsidRPr="0041574E">
        <w:rPr>
          <w:rFonts w:ascii="Calibri" w:hAnsi="Calibri" w:cs="Calibri"/>
          <w:i/>
          <w:iCs/>
          <w:lang w:val="en-US"/>
        </w:rPr>
        <w:t>SCN5A</w:t>
      </w:r>
      <w:r w:rsidR="008A299F" w:rsidRPr="0041574E">
        <w:rPr>
          <w:rFonts w:ascii="Calibri" w:hAnsi="Calibri" w:cs="Calibri"/>
          <w:lang w:val="en-US"/>
        </w:rPr>
        <w:t xml:space="preserve"> pathogenic variant.</w:t>
      </w:r>
    </w:p>
    <w:p w14:paraId="28B551B8" w14:textId="77777777" w:rsidR="001A4DDC" w:rsidRPr="0041574E" w:rsidRDefault="001A4DDC" w:rsidP="0041574E">
      <w:pPr>
        <w:spacing w:line="276" w:lineRule="auto"/>
        <w:rPr>
          <w:rFonts w:ascii="Calibri" w:hAnsi="Calibri" w:cs="Calibri"/>
          <w:lang w:val="en-US"/>
        </w:rPr>
      </w:pPr>
    </w:p>
    <w:p w14:paraId="2EB6936C" w14:textId="0D11571D" w:rsidR="003973C1" w:rsidRPr="0041574E" w:rsidRDefault="003973C1" w:rsidP="0041574E">
      <w:pPr>
        <w:spacing w:line="360" w:lineRule="auto"/>
        <w:rPr>
          <w:rFonts w:ascii="Calibri" w:hAnsi="Calibri" w:cs="Calibri"/>
          <w:lang w:val="en-US"/>
        </w:rPr>
      </w:pPr>
    </w:p>
    <w:p w14:paraId="6D47B64B" w14:textId="06788B6A" w:rsidR="006A69A7" w:rsidRPr="0041574E" w:rsidRDefault="009F47B2" w:rsidP="0041574E">
      <w:pPr>
        <w:spacing w:line="360" w:lineRule="auto"/>
        <w:rPr>
          <w:rFonts w:ascii="Calibri" w:hAnsi="Calibri" w:cs="Calibri"/>
          <w:lang w:val="en-US"/>
        </w:rPr>
      </w:pPr>
      <w:r>
        <w:rPr>
          <w:noProof/>
        </w:rPr>
        <w:drawing>
          <wp:inline distT="0" distB="0" distL="0" distR="0" wp14:anchorId="4437C4FB" wp14:editId="4A63F8B9">
            <wp:extent cx="6156960" cy="36461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5" r="2816"/>
                    <a:stretch/>
                  </pic:blipFill>
                  <pic:spPr bwMode="auto">
                    <a:xfrm>
                      <a:off x="0" y="0"/>
                      <a:ext cx="6170459" cy="3654167"/>
                    </a:xfrm>
                    <a:prstGeom prst="rect">
                      <a:avLst/>
                    </a:prstGeom>
                    <a:noFill/>
                    <a:ln>
                      <a:noFill/>
                    </a:ln>
                    <a:extLst>
                      <a:ext uri="{53640926-AAD7-44D8-BBD7-CCE9431645EC}">
                        <a14:shadowObscured xmlns:a14="http://schemas.microsoft.com/office/drawing/2010/main"/>
                      </a:ext>
                    </a:extLst>
                  </pic:spPr>
                </pic:pic>
              </a:graphicData>
            </a:graphic>
          </wp:inline>
        </w:drawing>
      </w:r>
    </w:p>
    <w:p w14:paraId="13BD4714" w14:textId="77777777" w:rsidR="006A69A7" w:rsidRPr="0041574E" w:rsidRDefault="006A69A7" w:rsidP="0041574E">
      <w:pPr>
        <w:spacing w:line="360" w:lineRule="auto"/>
        <w:rPr>
          <w:rFonts w:ascii="Calibri" w:hAnsi="Calibri" w:cs="Calibri"/>
          <w:lang w:val="en-US"/>
        </w:rPr>
      </w:pPr>
    </w:p>
    <w:p w14:paraId="0F44FC24" w14:textId="0F8D56A5" w:rsidR="006A2FE5" w:rsidRPr="0041574E" w:rsidRDefault="006A2FE5" w:rsidP="006A2FE5">
      <w:pPr>
        <w:spacing w:line="276" w:lineRule="auto"/>
        <w:rPr>
          <w:rFonts w:ascii="Calibri" w:hAnsi="Calibri" w:cs="Calibri"/>
          <w:lang w:val="en-US"/>
        </w:rPr>
      </w:pPr>
      <w:r w:rsidRPr="001F7365">
        <w:rPr>
          <w:rFonts w:ascii="Calibri" w:hAnsi="Calibri" w:cs="Calibri"/>
          <w:b/>
          <w:lang w:val="en-US"/>
        </w:rPr>
        <w:t>Abbreviations:</w:t>
      </w:r>
      <w:r>
        <w:rPr>
          <w:rFonts w:ascii="Calibri" w:hAnsi="Calibri" w:cs="Calibri"/>
          <w:lang w:val="en-US"/>
        </w:rPr>
        <w:t xml:space="preserve"> </w:t>
      </w:r>
      <w:r w:rsidRPr="0041574E">
        <w:rPr>
          <w:rFonts w:ascii="Calibri" w:hAnsi="Calibri" w:cs="Calibri"/>
          <w:lang w:val="en-US"/>
        </w:rPr>
        <w:t xml:space="preserve">AV: atrioventricular; </w:t>
      </w:r>
      <w:r w:rsidRPr="0041574E">
        <w:rPr>
          <w:rFonts w:ascii="Calibri" w:hAnsi="Calibri" w:cs="Calibri"/>
          <w:i/>
          <w:iCs/>
          <w:lang w:val="en-US"/>
        </w:rPr>
        <w:t>DMD</w:t>
      </w:r>
      <w:r w:rsidRPr="0041574E">
        <w:rPr>
          <w:rFonts w:ascii="Calibri" w:hAnsi="Calibri" w:cs="Calibri"/>
          <w:lang w:val="en-US"/>
        </w:rPr>
        <w:t xml:space="preserve">: dystrophin; </w:t>
      </w:r>
      <w:r w:rsidRPr="0041574E">
        <w:rPr>
          <w:rFonts w:ascii="Calibri" w:hAnsi="Calibri" w:cs="Calibri"/>
          <w:i/>
          <w:iCs/>
          <w:lang w:val="en-US"/>
        </w:rPr>
        <w:t>FLNC</w:t>
      </w:r>
      <w:r w:rsidRPr="0041574E">
        <w:rPr>
          <w:rFonts w:ascii="Calibri" w:hAnsi="Calibri" w:cs="Calibri"/>
          <w:lang w:val="en-US"/>
        </w:rPr>
        <w:t xml:space="preserve">: filamin C; </w:t>
      </w:r>
      <w:r w:rsidRPr="0041574E">
        <w:rPr>
          <w:rFonts w:ascii="Calibri" w:hAnsi="Calibri" w:cs="Calibri"/>
          <w:i/>
          <w:iCs/>
          <w:lang w:val="en-US"/>
        </w:rPr>
        <w:t>LMNA</w:t>
      </w:r>
      <w:r w:rsidRPr="0041574E">
        <w:rPr>
          <w:rFonts w:ascii="Calibri" w:hAnsi="Calibri" w:cs="Calibri"/>
          <w:lang w:val="en-US"/>
        </w:rPr>
        <w:t xml:space="preserve">: </w:t>
      </w:r>
      <w:proofErr w:type="spellStart"/>
      <w:r w:rsidRPr="0041574E">
        <w:rPr>
          <w:rFonts w:ascii="Calibri" w:hAnsi="Calibri" w:cs="Calibri"/>
          <w:lang w:val="en-US"/>
        </w:rPr>
        <w:t>lamin</w:t>
      </w:r>
      <w:proofErr w:type="spellEnd"/>
      <w:r w:rsidRPr="0041574E">
        <w:rPr>
          <w:rFonts w:ascii="Calibri" w:hAnsi="Calibri" w:cs="Calibri"/>
          <w:lang w:val="en-US"/>
        </w:rPr>
        <w:t xml:space="preserve"> A/C; </w:t>
      </w:r>
      <w:r>
        <w:rPr>
          <w:rFonts w:ascii="Calibri" w:hAnsi="Calibri" w:cs="Calibri"/>
          <w:lang w:val="en-US"/>
        </w:rPr>
        <w:t>VPB</w:t>
      </w:r>
      <w:r w:rsidRPr="0041574E">
        <w:rPr>
          <w:rFonts w:ascii="Calibri" w:hAnsi="Calibri" w:cs="Calibri"/>
          <w:lang w:val="en-US"/>
        </w:rPr>
        <w:t xml:space="preserve">s: </w:t>
      </w:r>
      <w:r>
        <w:rPr>
          <w:rFonts w:ascii="Calibri" w:hAnsi="Calibri" w:cs="Calibri"/>
          <w:lang w:val="en-US"/>
        </w:rPr>
        <w:t>ventricular premature beats</w:t>
      </w:r>
      <w:r w:rsidRPr="0041574E">
        <w:rPr>
          <w:rFonts w:ascii="Calibri" w:hAnsi="Calibri" w:cs="Calibri"/>
          <w:lang w:val="en-US"/>
        </w:rPr>
        <w:t xml:space="preserve">; </w:t>
      </w:r>
      <w:r w:rsidRPr="0041574E">
        <w:rPr>
          <w:rFonts w:ascii="Calibri" w:hAnsi="Calibri" w:cs="Calibri"/>
          <w:i/>
          <w:iCs/>
          <w:lang w:val="en-US"/>
        </w:rPr>
        <w:t>SCN5A</w:t>
      </w:r>
      <w:r w:rsidRPr="0041574E">
        <w:rPr>
          <w:rFonts w:ascii="Calibri" w:hAnsi="Calibri" w:cs="Calibri"/>
          <w:lang w:val="en-US"/>
        </w:rPr>
        <w:t xml:space="preserve">: cardiac sodium channel type 5 </w:t>
      </w:r>
      <w:r w:rsidRPr="0041574E">
        <w:rPr>
          <w:rFonts w:ascii="Calibri" w:hAnsi="Calibri" w:cs="Calibri"/>
          <w:lang w:val="en-US"/>
        </w:rPr>
        <w:sym w:font="Symbol" w:char="F061"/>
      </w:r>
      <w:r w:rsidRPr="0041574E">
        <w:rPr>
          <w:rFonts w:ascii="Calibri" w:hAnsi="Calibri" w:cs="Calibri"/>
          <w:lang w:val="en-US"/>
        </w:rPr>
        <w:t>-subunit; RBBB: right bundle-branch block.</w:t>
      </w:r>
    </w:p>
    <w:p w14:paraId="46988D6B" w14:textId="47F14DDD" w:rsidR="008C43FD" w:rsidRPr="0041574E" w:rsidRDefault="008C43FD" w:rsidP="0041574E">
      <w:pPr>
        <w:rPr>
          <w:rFonts w:ascii="Calibri" w:hAnsi="Calibri" w:cs="Calibri"/>
          <w:lang w:val="en-US"/>
        </w:rPr>
      </w:pPr>
      <w:r w:rsidRPr="0041574E">
        <w:rPr>
          <w:rFonts w:ascii="Calibri" w:hAnsi="Calibri" w:cs="Calibri"/>
          <w:lang w:val="en-US"/>
        </w:rPr>
        <w:br w:type="page"/>
      </w:r>
    </w:p>
    <w:p w14:paraId="7F02938D" w14:textId="5B78AA41" w:rsidR="00E04E06" w:rsidRPr="00E04E06" w:rsidRDefault="008C43FD" w:rsidP="0041574E">
      <w:pPr>
        <w:spacing w:line="276" w:lineRule="auto"/>
        <w:rPr>
          <w:rFonts w:ascii="Calibri" w:hAnsi="Calibri" w:cs="Calibri"/>
          <w:bCs/>
          <w:lang w:val="en-US"/>
        </w:rPr>
      </w:pPr>
      <w:r w:rsidRPr="0041574E">
        <w:rPr>
          <w:rFonts w:ascii="Calibri" w:hAnsi="Calibri" w:cs="Calibri"/>
          <w:b/>
          <w:bCs/>
          <w:lang w:val="en-US"/>
        </w:rPr>
        <w:t xml:space="preserve">Figure </w:t>
      </w:r>
      <w:r w:rsidR="006D5CD4" w:rsidRPr="0041574E">
        <w:rPr>
          <w:rFonts w:ascii="Calibri" w:hAnsi="Calibri" w:cs="Calibri"/>
          <w:b/>
          <w:bCs/>
          <w:lang w:val="en-US"/>
        </w:rPr>
        <w:t>2</w:t>
      </w:r>
      <w:r w:rsidRPr="0041574E">
        <w:rPr>
          <w:rFonts w:ascii="Calibri" w:hAnsi="Calibri" w:cs="Calibri"/>
          <w:b/>
          <w:bCs/>
          <w:lang w:val="en-US"/>
        </w:rPr>
        <w:t xml:space="preserve">. </w:t>
      </w:r>
      <w:r w:rsidR="00E04E06" w:rsidRPr="00E04E06">
        <w:rPr>
          <w:rFonts w:ascii="Calibri" w:hAnsi="Calibri" w:cs="Calibri"/>
          <w:bCs/>
          <w:lang w:val="en-US"/>
        </w:rPr>
        <w:t xml:space="preserve">ECG of a </w:t>
      </w:r>
      <w:r w:rsidR="001F7365">
        <w:rPr>
          <w:rFonts w:ascii="Calibri" w:hAnsi="Calibri" w:cs="Calibri"/>
          <w:bCs/>
          <w:lang w:val="en-US"/>
        </w:rPr>
        <w:t>32 year-old-woman</w:t>
      </w:r>
      <w:r w:rsidR="00E04E06" w:rsidRPr="00E04E06">
        <w:rPr>
          <w:rFonts w:ascii="Calibri" w:hAnsi="Calibri" w:cs="Calibri"/>
          <w:bCs/>
          <w:lang w:val="en-US"/>
        </w:rPr>
        <w:t xml:space="preserve"> </w:t>
      </w:r>
      <w:r w:rsidR="001F7365">
        <w:rPr>
          <w:rFonts w:ascii="Calibri" w:hAnsi="Calibri" w:cs="Calibri"/>
          <w:bCs/>
          <w:lang w:val="en-US"/>
        </w:rPr>
        <w:t xml:space="preserve">exhibiting a </w:t>
      </w:r>
      <w:r w:rsidR="00E04E06" w:rsidRPr="00E04E06">
        <w:rPr>
          <w:rFonts w:ascii="Calibri" w:hAnsi="Calibri" w:cs="Calibri"/>
          <w:bCs/>
          <w:lang w:val="en-US"/>
        </w:rPr>
        <w:t xml:space="preserve">DCM </w:t>
      </w:r>
      <w:r w:rsidR="001F7365">
        <w:rPr>
          <w:rFonts w:ascii="Calibri" w:hAnsi="Calibri" w:cs="Calibri"/>
          <w:bCs/>
          <w:lang w:val="en-US"/>
        </w:rPr>
        <w:t xml:space="preserve">phenotype, </w:t>
      </w:r>
      <w:r w:rsidR="00E04E06" w:rsidRPr="00E04E06">
        <w:rPr>
          <w:rFonts w:ascii="Calibri" w:hAnsi="Calibri" w:cs="Calibri"/>
          <w:bCs/>
          <w:lang w:val="en-US"/>
        </w:rPr>
        <w:t xml:space="preserve">found to have a DSP pathogenic variant. Note the diffused low voltages and frequent ventricular premature beats. </w:t>
      </w:r>
      <w:r w:rsidR="00E04E06">
        <w:rPr>
          <w:rFonts w:ascii="Calibri" w:hAnsi="Calibri" w:cs="Calibri"/>
          <w:bCs/>
          <w:lang w:val="en-US"/>
        </w:rPr>
        <w:t>The cardiovascular magnetic resonance (late gadolinium enhancement sequences) shows subepicardial late gadolinium enhancement which is more evident at the level of the right side of the interventricular septum and the basal lateral wall.</w:t>
      </w:r>
      <w:r w:rsidR="00E04E06" w:rsidRPr="00E04E06">
        <w:rPr>
          <w:rFonts w:ascii="Calibri" w:hAnsi="Calibri" w:cs="Calibri"/>
          <w:bCs/>
          <w:lang w:val="en-US"/>
        </w:rPr>
        <w:t xml:space="preserve">  </w:t>
      </w:r>
    </w:p>
    <w:p w14:paraId="51914AF7" w14:textId="77777777" w:rsidR="00E04E06" w:rsidRPr="00E04E06" w:rsidRDefault="00E04E06" w:rsidP="0041574E">
      <w:pPr>
        <w:spacing w:line="276" w:lineRule="auto"/>
        <w:rPr>
          <w:rFonts w:ascii="Calibri" w:hAnsi="Calibri" w:cs="Calibri"/>
          <w:bCs/>
          <w:lang w:val="en-US"/>
        </w:rPr>
      </w:pPr>
    </w:p>
    <w:p w14:paraId="69192652" w14:textId="77777777" w:rsidR="00E04E06" w:rsidRDefault="00E04E06" w:rsidP="0041574E">
      <w:pPr>
        <w:spacing w:line="276" w:lineRule="auto"/>
        <w:rPr>
          <w:rFonts w:ascii="Calibri" w:hAnsi="Calibri" w:cs="Calibri"/>
          <w:b/>
          <w:bCs/>
          <w:lang w:val="en-US"/>
        </w:rPr>
      </w:pPr>
    </w:p>
    <w:p w14:paraId="1F735195" w14:textId="77777777" w:rsidR="00E04E06" w:rsidRDefault="00E04E06" w:rsidP="0041574E">
      <w:pPr>
        <w:spacing w:line="276" w:lineRule="auto"/>
        <w:rPr>
          <w:rFonts w:ascii="Calibri" w:hAnsi="Calibri" w:cs="Calibri"/>
          <w:b/>
          <w:bCs/>
          <w:lang w:val="en-US"/>
        </w:rPr>
      </w:pPr>
    </w:p>
    <w:p w14:paraId="7152A108" w14:textId="18E3A605" w:rsidR="00E04E06" w:rsidRDefault="00E04E06" w:rsidP="0041574E">
      <w:pPr>
        <w:spacing w:line="276" w:lineRule="auto"/>
        <w:rPr>
          <w:rFonts w:ascii="Calibri" w:hAnsi="Calibri" w:cs="Calibri"/>
          <w:b/>
          <w:bCs/>
          <w:lang w:val="en-US"/>
        </w:rPr>
      </w:pPr>
      <w:r>
        <w:rPr>
          <w:noProof/>
          <w:lang w:eastAsia="it-IT"/>
        </w:rPr>
        <w:drawing>
          <wp:inline distT="0" distB="0" distL="0" distR="0" wp14:anchorId="4420D46E" wp14:editId="0A2AF032">
            <wp:extent cx="4718050" cy="5416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51001"/>
                    <a:stretch/>
                  </pic:blipFill>
                  <pic:spPr bwMode="auto">
                    <a:xfrm>
                      <a:off x="0" y="0"/>
                      <a:ext cx="4718050" cy="5416550"/>
                    </a:xfrm>
                    <a:prstGeom prst="rect">
                      <a:avLst/>
                    </a:prstGeom>
                    <a:noFill/>
                    <a:ln>
                      <a:noFill/>
                    </a:ln>
                    <a:extLst>
                      <a:ext uri="{53640926-AAD7-44D8-BBD7-CCE9431645EC}">
                        <a14:shadowObscured xmlns:a14="http://schemas.microsoft.com/office/drawing/2010/main"/>
                      </a:ext>
                    </a:extLst>
                  </pic:spPr>
                </pic:pic>
              </a:graphicData>
            </a:graphic>
          </wp:inline>
        </w:drawing>
      </w:r>
    </w:p>
    <w:p w14:paraId="2480543C" w14:textId="77777777" w:rsidR="00E04E06" w:rsidRDefault="00E04E06" w:rsidP="0041574E">
      <w:pPr>
        <w:spacing w:line="276" w:lineRule="auto"/>
        <w:rPr>
          <w:rFonts w:ascii="Calibri" w:hAnsi="Calibri" w:cs="Calibri"/>
          <w:b/>
          <w:bCs/>
          <w:lang w:val="en-US"/>
        </w:rPr>
      </w:pPr>
    </w:p>
    <w:p w14:paraId="3ECD9B8A" w14:textId="77777777" w:rsidR="00E04E06" w:rsidRDefault="00E04E06" w:rsidP="0041574E">
      <w:pPr>
        <w:spacing w:line="276" w:lineRule="auto"/>
        <w:rPr>
          <w:rFonts w:ascii="Calibri" w:hAnsi="Calibri" w:cs="Calibri"/>
          <w:b/>
          <w:bCs/>
          <w:lang w:val="en-US"/>
        </w:rPr>
      </w:pPr>
    </w:p>
    <w:p w14:paraId="2FC0C635" w14:textId="77777777" w:rsidR="00E04E06" w:rsidRDefault="00E04E06" w:rsidP="0041574E">
      <w:pPr>
        <w:spacing w:line="276" w:lineRule="auto"/>
        <w:rPr>
          <w:rFonts w:ascii="Calibri" w:hAnsi="Calibri" w:cs="Calibri"/>
          <w:b/>
          <w:bCs/>
          <w:lang w:val="en-US"/>
        </w:rPr>
      </w:pPr>
    </w:p>
    <w:p w14:paraId="12831CCF" w14:textId="77777777" w:rsidR="00E04E06" w:rsidRDefault="00E04E06" w:rsidP="0041574E">
      <w:pPr>
        <w:spacing w:line="276" w:lineRule="auto"/>
        <w:rPr>
          <w:rFonts w:ascii="Calibri" w:hAnsi="Calibri" w:cs="Calibri"/>
          <w:b/>
          <w:bCs/>
          <w:lang w:val="en-US"/>
        </w:rPr>
      </w:pPr>
    </w:p>
    <w:p w14:paraId="2F09DD20" w14:textId="77777777" w:rsidR="00E04E06" w:rsidRDefault="00E04E06" w:rsidP="0041574E">
      <w:pPr>
        <w:spacing w:line="276" w:lineRule="auto"/>
        <w:rPr>
          <w:rFonts w:ascii="Calibri" w:hAnsi="Calibri" w:cs="Calibri"/>
          <w:b/>
          <w:bCs/>
          <w:lang w:val="en-US"/>
        </w:rPr>
      </w:pPr>
    </w:p>
    <w:p w14:paraId="27C22A5B" w14:textId="77777777" w:rsidR="00E04E06" w:rsidRDefault="00E04E06" w:rsidP="0041574E">
      <w:pPr>
        <w:spacing w:line="276" w:lineRule="auto"/>
        <w:rPr>
          <w:rFonts w:ascii="Calibri" w:hAnsi="Calibri" w:cs="Calibri"/>
          <w:b/>
          <w:bCs/>
          <w:lang w:val="en-US"/>
        </w:rPr>
      </w:pPr>
    </w:p>
    <w:p w14:paraId="43D746D6" w14:textId="77777777" w:rsidR="00E04E06" w:rsidRDefault="00E04E06" w:rsidP="0041574E">
      <w:pPr>
        <w:spacing w:line="276" w:lineRule="auto"/>
        <w:rPr>
          <w:rFonts w:ascii="Calibri" w:hAnsi="Calibri" w:cs="Calibri"/>
          <w:b/>
          <w:bCs/>
          <w:lang w:val="en-US"/>
        </w:rPr>
      </w:pPr>
    </w:p>
    <w:p w14:paraId="1F3EED76" w14:textId="77777777" w:rsidR="00E04E06" w:rsidRDefault="00E04E06" w:rsidP="0041574E">
      <w:pPr>
        <w:spacing w:line="276" w:lineRule="auto"/>
        <w:rPr>
          <w:rFonts w:ascii="Calibri" w:hAnsi="Calibri" w:cs="Calibri"/>
          <w:b/>
          <w:bCs/>
          <w:lang w:val="en-US"/>
        </w:rPr>
      </w:pPr>
    </w:p>
    <w:p w14:paraId="01E320F0" w14:textId="5C67657E" w:rsidR="00DE4F09" w:rsidRDefault="00E04E06" w:rsidP="00DE4F09">
      <w:pPr>
        <w:rPr>
          <w:rFonts w:ascii="Calibri" w:hAnsi="Calibri" w:cs="Calibri"/>
          <w:lang w:val="en-US"/>
        </w:rPr>
      </w:pPr>
      <w:r>
        <w:rPr>
          <w:rFonts w:ascii="Calibri" w:hAnsi="Calibri" w:cs="Calibri"/>
          <w:b/>
          <w:bCs/>
          <w:lang w:val="en-US"/>
        </w:rPr>
        <w:t>Figure 3.</w:t>
      </w:r>
      <w:r w:rsidRPr="00E04E06">
        <w:rPr>
          <w:rFonts w:ascii="Calibri" w:hAnsi="Calibri" w:cs="Calibri"/>
          <w:bCs/>
          <w:lang w:val="en-US"/>
        </w:rPr>
        <w:t xml:space="preserve"> </w:t>
      </w:r>
      <w:r w:rsidR="009F47B2">
        <w:rPr>
          <w:rFonts w:ascii="Calibri" w:hAnsi="Calibri" w:cs="Calibri"/>
          <w:bCs/>
          <w:lang w:val="en-US"/>
        </w:rPr>
        <w:t>N</w:t>
      </w:r>
      <w:r w:rsidR="00DE4F09">
        <w:rPr>
          <w:rFonts w:ascii="Calibri" w:hAnsi="Calibri" w:cs="Calibri"/>
          <w:bCs/>
          <w:lang w:val="en-US"/>
        </w:rPr>
        <w:t xml:space="preserve">on-genetic forms of DCM. </w:t>
      </w:r>
      <w:r w:rsidR="00DE4F09" w:rsidRPr="001D6BE0">
        <w:rPr>
          <w:rFonts w:ascii="Calibri" w:hAnsi="Calibri" w:cs="Calibri"/>
          <w:b/>
          <w:bCs/>
          <w:lang w:val="en-US"/>
        </w:rPr>
        <w:t>A</w:t>
      </w:r>
      <w:r w:rsidR="00DE4F09">
        <w:rPr>
          <w:rFonts w:ascii="Calibri" w:hAnsi="Calibri" w:cs="Calibri"/>
          <w:b/>
          <w:bCs/>
          <w:lang w:val="en-US"/>
        </w:rPr>
        <w:t xml:space="preserve">. </w:t>
      </w:r>
      <w:r w:rsidR="00DE4F09">
        <w:rPr>
          <w:rFonts w:ascii="Calibri" w:hAnsi="Calibri" w:cs="Calibri"/>
          <w:lang w:val="en-US"/>
        </w:rPr>
        <w:t xml:space="preserve">Diffuse low amplitude of the QRS complexes, prolonged QRS duration and lateral T wave inversion in a patient with post-myocarditis DCM. </w:t>
      </w:r>
      <w:r w:rsidR="00DE4F09" w:rsidRPr="001D6BE0">
        <w:rPr>
          <w:rFonts w:ascii="Calibri" w:hAnsi="Calibri" w:cs="Calibri"/>
          <w:b/>
          <w:lang w:val="en-US"/>
        </w:rPr>
        <w:t>B.</w:t>
      </w:r>
      <w:r w:rsidR="00DE4F09">
        <w:rPr>
          <w:rFonts w:ascii="Calibri" w:hAnsi="Calibri" w:cs="Calibri"/>
          <w:b/>
          <w:lang w:val="en-US"/>
        </w:rPr>
        <w:t xml:space="preserve"> </w:t>
      </w:r>
      <w:r w:rsidR="008C16DE" w:rsidRPr="000F30CC">
        <w:rPr>
          <w:rFonts w:ascii="Calibri" w:hAnsi="Calibri" w:cs="Calibri"/>
          <w:lang w:val="en-US"/>
        </w:rPr>
        <w:t>First-degree AV block and complete RBBB in a patient with cardiac sarcoidosis and frequent premature ventricular contractions.</w:t>
      </w:r>
      <w:r w:rsidR="00DE4F09">
        <w:rPr>
          <w:rFonts w:ascii="Calibri" w:hAnsi="Calibri" w:cs="Calibri"/>
          <w:lang w:val="en-US"/>
        </w:rPr>
        <w:t xml:space="preserve"> </w:t>
      </w:r>
      <w:r w:rsidR="00DE4F09" w:rsidRPr="001D6BE0">
        <w:rPr>
          <w:rFonts w:ascii="Calibri" w:hAnsi="Calibri" w:cs="Calibri"/>
          <w:b/>
          <w:lang w:val="en-US"/>
        </w:rPr>
        <w:t>C</w:t>
      </w:r>
      <w:r w:rsidR="008C16DE">
        <w:rPr>
          <w:rFonts w:ascii="Calibri" w:hAnsi="Calibri" w:cs="Calibri"/>
          <w:b/>
          <w:lang w:val="en-US"/>
        </w:rPr>
        <w:t xml:space="preserve">. </w:t>
      </w:r>
      <w:r w:rsidR="008C16DE" w:rsidRPr="001D6BE0">
        <w:rPr>
          <w:rFonts w:ascii="Calibri" w:hAnsi="Calibri" w:cs="Calibri"/>
          <w:lang w:val="en-US"/>
        </w:rPr>
        <w:t xml:space="preserve">Frequent fascicular </w:t>
      </w:r>
      <w:r w:rsidR="008C16DE">
        <w:rPr>
          <w:rFonts w:ascii="Calibri" w:hAnsi="Calibri" w:cs="Calibri"/>
          <w:lang w:val="en-US"/>
        </w:rPr>
        <w:t>VPBs in a patient with tachycardia-induced-cardiomyopathy.</w:t>
      </w:r>
      <w:r w:rsidR="008C16DE">
        <w:rPr>
          <w:rFonts w:ascii="Calibri" w:hAnsi="Calibri" w:cs="Calibri"/>
          <w:b/>
          <w:lang w:val="en-US"/>
        </w:rPr>
        <w:t xml:space="preserve"> </w:t>
      </w:r>
      <w:r w:rsidR="00DE4F09" w:rsidRPr="001D6BE0">
        <w:rPr>
          <w:rFonts w:ascii="Calibri" w:hAnsi="Calibri" w:cs="Calibri"/>
          <w:b/>
          <w:lang w:val="en-US"/>
        </w:rPr>
        <w:t>D.</w:t>
      </w:r>
      <w:r w:rsidR="008C16DE">
        <w:rPr>
          <w:rFonts w:ascii="Calibri" w:hAnsi="Calibri" w:cs="Calibri"/>
          <w:b/>
          <w:lang w:val="en-US"/>
        </w:rPr>
        <w:t xml:space="preserve"> </w:t>
      </w:r>
      <w:r w:rsidR="008C16DE">
        <w:rPr>
          <w:rFonts w:ascii="Calibri" w:hAnsi="Calibri" w:cs="Calibri"/>
          <w:lang w:val="en-US"/>
        </w:rPr>
        <w:t>Non-specific ECG abnormalities, such as first-degree AV block and prolonged QRS duration in a patient affected by chemotherapy-induced DCM. Notably, a long QTc can be seen, which is associated with worse long term prognosis.</w:t>
      </w:r>
      <w:r w:rsidR="006F19DA">
        <w:rPr>
          <w:rFonts w:ascii="Calibri" w:hAnsi="Calibri" w:cs="Calibri"/>
          <w:b/>
          <w:lang w:val="en-US"/>
        </w:rPr>
        <w:t xml:space="preserve"> </w:t>
      </w:r>
    </w:p>
    <w:p w14:paraId="631874E0" w14:textId="77777777" w:rsidR="009F47B2" w:rsidRPr="004B7565" w:rsidRDefault="009F47B2" w:rsidP="00DE4F09">
      <w:pPr>
        <w:rPr>
          <w:rFonts w:ascii="Calibri" w:hAnsi="Calibri" w:cs="Calibri"/>
          <w:lang w:val="en-US"/>
        </w:rPr>
      </w:pPr>
    </w:p>
    <w:p w14:paraId="668C16A5" w14:textId="15C52BB1" w:rsidR="001004FD" w:rsidRDefault="006F52A1" w:rsidP="001004FD">
      <w:pPr>
        <w:rPr>
          <w:rFonts w:ascii="Calibri" w:hAnsi="Calibri" w:cs="Calibri"/>
          <w:lang w:val="en-US"/>
        </w:rPr>
      </w:pPr>
      <w:r>
        <w:rPr>
          <w:noProof/>
        </w:rPr>
        <w:drawing>
          <wp:inline distT="0" distB="0" distL="0" distR="0" wp14:anchorId="4F522E15" wp14:editId="710F67FA">
            <wp:extent cx="6179783"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2" r="2974"/>
                    <a:stretch/>
                  </pic:blipFill>
                  <pic:spPr bwMode="auto">
                    <a:xfrm>
                      <a:off x="0" y="0"/>
                      <a:ext cx="6197600" cy="3668145"/>
                    </a:xfrm>
                    <a:prstGeom prst="rect">
                      <a:avLst/>
                    </a:prstGeom>
                    <a:noFill/>
                    <a:ln>
                      <a:noFill/>
                    </a:ln>
                    <a:extLst>
                      <a:ext uri="{53640926-AAD7-44D8-BBD7-CCE9431645EC}">
                        <a14:shadowObscured xmlns:a14="http://schemas.microsoft.com/office/drawing/2010/main"/>
                      </a:ext>
                    </a:extLst>
                  </pic:spPr>
                </pic:pic>
              </a:graphicData>
            </a:graphic>
          </wp:inline>
        </w:drawing>
      </w:r>
    </w:p>
    <w:p w14:paraId="68093E5E" w14:textId="77777777" w:rsidR="001004FD" w:rsidRDefault="001004FD" w:rsidP="001004FD">
      <w:pPr>
        <w:rPr>
          <w:rFonts w:ascii="Calibri" w:hAnsi="Calibri" w:cs="Calibri"/>
          <w:lang w:val="en-US"/>
        </w:rPr>
      </w:pPr>
    </w:p>
    <w:p w14:paraId="38F5CBA4" w14:textId="77777777" w:rsidR="001004FD" w:rsidRDefault="001004FD" w:rsidP="001004FD">
      <w:pPr>
        <w:rPr>
          <w:rFonts w:ascii="Calibri" w:hAnsi="Calibri" w:cs="Calibri"/>
          <w:lang w:val="en-US"/>
        </w:rPr>
      </w:pPr>
    </w:p>
    <w:p w14:paraId="2A433C1B" w14:textId="77777777" w:rsidR="001004FD" w:rsidRDefault="001004FD" w:rsidP="001004FD">
      <w:pPr>
        <w:rPr>
          <w:rFonts w:ascii="Calibri" w:hAnsi="Calibri" w:cs="Calibri"/>
          <w:lang w:val="en-US"/>
        </w:rPr>
      </w:pPr>
    </w:p>
    <w:p w14:paraId="061B38FA" w14:textId="77777777" w:rsidR="001004FD" w:rsidRDefault="001004FD" w:rsidP="001004FD">
      <w:pPr>
        <w:rPr>
          <w:rFonts w:ascii="Calibri" w:hAnsi="Calibri" w:cs="Calibri"/>
          <w:lang w:val="en-US"/>
        </w:rPr>
      </w:pPr>
    </w:p>
    <w:p w14:paraId="17DD4AF6" w14:textId="77777777" w:rsidR="001004FD" w:rsidRDefault="001004FD" w:rsidP="001004FD">
      <w:pPr>
        <w:rPr>
          <w:rFonts w:ascii="Calibri" w:hAnsi="Calibri" w:cs="Calibri"/>
          <w:lang w:val="en-US"/>
        </w:rPr>
      </w:pPr>
    </w:p>
    <w:p w14:paraId="29CD1BB2" w14:textId="77777777" w:rsidR="001004FD" w:rsidRDefault="001004FD" w:rsidP="001004FD">
      <w:pPr>
        <w:rPr>
          <w:rFonts w:ascii="Calibri" w:hAnsi="Calibri" w:cs="Calibri"/>
          <w:lang w:val="en-US"/>
        </w:rPr>
      </w:pPr>
    </w:p>
    <w:p w14:paraId="36317763" w14:textId="77777777" w:rsidR="001004FD" w:rsidRDefault="001004FD" w:rsidP="001004FD">
      <w:pPr>
        <w:rPr>
          <w:rFonts w:ascii="Calibri" w:hAnsi="Calibri" w:cs="Calibri"/>
          <w:lang w:val="en-US"/>
        </w:rPr>
      </w:pPr>
    </w:p>
    <w:p w14:paraId="695EC418" w14:textId="77777777" w:rsidR="001004FD" w:rsidRDefault="001004FD" w:rsidP="001004FD">
      <w:pPr>
        <w:rPr>
          <w:rFonts w:ascii="Calibri" w:hAnsi="Calibri" w:cs="Calibri"/>
          <w:lang w:val="en-US"/>
        </w:rPr>
      </w:pPr>
    </w:p>
    <w:p w14:paraId="5293260C" w14:textId="77777777" w:rsidR="001004FD" w:rsidRDefault="001004FD" w:rsidP="001004FD">
      <w:pPr>
        <w:rPr>
          <w:rFonts w:ascii="Calibri" w:hAnsi="Calibri" w:cs="Calibri"/>
          <w:lang w:val="en-US"/>
        </w:rPr>
      </w:pPr>
    </w:p>
    <w:p w14:paraId="6F4E1270" w14:textId="77777777" w:rsidR="001004FD" w:rsidRDefault="001004FD" w:rsidP="001004FD">
      <w:pPr>
        <w:rPr>
          <w:rFonts w:ascii="Calibri" w:hAnsi="Calibri" w:cs="Calibri"/>
          <w:lang w:val="en-US"/>
        </w:rPr>
      </w:pPr>
    </w:p>
    <w:p w14:paraId="53ABE494" w14:textId="77777777" w:rsidR="001004FD" w:rsidRDefault="001004FD" w:rsidP="001004FD">
      <w:pPr>
        <w:rPr>
          <w:rFonts w:ascii="Calibri" w:hAnsi="Calibri" w:cs="Calibri"/>
          <w:lang w:val="en-US"/>
        </w:rPr>
      </w:pPr>
    </w:p>
    <w:p w14:paraId="5FB8B4E7" w14:textId="77777777" w:rsidR="001004FD" w:rsidRDefault="001004FD" w:rsidP="001004FD">
      <w:pPr>
        <w:rPr>
          <w:rFonts w:ascii="Calibri" w:hAnsi="Calibri" w:cs="Calibri"/>
          <w:lang w:val="en-US"/>
        </w:rPr>
      </w:pPr>
    </w:p>
    <w:p w14:paraId="57A25728" w14:textId="77777777" w:rsidR="001004FD" w:rsidRDefault="001004FD" w:rsidP="001004FD">
      <w:pPr>
        <w:rPr>
          <w:rFonts w:ascii="Calibri" w:hAnsi="Calibri" w:cs="Calibri"/>
          <w:lang w:val="en-US"/>
        </w:rPr>
      </w:pPr>
    </w:p>
    <w:p w14:paraId="5089601A" w14:textId="77777777" w:rsidR="001004FD" w:rsidRDefault="001004FD" w:rsidP="001004FD">
      <w:pPr>
        <w:rPr>
          <w:rFonts w:ascii="Calibri" w:hAnsi="Calibri" w:cs="Calibri"/>
          <w:lang w:val="en-US"/>
        </w:rPr>
      </w:pPr>
    </w:p>
    <w:p w14:paraId="3703C582" w14:textId="77777777" w:rsidR="001004FD" w:rsidRDefault="001004FD" w:rsidP="001004FD">
      <w:pPr>
        <w:rPr>
          <w:rFonts w:ascii="Calibri" w:hAnsi="Calibri" w:cs="Calibri"/>
          <w:lang w:val="en-US"/>
        </w:rPr>
      </w:pPr>
    </w:p>
    <w:p w14:paraId="35ED21B4" w14:textId="77777777" w:rsidR="001004FD" w:rsidRDefault="001004FD" w:rsidP="001004FD">
      <w:pPr>
        <w:rPr>
          <w:rFonts w:ascii="Calibri" w:hAnsi="Calibri" w:cs="Calibri"/>
          <w:lang w:val="en-US"/>
        </w:rPr>
      </w:pPr>
    </w:p>
    <w:p w14:paraId="6A3D0FAA" w14:textId="77777777" w:rsidR="001004FD" w:rsidRDefault="001004FD" w:rsidP="001004FD">
      <w:pPr>
        <w:rPr>
          <w:rFonts w:ascii="Calibri" w:hAnsi="Calibri" w:cs="Calibri"/>
          <w:lang w:val="en-US"/>
        </w:rPr>
      </w:pPr>
    </w:p>
    <w:p w14:paraId="583D438E" w14:textId="77777777" w:rsidR="001004FD" w:rsidRDefault="001004FD" w:rsidP="001004FD">
      <w:pPr>
        <w:rPr>
          <w:rFonts w:ascii="Calibri" w:hAnsi="Calibri" w:cs="Calibri"/>
          <w:lang w:val="en-US"/>
        </w:rPr>
      </w:pPr>
    </w:p>
    <w:p w14:paraId="6AE31108" w14:textId="17CF1590" w:rsidR="007C1AF2" w:rsidRPr="001004FD" w:rsidRDefault="00D569A1" w:rsidP="001004FD">
      <w:pPr>
        <w:rPr>
          <w:rFonts w:ascii="Calibri" w:hAnsi="Calibri" w:cs="Calibri"/>
          <w:highlight w:val="yellow"/>
          <w:lang w:val="en-US"/>
        </w:rPr>
      </w:pPr>
      <w:r>
        <w:rPr>
          <w:rFonts w:ascii="Calibri" w:hAnsi="Calibri" w:cs="Calibri"/>
          <w:b/>
          <w:lang w:val="en-US"/>
        </w:rPr>
        <w:t>Central illustration</w:t>
      </w:r>
      <w:r w:rsidR="007C1AF2" w:rsidRPr="007C1AF2">
        <w:rPr>
          <w:rFonts w:ascii="Calibri" w:hAnsi="Calibri" w:cs="Calibri"/>
          <w:b/>
          <w:lang w:val="en-US"/>
        </w:rPr>
        <w:t>.</w:t>
      </w:r>
      <w:r w:rsidR="007C1AF2">
        <w:rPr>
          <w:rFonts w:ascii="Calibri" w:hAnsi="Calibri" w:cs="Calibri"/>
          <w:b/>
          <w:lang w:val="en-US"/>
        </w:rPr>
        <w:t xml:space="preserve"> </w:t>
      </w:r>
      <w:r w:rsidR="0005574C">
        <w:rPr>
          <w:rFonts w:ascii="Calibri" w:hAnsi="Calibri" w:cs="Calibri"/>
          <w:lang w:val="en-US"/>
        </w:rPr>
        <w:t>Red flags at the</w:t>
      </w:r>
      <w:r w:rsidR="007C1AF2" w:rsidRPr="00E04E06">
        <w:rPr>
          <w:rFonts w:ascii="Calibri" w:hAnsi="Calibri" w:cs="Calibri"/>
          <w:lang w:val="en-US"/>
        </w:rPr>
        <w:t xml:space="preserve"> ECG in</w:t>
      </w:r>
      <w:r w:rsidR="0005574C">
        <w:rPr>
          <w:rFonts w:ascii="Calibri" w:hAnsi="Calibri" w:cs="Calibri"/>
          <w:lang w:val="en-US"/>
        </w:rPr>
        <w:t xml:space="preserve"> patients presenting with unexplained LV systolic dysfunction.</w:t>
      </w:r>
    </w:p>
    <w:p w14:paraId="623768BE" w14:textId="02BA2129" w:rsidR="007C1AF2" w:rsidRDefault="007C1AF2" w:rsidP="007C1AF2">
      <w:pPr>
        <w:tabs>
          <w:tab w:val="left" w:pos="3288"/>
        </w:tabs>
        <w:rPr>
          <w:rFonts w:ascii="Calibri" w:hAnsi="Calibri" w:cs="Calibri"/>
          <w:lang w:val="en-US"/>
        </w:rPr>
      </w:pPr>
    </w:p>
    <w:p w14:paraId="3996D718" w14:textId="6AC68C36" w:rsidR="007C1AF2" w:rsidRDefault="007C1AF2" w:rsidP="007C1AF2">
      <w:pPr>
        <w:tabs>
          <w:tab w:val="left" w:pos="3288"/>
        </w:tabs>
        <w:rPr>
          <w:rFonts w:ascii="Calibri" w:hAnsi="Calibri" w:cs="Calibri"/>
          <w:lang w:val="en-US"/>
        </w:rPr>
      </w:pPr>
    </w:p>
    <w:p w14:paraId="5DFDD1F3" w14:textId="6D6C4B7D" w:rsidR="007C1AF2" w:rsidRDefault="007C1AF2" w:rsidP="007C1AF2">
      <w:pPr>
        <w:tabs>
          <w:tab w:val="left" w:pos="3288"/>
        </w:tabs>
        <w:rPr>
          <w:rFonts w:ascii="Calibri" w:hAnsi="Calibri" w:cs="Calibri"/>
          <w:lang w:val="en-US"/>
        </w:rPr>
      </w:pPr>
    </w:p>
    <w:p w14:paraId="6E98F00C" w14:textId="32345D66" w:rsidR="007C1AF2" w:rsidRDefault="00F97CB7" w:rsidP="007C1AF2">
      <w:pPr>
        <w:tabs>
          <w:tab w:val="left" w:pos="3288"/>
        </w:tabs>
        <w:rPr>
          <w:rFonts w:ascii="Calibri" w:hAnsi="Calibri" w:cs="Calibri"/>
          <w:lang w:val="en-US"/>
        </w:rPr>
      </w:pPr>
      <w:r>
        <w:rPr>
          <w:noProof/>
        </w:rPr>
        <w:drawing>
          <wp:inline distT="0" distB="0" distL="0" distR="0" wp14:anchorId="652EACE7" wp14:editId="21580626">
            <wp:extent cx="6163430" cy="34671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5973" cy="3468531"/>
                    </a:xfrm>
                    <a:prstGeom prst="rect">
                      <a:avLst/>
                    </a:prstGeom>
                    <a:noFill/>
                    <a:ln>
                      <a:noFill/>
                    </a:ln>
                  </pic:spPr>
                </pic:pic>
              </a:graphicData>
            </a:graphic>
          </wp:inline>
        </w:drawing>
      </w:r>
    </w:p>
    <w:p w14:paraId="51C78D29" w14:textId="6F7F37BB" w:rsidR="007C1AF2" w:rsidRDefault="007C1AF2" w:rsidP="007C1AF2">
      <w:pPr>
        <w:tabs>
          <w:tab w:val="left" w:pos="3288"/>
        </w:tabs>
        <w:rPr>
          <w:rFonts w:ascii="Calibri" w:hAnsi="Calibri" w:cs="Calibri"/>
          <w:lang w:val="en-US"/>
        </w:rPr>
      </w:pPr>
    </w:p>
    <w:p w14:paraId="7E89F8F7" w14:textId="0E211BA3" w:rsidR="007C1AF2" w:rsidRDefault="007C1AF2" w:rsidP="007C1AF2">
      <w:pPr>
        <w:tabs>
          <w:tab w:val="left" w:pos="3288"/>
        </w:tabs>
        <w:rPr>
          <w:rFonts w:ascii="Calibri" w:hAnsi="Calibri" w:cs="Calibri"/>
          <w:lang w:val="en-US"/>
        </w:rPr>
      </w:pPr>
    </w:p>
    <w:p w14:paraId="272DF217" w14:textId="3210B34E" w:rsidR="007C1AF2" w:rsidRPr="007C1AF2" w:rsidRDefault="007C1AF2" w:rsidP="007C1AF2">
      <w:pPr>
        <w:tabs>
          <w:tab w:val="left" w:pos="3288"/>
        </w:tabs>
        <w:rPr>
          <w:rFonts w:ascii="Calibri" w:hAnsi="Calibri" w:cs="Calibri"/>
          <w:lang w:val="en-US"/>
        </w:rPr>
      </w:pPr>
    </w:p>
    <w:sectPr w:rsidR="007C1AF2" w:rsidRPr="007C1AF2" w:rsidSect="006D3A7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CC1BB" w14:textId="77777777" w:rsidR="009721E5" w:rsidRDefault="009721E5" w:rsidP="007C1AF2">
      <w:r>
        <w:separator/>
      </w:r>
    </w:p>
  </w:endnote>
  <w:endnote w:type="continuationSeparator" w:id="0">
    <w:p w14:paraId="6DED1B3E" w14:textId="77777777" w:rsidR="009721E5" w:rsidRDefault="009721E5" w:rsidP="007C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618099"/>
      <w:docPartObj>
        <w:docPartGallery w:val="Page Numbers (Bottom of Page)"/>
        <w:docPartUnique/>
      </w:docPartObj>
    </w:sdtPr>
    <w:sdtEndPr>
      <w:rPr>
        <w:noProof/>
      </w:rPr>
    </w:sdtEndPr>
    <w:sdtContent>
      <w:p w14:paraId="02AFBBA4" w14:textId="600F7308" w:rsidR="001D6BE0" w:rsidRDefault="001D6B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7E4831" w14:textId="77777777" w:rsidR="001D6BE0" w:rsidRDefault="001D6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17779" w14:textId="77777777" w:rsidR="009721E5" w:rsidRDefault="009721E5" w:rsidP="007C1AF2">
      <w:r>
        <w:separator/>
      </w:r>
    </w:p>
  </w:footnote>
  <w:footnote w:type="continuationSeparator" w:id="0">
    <w:p w14:paraId="0A09DC5F" w14:textId="77777777" w:rsidR="009721E5" w:rsidRDefault="009721E5" w:rsidP="007C1A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D4603"/>
    <w:multiLevelType w:val="hybridMultilevel"/>
    <w:tmpl w:val="45F8B3E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11034280"/>
    <w:multiLevelType w:val="hybridMultilevel"/>
    <w:tmpl w:val="F7C0114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30917A31"/>
    <w:multiLevelType w:val="hybridMultilevel"/>
    <w:tmpl w:val="5F7A3104"/>
    <w:lvl w:ilvl="0" w:tplc="053C0CF4">
      <w:start w:val="4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F6B4D"/>
    <w:multiLevelType w:val="hybridMultilevel"/>
    <w:tmpl w:val="5D4A43E2"/>
    <w:lvl w:ilvl="0" w:tplc="9DD809CE">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385305"/>
    <w:multiLevelType w:val="hybridMultilevel"/>
    <w:tmpl w:val="3D12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A5"/>
    <w:rsid w:val="000021FE"/>
    <w:rsid w:val="00004F1E"/>
    <w:rsid w:val="000058F5"/>
    <w:rsid w:val="00010583"/>
    <w:rsid w:val="0001371E"/>
    <w:rsid w:val="00015042"/>
    <w:rsid w:val="00016B43"/>
    <w:rsid w:val="000228F4"/>
    <w:rsid w:val="00023F8E"/>
    <w:rsid w:val="000242A3"/>
    <w:rsid w:val="00024938"/>
    <w:rsid w:val="000260E3"/>
    <w:rsid w:val="0003250B"/>
    <w:rsid w:val="00036BCF"/>
    <w:rsid w:val="00046085"/>
    <w:rsid w:val="00046D46"/>
    <w:rsid w:val="00051BB4"/>
    <w:rsid w:val="00052D4B"/>
    <w:rsid w:val="000546AD"/>
    <w:rsid w:val="00054986"/>
    <w:rsid w:val="000556A9"/>
    <w:rsid w:val="0005574C"/>
    <w:rsid w:val="000619E2"/>
    <w:rsid w:val="000622FD"/>
    <w:rsid w:val="00063FE6"/>
    <w:rsid w:val="00064BD9"/>
    <w:rsid w:val="00066748"/>
    <w:rsid w:val="000670B3"/>
    <w:rsid w:val="00075CBB"/>
    <w:rsid w:val="00083BAF"/>
    <w:rsid w:val="00084FA1"/>
    <w:rsid w:val="00086C09"/>
    <w:rsid w:val="00087F89"/>
    <w:rsid w:val="000919B2"/>
    <w:rsid w:val="00095A7D"/>
    <w:rsid w:val="00097F5F"/>
    <w:rsid w:val="000A12BC"/>
    <w:rsid w:val="000A290D"/>
    <w:rsid w:val="000A4A18"/>
    <w:rsid w:val="000A5373"/>
    <w:rsid w:val="000A6DEF"/>
    <w:rsid w:val="000A6E84"/>
    <w:rsid w:val="000B18C3"/>
    <w:rsid w:val="000B256C"/>
    <w:rsid w:val="000B4EA0"/>
    <w:rsid w:val="000B754E"/>
    <w:rsid w:val="000C0D91"/>
    <w:rsid w:val="000C4C7E"/>
    <w:rsid w:val="000C77A3"/>
    <w:rsid w:val="000C7882"/>
    <w:rsid w:val="000D0852"/>
    <w:rsid w:val="000D1A63"/>
    <w:rsid w:val="000D4975"/>
    <w:rsid w:val="000D49D0"/>
    <w:rsid w:val="000D740A"/>
    <w:rsid w:val="000E10E0"/>
    <w:rsid w:val="000E18FD"/>
    <w:rsid w:val="000E2E9C"/>
    <w:rsid w:val="000F4717"/>
    <w:rsid w:val="000F6FF8"/>
    <w:rsid w:val="001004FD"/>
    <w:rsid w:val="00101A96"/>
    <w:rsid w:val="00104955"/>
    <w:rsid w:val="0010559B"/>
    <w:rsid w:val="00106440"/>
    <w:rsid w:val="00110841"/>
    <w:rsid w:val="00116FBC"/>
    <w:rsid w:val="00122B73"/>
    <w:rsid w:val="00123C7F"/>
    <w:rsid w:val="001262D5"/>
    <w:rsid w:val="001269FE"/>
    <w:rsid w:val="00130A35"/>
    <w:rsid w:val="00135437"/>
    <w:rsid w:val="001356F4"/>
    <w:rsid w:val="001408E3"/>
    <w:rsid w:val="00141019"/>
    <w:rsid w:val="001418F8"/>
    <w:rsid w:val="00142A3D"/>
    <w:rsid w:val="00143725"/>
    <w:rsid w:val="0014496A"/>
    <w:rsid w:val="00151E77"/>
    <w:rsid w:val="001565B8"/>
    <w:rsid w:val="0016009E"/>
    <w:rsid w:val="001617D7"/>
    <w:rsid w:val="00161BA5"/>
    <w:rsid w:val="0016254B"/>
    <w:rsid w:val="00163142"/>
    <w:rsid w:val="001637B6"/>
    <w:rsid w:val="001655ED"/>
    <w:rsid w:val="00165FDE"/>
    <w:rsid w:val="001710CB"/>
    <w:rsid w:val="00172C99"/>
    <w:rsid w:val="00175389"/>
    <w:rsid w:val="00182A2B"/>
    <w:rsid w:val="00182EB9"/>
    <w:rsid w:val="00183874"/>
    <w:rsid w:val="00184CAC"/>
    <w:rsid w:val="00185744"/>
    <w:rsid w:val="00191679"/>
    <w:rsid w:val="00193788"/>
    <w:rsid w:val="001A2389"/>
    <w:rsid w:val="001A2833"/>
    <w:rsid w:val="001A2F37"/>
    <w:rsid w:val="001A4DDC"/>
    <w:rsid w:val="001A5AEB"/>
    <w:rsid w:val="001A5BA3"/>
    <w:rsid w:val="001A7D9B"/>
    <w:rsid w:val="001B195F"/>
    <w:rsid w:val="001B2813"/>
    <w:rsid w:val="001B56EA"/>
    <w:rsid w:val="001B687C"/>
    <w:rsid w:val="001C1343"/>
    <w:rsid w:val="001C27AE"/>
    <w:rsid w:val="001C3049"/>
    <w:rsid w:val="001C30CB"/>
    <w:rsid w:val="001C407B"/>
    <w:rsid w:val="001C56CB"/>
    <w:rsid w:val="001C5E42"/>
    <w:rsid w:val="001C6241"/>
    <w:rsid w:val="001C6582"/>
    <w:rsid w:val="001D1F4D"/>
    <w:rsid w:val="001D66E1"/>
    <w:rsid w:val="001D6BE0"/>
    <w:rsid w:val="001D7A28"/>
    <w:rsid w:val="001E3440"/>
    <w:rsid w:val="001E37D8"/>
    <w:rsid w:val="001F35E1"/>
    <w:rsid w:val="001F3C9B"/>
    <w:rsid w:val="001F48F9"/>
    <w:rsid w:val="001F5471"/>
    <w:rsid w:val="001F60D5"/>
    <w:rsid w:val="001F6AFD"/>
    <w:rsid w:val="001F7365"/>
    <w:rsid w:val="00201F75"/>
    <w:rsid w:val="00202EC0"/>
    <w:rsid w:val="002068CE"/>
    <w:rsid w:val="00211971"/>
    <w:rsid w:val="002212E3"/>
    <w:rsid w:val="002221D7"/>
    <w:rsid w:val="00222BF2"/>
    <w:rsid w:val="002234DA"/>
    <w:rsid w:val="002256F8"/>
    <w:rsid w:val="00227646"/>
    <w:rsid w:val="00227823"/>
    <w:rsid w:val="00231737"/>
    <w:rsid w:val="002351B1"/>
    <w:rsid w:val="00236EA4"/>
    <w:rsid w:val="0023723A"/>
    <w:rsid w:val="00240374"/>
    <w:rsid w:val="0024148C"/>
    <w:rsid w:val="00242CDE"/>
    <w:rsid w:val="002430C7"/>
    <w:rsid w:val="00244842"/>
    <w:rsid w:val="00245DFF"/>
    <w:rsid w:val="00251E70"/>
    <w:rsid w:val="00252158"/>
    <w:rsid w:val="002530E7"/>
    <w:rsid w:val="002536FA"/>
    <w:rsid w:val="00256D8F"/>
    <w:rsid w:val="00260D78"/>
    <w:rsid w:val="00261B8C"/>
    <w:rsid w:val="002628D7"/>
    <w:rsid w:val="00263FC9"/>
    <w:rsid w:val="002642B5"/>
    <w:rsid w:val="00266555"/>
    <w:rsid w:val="00267596"/>
    <w:rsid w:val="00274242"/>
    <w:rsid w:val="00276854"/>
    <w:rsid w:val="00280A6E"/>
    <w:rsid w:val="0028570D"/>
    <w:rsid w:val="00286468"/>
    <w:rsid w:val="002873BA"/>
    <w:rsid w:val="002879F5"/>
    <w:rsid w:val="00291B37"/>
    <w:rsid w:val="00295122"/>
    <w:rsid w:val="0029792C"/>
    <w:rsid w:val="002A2CBC"/>
    <w:rsid w:val="002A3D7A"/>
    <w:rsid w:val="002A4C04"/>
    <w:rsid w:val="002B1405"/>
    <w:rsid w:val="002B7147"/>
    <w:rsid w:val="002B7739"/>
    <w:rsid w:val="002C0464"/>
    <w:rsid w:val="002D1122"/>
    <w:rsid w:val="002D5348"/>
    <w:rsid w:val="002E52D3"/>
    <w:rsid w:val="002E559E"/>
    <w:rsid w:val="002E7043"/>
    <w:rsid w:val="002E7F5F"/>
    <w:rsid w:val="002F00AB"/>
    <w:rsid w:val="002F286E"/>
    <w:rsid w:val="002F2EF5"/>
    <w:rsid w:val="002F361C"/>
    <w:rsid w:val="002F6C04"/>
    <w:rsid w:val="00300126"/>
    <w:rsid w:val="003124E6"/>
    <w:rsid w:val="00312D1E"/>
    <w:rsid w:val="003131BD"/>
    <w:rsid w:val="00314280"/>
    <w:rsid w:val="00322331"/>
    <w:rsid w:val="00322C28"/>
    <w:rsid w:val="00326362"/>
    <w:rsid w:val="003268D1"/>
    <w:rsid w:val="003301E5"/>
    <w:rsid w:val="00331AE0"/>
    <w:rsid w:val="0033334C"/>
    <w:rsid w:val="003354C4"/>
    <w:rsid w:val="0033729B"/>
    <w:rsid w:val="00341E42"/>
    <w:rsid w:val="003432F3"/>
    <w:rsid w:val="00344CBA"/>
    <w:rsid w:val="00344F5B"/>
    <w:rsid w:val="003459B1"/>
    <w:rsid w:val="00346158"/>
    <w:rsid w:val="0034762D"/>
    <w:rsid w:val="00347C9D"/>
    <w:rsid w:val="0035132E"/>
    <w:rsid w:val="00354ED3"/>
    <w:rsid w:val="00360BC1"/>
    <w:rsid w:val="003617E6"/>
    <w:rsid w:val="00362CA9"/>
    <w:rsid w:val="00363009"/>
    <w:rsid w:val="00364295"/>
    <w:rsid w:val="00365517"/>
    <w:rsid w:val="00365A55"/>
    <w:rsid w:val="0036641C"/>
    <w:rsid w:val="00376B00"/>
    <w:rsid w:val="0037798B"/>
    <w:rsid w:val="00377E70"/>
    <w:rsid w:val="00381339"/>
    <w:rsid w:val="00381DFE"/>
    <w:rsid w:val="00387A99"/>
    <w:rsid w:val="00391BBA"/>
    <w:rsid w:val="00394CF1"/>
    <w:rsid w:val="003973C1"/>
    <w:rsid w:val="003A04EA"/>
    <w:rsid w:val="003A45ED"/>
    <w:rsid w:val="003A4AFD"/>
    <w:rsid w:val="003A58A3"/>
    <w:rsid w:val="003B3ADA"/>
    <w:rsid w:val="003B483C"/>
    <w:rsid w:val="003B537A"/>
    <w:rsid w:val="003C0422"/>
    <w:rsid w:val="003C1F54"/>
    <w:rsid w:val="003C54DD"/>
    <w:rsid w:val="003C5A00"/>
    <w:rsid w:val="003C5CBE"/>
    <w:rsid w:val="003C5E15"/>
    <w:rsid w:val="003C60F9"/>
    <w:rsid w:val="003C6FD0"/>
    <w:rsid w:val="003C752D"/>
    <w:rsid w:val="003D03C8"/>
    <w:rsid w:val="003D37A7"/>
    <w:rsid w:val="003D5916"/>
    <w:rsid w:val="003E23E6"/>
    <w:rsid w:val="003E375D"/>
    <w:rsid w:val="003E4467"/>
    <w:rsid w:val="003F0D27"/>
    <w:rsid w:val="003F2893"/>
    <w:rsid w:val="003F380D"/>
    <w:rsid w:val="003F3858"/>
    <w:rsid w:val="00400A3D"/>
    <w:rsid w:val="00400DF3"/>
    <w:rsid w:val="0040417A"/>
    <w:rsid w:val="0040523E"/>
    <w:rsid w:val="00406728"/>
    <w:rsid w:val="004068B3"/>
    <w:rsid w:val="004074CD"/>
    <w:rsid w:val="0040761B"/>
    <w:rsid w:val="00410D6D"/>
    <w:rsid w:val="00411FE5"/>
    <w:rsid w:val="004122C9"/>
    <w:rsid w:val="0041238A"/>
    <w:rsid w:val="0041574E"/>
    <w:rsid w:val="00417219"/>
    <w:rsid w:val="0041729C"/>
    <w:rsid w:val="0042579B"/>
    <w:rsid w:val="0042713E"/>
    <w:rsid w:val="004272DA"/>
    <w:rsid w:val="00431BD6"/>
    <w:rsid w:val="00431C05"/>
    <w:rsid w:val="00432CA3"/>
    <w:rsid w:val="00434F9E"/>
    <w:rsid w:val="004408D3"/>
    <w:rsid w:val="004419D0"/>
    <w:rsid w:val="004444AA"/>
    <w:rsid w:val="004470C5"/>
    <w:rsid w:val="004500EE"/>
    <w:rsid w:val="004506FC"/>
    <w:rsid w:val="004515E4"/>
    <w:rsid w:val="00452ADB"/>
    <w:rsid w:val="004558F0"/>
    <w:rsid w:val="004570C0"/>
    <w:rsid w:val="0045724A"/>
    <w:rsid w:val="004572EE"/>
    <w:rsid w:val="004579EF"/>
    <w:rsid w:val="00460B87"/>
    <w:rsid w:val="0046224F"/>
    <w:rsid w:val="00462DEA"/>
    <w:rsid w:val="00464891"/>
    <w:rsid w:val="004661D4"/>
    <w:rsid w:val="004673B5"/>
    <w:rsid w:val="00467AE3"/>
    <w:rsid w:val="00470B11"/>
    <w:rsid w:val="00471606"/>
    <w:rsid w:val="00473131"/>
    <w:rsid w:val="00475C37"/>
    <w:rsid w:val="0047713D"/>
    <w:rsid w:val="00481E96"/>
    <w:rsid w:val="00482CAC"/>
    <w:rsid w:val="0048365A"/>
    <w:rsid w:val="00483823"/>
    <w:rsid w:val="004868C1"/>
    <w:rsid w:val="0048691B"/>
    <w:rsid w:val="00491021"/>
    <w:rsid w:val="00491711"/>
    <w:rsid w:val="00491FF9"/>
    <w:rsid w:val="0049271C"/>
    <w:rsid w:val="00494441"/>
    <w:rsid w:val="00494890"/>
    <w:rsid w:val="0049601C"/>
    <w:rsid w:val="00496E8D"/>
    <w:rsid w:val="00497E9C"/>
    <w:rsid w:val="004A1EA3"/>
    <w:rsid w:val="004A2959"/>
    <w:rsid w:val="004A3424"/>
    <w:rsid w:val="004A68D1"/>
    <w:rsid w:val="004A6AC0"/>
    <w:rsid w:val="004B10F3"/>
    <w:rsid w:val="004B2462"/>
    <w:rsid w:val="004B2879"/>
    <w:rsid w:val="004B4F62"/>
    <w:rsid w:val="004C127B"/>
    <w:rsid w:val="004C1A57"/>
    <w:rsid w:val="004C3903"/>
    <w:rsid w:val="004C5475"/>
    <w:rsid w:val="004C6B8A"/>
    <w:rsid w:val="004C70B7"/>
    <w:rsid w:val="004C73B9"/>
    <w:rsid w:val="004D00E7"/>
    <w:rsid w:val="004D197D"/>
    <w:rsid w:val="004D204E"/>
    <w:rsid w:val="004D30F0"/>
    <w:rsid w:val="004D7F71"/>
    <w:rsid w:val="004E1B73"/>
    <w:rsid w:val="004E63AF"/>
    <w:rsid w:val="004E65F5"/>
    <w:rsid w:val="004F0937"/>
    <w:rsid w:val="004F3108"/>
    <w:rsid w:val="0050462D"/>
    <w:rsid w:val="00510B0F"/>
    <w:rsid w:val="00512D47"/>
    <w:rsid w:val="005157FD"/>
    <w:rsid w:val="005163D1"/>
    <w:rsid w:val="0052088D"/>
    <w:rsid w:val="005209F7"/>
    <w:rsid w:val="0052533F"/>
    <w:rsid w:val="00526A3F"/>
    <w:rsid w:val="00531E7D"/>
    <w:rsid w:val="00532D27"/>
    <w:rsid w:val="00533DE0"/>
    <w:rsid w:val="005349E7"/>
    <w:rsid w:val="005401CB"/>
    <w:rsid w:val="00540813"/>
    <w:rsid w:val="00543663"/>
    <w:rsid w:val="0055053B"/>
    <w:rsid w:val="005514C6"/>
    <w:rsid w:val="00552F2E"/>
    <w:rsid w:val="0055616E"/>
    <w:rsid w:val="00556901"/>
    <w:rsid w:val="00561592"/>
    <w:rsid w:val="005620CF"/>
    <w:rsid w:val="00566F29"/>
    <w:rsid w:val="0057309D"/>
    <w:rsid w:val="00573121"/>
    <w:rsid w:val="00573D82"/>
    <w:rsid w:val="005752F6"/>
    <w:rsid w:val="00576F54"/>
    <w:rsid w:val="005776DF"/>
    <w:rsid w:val="00583D2A"/>
    <w:rsid w:val="005845A2"/>
    <w:rsid w:val="00586222"/>
    <w:rsid w:val="0058696B"/>
    <w:rsid w:val="005873BC"/>
    <w:rsid w:val="005979AC"/>
    <w:rsid w:val="005A3BE9"/>
    <w:rsid w:val="005A5EDE"/>
    <w:rsid w:val="005B33A4"/>
    <w:rsid w:val="005B4495"/>
    <w:rsid w:val="005B5C25"/>
    <w:rsid w:val="005B61BF"/>
    <w:rsid w:val="005B706C"/>
    <w:rsid w:val="005C264D"/>
    <w:rsid w:val="005C30A9"/>
    <w:rsid w:val="005C36F0"/>
    <w:rsid w:val="005C4500"/>
    <w:rsid w:val="005C67F8"/>
    <w:rsid w:val="005D3B3A"/>
    <w:rsid w:val="005E5455"/>
    <w:rsid w:val="005E54AC"/>
    <w:rsid w:val="005F03D4"/>
    <w:rsid w:val="005F2C6F"/>
    <w:rsid w:val="005F4395"/>
    <w:rsid w:val="005F441E"/>
    <w:rsid w:val="005F44DF"/>
    <w:rsid w:val="005F6792"/>
    <w:rsid w:val="005F6833"/>
    <w:rsid w:val="005F7B3A"/>
    <w:rsid w:val="0060599A"/>
    <w:rsid w:val="00606CF7"/>
    <w:rsid w:val="00613A9B"/>
    <w:rsid w:val="00614256"/>
    <w:rsid w:val="006170C9"/>
    <w:rsid w:val="00627649"/>
    <w:rsid w:val="0063125D"/>
    <w:rsid w:val="00633B95"/>
    <w:rsid w:val="00640C37"/>
    <w:rsid w:val="0064745B"/>
    <w:rsid w:val="00651628"/>
    <w:rsid w:val="00653C09"/>
    <w:rsid w:val="00660561"/>
    <w:rsid w:val="00661DFD"/>
    <w:rsid w:val="00661E88"/>
    <w:rsid w:val="0066468E"/>
    <w:rsid w:val="00667CAB"/>
    <w:rsid w:val="00670EB8"/>
    <w:rsid w:val="00675635"/>
    <w:rsid w:val="0067797D"/>
    <w:rsid w:val="00677C8A"/>
    <w:rsid w:val="006801DC"/>
    <w:rsid w:val="0068124E"/>
    <w:rsid w:val="0068125B"/>
    <w:rsid w:val="0068553A"/>
    <w:rsid w:val="006877D4"/>
    <w:rsid w:val="00690CFD"/>
    <w:rsid w:val="006931F2"/>
    <w:rsid w:val="00696543"/>
    <w:rsid w:val="00696C30"/>
    <w:rsid w:val="006A2FE5"/>
    <w:rsid w:val="006A3655"/>
    <w:rsid w:val="006A3783"/>
    <w:rsid w:val="006A5F5C"/>
    <w:rsid w:val="006A6313"/>
    <w:rsid w:val="006A69A7"/>
    <w:rsid w:val="006A7DFE"/>
    <w:rsid w:val="006C11C8"/>
    <w:rsid w:val="006C1E5D"/>
    <w:rsid w:val="006C2960"/>
    <w:rsid w:val="006C6969"/>
    <w:rsid w:val="006C74E7"/>
    <w:rsid w:val="006D04B1"/>
    <w:rsid w:val="006D0BBD"/>
    <w:rsid w:val="006D132A"/>
    <w:rsid w:val="006D3A72"/>
    <w:rsid w:val="006D4E35"/>
    <w:rsid w:val="006D5CD4"/>
    <w:rsid w:val="006D710A"/>
    <w:rsid w:val="006D7649"/>
    <w:rsid w:val="006E043B"/>
    <w:rsid w:val="006E0800"/>
    <w:rsid w:val="006E26CF"/>
    <w:rsid w:val="006E2B91"/>
    <w:rsid w:val="006E3709"/>
    <w:rsid w:val="006E4EAA"/>
    <w:rsid w:val="006E69AE"/>
    <w:rsid w:val="006F0C37"/>
    <w:rsid w:val="006F19DA"/>
    <w:rsid w:val="006F2A27"/>
    <w:rsid w:val="006F3761"/>
    <w:rsid w:val="006F3BE3"/>
    <w:rsid w:val="006F41D1"/>
    <w:rsid w:val="006F52A1"/>
    <w:rsid w:val="006F5A1E"/>
    <w:rsid w:val="0070007F"/>
    <w:rsid w:val="00704503"/>
    <w:rsid w:val="00705ABF"/>
    <w:rsid w:val="007108C5"/>
    <w:rsid w:val="00710E5C"/>
    <w:rsid w:val="00711E7E"/>
    <w:rsid w:val="00712C08"/>
    <w:rsid w:val="0071320C"/>
    <w:rsid w:val="00714395"/>
    <w:rsid w:val="00715848"/>
    <w:rsid w:val="007174C8"/>
    <w:rsid w:val="0071758B"/>
    <w:rsid w:val="007176F3"/>
    <w:rsid w:val="00720F5B"/>
    <w:rsid w:val="00721089"/>
    <w:rsid w:val="007235BA"/>
    <w:rsid w:val="00725168"/>
    <w:rsid w:val="00727B73"/>
    <w:rsid w:val="00731BDA"/>
    <w:rsid w:val="0073265B"/>
    <w:rsid w:val="007338E1"/>
    <w:rsid w:val="00735367"/>
    <w:rsid w:val="007405D3"/>
    <w:rsid w:val="00744E54"/>
    <w:rsid w:val="007460ED"/>
    <w:rsid w:val="007472C7"/>
    <w:rsid w:val="00753551"/>
    <w:rsid w:val="00755854"/>
    <w:rsid w:val="00755FB3"/>
    <w:rsid w:val="00763822"/>
    <w:rsid w:val="007638A7"/>
    <w:rsid w:val="00771D07"/>
    <w:rsid w:val="00771F17"/>
    <w:rsid w:val="007739B3"/>
    <w:rsid w:val="00773BBB"/>
    <w:rsid w:val="007748AA"/>
    <w:rsid w:val="0077499E"/>
    <w:rsid w:val="00775BA0"/>
    <w:rsid w:val="0077730C"/>
    <w:rsid w:val="00777458"/>
    <w:rsid w:val="00777B5F"/>
    <w:rsid w:val="00780061"/>
    <w:rsid w:val="00780A74"/>
    <w:rsid w:val="00781FD6"/>
    <w:rsid w:val="00782781"/>
    <w:rsid w:val="00783E7D"/>
    <w:rsid w:val="00787876"/>
    <w:rsid w:val="0078795C"/>
    <w:rsid w:val="00787CF3"/>
    <w:rsid w:val="00790C5D"/>
    <w:rsid w:val="007933C1"/>
    <w:rsid w:val="00794875"/>
    <w:rsid w:val="00794D75"/>
    <w:rsid w:val="00797444"/>
    <w:rsid w:val="007A476D"/>
    <w:rsid w:val="007A5C81"/>
    <w:rsid w:val="007B3AB0"/>
    <w:rsid w:val="007B3CCE"/>
    <w:rsid w:val="007B6095"/>
    <w:rsid w:val="007B74BA"/>
    <w:rsid w:val="007C1AF2"/>
    <w:rsid w:val="007C4158"/>
    <w:rsid w:val="007C5769"/>
    <w:rsid w:val="007C6242"/>
    <w:rsid w:val="007C7874"/>
    <w:rsid w:val="007D133E"/>
    <w:rsid w:val="007D1E4E"/>
    <w:rsid w:val="007D3331"/>
    <w:rsid w:val="007D3E20"/>
    <w:rsid w:val="007D4936"/>
    <w:rsid w:val="007D6A66"/>
    <w:rsid w:val="007D7C0C"/>
    <w:rsid w:val="007E7209"/>
    <w:rsid w:val="007E7A81"/>
    <w:rsid w:val="007F066F"/>
    <w:rsid w:val="007F2279"/>
    <w:rsid w:val="007F3CDE"/>
    <w:rsid w:val="007F3F63"/>
    <w:rsid w:val="007F6FC1"/>
    <w:rsid w:val="007F71F4"/>
    <w:rsid w:val="00801C23"/>
    <w:rsid w:val="00801E39"/>
    <w:rsid w:val="008037C6"/>
    <w:rsid w:val="00804D48"/>
    <w:rsid w:val="00806E8E"/>
    <w:rsid w:val="00810A9A"/>
    <w:rsid w:val="008114A6"/>
    <w:rsid w:val="008147B7"/>
    <w:rsid w:val="008174DD"/>
    <w:rsid w:val="00831702"/>
    <w:rsid w:val="00834782"/>
    <w:rsid w:val="008405D0"/>
    <w:rsid w:val="008436A9"/>
    <w:rsid w:val="008438FD"/>
    <w:rsid w:val="00843BAB"/>
    <w:rsid w:val="008466C6"/>
    <w:rsid w:val="008476C3"/>
    <w:rsid w:val="00847CCA"/>
    <w:rsid w:val="0085375B"/>
    <w:rsid w:val="00855C68"/>
    <w:rsid w:val="00860EA5"/>
    <w:rsid w:val="00862333"/>
    <w:rsid w:val="0087056C"/>
    <w:rsid w:val="0087111C"/>
    <w:rsid w:val="00872B75"/>
    <w:rsid w:val="008752EE"/>
    <w:rsid w:val="00880E72"/>
    <w:rsid w:val="00882619"/>
    <w:rsid w:val="00883AF0"/>
    <w:rsid w:val="0089372A"/>
    <w:rsid w:val="0089405E"/>
    <w:rsid w:val="0089609C"/>
    <w:rsid w:val="008A299F"/>
    <w:rsid w:val="008B2369"/>
    <w:rsid w:val="008B44ED"/>
    <w:rsid w:val="008C04B8"/>
    <w:rsid w:val="008C0735"/>
    <w:rsid w:val="008C16CA"/>
    <w:rsid w:val="008C16DE"/>
    <w:rsid w:val="008C227B"/>
    <w:rsid w:val="008C2F67"/>
    <w:rsid w:val="008C43DC"/>
    <w:rsid w:val="008C43FD"/>
    <w:rsid w:val="008C5CA8"/>
    <w:rsid w:val="008C6650"/>
    <w:rsid w:val="008D1427"/>
    <w:rsid w:val="008D1A86"/>
    <w:rsid w:val="008D21BB"/>
    <w:rsid w:val="008D2E87"/>
    <w:rsid w:val="008D36F1"/>
    <w:rsid w:val="008D3CB8"/>
    <w:rsid w:val="008D58C6"/>
    <w:rsid w:val="008D5D41"/>
    <w:rsid w:val="008E240D"/>
    <w:rsid w:val="008E55DA"/>
    <w:rsid w:val="008F23FC"/>
    <w:rsid w:val="008F2E3A"/>
    <w:rsid w:val="008F492C"/>
    <w:rsid w:val="008F5A0B"/>
    <w:rsid w:val="008F6344"/>
    <w:rsid w:val="009036E4"/>
    <w:rsid w:val="00903DCA"/>
    <w:rsid w:val="00905FED"/>
    <w:rsid w:val="009114AA"/>
    <w:rsid w:val="009140BB"/>
    <w:rsid w:val="009235FE"/>
    <w:rsid w:val="00925462"/>
    <w:rsid w:val="00926EB7"/>
    <w:rsid w:val="00930BF2"/>
    <w:rsid w:val="00931C86"/>
    <w:rsid w:val="009326EA"/>
    <w:rsid w:val="009377A2"/>
    <w:rsid w:val="00946158"/>
    <w:rsid w:val="009473D0"/>
    <w:rsid w:val="00953E76"/>
    <w:rsid w:val="00954F80"/>
    <w:rsid w:val="00956E1D"/>
    <w:rsid w:val="009604A1"/>
    <w:rsid w:val="009635B8"/>
    <w:rsid w:val="00963658"/>
    <w:rsid w:val="00965070"/>
    <w:rsid w:val="00967050"/>
    <w:rsid w:val="009675B3"/>
    <w:rsid w:val="00970D13"/>
    <w:rsid w:val="0097214F"/>
    <w:rsid w:val="009721E5"/>
    <w:rsid w:val="00973B33"/>
    <w:rsid w:val="00976995"/>
    <w:rsid w:val="009805C2"/>
    <w:rsid w:val="00982810"/>
    <w:rsid w:val="00983295"/>
    <w:rsid w:val="00983E79"/>
    <w:rsid w:val="009852AF"/>
    <w:rsid w:val="009862F0"/>
    <w:rsid w:val="00992E1F"/>
    <w:rsid w:val="00995C8A"/>
    <w:rsid w:val="009A3454"/>
    <w:rsid w:val="009C27CC"/>
    <w:rsid w:val="009C2D30"/>
    <w:rsid w:val="009C381B"/>
    <w:rsid w:val="009C534F"/>
    <w:rsid w:val="009D59ED"/>
    <w:rsid w:val="009D6BF4"/>
    <w:rsid w:val="009D71A1"/>
    <w:rsid w:val="009E0E1D"/>
    <w:rsid w:val="009E52BB"/>
    <w:rsid w:val="009E6992"/>
    <w:rsid w:val="009E7F25"/>
    <w:rsid w:val="009F08AF"/>
    <w:rsid w:val="009F14F9"/>
    <w:rsid w:val="009F16B0"/>
    <w:rsid w:val="009F3DA5"/>
    <w:rsid w:val="009F47B2"/>
    <w:rsid w:val="009F48F2"/>
    <w:rsid w:val="009F5E56"/>
    <w:rsid w:val="00A020B9"/>
    <w:rsid w:val="00A0658C"/>
    <w:rsid w:val="00A06965"/>
    <w:rsid w:val="00A075EE"/>
    <w:rsid w:val="00A1136F"/>
    <w:rsid w:val="00A12E85"/>
    <w:rsid w:val="00A1436B"/>
    <w:rsid w:val="00A176A8"/>
    <w:rsid w:val="00A20314"/>
    <w:rsid w:val="00A2256E"/>
    <w:rsid w:val="00A231B7"/>
    <w:rsid w:val="00A31041"/>
    <w:rsid w:val="00A32167"/>
    <w:rsid w:val="00A328E5"/>
    <w:rsid w:val="00A3576E"/>
    <w:rsid w:val="00A35E43"/>
    <w:rsid w:val="00A36FAE"/>
    <w:rsid w:val="00A4538E"/>
    <w:rsid w:val="00A51720"/>
    <w:rsid w:val="00A53496"/>
    <w:rsid w:val="00A535B0"/>
    <w:rsid w:val="00A62677"/>
    <w:rsid w:val="00A707B1"/>
    <w:rsid w:val="00A716A3"/>
    <w:rsid w:val="00A74506"/>
    <w:rsid w:val="00A74947"/>
    <w:rsid w:val="00A776B8"/>
    <w:rsid w:val="00A77745"/>
    <w:rsid w:val="00A814F4"/>
    <w:rsid w:val="00A81831"/>
    <w:rsid w:val="00A81EC4"/>
    <w:rsid w:val="00A85F37"/>
    <w:rsid w:val="00A90116"/>
    <w:rsid w:val="00A91879"/>
    <w:rsid w:val="00A924B2"/>
    <w:rsid w:val="00A94996"/>
    <w:rsid w:val="00A95FAA"/>
    <w:rsid w:val="00A96D6A"/>
    <w:rsid w:val="00A96F55"/>
    <w:rsid w:val="00A97406"/>
    <w:rsid w:val="00A9760D"/>
    <w:rsid w:val="00A979F6"/>
    <w:rsid w:val="00AA1B53"/>
    <w:rsid w:val="00AA22D7"/>
    <w:rsid w:val="00AA4737"/>
    <w:rsid w:val="00AA4805"/>
    <w:rsid w:val="00AA6345"/>
    <w:rsid w:val="00AB19B3"/>
    <w:rsid w:val="00AB3E53"/>
    <w:rsid w:val="00AC2471"/>
    <w:rsid w:val="00AC2CC1"/>
    <w:rsid w:val="00AC361A"/>
    <w:rsid w:val="00AC7815"/>
    <w:rsid w:val="00AC7D5F"/>
    <w:rsid w:val="00AD2361"/>
    <w:rsid w:val="00AD33CE"/>
    <w:rsid w:val="00AD6743"/>
    <w:rsid w:val="00AD7224"/>
    <w:rsid w:val="00AD7B72"/>
    <w:rsid w:val="00AE10B6"/>
    <w:rsid w:val="00AE3885"/>
    <w:rsid w:val="00AE48E2"/>
    <w:rsid w:val="00AF2017"/>
    <w:rsid w:val="00AF5F85"/>
    <w:rsid w:val="00B02118"/>
    <w:rsid w:val="00B02CB3"/>
    <w:rsid w:val="00B1472F"/>
    <w:rsid w:val="00B14E56"/>
    <w:rsid w:val="00B159C7"/>
    <w:rsid w:val="00B239FA"/>
    <w:rsid w:val="00B240B1"/>
    <w:rsid w:val="00B266F8"/>
    <w:rsid w:val="00B276D8"/>
    <w:rsid w:val="00B300B6"/>
    <w:rsid w:val="00B30A51"/>
    <w:rsid w:val="00B30ABB"/>
    <w:rsid w:val="00B31362"/>
    <w:rsid w:val="00B32372"/>
    <w:rsid w:val="00B34A4F"/>
    <w:rsid w:val="00B36EE4"/>
    <w:rsid w:val="00B43A6E"/>
    <w:rsid w:val="00B45422"/>
    <w:rsid w:val="00B456E8"/>
    <w:rsid w:val="00B50A30"/>
    <w:rsid w:val="00B52500"/>
    <w:rsid w:val="00B53843"/>
    <w:rsid w:val="00B54492"/>
    <w:rsid w:val="00B55179"/>
    <w:rsid w:val="00B5597F"/>
    <w:rsid w:val="00B66AFD"/>
    <w:rsid w:val="00B708FB"/>
    <w:rsid w:val="00B72015"/>
    <w:rsid w:val="00B721D4"/>
    <w:rsid w:val="00B72A1C"/>
    <w:rsid w:val="00B73E8A"/>
    <w:rsid w:val="00B75411"/>
    <w:rsid w:val="00B80E24"/>
    <w:rsid w:val="00B84B7F"/>
    <w:rsid w:val="00B909FB"/>
    <w:rsid w:val="00B95178"/>
    <w:rsid w:val="00B96C6C"/>
    <w:rsid w:val="00B97967"/>
    <w:rsid w:val="00BA02B7"/>
    <w:rsid w:val="00BA2B21"/>
    <w:rsid w:val="00BA3CC1"/>
    <w:rsid w:val="00BA53BD"/>
    <w:rsid w:val="00BA64F3"/>
    <w:rsid w:val="00BB3F26"/>
    <w:rsid w:val="00BB6967"/>
    <w:rsid w:val="00BC16D2"/>
    <w:rsid w:val="00BC16EE"/>
    <w:rsid w:val="00BD0B7D"/>
    <w:rsid w:val="00BD2C26"/>
    <w:rsid w:val="00BD5D2A"/>
    <w:rsid w:val="00BD6F2E"/>
    <w:rsid w:val="00BE212C"/>
    <w:rsid w:val="00BE5AEF"/>
    <w:rsid w:val="00BE6841"/>
    <w:rsid w:val="00BE694D"/>
    <w:rsid w:val="00BF1B78"/>
    <w:rsid w:val="00BF217D"/>
    <w:rsid w:val="00BF5435"/>
    <w:rsid w:val="00BF5CA8"/>
    <w:rsid w:val="00C0358F"/>
    <w:rsid w:val="00C046B1"/>
    <w:rsid w:val="00C04EB4"/>
    <w:rsid w:val="00C07E7A"/>
    <w:rsid w:val="00C10A0D"/>
    <w:rsid w:val="00C10DCA"/>
    <w:rsid w:val="00C27D2A"/>
    <w:rsid w:val="00C30078"/>
    <w:rsid w:val="00C30FF2"/>
    <w:rsid w:val="00C32A39"/>
    <w:rsid w:val="00C37DBC"/>
    <w:rsid w:val="00C41DB1"/>
    <w:rsid w:val="00C45FDB"/>
    <w:rsid w:val="00C46A66"/>
    <w:rsid w:val="00C46BE0"/>
    <w:rsid w:val="00C47957"/>
    <w:rsid w:val="00C544EA"/>
    <w:rsid w:val="00C60BC4"/>
    <w:rsid w:val="00C8210D"/>
    <w:rsid w:val="00C830B0"/>
    <w:rsid w:val="00C87789"/>
    <w:rsid w:val="00C90FE3"/>
    <w:rsid w:val="00C91AAD"/>
    <w:rsid w:val="00C9260D"/>
    <w:rsid w:val="00C96061"/>
    <w:rsid w:val="00C961C2"/>
    <w:rsid w:val="00C96989"/>
    <w:rsid w:val="00CA17D9"/>
    <w:rsid w:val="00CA5109"/>
    <w:rsid w:val="00CA64C8"/>
    <w:rsid w:val="00CA6BA5"/>
    <w:rsid w:val="00CA790A"/>
    <w:rsid w:val="00CB0A1B"/>
    <w:rsid w:val="00CB4BFA"/>
    <w:rsid w:val="00CC1FF3"/>
    <w:rsid w:val="00CC4D11"/>
    <w:rsid w:val="00CC5C26"/>
    <w:rsid w:val="00CC626C"/>
    <w:rsid w:val="00CD1F6F"/>
    <w:rsid w:val="00CD360E"/>
    <w:rsid w:val="00CD52A2"/>
    <w:rsid w:val="00CD7950"/>
    <w:rsid w:val="00CD7A0E"/>
    <w:rsid w:val="00CE01BE"/>
    <w:rsid w:val="00CE0D57"/>
    <w:rsid w:val="00CE2918"/>
    <w:rsid w:val="00CE4869"/>
    <w:rsid w:val="00CE4FDA"/>
    <w:rsid w:val="00CE61B3"/>
    <w:rsid w:val="00CE66FF"/>
    <w:rsid w:val="00CE6D71"/>
    <w:rsid w:val="00CF0572"/>
    <w:rsid w:val="00CF0DC3"/>
    <w:rsid w:val="00CF12EF"/>
    <w:rsid w:val="00CF3958"/>
    <w:rsid w:val="00CF41D9"/>
    <w:rsid w:val="00CF47A8"/>
    <w:rsid w:val="00CF5A51"/>
    <w:rsid w:val="00D0548B"/>
    <w:rsid w:val="00D10720"/>
    <w:rsid w:val="00D177AC"/>
    <w:rsid w:val="00D17F45"/>
    <w:rsid w:val="00D208DC"/>
    <w:rsid w:val="00D21226"/>
    <w:rsid w:val="00D234DF"/>
    <w:rsid w:val="00D2389C"/>
    <w:rsid w:val="00D23D84"/>
    <w:rsid w:val="00D248D8"/>
    <w:rsid w:val="00D26ABD"/>
    <w:rsid w:val="00D2771E"/>
    <w:rsid w:val="00D32EB6"/>
    <w:rsid w:val="00D33F9D"/>
    <w:rsid w:val="00D350A9"/>
    <w:rsid w:val="00D422B4"/>
    <w:rsid w:val="00D42EBD"/>
    <w:rsid w:val="00D433B4"/>
    <w:rsid w:val="00D4390A"/>
    <w:rsid w:val="00D46635"/>
    <w:rsid w:val="00D46961"/>
    <w:rsid w:val="00D54EDF"/>
    <w:rsid w:val="00D55D73"/>
    <w:rsid w:val="00D55EF8"/>
    <w:rsid w:val="00D569A1"/>
    <w:rsid w:val="00D60E3F"/>
    <w:rsid w:val="00D61D8F"/>
    <w:rsid w:val="00D6315C"/>
    <w:rsid w:val="00D6325B"/>
    <w:rsid w:val="00D6447E"/>
    <w:rsid w:val="00D645C3"/>
    <w:rsid w:val="00D67E41"/>
    <w:rsid w:val="00D71CC6"/>
    <w:rsid w:val="00D72D29"/>
    <w:rsid w:val="00D733CD"/>
    <w:rsid w:val="00D74012"/>
    <w:rsid w:val="00D82B37"/>
    <w:rsid w:val="00D91674"/>
    <w:rsid w:val="00D92DE8"/>
    <w:rsid w:val="00DA761B"/>
    <w:rsid w:val="00DB3858"/>
    <w:rsid w:val="00DC1777"/>
    <w:rsid w:val="00DC17D5"/>
    <w:rsid w:val="00DC34BC"/>
    <w:rsid w:val="00DC3604"/>
    <w:rsid w:val="00DC586E"/>
    <w:rsid w:val="00DC614A"/>
    <w:rsid w:val="00DC6C19"/>
    <w:rsid w:val="00DC7978"/>
    <w:rsid w:val="00DD04AD"/>
    <w:rsid w:val="00DD3477"/>
    <w:rsid w:val="00DD549C"/>
    <w:rsid w:val="00DE4F09"/>
    <w:rsid w:val="00DE4F43"/>
    <w:rsid w:val="00DE648F"/>
    <w:rsid w:val="00DF0C02"/>
    <w:rsid w:val="00DF3DEA"/>
    <w:rsid w:val="00E03A78"/>
    <w:rsid w:val="00E04E06"/>
    <w:rsid w:val="00E125E2"/>
    <w:rsid w:val="00E147B4"/>
    <w:rsid w:val="00E156AF"/>
    <w:rsid w:val="00E17F16"/>
    <w:rsid w:val="00E23ED8"/>
    <w:rsid w:val="00E319C0"/>
    <w:rsid w:val="00E31CA1"/>
    <w:rsid w:val="00E3221F"/>
    <w:rsid w:val="00E34C41"/>
    <w:rsid w:val="00E35B02"/>
    <w:rsid w:val="00E415B6"/>
    <w:rsid w:val="00E41C29"/>
    <w:rsid w:val="00E42830"/>
    <w:rsid w:val="00E46707"/>
    <w:rsid w:val="00E47BBE"/>
    <w:rsid w:val="00E47EC4"/>
    <w:rsid w:val="00E50412"/>
    <w:rsid w:val="00E504E0"/>
    <w:rsid w:val="00E50B42"/>
    <w:rsid w:val="00E5294B"/>
    <w:rsid w:val="00E5604D"/>
    <w:rsid w:val="00E566BD"/>
    <w:rsid w:val="00E61EFD"/>
    <w:rsid w:val="00E62891"/>
    <w:rsid w:val="00E64CBC"/>
    <w:rsid w:val="00E657A5"/>
    <w:rsid w:val="00E665C4"/>
    <w:rsid w:val="00E66D03"/>
    <w:rsid w:val="00E747EF"/>
    <w:rsid w:val="00E771E2"/>
    <w:rsid w:val="00E77679"/>
    <w:rsid w:val="00E8222B"/>
    <w:rsid w:val="00E905A6"/>
    <w:rsid w:val="00E906A7"/>
    <w:rsid w:val="00E9157A"/>
    <w:rsid w:val="00E91D53"/>
    <w:rsid w:val="00E92D21"/>
    <w:rsid w:val="00EA23A5"/>
    <w:rsid w:val="00EB02E8"/>
    <w:rsid w:val="00EB5C3C"/>
    <w:rsid w:val="00EB610F"/>
    <w:rsid w:val="00EB6F6F"/>
    <w:rsid w:val="00EC4F81"/>
    <w:rsid w:val="00EC572C"/>
    <w:rsid w:val="00EC6413"/>
    <w:rsid w:val="00ED0ECA"/>
    <w:rsid w:val="00ED396B"/>
    <w:rsid w:val="00ED46D6"/>
    <w:rsid w:val="00ED51EF"/>
    <w:rsid w:val="00ED7BDB"/>
    <w:rsid w:val="00EE3865"/>
    <w:rsid w:val="00EE3A84"/>
    <w:rsid w:val="00EE405F"/>
    <w:rsid w:val="00EE431C"/>
    <w:rsid w:val="00EE54E7"/>
    <w:rsid w:val="00EE6893"/>
    <w:rsid w:val="00EE75F3"/>
    <w:rsid w:val="00EE775B"/>
    <w:rsid w:val="00EF0E6A"/>
    <w:rsid w:val="00EF1682"/>
    <w:rsid w:val="00EF2729"/>
    <w:rsid w:val="00EF47F9"/>
    <w:rsid w:val="00EF6168"/>
    <w:rsid w:val="00F01682"/>
    <w:rsid w:val="00F04842"/>
    <w:rsid w:val="00F04AFA"/>
    <w:rsid w:val="00F04E0A"/>
    <w:rsid w:val="00F05305"/>
    <w:rsid w:val="00F10E2F"/>
    <w:rsid w:val="00F11553"/>
    <w:rsid w:val="00F11FDD"/>
    <w:rsid w:val="00F13007"/>
    <w:rsid w:val="00F15089"/>
    <w:rsid w:val="00F15A96"/>
    <w:rsid w:val="00F16480"/>
    <w:rsid w:val="00F17367"/>
    <w:rsid w:val="00F3142A"/>
    <w:rsid w:val="00F314A9"/>
    <w:rsid w:val="00F32C6F"/>
    <w:rsid w:val="00F332E5"/>
    <w:rsid w:val="00F377B7"/>
    <w:rsid w:val="00F42E70"/>
    <w:rsid w:val="00F5047A"/>
    <w:rsid w:val="00F51280"/>
    <w:rsid w:val="00F52611"/>
    <w:rsid w:val="00F544AB"/>
    <w:rsid w:val="00F54D31"/>
    <w:rsid w:val="00F56D78"/>
    <w:rsid w:val="00F57217"/>
    <w:rsid w:val="00F5774F"/>
    <w:rsid w:val="00F62A0F"/>
    <w:rsid w:val="00F64C82"/>
    <w:rsid w:val="00F707E4"/>
    <w:rsid w:val="00F7386E"/>
    <w:rsid w:val="00F73D58"/>
    <w:rsid w:val="00F75563"/>
    <w:rsid w:val="00F758AE"/>
    <w:rsid w:val="00F75E71"/>
    <w:rsid w:val="00F765F4"/>
    <w:rsid w:val="00F777C5"/>
    <w:rsid w:val="00F80BDA"/>
    <w:rsid w:val="00F81723"/>
    <w:rsid w:val="00F824D6"/>
    <w:rsid w:val="00F829AA"/>
    <w:rsid w:val="00F82EBB"/>
    <w:rsid w:val="00F87481"/>
    <w:rsid w:val="00F9007D"/>
    <w:rsid w:val="00F94C6D"/>
    <w:rsid w:val="00F9621E"/>
    <w:rsid w:val="00F9794C"/>
    <w:rsid w:val="00F97CB7"/>
    <w:rsid w:val="00FA0E0B"/>
    <w:rsid w:val="00FA12D0"/>
    <w:rsid w:val="00FA1CD6"/>
    <w:rsid w:val="00FA32BA"/>
    <w:rsid w:val="00FA3418"/>
    <w:rsid w:val="00FA39AD"/>
    <w:rsid w:val="00FA63B2"/>
    <w:rsid w:val="00FB0596"/>
    <w:rsid w:val="00FB0722"/>
    <w:rsid w:val="00FB0CCC"/>
    <w:rsid w:val="00FB52E9"/>
    <w:rsid w:val="00FB6605"/>
    <w:rsid w:val="00FB6D99"/>
    <w:rsid w:val="00FB7B97"/>
    <w:rsid w:val="00FC3FCD"/>
    <w:rsid w:val="00FC4541"/>
    <w:rsid w:val="00FC5D02"/>
    <w:rsid w:val="00FC5E90"/>
    <w:rsid w:val="00FD0901"/>
    <w:rsid w:val="00FE1BD8"/>
    <w:rsid w:val="00FF4A5B"/>
    <w:rsid w:val="00FF550A"/>
    <w:rsid w:val="00FF62B3"/>
    <w:rsid w:val="00FF65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2A18D"/>
  <w15:docId w15:val="{81C9780E-3F51-4036-865E-710CFFBE8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1021"/>
    <w:rPr>
      <w:rFonts w:ascii="Times New Roman" w:eastAsia="Times New Roman" w:hAnsi="Times New Roman" w:cs="Times New Roman"/>
      <w:lang w:eastAsia="en-GB"/>
    </w:rPr>
  </w:style>
  <w:style w:type="paragraph" w:styleId="Heading1">
    <w:name w:val="heading 1"/>
    <w:basedOn w:val="Normal"/>
    <w:link w:val="Heading1Char"/>
    <w:uiPriority w:val="9"/>
    <w:qFormat/>
    <w:rsid w:val="009C2D3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DA5"/>
    <w:pPr>
      <w:ind w:left="720"/>
      <w:contextualSpacing/>
    </w:pPr>
  </w:style>
  <w:style w:type="character" w:customStyle="1" w:styleId="Heading1Char">
    <w:name w:val="Heading 1 Char"/>
    <w:basedOn w:val="DefaultParagraphFont"/>
    <w:link w:val="Heading1"/>
    <w:uiPriority w:val="9"/>
    <w:rsid w:val="009C2D30"/>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5401CB"/>
    <w:rPr>
      <w:rFonts w:ascii="Tahoma" w:hAnsi="Tahoma" w:cs="Tahoma"/>
      <w:sz w:val="16"/>
      <w:szCs w:val="16"/>
    </w:rPr>
  </w:style>
  <w:style w:type="character" w:customStyle="1" w:styleId="BalloonTextChar">
    <w:name w:val="Balloon Text Char"/>
    <w:basedOn w:val="DefaultParagraphFont"/>
    <w:link w:val="BalloonText"/>
    <w:uiPriority w:val="99"/>
    <w:semiHidden/>
    <w:rsid w:val="005401CB"/>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063FE6"/>
    <w:rPr>
      <w:sz w:val="16"/>
      <w:szCs w:val="16"/>
    </w:rPr>
  </w:style>
  <w:style w:type="paragraph" w:styleId="CommentText">
    <w:name w:val="annotation text"/>
    <w:basedOn w:val="Normal"/>
    <w:link w:val="CommentTextChar"/>
    <w:uiPriority w:val="99"/>
    <w:semiHidden/>
    <w:unhideWhenUsed/>
    <w:rsid w:val="00063FE6"/>
    <w:rPr>
      <w:sz w:val="20"/>
      <w:szCs w:val="20"/>
    </w:rPr>
  </w:style>
  <w:style w:type="character" w:customStyle="1" w:styleId="CommentTextChar">
    <w:name w:val="Comment Text Char"/>
    <w:basedOn w:val="DefaultParagraphFont"/>
    <w:link w:val="CommentText"/>
    <w:uiPriority w:val="99"/>
    <w:semiHidden/>
    <w:rsid w:val="00063FE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3FE6"/>
    <w:rPr>
      <w:b/>
      <w:bCs/>
    </w:rPr>
  </w:style>
  <w:style w:type="character" w:customStyle="1" w:styleId="CommentSubjectChar">
    <w:name w:val="Comment Subject Char"/>
    <w:basedOn w:val="CommentTextChar"/>
    <w:link w:val="CommentSubject"/>
    <w:uiPriority w:val="99"/>
    <w:semiHidden/>
    <w:rsid w:val="00063FE6"/>
    <w:rPr>
      <w:rFonts w:ascii="Times New Roman" w:eastAsia="Times New Roman" w:hAnsi="Times New Roman" w:cs="Times New Roman"/>
      <w:b/>
      <w:bCs/>
      <w:sz w:val="20"/>
      <w:szCs w:val="20"/>
      <w:lang w:eastAsia="en-GB"/>
    </w:rPr>
  </w:style>
  <w:style w:type="table" w:styleId="TableGrid">
    <w:name w:val="Table Grid"/>
    <w:basedOn w:val="TableNormal"/>
    <w:uiPriority w:val="39"/>
    <w:rsid w:val="006E2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61EF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eastAsia="en-GB"/>
    </w:rPr>
  </w:style>
  <w:style w:type="character" w:styleId="Hyperlink">
    <w:name w:val="Hyperlink"/>
    <w:basedOn w:val="DefaultParagraphFont"/>
    <w:uiPriority w:val="99"/>
    <w:unhideWhenUsed/>
    <w:rsid w:val="007D1E4E"/>
    <w:rPr>
      <w:color w:val="0000FF"/>
      <w:u w:val="single"/>
    </w:rPr>
  </w:style>
  <w:style w:type="paragraph" w:styleId="Header">
    <w:name w:val="header"/>
    <w:basedOn w:val="Normal"/>
    <w:link w:val="HeaderChar"/>
    <w:uiPriority w:val="99"/>
    <w:unhideWhenUsed/>
    <w:rsid w:val="007C1AF2"/>
    <w:pPr>
      <w:tabs>
        <w:tab w:val="center" w:pos="4513"/>
        <w:tab w:val="right" w:pos="9026"/>
      </w:tabs>
    </w:pPr>
  </w:style>
  <w:style w:type="character" w:customStyle="1" w:styleId="HeaderChar">
    <w:name w:val="Header Char"/>
    <w:basedOn w:val="DefaultParagraphFont"/>
    <w:link w:val="Header"/>
    <w:uiPriority w:val="99"/>
    <w:rsid w:val="007C1AF2"/>
    <w:rPr>
      <w:rFonts w:ascii="Times New Roman" w:eastAsia="Times New Roman" w:hAnsi="Times New Roman" w:cs="Times New Roman"/>
      <w:lang w:eastAsia="en-GB"/>
    </w:rPr>
  </w:style>
  <w:style w:type="paragraph" w:styleId="Footer">
    <w:name w:val="footer"/>
    <w:basedOn w:val="Normal"/>
    <w:link w:val="FooterChar"/>
    <w:uiPriority w:val="99"/>
    <w:unhideWhenUsed/>
    <w:rsid w:val="007C1AF2"/>
    <w:pPr>
      <w:tabs>
        <w:tab w:val="center" w:pos="4513"/>
        <w:tab w:val="right" w:pos="9026"/>
      </w:tabs>
    </w:pPr>
  </w:style>
  <w:style w:type="character" w:customStyle="1" w:styleId="FooterChar">
    <w:name w:val="Footer Char"/>
    <w:basedOn w:val="DefaultParagraphFont"/>
    <w:link w:val="Footer"/>
    <w:uiPriority w:val="99"/>
    <w:rsid w:val="007C1AF2"/>
    <w:rPr>
      <w:rFonts w:ascii="Times New Roman" w:eastAsia="Times New Roman" w:hAnsi="Times New Roman" w:cs="Times New Roman"/>
      <w:lang w:eastAsia="en-GB"/>
    </w:rPr>
  </w:style>
  <w:style w:type="paragraph" w:styleId="Revision">
    <w:name w:val="Revision"/>
    <w:hidden/>
    <w:uiPriority w:val="99"/>
    <w:semiHidden/>
    <w:rsid w:val="00790C5D"/>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874961">
      <w:bodyDiv w:val="1"/>
      <w:marLeft w:val="0"/>
      <w:marRight w:val="0"/>
      <w:marTop w:val="0"/>
      <w:marBottom w:val="0"/>
      <w:divBdr>
        <w:top w:val="none" w:sz="0" w:space="0" w:color="auto"/>
        <w:left w:val="none" w:sz="0" w:space="0" w:color="auto"/>
        <w:bottom w:val="none" w:sz="0" w:space="0" w:color="auto"/>
        <w:right w:val="none" w:sz="0" w:space="0" w:color="auto"/>
      </w:divBdr>
    </w:div>
    <w:div w:id="906459261">
      <w:bodyDiv w:val="1"/>
      <w:marLeft w:val="0"/>
      <w:marRight w:val="0"/>
      <w:marTop w:val="0"/>
      <w:marBottom w:val="0"/>
      <w:divBdr>
        <w:top w:val="none" w:sz="0" w:space="0" w:color="auto"/>
        <w:left w:val="none" w:sz="0" w:space="0" w:color="auto"/>
        <w:bottom w:val="none" w:sz="0" w:space="0" w:color="auto"/>
        <w:right w:val="none" w:sz="0" w:space="0" w:color="auto"/>
      </w:divBdr>
    </w:div>
    <w:div w:id="1059746958">
      <w:bodyDiv w:val="1"/>
      <w:marLeft w:val="0"/>
      <w:marRight w:val="0"/>
      <w:marTop w:val="0"/>
      <w:marBottom w:val="0"/>
      <w:divBdr>
        <w:top w:val="none" w:sz="0" w:space="0" w:color="auto"/>
        <w:left w:val="none" w:sz="0" w:space="0" w:color="auto"/>
        <w:bottom w:val="none" w:sz="0" w:space="0" w:color="auto"/>
        <w:right w:val="none" w:sz="0" w:space="0" w:color="auto"/>
      </w:divBdr>
    </w:div>
    <w:div w:id="1063794000">
      <w:bodyDiv w:val="1"/>
      <w:marLeft w:val="0"/>
      <w:marRight w:val="0"/>
      <w:marTop w:val="0"/>
      <w:marBottom w:val="0"/>
      <w:divBdr>
        <w:top w:val="none" w:sz="0" w:space="0" w:color="auto"/>
        <w:left w:val="none" w:sz="0" w:space="0" w:color="auto"/>
        <w:bottom w:val="none" w:sz="0" w:space="0" w:color="auto"/>
        <w:right w:val="none" w:sz="0" w:space="0" w:color="auto"/>
      </w:divBdr>
    </w:div>
    <w:div w:id="1208297587">
      <w:bodyDiv w:val="1"/>
      <w:marLeft w:val="0"/>
      <w:marRight w:val="0"/>
      <w:marTop w:val="0"/>
      <w:marBottom w:val="0"/>
      <w:divBdr>
        <w:top w:val="none" w:sz="0" w:space="0" w:color="auto"/>
        <w:left w:val="none" w:sz="0" w:space="0" w:color="auto"/>
        <w:bottom w:val="none" w:sz="0" w:space="0" w:color="auto"/>
        <w:right w:val="none" w:sz="0" w:space="0" w:color="auto"/>
      </w:divBdr>
    </w:div>
    <w:div w:id="1573655448">
      <w:bodyDiv w:val="1"/>
      <w:marLeft w:val="0"/>
      <w:marRight w:val="0"/>
      <w:marTop w:val="0"/>
      <w:marBottom w:val="0"/>
      <w:divBdr>
        <w:top w:val="none" w:sz="0" w:space="0" w:color="auto"/>
        <w:left w:val="none" w:sz="0" w:space="0" w:color="auto"/>
        <w:bottom w:val="none" w:sz="0" w:space="0" w:color="auto"/>
        <w:right w:val="none" w:sz="0" w:space="0" w:color="auto"/>
      </w:divBdr>
    </w:div>
    <w:div w:id="1740832777">
      <w:bodyDiv w:val="1"/>
      <w:marLeft w:val="0"/>
      <w:marRight w:val="0"/>
      <w:marTop w:val="0"/>
      <w:marBottom w:val="0"/>
      <w:divBdr>
        <w:top w:val="none" w:sz="0" w:space="0" w:color="auto"/>
        <w:left w:val="none" w:sz="0" w:space="0" w:color="auto"/>
        <w:bottom w:val="none" w:sz="0" w:space="0" w:color="auto"/>
        <w:right w:val="none" w:sz="0" w:space="0" w:color="auto"/>
      </w:divBdr>
      <w:divsChild>
        <w:div w:id="1327594724">
          <w:marLeft w:val="0"/>
          <w:marRight w:val="0"/>
          <w:marTop w:val="0"/>
          <w:marBottom w:val="0"/>
          <w:divBdr>
            <w:top w:val="none" w:sz="0" w:space="0" w:color="auto"/>
            <w:left w:val="none" w:sz="0" w:space="0" w:color="auto"/>
            <w:bottom w:val="none" w:sz="0" w:space="0" w:color="auto"/>
            <w:right w:val="none" w:sz="0" w:space="0" w:color="auto"/>
          </w:divBdr>
          <w:divsChild>
            <w:div w:id="1610114998">
              <w:marLeft w:val="0"/>
              <w:marRight w:val="0"/>
              <w:marTop w:val="0"/>
              <w:marBottom w:val="0"/>
              <w:divBdr>
                <w:top w:val="none" w:sz="0" w:space="0" w:color="auto"/>
                <w:left w:val="none" w:sz="0" w:space="0" w:color="auto"/>
                <w:bottom w:val="none" w:sz="0" w:space="0" w:color="auto"/>
                <w:right w:val="none" w:sz="0" w:space="0" w:color="auto"/>
              </w:divBdr>
              <w:divsChild>
                <w:div w:id="17636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1192">
      <w:bodyDiv w:val="1"/>
      <w:marLeft w:val="0"/>
      <w:marRight w:val="0"/>
      <w:marTop w:val="0"/>
      <w:marBottom w:val="0"/>
      <w:divBdr>
        <w:top w:val="none" w:sz="0" w:space="0" w:color="auto"/>
        <w:left w:val="none" w:sz="0" w:space="0" w:color="auto"/>
        <w:bottom w:val="none" w:sz="0" w:space="0" w:color="auto"/>
        <w:right w:val="none" w:sz="0" w:space="0" w:color="auto"/>
      </w:divBdr>
    </w:div>
    <w:div w:id="19466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erardo.finocchiaro@nhs.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ECB48-AD3D-40DF-8815-A5E93213A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89190</Words>
  <Characters>508389</Characters>
  <Application>Microsoft Office Word</Application>
  <DocSecurity>0</DocSecurity>
  <Lines>4236</Lines>
  <Paragraphs>1192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AOUTS</Company>
  <LinksUpToDate>false</LinksUpToDate>
  <CharactersWithSpaces>596387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Sanjay Sharma</cp:lastModifiedBy>
  <cp:revision>2</cp:revision>
  <dcterms:created xsi:type="dcterms:W3CDTF">2020-04-06T12:20:00Z</dcterms:created>
  <dcterms:modified xsi:type="dcterms:W3CDTF">2020-04-06T12:20:00Z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http://www.zotero.org/styles/bmj</vt:lpwstr>
  </property>
  <property fmtid="{D5CDD505-2E9C-101B-9397-08002B2CF9AE}" pid="9" name="Mendeley Recent Style Name 3_1">
    <vt:lpwstr>BMJ</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http://www.zotero.org/styles/circulation</vt:lpwstr>
  </property>
  <property fmtid="{D5CDD505-2E9C-101B-9397-08002B2CF9AE}" pid="13" name="Mendeley Recent Style Name 5_1">
    <vt:lpwstr>Circulation</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http://www.zotero.org/styles/european-journal-of-heart-failure</vt:lpwstr>
  </property>
  <property fmtid="{D5CDD505-2E9C-101B-9397-08002B2CF9AE}" pid="17" name="Mendeley Recent Style Name 7_1">
    <vt:lpwstr>European Journal of Heart Failure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2fabcfa0-edeb-32b4-9e0c-f4f0feadeabd</vt:lpwstr>
  </property>
  <property fmtid="{D5CDD505-2E9C-101B-9397-08002B2CF9AE}" pid="24" name="Mendeley Citation Style_1">
    <vt:lpwstr>http://www.zotero.org/styles/european-journal-of-heart-failure</vt:lpwstr>
  </property>
</Properties>
</file>