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DAEE" w14:textId="77777777" w:rsidR="00204B98" w:rsidRDefault="00204B98" w:rsidP="005615F2">
      <w:pPr>
        <w:rPr>
          <w:rFonts w:ascii="Arial" w:hAnsi="Arial" w:cs="Arial"/>
          <w:b/>
        </w:rPr>
      </w:pPr>
    </w:p>
    <w:p w14:paraId="71CDA5BD" w14:textId="77777777" w:rsidR="00204B98" w:rsidRDefault="00204B98" w:rsidP="005615F2">
      <w:pPr>
        <w:rPr>
          <w:rFonts w:ascii="Arial" w:hAnsi="Arial" w:cs="Arial"/>
          <w:b/>
        </w:rPr>
      </w:pPr>
      <w:r>
        <w:rPr>
          <w:rFonts w:ascii="Arial" w:hAnsi="Arial" w:cs="Arial"/>
          <w:b/>
        </w:rPr>
        <w:t>Original article</w:t>
      </w:r>
    </w:p>
    <w:p w14:paraId="795C3639" w14:textId="77777777" w:rsidR="00204B98" w:rsidRDefault="00204B98" w:rsidP="005615F2">
      <w:pPr>
        <w:rPr>
          <w:rFonts w:ascii="Arial" w:hAnsi="Arial" w:cs="Arial"/>
          <w:b/>
        </w:rPr>
      </w:pPr>
    </w:p>
    <w:p w14:paraId="4A36963D" w14:textId="0349680D" w:rsidR="00204B98" w:rsidRDefault="00A04374" w:rsidP="005615F2">
      <w:pPr>
        <w:rPr>
          <w:rFonts w:ascii="Arial" w:hAnsi="Arial" w:cs="Arial"/>
          <w:b/>
        </w:rPr>
      </w:pPr>
      <w:r>
        <w:rPr>
          <w:rFonts w:ascii="Arial" w:hAnsi="Arial" w:cs="Arial"/>
          <w:b/>
        </w:rPr>
        <w:t>D</w:t>
      </w:r>
      <w:r w:rsidR="00204B98">
        <w:rPr>
          <w:rFonts w:ascii="Arial" w:hAnsi="Arial" w:cs="Arial"/>
          <w:b/>
        </w:rPr>
        <w:t xml:space="preserve">elivering multi-disease screening to migrants for latent TB and blood-borne viruses in an </w:t>
      </w:r>
      <w:r w:rsidR="00204B98" w:rsidRPr="00CF0099">
        <w:rPr>
          <w:rFonts w:ascii="Arial" w:hAnsi="Arial" w:cs="Arial"/>
          <w:b/>
        </w:rPr>
        <w:t>emergency department</w:t>
      </w:r>
      <w:r w:rsidR="00204B98">
        <w:rPr>
          <w:rFonts w:ascii="Arial" w:hAnsi="Arial" w:cs="Arial"/>
          <w:b/>
        </w:rPr>
        <w:t xml:space="preserve"> setting</w:t>
      </w:r>
      <w:r>
        <w:rPr>
          <w:rFonts w:ascii="Arial" w:hAnsi="Arial" w:cs="Arial"/>
          <w:b/>
        </w:rPr>
        <w:t>: a feasibility study</w:t>
      </w:r>
      <w:r w:rsidR="00204B98">
        <w:rPr>
          <w:rFonts w:ascii="Arial" w:hAnsi="Arial" w:cs="Arial"/>
          <w:b/>
        </w:rPr>
        <w:t xml:space="preserve"> </w:t>
      </w:r>
    </w:p>
    <w:p w14:paraId="2B2E7BC7" w14:textId="77777777" w:rsidR="00204B98" w:rsidRPr="00CF0099" w:rsidRDefault="00204B98" w:rsidP="005615F2">
      <w:pPr>
        <w:rPr>
          <w:rFonts w:ascii="Arial" w:hAnsi="Arial" w:cs="Arial"/>
          <w:b/>
        </w:rPr>
      </w:pPr>
    </w:p>
    <w:p w14:paraId="314F3E10" w14:textId="791F5B97" w:rsidR="00204B98" w:rsidRPr="00CF0099" w:rsidRDefault="00204B98" w:rsidP="005615F2">
      <w:pPr>
        <w:spacing w:before="200" w:after="0" w:line="240" w:lineRule="auto"/>
        <w:jc w:val="both"/>
        <w:rPr>
          <w:rFonts w:ascii="Arial" w:hAnsi="Arial" w:cs="Arial"/>
        </w:rPr>
      </w:pPr>
      <w:r w:rsidRPr="00CF0099">
        <w:rPr>
          <w:rFonts w:ascii="Arial" w:hAnsi="Arial" w:cs="Arial"/>
        </w:rPr>
        <w:t xml:space="preserve">Sally Hargreaves </w:t>
      </w:r>
      <w:proofErr w:type="spellStart"/>
      <w:r w:rsidRPr="00CF0099">
        <w:rPr>
          <w:rFonts w:ascii="Arial" w:hAnsi="Arial" w:cs="Arial"/>
        </w:rPr>
        <w:t>FRCPE</w:t>
      </w:r>
      <w:r w:rsidRPr="00CF0099">
        <w:rPr>
          <w:rFonts w:ascii="Arial" w:hAnsi="Arial" w:cs="Arial"/>
          <w:vertAlign w:val="superscript"/>
        </w:rPr>
        <w:t>a</w:t>
      </w:r>
      <w:proofErr w:type="spellEnd"/>
      <w:r w:rsidRPr="00CF0099">
        <w:rPr>
          <w:rFonts w:ascii="Arial" w:hAnsi="Arial" w:cs="Arial"/>
          <w:vertAlign w:val="superscript"/>
        </w:rPr>
        <w:t>*</w:t>
      </w:r>
      <w:r w:rsidRPr="00CF0099">
        <w:rPr>
          <w:rFonts w:ascii="Arial" w:hAnsi="Arial" w:cs="Arial"/>
        </w:rPr>
        <w:t xml:space="preserve">, Laura B. </w:t>
      </w:r>
      <w:proofErr w:type="spellStart"/>
      <w:r w:rsidRPr="00CF0099">
        <w:rPr>
          <w:rFonts w:ascii="Arial" w:hAnsi="Arial" w:cs="Arial"/>
        </w:rPr>
        <w:t>Nellums</w:t>
      </w:r>
      <w:proofErr w:type="spellEnd"/>
      <w:r w:rsidRPr="00CF0099">
        <w:rPr>
          <w:rFonts w:ascii="Arial" w:hAnsi="Arial" w:cs="Arial"/>
        </w:rPr>
        <w:t xml:space="preserve"> </w:t>
      </w:r>
      <w:proofErr w:type="spellStart"/>
      <w:r w:rsidRPr="00CF0099">
        <w:rPr>
          <w:rFonts w:ascii="Arial" w:hAnsi="Arial" w:cs="Arial"/>
        </w:rPr>
        <w:t>PhD</w:t>
      </w:r>
      <w:r w:rsidRPr="00CF0099">
        <w:rPr>
          <w:rFonts w:ascii="Arial" w:hAnsi="Arial" w:cs="Arial"/>
          <w:vertAlign w:val="superscript"/>
        </w:rPr>
        <w:t>a</w:t>
      </w:r>
      <w:proofErr w:type="spellEnd"/>
      <w:r w:rsidRPr="00CF0099">
        <w:rPr>
          <w:rFonts w:ascii="Arial" w:hAnsi="Arial" w:cs="Arial"/>
          <w:vertAlign w:val="superscript"/>
        </w:rPr>
        <w:t>*</w:t>
      </w:r>
      <w:r w:rsidRPr="00CF0099">
        <w:rPr>
          <w:rFonts w:ascii="Arial" w:hAnsi="Arial" w:cs="Arial"/>
        </w:rPr>
        <w:t xml:space="preserve">, Catherine </w:t>
      </w:r>
      <w:proofErr w:type="spellStart"/>
      <w:r w:rsidRPr="00CF0099">
        <w:rPr>
          <w:rFonts w:ascii="Arial" w:hAnsi="Arial" w:cs="Arial"/>
        </w:rPr>
        <w:t>Johnson</w:t>
      </w:r>
      <w:r w:rsidR="0012593A">
        <w:rPr>
          <w:rFonts w:ascii="Arial" w:hAnsi="Arial" w:cs="Arial"/>
          <w:vertAlign w:val="superscript"/>
        </w:rPr>
        <w:t>c</w:t>
      </w:r>
      <w:proofErr w:type="spellEnd"/>
      <w:r w:rsidRPr="00CF0099">
        <w:rPr>
          <w:rFonts w:ascii="Arial" w:hAnsi="Arial" w:cs="Arial"/>
        </w:rPr>
        <w:t xml:space="preserve">, Jacob </w:t>
      </w:r>
      <w:proofErr w:type="spellStart"/>
      <w:r w:rsidRPr="00CF0099">
        <w:rPr>
          <w:rFonts w:ascii="Arial" w:hAnsi="Arial" w:cs="Arial"/>
        </w:rPr>
        <w:t>Goldberg</w:t>
      </w:r>
      <w:r w:rsidR="0012593A">
        <w:rPr>
          <w:rFonts w:ascii="Arial" w:hAnsi="Arial" w:cs="Arial"/>
          <w:vertAlign w:val="superscript"/>
        </w:rPr>
        <w:t>c</w:t>
      </w:r>
      <w:proofErr w:type="spellEnd"/>
      <w:r>
        <w:rPr>
          <w:rFonts w:ascii="Arial" w:hAnsi="Arial" w:cs="Arial"/>
        </w:rPr>
        <w:t xml:space="preserve">, Panagiotis </w:t>
      </w:r>
      <w:proofErr w:type="spellStart"/>
      <w:r>
        <w:rPr>
          <w:rFonts w:ascii="Arial" w:hAnsi="Arial" w:cs="Arial"/>
        </w:rPr>
        <w:t>Pantelidis</w:t>
      </w:r>
      <w:r w:rsidRPr="00522940">
        <w:rPr>
          <w:rFonts w:ascii="Arial" w:hAnsi="Arial" w:cs="Arial"/>
          <w:vertAlign w:val="superscript"/>
        </w:rPr>
        <w:t>b</w:t>
      </w:r>
      <w:proofErr w:type="spellEnd"/>
      <w:r w:rsidRPr="00CF0099">
        <w:rPr>
          <w:rFonts w:ascii="Arial" w:hAnsi="Arial" w:cs="Arial"/>
        </w:rPr>
        <w:t xml:space="preserve">, </w:t>
      </w:r>
      <w:r>
        <w:rPr>
          <w:rFonts w:ascii="Arial" w:hAnsi="Arial" w:cs="Arial"/>
        </w:rPr>
        <w:t xml:space="preserve">Asif </w:t>
      </w:r>
      <w:proofErr w:type="spellStart"/>
      <w:r>
        <w:rPr>
          <w:rFonts w:ascii="Arial" w:hAnsi="Arial" w:cs="Arial"/>
        </w:rPr>
        <w:t>Rahman</w:t>
      </w:r>
      <w:r w:rsidRPr="00522940">
        <w:rPr>
          <w:rFonts w:ascii="Arial" w:hAnsi="Arial" w:cs="Arial"/>
          <w:vertAlign w:val="superscript"/>
        </w:rPr>
        <w:t>b</w:t>
      </w:r>
      <w:proofErr w:type="spellEnd"/>
      <w:r>
        <w:rPr>
          <w:rFonts w:ascii="Arial" w:hAnsi="Arial" w:cs="Arial"/>
        </w:rPr>
        <w:t xml:space="preserve">, </w:t>
      </w:r>
      <w:r w:rsidRPr="00CF0099">
        <w:rPr>
          <w:rFonts w:ascii="Arial" w:hAnsi="Arial" w:cs="Arial"/>
        </w:rPr>
        <w:t xml:space="preserve">Jon S. Friedland </w:t>
      </w:r>
      <w:proofErr w:type="spellStart"/>
      <w:r w:rsidRPr="00CF0099">
        <w:rPr>
          <w:rFonts w:ascii="Arial" w:hAnsi="Arial" w:cs="Arial"/>
        </w:rPr>
        <w:t>FMedSci</w:t>
      </w:r>
      <w:r w:rsidRPr="00CF0099">
        <w:rPr>
          <w:rFonts w:ascii="Arial" w:hAnsi="Arial" w:cs="Arial"/>
          <w:vertAlign w:val="superscript"/>
        </w:rPr>
        <w:t>a</w:t>
      </w:r>
      <w:proofErr w:type="spellEnd"/>
      <w:r w:rsidRPr="00CF0099">
        <w:rPr>
          <w:rFonts w:ascii="Arial" w:hAnsi="Arial" w:cs="Arial"/>
        </w:rPr>
        <w:t>,</w:t>
      </w:r>
    </w:p>
    <w:p w14:paraId="480CAB34" w14:textId="77777777" w:rsidR="00204B98" w:rsidRDefault="00204B98" w:rsidP="005615F2">
      <w:pPr>
        <w:spacing w:before="200" w:after="0" w:line="240" w:lineRule="auto"/>
        <w:jc w:val="both"/>
        <w:rPr>
          <w:rFonts w:ascii="Arial" w:hAnsi="Arial" w:cs="Arial"/>
        </w:rPr>
      </w:pPr>
      <w:proofErr w:type="spellStart"/>
      <w:r w:rsidRPr="00CF0099">
        <w:rPr>
          <w:rFonts w:ascii="Arial" w:hAnsi="Arial" w:cs="Arial"/>
          <w:vertAlign w:val="superscript"/>
        </w:rPr>
        <w:t>a</w:t>
      </w:r>
      <w:r>
        <w:rPr>
          <w:rFonts w:ascii="Arial" w:hAnsi="Arial" w:cs="Arial"/>
        </w:rPr>
        <w:t>Institute</w:t>
      </w:r>
      <w:proofErr w:type="spellEnd"/>
      <w:r>
        <w:rPr>
          <w:rFonts w:ascii="Arial" w:hAnsi="Arial" w:cs="Arial"/>
        </w:rPr>
        <w:t xml:space="preserve"> for Infection &amp; Immunity, St. George’s, University of London, </w:t>
      </w:r>
      <w:r w:rsidRPr="00CF0099">
        <w:rPr>
          <w:rFonts w:ascii="Arial" w:hAnsi="Arial" w:cs="Arial"/>
        </w:rPr>
        <w:t>United Kingdom</w:t>
      </w:r>
    </w:p>
    <w:p w14:paraId="2910B6FE" w14:textId="4A6718F8" w:rsidR="00204B98" w:rsidRDefault="00204B98" w:rsidP="005615F2">
      <w:pPr>
        <w:spacing w:before="200" w:after="0" w:line="240" w:lineRule="auto"/>
        <w:jc w:val="both"/>
        <w:rPr>
          <w:rFonts w:ascii="Arial" w:hAnsi="Arial" w:cs="Arial"/>
        </w:rPr>
      </w:pPr>
      <w:r w:rsidRPr="00522940">
        <w:rPr>
          <w:rFonts w:ascii="Arial" w:hAnsi="Arial" w:cs="Arial"/>
          <w:vertAlign w:val="superscript"/>
        </w:rPr>
        <w:t>b</w:t>
      </w:r>
      <w:r>
        <w:rPr>
          <w:rFonts w:ascii="Arial" w:hAnsi="Arial" w:cs="Arial"/>
        </w:rPr>
        <w:t xml:space="preserve"> Imperial College Healthcare NHS Trust, London, United Kingdom</w:t>
      </w:r>
    </w:p>
    <w:p w14:paraId="7035CEF6" w14:textId="32A146A8" w:rsidR="0012593A" w:rsidRPr="00CF0099" w:rsidRDefault="0012593A" w:rsidP="005615F2">
      <w:pPr>
        <w:spacing w:before="200" w:after="0" w:line="240" w:lineRule="auto"/>
        <w:jc w:val="both"/>
        <w:rPr>
          <w:rFonts w:ascii="Arial" w:hAnsi="Arial" w:cs="Arial"/>
        </w:rPr>
      </w:pPr>
      <w:r w:rsidRPr="007513C1">
        <w:rPr>
          <w:rFonts w:ascii="Arial" w:hAnsi="Arial" w:cs="Arial"/>
          <w:vertAlign w:val="superscript"/>
        </w:rPr>
        <w:t>c</w:t>
      </w:r>
      <w:r>
        <w:rPr>
          <w:rFonts w:ascii="Arial" w:hAnsi="Arial" w:cs="Arial"/>
        </w:rPr>
        <w:t xml:space="preserve"> Section of Infectious Diseases &amp; Immunity, Imperial College London</w:t>
      </w:r>
    </w:p>
    <w:p w14:paraId="01490498" w14:textId="77777777" w:rsidR="00204B98" w:rsidRPr="00CF0099" w:rsidRDefault="00204B98" w:rsidP="005615F2">
      <w:pPr>
        <w:spacing w:before="200" w:after="0" w:line="240" w:lineRule="auto"/>
        <w:jc w:val="both"/>
        <w:rPr>
          <w:rFonts w:ascii="Arial" w:hAnsi="Arial" w:cs="Arial"/>
        </w:rPr>
      </w:pPr>
      <w:r w:rsidRPr="00CF0099">
        <w:rPr>
          <w:rFonts w:ascii="Arial" w:hAnsi="Arial" w:cs="Arial"/>
        </w:rPr>
        <w:t xml:space="preserve">*Joint </w:t>
      </w:r>
      <w:proofErr w:type="gramStart"/>
      <w:r w:rsidRPr="00CF0099">
        <w:rPr>
          <w:rFonts w:ascii="Arial" w:hAnsi="Arial" w:cs="Arial"/>
        </w:rPr>
        <w:t>first-authors</w:t>
      </w:r>
      <w:proofErr w:type="gramEnd"/>
    </w:p>
    <w:p w14:paraId="6941F848" w14:textId="77777777" w:rsidR="00204B98" w:rsidRPr="00CF0099" w:rsidRDefault="00204B98" w:rsidP="005615F2">
      <w:pPr>
        <w:spacing w:before="200" w:after="0" w:line="240" w:lineRule="auto"/>
        <w:jc w:val="both"/>
        <w:rPr>
          <w:rFonts w:ascii="Arial" w:hAnsi="Arial" w:cs="Arial"/>
        </w:rPr>
      </w:pPr>
      <w:r w:rsidRPr="00CF0099">
        <w:rPr>
          <w:rFonts w:ascii="Arial" w:hAnsi="Arial" w:cs="Arial"/>
        </w:rPr>
        <w:t xml:space="preserve">Correspondence to: </w:t>
      </w:r>
    </w:p>
    <w:p w14:paraId="22DEE3C9" w14:textId="430997EE" w:rsidR="00204B98" w:rsidRPr="00CF0099" w:rsidRDefault="00204B98" w:rsidP="005615F2">
      <w:pPr>
        <w:spacing w:before="200" w:after="0" w:line="240" w:lineRule="auto"/>
        <w:jc w:val="both"/>
        <w:rPr>
          <w:rFonts w:ascii="Arial" w:hAnsi="Arial" w:cs="Arial"/>
        </w:rPr>
      </w:pPr>
      <w:r w:rsidRPr="00CF0099">
        <w:rPr>
          <w:rFonts w:ascii="Arial" w:hAnsi="Arial" w:cs="Arial"/>
        </w:rPr>
        <w:t>Dr</w:t>
      </w:r>
      <w:r w:rsidR="0040683F">
        <w:rPr>
          <w:rFonts w:ascii="Arial" w:hAnsi="Arial" w:cs="Arial"/>
        </w:rPr>
        <w:t xml:space="preserve"> </w:t>
      </w:r>
      <w:r>
        <w:rPr>
          <w:rFonts w:ascii="Arial" w:hAnsi="Arial" w:cs="Arial"/>
        </w:rPr>
        <w:t>Sally Hargreaves</w:t>
      </w:r>
    </w:p>
    <w:p w14:paraId="5BD55E19" w14:textId="77777777" w:rsidR="00204B98" w:rsidRPr="00CF0099" w:rsidRDefault="00204B98" w:rsidP="005615F2">
      <w:pPr>
        <w:spacing w:before="200" w:after="0" w:line="240" w:lineRule="auto"/>
        <w:jc w:val="both"/>
        <w:rPr>
          <w:rFonts w:ascii="Arial" w:hAnsi="Arial" w:cs="Arial"/>
        </w:rPr>
      </w:pPr>
      <w:r>
        <w:rPr>
          <w:rFonts w:ascii="Arial" w:hAnsi="Arial" w:cs="Arial"/>
        </w:rPr>
        <w:t>Institute for Infection &amp; Immunity, St. George’s, University of London, Cranmer Terrace, SW17 0RE, UK</w:t>
      </w:r>
    </w:p>
    <w:p w14:paraId="2387DB3F" w14:textId="77777777" w:rsidR="00204B98" w:rsidRPr="005C2487" w:rsidRDefault="00204B98" w:rsidP="005615F2">
      <w:pPr>
        <w:spacing w:before="200" w:after="0" w:line="240" w:lineRule="auto"/>
        <w:jc w:val="both"/>
        <w:rPr>
          <w:rFonts w:ascii="Arial" w:hAnsi="Arial" w:cs="Arial"/>
          <w:u w:val="single"/>
        </w:rPr>
      </w:pPr>
      <w:r>
        <w:rPr>
          <w:rFonts w:ascii="Arial" w:hAnsi="Arial" w:cs="Arial"/>
          <w:u w:val="single"/>
        </w:rPr>
        <w:t>s.hargreaves@sgul.ac.uk</w:t>
      </w:r>
    </w:p>
    <w:p w14:paraId="2DF2C486" w14:textId="77777777" w:rsidR="00204B98" w:rsidRPr="00CF0099" w:rsidRDefault="00204B98">
      <w:pPr>
        <w:rPr>
          <w:rFonts w:ascii="Arial" w:hAnsi="Arial" w:cs="Arial"/>
        </w:rPr>
      </w:pPr>
    </w:p>
    <w:p w14:paraId="556A0AD7" w14:textId="77777777" w:rsidR="00204B98" w:rsidRDefault="00204B98">
      <w:pPr>
        <w:rPr>
          <w:rFonts w:ascii="Arial" w:hAnsi="Arial" w:cs="Arial"/>
        </w:rPr>
      </w:pPr>
      <w:r>
        <w:rPr>
          <w:rFonts w:ascii="Arial" w:hAnsi="Arial" w:cs="Arial"/>
          <w:b/>
        </w:rPr>
        <w:t xml:space="preserve">Keywords: </w:t>
      </w:r>
      <w:r w:rsidRPr="00704191">
        <w:rPr>
          <w:rFonts w:ascii="Arial" w:hAnsi="Arial" w:cs="Arial"/>
        </w:rPr>
        <w:t>latent TB, LTBI, HIV, hepatitis, migrant, Europe, multi-disease screening, health-service delivery</w:t>
      </w:r>
    </w:p>
    <w:p w14:paraId="602EC2DB" w14:textId="77777777" w:rsidR="00204B98" w:rsidRDefault="00204B98">
      <w:pPr>
        <w:rPr>
          <w:rFonts w:ascii="Arial" w:hAnsi="Arial" w:cs="Arial"/>
        </w:rPr>
      </w:pPr>
      <w:r w:rsidRPr="00644B52">
        <w:rPr>
          <w:rFonts w:ascii="Arial" w:hAnsi="Arial" w:cs="Arial"/>
          <w:b/>
        </w:rPr>
        <w:t>Conflict of interest statement:</w:t>
      </w:r>
      <w:r>
        <w:rPr>
          <w:rFonts w:ascii="Arial" w:hAnsi="Arial" w:cs="Arial"/>
        </w:rPr>
        <w:t xml:space="preserve"> None. </w:t>
      </w:r>
    </w:p>
    <w:p w14:paraId="2F7A5BFF" w14:textId="77777777" w:rsidR="006E5760" w:rsidRDefault="00204B98">
      <w:pPr>
        <w:rPr>
          <w:rFonts w:ascii="Arial" w:hAnsi="Arial" w:cs="Arial"/>
        </w:rPr>
      </w:pPr>
      <w:r w:rsidRPr="00644B52">
        <w:rPr>
          <w:rFonts w:ascii="Arial" w:hAnsi="Arial" w:cs="Arial"/>
          <w:b/>
        </w:rPr>
        <w:t>Funding Statement:</w:t>
      </w:r>
      <w:r>
        <w:rPr>
          <w:rFonts w:ascii="Arial" w:hAnsi="Arial" w:cs="Arial"/>
        </w:rPr>
        <w:t xml:space="preserve"> </w:t>
      </w:r>
      <w:r w:rsidRPr="00F47793">
        <w:rPr>
          <w:rFonts w:ascii="Arial" w:hAnsi="Arial" w:cs="Arial"/>
        </w:rPr>
        <w:t xml:space="preserve">This work was funded by the UK National Institute for Health Research </w:t>
      </w:r>
      <w:r w:rsidR="00C53204">
        <w:rPr>
          <w:rFonts w:ascii="Arial" w:hAnsi="Arial" w:cs="Arial"/>
        </w:rPr>
        <w:t>and</w:t>
      </w:r>
      <w:r w:rsidR="001B761C">
        <w:rPr>
          <w:rFonts w:ascii="Arial" w:hAnsi="Arial" w:cs="Arial"/>
        </w:rPr>
        <w:t xml:space="preserve"> </w:t>
      </w:r>
      <w:r w:rsidRPr="00F47793">
        <w:rPr>
          <w:rFonts w:ascii="Arial" w:hAnsi="Arial" w:cs="Arial"/>
        </w:rPr>
        <w:t>the Imperial College Healthcare Charity</w:t>
      </w:r>
      <w:r w:rsidR="00C53204">
        <w:rPr>
          <w:rFonts w:ascii="Arial" w:hAnsi="Arial" w:cs="Arial"/>
        </w:rPr>
        <w:t xml:space="preserve">. </w:t>
      </w:r>
      <w:r w:rsidR="00C53204" w:rsidRPr="001B761C">
        <w:rPr>
          <w:rFonts w:ascii="Arial" w:hAnsi="Arial" w:cs="Arial"/>
        </w:rPr>
        <w:t>SH is funded by the NIHR (</w:t>
      </w:r>
      <w:r w:rsidR="00D35476">
        <w:rPr>
          <w:rFonts w:ascii="Arial" w:hAnsi="Arial" w:cs="Arial"/>
        </w:rPr>
        <w:t xml:space="preserve">NIHR Advanced Fellowship </w:t>
      </w:r>
      <w:r w:rsidR="00C53204" w:rsidRPr="001B761C">
        <w:rPr>
          <w:rFonts w:ascii="Arial" w:hAnsi="Arial" w:cs="Arial"/>
        </w:rPr>
        <w:t xml:space="preserve">NIHR300072) and the Academy of Medical Sciences (SBF005\1111). SH and LBN were supported by The </w:t>
      </w:r>
      <w:proofErr w:type="spellStart"/>
      <w:r w:rsidR="00C53204" w:rsidRPr="001B761C">
        <w:rPr>
          <w:rFonts w:ascii="Arial" w:eastAsia="ScalaLancetPro" w:hAnsi="Arial" w:cs="Arial"/>
        </w:rPr>
        <w:t>Wellcome</w:t>
      </w:r>
      <w:proofErr w:type="spellEnd"/>
      <w:r w:rsidR="00C53204" w:rsidRPr="001B761C">
        <w:rPr>
          <w:rFonts w:ascii="Arial" w:eastAsia="ScalaLancetPro" w:hAnsi="Arial" w:cs="Arial"/>
        </w:rPr>
        <w:t xml:space="preserve"> Trust (209993/Z/17/Z), and the European Society for Clinical Microbiology and Infectious Diseases (ESCMID) through an ESCMID Study Group for Infections in Travellers and Migrants (ESGITM) research grant. LBN is funded by the </w:t>
      </w:r>
      <w:r w:rsidR="00C53204" w:rsidRPr="001B761C">
        <w:rPr>
          <w:rFonts w:ascii="Arial" w:eastAsia="Times New Roman" w:hAnsi="Arial" w:cs="Arial"/>
          <w:color w:val="000000"/>
          <w:lang w:eastAsia="en-GB"/>
        </w:rPr>
        <w:t>Academy of Medical Sciences (SBF005\1047) and the </w:t>
      </w:r>
      <w:r w:rsidR="00C53204" w:rsidRPr="001B761C">
        <w:rPr>
          <w:rFonts w:ascii="Arial" w:eastAsia="Times New Roman" w:hAnsi="Arial" w:cs="Arial"/>
          <w:color w:val="3A3A3A"/>
          <w:shd w:val="clear" w:color="auto" w:fill="FFFFFF"/>
          <w:lang w:eastAsia="en-GB"/>
        </w:rPr>
        <w:t>MRC/AHRC/ESRC (MR/T046732/1).</w:t>
      </w:r>
      <w:r>
        <w:rPr>
          <w:rFonts w:ascii="Arial" w:hAnsi="Arial" w:cs="Arial"/>
        </w:rPr>
        <w:t xml:space="preserve"> </w:t>
      </w:r>
      <w:r w:rsidR="00C53204">
        <w:rPr>
          <w:rFonts w:ascii="Arial" w:hAnsi="Arial" w:cs="Arial"/>
        </w:rPr>
        <w:t>No funders</w:t>
      </w:r>
      <w:r>
        <w:rPr>
          <w:rFonts w:ascii="Arial" w:hAnsi="Arial" w:cs="Arial"/>
        </w:rPr>
        <w:t xml:space="preserve"> had any role in the design of the study, in data collection, writing of the paper, nor decision to submit for publication. </w:t>
      </w:r>
    </w:p>
    <w:p w14:paraId="12F8D53C" w14:textId="77777777" w:rsidR="006E5760" w:rsidRDefault="006E5760">
      <w:pPr>
        <w:rPr>
          <w:rFonts w:ascii="Arial" w:hAnsi="Arial" w:cs="Arial"/>
        </w:rPr>
      </w:pPr>
    </w:p>
    <w:p w14:paraId="18CB59BB" w14:textId="7C3F1F40" w:rsidR="006E5760" w:rsidRPr="006E5760" w:rsidRDefault="006E5760">
      <w:pPr>
        <w:rPr>
          <w:rFonts w:ascii="Arial" w:hAnsi="Arial" w:cs="Arial"/>
          <w:b/>
          <w:bCs/>
        </w:rPr>
      </w:pPr>
      <w:r w:rsidRPr="006E5760">
        <w:rPr>
          <w:rFonts w:ascii="Arial" w:hAnsi="Arial" w:cs="Arial"/>
          <w:b/>
          <w:bCs/>
        </w:rPr>
        <w:t>Contributions:</w:t>
      </w:r>
    </w:p>
    <w:p w14:paraId="7CF622D9" w14:textId="13A8777B" w:rsidR="00204B98" w:rsidRPr="00CF0099" w:rsidRDefault="006E5760">
      <w:pPr>
        <w:rPr>
          <w:rFonts w:ascii="Arial" w:hAnsi="Arial" w:cs="Arial"/>
          <w:b/>
        </w:rPr>
      </w:pPr>
      <w:r>
        <w:rPr>
          <w:rFonts w:ascii="Arial" w:hAnsi="Arial" w:cs="Arial"/>
        </w:rPr>
        <w:t>SH and JSF designed the study with input from PP and AR. SH, LBN, CJ, and JG did the data collection. LBN did the data analysis, with input from SH</w:t>
      </w:r>
      <w:bookmarkStart w:id="0" w:name="_GoBack"/>
      <w:bookmarkEnd w:id="0"/>
      <w:r>
        <w:rPr>
          <w:rFonts w:ascii="Arial" w:hAnsi="Arial" w:cs="Arial"/>
        </w:rPr>
        <w:t xml:space="preserve">. All authors were involved in interpreting of results and the writing of the paper. </w:t>
      </w:r>
      <w:r w:rsidR="00204B98" w:rsidRPr="00CF0099">
        <w:rPr>
          <w:rFonts w:ascii="Arial" w:hAnsi="Arial" w:cs="Arial"/>
          <w:b/>
        </w:rPr>
        <w:br w:type="page"/>
      </w:r>
    </w:p>
    <w:p w14:paraId="09A3D021" w14:textId="77777777" w:rsidR="00204B98" w:rsidRPr="00A16AD1" w:rsidRDefault="00204B98" w:rsidP="005615F2">
      <w:pPr>
        <w:spacing w:line="480" w:lineRule="auto"/>
        <w:jc w:val="both"/>
        <w:rPr>
          <w:rFonts w:ascii="Arial" w:hAnsi="Arial" w:cs="Arial"/>
          <w:b/>
        </w:rPr>
      </w:pPr>
      <w:r>
        <w:rPr>
          <w:rFonts w:ascii="Arial" w:hAnsi="Arial" w:cs="Arial"/>
          <w:b/>
        </w:rPr>
        <w:lastRenderedPageBreak/>
        <w:t>Abstract</w:t>
      </w:r>
    </w:p>
    <w:p w14:paraId="6C7427AD" w14:textId="56ED7E8D" w:rsidR="00204B98" w:rsidRDefault="00204B98" w:rsidP="005615F2">
      <w:pPr>
        <w:spacing w:line="480" w:lineRule="auto"/>
        <w:jc w:val="both"/>
        <w:rPr>
          <w:rFonts w:ascii="Arial" w:hAnsi="Arial" w:cs="Arial"/>
        </w:rPr>
      </w:pPr>
      <w:r>
        <w:rPr>
          <w:rFonts w:ascii="Arial" w:hAnsi="Arial" w:cs="Arial"/>
        </w:rPr>
        <w:t xml:space="preserve">Background: Screening for </w:t>
      </w:r>
      <w:r w:rsidR="00472137">
        <w:rPr>
          <w:rFonts w:ascii="Arial" w:hAnsi="Arial" w:cs="Arial"/>
        </w:rPr>
        <w:t>latent tuberculosis</w:t>
      </w:r>
      <w:r w:rsidR="005615F2">
        <w:rPr>
          <w:rFonts w:ascii="Arial" w:hAnsi="Arial" w:cs="Arial"/>
        </w:rPr>
        <w:t xml:space="preserve"> infection</w:t>
      </w:r>
      <w:r w:rsidR="00472137">
        <w:rPr>
          <w:rFonts w:ascii="Arial" w:hAnsi="Arial" w:cs="Arial"/>
        </w:rPr>
        <w:t xml:space="preserve"> (</w:t>
      </w:r>
      <w:r>
        <w:rPr>
          <w:rFonts w:ascii="Arial" w:hAnsi="Arial" w:cs="Arial"/>
        </w:rPr>
        <w:t>LTBI</w:t>
      </w:r>
      <w:r w:rsidR="00472137">
        <w:rPr>
          <w:rFonts w:ascii="Arial" w:hAnsi="Arial" w:cs="Arial"/>
        </w:rPr>
        <w:t>)</w:t>
      </w:r>
      <w:r>
        <w:rPr>
          <w:rFonts w:ascii="Arial" w:hAnsi="Arial" w:cs="Arial"/>
        </w:rPr>
        <w:t xml:space="preserve"> in migrants is important for elimination of tuberculosis in low-incidence countries, alongside </w:t>
      </w:r>
      <w:r w:rsidR="0040683F">
        <w:rPr>
          <w:rFonts w:ascii="Arial" w:hAnsi="Arial" w:cs="Arial"/>
        </w:rPr>
        <w:t>the</w:t>
      </w:r>
      <w:r>
        <w:rPr>
          <w:rFonts w:ascii="Arial" w:hAnsi="Arial" w:cs="Arial"/>
        </w:rPr>
        <w:t xml:space="preserve"> need to detect blood-borne infections to align with new guidelines on migrant screening for multiple infections in </w:t>
      </w:r>
      <w:r w:rsidR="00472137">
        <w:rPr>
          <w:rFonts w:ascii="Arial" w:hAnsi="Arial" w:cs="Arial"/>
        </w:rPr>
        <w:t>European</w:t>
      </w:r>
      <w:r>
        <w:rPr>
          <w:rFonts w:ascii="Arial" w:hAnsi="Arial" w:cs="Arial"/>
        </w:rPr>
        <w:t xml:space="preserve"> countries. However, feasibility needs to be better understood. </w:t>
      </w:r>
    </w:p>
    <w:p w14:paraId="3F22FFB3" w14:textId="0D341350" w:rsidR="00204B98" w:rsidRDefault="00204B98" w:rsidP="005615F2">
      <w:pPr>
        <w:spacing w:line="480" w:lineRule="auto"/>
        <w:jc w:val="both"/>
        <w:rPr>
          <w:rFonts w:ascii="Arial" w:hAnsi="Arial" w:cs="Arial"/>
        </w:rPr>
      </w:pPr>
      <w:r>
        <w:rPr>
          <w:rFonts w:ascii="Arial" w:hAnsi="Arial" w:cs="Arial"/>
        </w:rPr>
        <w:t xml:space="preserve">Methods: We did a </w:t>
      </w:r>
      <w:r w:rsidR="00BC6CE7">
        <w:rPr>
          <w:rFonts w:ascii="Arial" w:hAnsi="Arial" w:cs="Arial"/>
        </w:rPr>
        <w:t>feasibility</w:t>
      </w:r>
      <w:r>
        <w:rPr>
          <w:rFonts w:ascii="Arial" w:hAnsi="Arial" w:cs="Arial"/>
        </w:rPr>
        <w:t xml:space="preserve"> study to test an innovative screening model offering combined </w:t>
      </w:r>
      <w:r w:rsidR="0040683F">
        <w:rPr>
          <w:rFonts w:ascii="Arial" w:hAnsi="Arial" w:cs="Arial"/>
        </w:rPr>
        <w:t>testing for</w:t>
      </w:r>
      <w:r>
        <w:rPr>
          <w:rFonts w:ascii="Arial" w:hAnsi="Arial" w:cs="Arial"/>
        </w:rPr>
        <w:t xml:space="preserve"> LTBI (QuantiFERON), HIV, hepatitis B/C in a UK emergency department, with </w:t>
      </w:r>
      <w:proofErr w:type="gramStart"/>
      <w:r>
        <w:rPr>
          <w:rFonts w:ascii="Arial" w:hAnsi="Arial" w:cs="Arial"/>
        </w:rPr>
        <w:t>two year</w:t>
      </w:r>
      <w:proofErr w:type="gramEnd"/>
      <w:r>
        <w:rPr>
          <w:rFonts w:ascii="Arial" w:hAnsi="Arial" w:cs="Arial"/>
        </w:rPr>
        <w:t xml:space="preserve"> follow-up. </w:t>
      </w:r>
    </w:p>
    <w:p w14:paraId="3CB84693" w14:textId="21D5967E" w:rsidR="00204B98" w:rsidRDefault="00204B98" w:rsidP="005615F2">
      <w:pPr>
        <w:spacing w:line="480" w:lineRule="auto"/>
        <w:jc w:val="both"/>
        <w:rPr>
          <w:rFonts w:ascii="Arial" w:hAnsi="Arial" w:cs="Arial"/>
        </w:rPr>
      </w:pPr>
      <w:r>
        <w:rPr>
          <w:rFonts w:ascii="Arial" w:hAnsi="Arial" w:cs="Arial"/>
        </w:rPr>
        <w:t xml:space="preserve">Results: 96 economic migrants, asylum seekers and refugees from 43 countries were screened (46 [47.9%] women; mean age 35.2 years [SD 11.7; range 18-73]; mean time in the UK 4.8 years [SD 3.2; range 0-10]). 14 migrants (14.6%) tested positive for LTBI alongside HIV [1], hepatitis B [2], and hepatitis C [1] Of migrants with LTBI, </w:t>
      </w:r>
      <w:r w:rsidR="00B560B9">
        <w:rPr>
          <w:rFonts w:ascii="Arial" w:hAnsi="Arial" w:cs="Arial"/>
        </w:rPr>
        <w:t xml:space="preserve">5 </w:t>
      </w:r>
      <w:r>
        <w:rPr>
          <w:rFonts w:ascii="Arial" w:hAnsi="Arial" w:cs="Arial"/>
        </w:rPr>
        <w:t xml:space="preserve">(35.7%) were successfully engaged in treatment. 74 (77.1%) migrants reported no previous screening since migrating to the UK. </w:t>
      </w:r>
    </w:p>
    <w:p w14:paraId="0478595C" w14:textId="51859FC1" w:rsidR="00204B98" w:rsidRPr="00CF0099" w:rsidRDefault="00204B98" w:rsidP="005615F2">
      <w:pPr>
        <w:spacing w:line="480" w:lineRule="auto"/>
        <w:jc w:val="both"/>
        <w:rPr>
          <w:rFonts w:ascii="Arial" w:hAnsi="Arial" w:cs="Arial"/>
          <w:b/>
        </w:rPr>
      </w:pPr>
      <w:r>
        <w:rPr>
          <w:rFonts w:ascii="Arial" w:hAnsi="Arial" w:cs="Arial"/>
        </w:rPr>
        <w:t>Conclusion: Multi-disease screening in this setting is feasible</w:t>
      </w:r>
      <w:r w:rsidR="00A95D53">
        <w:rPr>
          <w:rFonts w:ascii="Arial" w:hAnsi="Arial" w:cs="Arial"/>
        </w:rPr>
        <w:t xml:space="preserve"> and merits being further tested in larger-scale studies</w:t>
      </w:r>
      <w:r w:rsidR="000C4540">
        <w:rPr>
          <w:rFonts w:ascii="Arial" w:hAnsi="Arial" w:cs="Arial"/>
        </w:rPr>
        <w:t>. H</w:t>
      </w:r>
      <w:r w:rsidR="00A95D53">
        <w:rPr>
          <w:rFonts w:ascii="Arial" w:hAnsi="Arial" w:cs="Arial"/>
        </w:rPr>
        <w:t>owever,</w:t>
      </w:r>
      <w:r>
        <w:rPr>
          <w:rFonts w:ascii="Arial" w:hAnsi="Arial" w:cs="Arial"/>
        </w:rPr>
        <w:t xml:space="preserve"> greater emphasis must be placed on ensuring successful treatment outcomes. We identified major gaps in current screening provision; most had no prior screening despite several years since migration, which holds major relevance to other </w:t>
      </w:r>
      <w:r w:rsidR="00472137">
        <w:rPr>
          <w:rFonts w:ascii="Arial" w:hAnsi="Arial" w:cs="Arial"/>
        </w:rPr>
        <w:t>European</w:t>
      </w:r>
      <w:r>
        <w:rPr>
          <w:rFonts w:ascii="Arial" w:hAnsi="Arial" w:cs="Arial"/>
        </w:rPr>
        <w:t xml:space="preserve"> countries.</w:t>
      </w:r>
      <w:r w:rsidRPr="00CF0099">
        <w:rPr>
          <w:rFonts w:ascii="Arial" w:hAnsi="Arial" w:cs="Arial"/>
          <w:b/>
        </w:rPr>
        <w:br w:type="page"/>
      </w:r>
    </w:p>
    <w:p w14:paraId="1808DDBD" w14:textId="77777777" w:rsidR="00204B98" w:rsidRPr="005D4C83" w:rsidRDefault="00204B98" w:rsidP="005615F2">
      <w:pPr>
        <w:spacing w:line="480" w:lineRule="auto"/>
        <w:jc w:val="both"/>
        <w:rPr>
          <w:rFonts w:ascii="Arial" w:hAnsi="Arial" w:cs="Arial"/>
          <w:b/>
        </w:rPr>
      </w:pPr>
      <w:r w:rsidRPr="005D4C83">
        <w:rPr>
          <w:rFonts w:ascii="Arial" w:hAnsi="Arial" w:cs="Arial"/>
          <w:b/>
        </w:rPr>
        <w:lastRenderedPageBreak/>
        <w:t>Introduction</w:t>
      </w:r>
    </w:p>
    <w:p w14:paraId="272F61CB" w14:textId="7C5E728E" w:rsidR="00204B98" w:rsidRPr="007C4171" w:rsidRDefault="00204B98" w:rsidP="005615F2">
      <w:pPr>
        <w:spacing w:line="480" w:lineRule="auto"/>
        <w:jc w:val="both"/>
        <w:rPr>
          <w:rFonts w:ascii="Arial" w:hAnsi="Arial" w:cs="Arial"/>
        </w:rPr>
      </w:pPr>
      <w:r w:rsidRPr="005D4C83">
        <w:rPr>
          <w:rFonts w:ascii="Arial" w:hAnsi="Arial" w:cs="Arial"/>
        </w:rPr>
        <w:t>Migrants</w:t>
      </w:r>
      <w:r w:rsidR="005615F2">
        <w:rPr>
          <w:rFonts w:ascii="Arial" w:hAnsi="Arial" w:cs="Arial"/>
        </w:rPr>
        <w:t xml:space="preserve"> (defined as foreign born)</w:t>
      </w:r>
      <w:r w:rsidRPr="005D4C83">
        <w:rPr>
          <w:rFonts w:ascii="Arial" w:hAnsi="Arial" w:cs="Arial"/>
        </w:rPr>
        <w:t xml:space="preserve"> in Europe face a disproportion</w:t>
      </w:r>
      <w:r w:rsidRPr="007C4171">
        <w:rPr>
          <w:rFonts w:ascii="Arial" w:hAnsi="Arial" w:cs="Arial"/>
        </w:rPr>
        <w:t xml:space="preserve">ate burden of TB, </w:t>
      </w:r>
      <w:r>
        <w:rPr>
          <w:rFonts w:ascii="Arial" w:hAnsi="Arial" w:cs="Arial"/>
        </w:rPr>
        <w:t xml:space="preserve">as well as other priority infectious diseases such as </w:t>
      </w:r>
      <w:r w:rsidRPr="007C4171">
        <w:rPr>
          <w:rFonts w:ascii="Arial" w:hAnsi="Arial" w:cs="Arial"/>
        </w:rPr>
        <w:t>HIV</w:t>
      </w:r>
      <w:r w:rsidR="005615F2">
        <w:rPr>
          <w:rFonts w:ascii="Arial" w:hAnsi="Arial" w:cs="Arial"/>
        </w:rPr>
        <w:t xml:space="preserve">, </w:t>
      </w:r>
      <w:r w:rsidRPr="007C4171">
        <w:rPr>
          <w:rFonts w:ascii="Arial" w:hAnsi="Arial" w:cs="Arial"/>
        </w:rPr>
        <w:t>and hepatitis B and C, compared to host populations</w:t>
      </w:r>
      <w:r>
        <w:rPr>
          <w:rFonts w:ascii="Arial" w:hAnsi="Arial" w:cs="Arial"/>
        </w:rPr>
        <w:t xml:space="preserve">, comprising over 70% of cases in some low-incidence countries </w:t>
      </w:r>
      <w:r>
        <w:rPr>
          <w:rFonts w:ascii="Arial" w:hAnsi="Arial" w:cs="Arial"/>
          <w:noProof/>
        </w:rPr>
        <w:t>(1-8)</w:t>
      </w:r>
      <w:r>
        <w:rPr>
          <w:rFonts w:ascii="Arial" w:hAnsi="Arial" w:cs="Arial"/>
        </w:rPr>
        <w:t>. A</w:t>
      </w:r>
      <w:r w:rsidRPr="007C4171">
        <w:rPr>
          <w:rFonts w:ascii="Arial" w:hAnsi="Arial" w:cs="Arial"/>
        </w:rPr>
        <w:t>mid growing levels of migration to the region</w:t>
      </w:r>
      <w:r w:rsidR="003E5977">
        <w:rPr>
          <w:rFonts w:ascii="Arial" w:hAnsi="Arial" w:cs="Arial"/>
        </w:rPr>
        <w:t xml:space="preserve"> over the past two decades</w:t>
      </w:r>
      <w:r w:rsidRPr="007C4171">
        <w:rPr>
          <w:rFonts w:ascii="Arial" w:hAnsi="Arial" w:cs="Arial"/>
        </w:rPr>
        <w:t xml:space="preserve"> </w:t>
      </w:r>
      <w:r>
        <w:rPr>
          <w:rFonts w:ascii="Arial" w:hAnsi="Arial" w:cs="Arial"/>
          <w:noProof/>
        </w:rPr>
        <w:t>(9)</w:t>
      </w:r>
      <w:r>
        <w:rPr>
          <w:rFonts w:ascii="Arial" w:hAnsi="Arial" w:cs="Arial"/>
        </w:rPr>
        <w:t>,</w:t>
      </w:r>
      <w:r w:rsidRPr="005D4C83">
        <w:rPr>
          <w:rFonts w:ascii="Arial" w:hAnsi="Arial" w:cs="Arial"/>
        </w:rPr>
        <w:t xml:space="preserve"> renewed focus </w:t>
      </w:r>
      <w:r w:rsidRPr="007C4171">
        <w:rPr>
          <w:rFonts w:ascii="Arial" w:hAnsi="Arial" w:cs="Arial"/>
        </w:rPr>
        <w:t xml:space="preserve">has been placed on developing and strengthening migrant </w:t>
      </w:r>
      <w:r>
        <w:rPr>
          <w:rFonts w:ascii="Arial" w:hAnsi="Arial" w:cs="Arial"/>
        </w:rPr>
        <w:t xml:space="preserve">health </w:t>
      </w:r>
      <w:r w:rsidRPr="007C4171">
        <w:rPr>
          <w:rFonts w:ascii="Arial" w:hAnsi="Arial" w:cs="Arial"/>
        </w:rPr>
        <w:t xml:space="preserve">screening programmes and improving health-service delivery on arrival. </w:t>
      </w:r>
      <w:r w:rsidRPr="0038539B">
        <w:rPr>
          <w:rFonts w:ascii="Arial" w:hAnsi="Arial" w:cs="Arial"/>
        </w:rPr>
        <w:t>Migrant screening</w:t>
      </w:r>
      <w:r>
        <w:rPr>
          <w:rFonts w:ascii="Arial" w:hAnsi="Arial" w:cs="Arial"/>
        </w:rPr>
        <w:t xml:space="preserve"> programmes in European countries</w:t>
      </w:r>
      <w:r w:rsidRPr="0038539B">
        <w:rPr>
          <w:rFonts w:ascii="Arial" w:hAnsi="Arial" w:cs="Arial"/>
        </w:rPr>
        <w:t xml:space="preserve"> to date ha</w:t>
      </w:r>
      <w:r>
        <w:rPr>
          <w:rFonts w:ascii="Arial" w:hAnsi="Arial" w:cs="Arial"/>
        </w:rPr>
        <w:t>ve</w:t>
      </w:r>
      <w:r w:rsidRPr="0038539B">
        <w:rPr>
          <w:rFonts w:ascii="Arial" w:hAnsi="Arial" w:cs="Arial"/>
        </w:rPr>
        <w:t xml:space="preserve"> predominantly focused on </w:t>
      </w:r>
      <w:r w:rsidR="003E5977">
        <w:rPr>
          <w:rFonts w:ascii="Arial" w:hAnsi="Arial" w:cs="Arial"/>
        </w:rPr>
        <w:t xml:space="preserve">single diseases – predominantly </w:t>
      </w:r>
      <w:r w:rsidRPr="0038539B">
        <w:rPr>
          <w:rFonts w:ascii="Arial" w:hAnsi="Arial" w:cs="Arial"/>
        </w:rPr>
        <w:t xml:space="preserve">active TB </w:t>
      </w:r>
      <w:r w:rsidR="003E5977">
        <w:rPr>
          <w:rFonts w:ascii="Arial" w:hAnsi="Arial" w:cs="Arial"/>
        </w:rPr>
        <w:t xml:space="preserve">– </w:t>
      </w:r>
      <w:r>
        <w:rPr>
          <w:rFonts w:ascii="Arial" w:hAnsi="Arial" w:cs="Arial"/>
          <w:noProof/>
        </w:rPr>
        <w:t>(10)</w:t>
      </w:r>
      <w:r w:rsidRPr="0038539B">
        <w:rPr>
          <w:rFonts w:ascii="Arial" w:hAnsi="Arial" w:cs="Arial"/>
        </w:rPr>
        <w:t>,</w:t>
      </w:r>
      <w:r>
        <w:rPr>
          <w:rFonts w:ascii="Arial" w:hAnsi="Arial" w:cs="Arial"/>
        </w:rPr>
        <w:t xml:space="preserve"> yet data suggest that </w:t>
      </w:r>
      <w:r w:rsidRPr="00185791">
        <w:rPr>
          <w:rFonts w:ascii="Arial" w:hAnsi="Arial" w:cs="Arial"/>
        </w:rPr>
        <w:t>combin</w:t>
      </w:r>
      <w:r w:rsidRPr="00714A95">
        <w:rPr>
          <w:rFonts w:ascii="Arial" w:hAnsi="Arial" w:cs="Arial"/>
        </w:rPr>
        <w:t xml:space="preserve">ing screening for multiple key infections at one appointment in </w:t>
      </w:r>
      <w:r w:rsidRPr="00185791">
        <w:rPr>
          <w:rFonts w:ascii="Arial" w:hAnsi="Arial" w:cs="Arial"/>
        </w:rPr>
        <w:t xml:space="preserve">migrant groups </w:t>
      </w:r>
      <w:r>
        <w:rPr>
          <w:rFonts w:ascii="Arial" w:hAnsi="Arial" w:cs="Arial"/>
        </w:rPr>
        <w:t>could</w:t>
      </w:r>
      <w:r w:rsidRPr="00185791">
        <w:rPr>
          <w:rFonts w:ascii="Arial" w:hAnsi="Arial" w:cs="Arial"/>
        </w:rPr>
        <w:t xml:space="preserve"> be effective, with increased acceptability, uptake, and better treatment outcomes </w:t>
      </w:r>
      <w:r>
        <w:rPr>
          <w:rFonts w:ascii="Arial" w:hAnsi="Arial" w:cs="Arial"/>
          <w:noProof/>
        </w:rPr>
        <w:t>(11-15)</w:t>
      </w:r>
      <w:r w:rsidRPr="00185791">
        <w:rPr>
          <w:rFonts w:ascii="Arial" w:hAnsi="Arial" w:cs="Arial"/>
        </w:rPr>
        <w:t>.</w:t>
      </w:r>
      <w:r>
        <w:rPr>
          <w:rFonts w:ascii="Arial" w:hAnsi="Arial" w:cs="Arial"/>
        </w:rPr>
        <w:t xml:space="preserve"> Recently published guidelines from the </w:t>
      </w:r>
      <w:r w:rsidR="00472137">
        <w:rPr>
          <w:rFonts w:ascii="Arial" w:hAnsi="Arial" w:cs="Arial"/>
        </w:rPr>
        <w:t>European Centre for Disease Prevention and Control (</w:t>
      </w:r>
      <w:r>
        <w:rPr>
          <w:rFonts w:ascii="Arial" w:hAnsi="Arial" w:cs="Arial"/>
        </w:rPr>
        <w:t>ECDC</w:t>
      </w:r>
      <w:r w:rsidR="00472137">
        <w:rPr>
          <w:rFonts w:ascii="Arial" w:hAnsi="Arial" w:cs="Arial"/>
        </w:rPr>
        <w:t>)</w:t>
      </w:r>
      <w:r>
        <w:rPr>
          <w:rFonts w:ascii="Arial" w:hAnsi="Arial" w:cs="Arial"/>
        </w:rPr>
        <w:t xml:space="preserve"> </w:t>
      </w:r>
      <w:r>
        <w:rPr>
          <w:rFonts w:ascii="Arial" w:hAnsi="Arial" w:cs="Arial"/>
          <w:noProof/>
        </w:rPr>
        <w:t>(16)</w:t>
      </w:r>
      <w:r>
        <w:rPr>
          <w:rFonts w:ascii="Arial" w:hAnsi="Arial" w:cs="Arial"/>
        </w:rPr>
        <w:t xml:space="preserve"> has called for consideration to be given to screening and vaccination for multiple infections in newly arrived migrants to the </w:t>
      </w:r>
      <w:r w:rsidR="00472137">
        <w:rPr>
          <w:rFonts w:ascii="Arial" w:hAnsi="Arial" w:cs="Arial"/>
        </w:rPr>
        <w:t>European Union (</w:t>
      </w:r>
      <w:r>
        <w:rPr>
          <w:rFonts w:ascii="Arial" w:hAnsi="Arial" w:cs="Arial"/>
        </w:rPr>
        <w:t>EU</w:t>
      </w:r>
      <w:r w:rsidR="00472137">
        <w:rPr>
          <w:rFonts w:ascii="Arial" w:hAnsi="Arial" w:cs="Arial"/>
        </w:rPr>
        <w:t>)</w:t>
      </w:r>
      <w:r>
        <w:rPr>
          <w:rFonts w:ascii="Arial" w:hAnsi="Arial" w:cs="Arial"/>
        </w:rPr>
        <w:t>/</w:t>
      </w:r>
      <w:r w:rsidR="00472137">
        <w:rPr>
          <w:rFonts w:ascii="Arial" w:hAnsi="Arial" w:cs="Arial"/>
        </w:rPr>
        <w:t>European Economic Area (</w:t>
      </w:r>
      <w:r>
        <w:rPr>
          <w:rFonts w:ascii="Arial" w:hAnsi="Arial" w:cs="Arial"/>
        </w:rPr>
        <w:t>EEA</w:t>
      </w:r>
      <w:r w:rsidR="00472137">
        <w:rPr>
          <w:rFonts w:ascii="Arial" w:hAnsi="Arial" w:cs="Arial"/>
        </w:rPr>
        <w:t>)</w:t>
      </w:r>
      <w:r>
        <w:rPr>
          <w:rFonts w:ascii="Arial" w:hAnsi="Arial" w:cs="Arial"/>
        </w:rPr>
        <w:t xml:space="preserve"> on arrival, with a focus on latent TB infection (LTBI), active TB, hepatitis B and C, HIV, vaccine-preventable diseases, and parasitic infections, but the extent to which the recommendations made can be implemented in practice in migrant-receiving EU/EEA countries is as yet unclear. </w:t>
      </w:r>
    </w:p>
    <w:p w14:paraId="5FC7832F" w14:textId="73D1D424" w:rsidR="00204B98" w:rsidRPr="00185791" w:rsidRDefault="00204B98" w:rsidP="005615F2">
      <w:pPr>
        <w:spacing w:line="480" w:lineRule="auto"/>
        <w:jc w:val="both"/>
        <w:rPr>
          <w:rFonts w:ascii="Arial" w:hAnsi="Arial" w:cs="Arial"/>
        </w:rPr>
      </w:pPr>
      <w:r w:rsidRPr="001B6DB5">
        <w:rPr>
          <w:rFonts w:ascii="Arial" w:hAnsi="Arial" w:cs="Arial"/>
        </w:rPr>
        <w:t xml:space="preserve">The majority of TB cases in migrants to </w:t>
      </w:r>
      <w:r w:rsidRPr="001225C4">
        <w:rPr>
          <w:rFonts w:ascii="Arial" w:hAnsi="Arial" w:cs="Arial"/>
        </w:rPr>
        <w:t xml:space="preserve">low TB-incidence countries in Europe are due to reactivation of </w:t>
      </w:r>
      <w:r w:rsidRPr="00C422B0">
        <w:rPr>
          <w:rFonts w:ascii="Arial" w:hAnsi="Arial" w:cs="Arial"/>
        </w:rPr>
        <w:t xml:space="preserve">LTBI </w:t>
      </w:r>
      <w:r>
        <w:rPr>
          <w:rFonts w:ascii="Arial" w:hAnsi="Arial" w:cs="Arial"/>
          <w:noProof/>
        </w:rPr>
        <w:t>(1, 2, 17)</w:t>
      </w:r>
      <w:r w:rsidRPr="00C422B0">
        <w:rPr>
          <w:rFonts w:ascii="Arial" w:hAnsi="Arial" w:cs="Arial"/>
        </w:rPr>
        <w:t xml:space="preserve">, with the highest rates of reactivation occurring </w:t>
      </w:r>
      <w:r w:rsidR="008F598B">
        <w:rPr>
          <w:rFonts w:ascii="Arial" w:hAnsi="Arial" w:cs="Arial"/>
        </w:rPr>
        <w:t>2-5 years</w:t>
      </w:r>
      <w:r w:rsidRPr="00C422B0">
        <w:rPr>
          <w:rFonts w:ascii="Arial" w:hAnsi="Arial" w:cs="Arial"/>
        </w:rPr>
        <w:t xml:space="preserve"> after arrival </w:t>
      </w:r>
      <w:r>
        <w:rPr>
          <w:rFonts w:ascii="Arial" w:hAnsi="Arial" w:cs="Arial"/>
          <w:noProof/>
        </w:rPr>
        <w:t>(18)</w:t>
      </w:r>
      <w:r w:rsidRPr="00C422B0">
        <w:rPr>
          <w:rFonts w:ascii="Arial" w:hAnsi="Arial" w:cs="Arial"/>
        </w:rPr>
        <w:t xml:space="preserve">. </w:t>
      </w:r>
      <w:r>
        <w:rPr>
          <w:rFonts w:ascii="Arial" w:hAnsi="Arial" w:cs="Arial"/>
        </w:rPr>
        <w:t>Renewed f</w:t>
      </w:r>
      <w:r w:rsidRPr="00C422B0">
        <w:rPr>
          <w:rFonts w:ascii="Arial" w:hAnsi="Arial" w:cs="Arial"/>
        </w:rPr>
        <w:t xml:space="preserve">ocus has </w:t>
      </w:r>
      <w:r w:rsidRPr="005D4C83">
        <w:rPr>
          <w:rFonts w:ascii="Arial" w:hAnsi="Arial" w:cs="Arial"/>
        </w:rPr>
        <w:t xml:space="preserve">recently </w:t>
      </w:r>
      <w:r w:rsidRPr="00C422B0">
        <w:rPr>
          <w:rFonts w:ascii="Arial" w:hAnsi="Arial" w:cs="Arial"/>
        </w:rPr>
        <w:t xml:space="preserve">been given to delivering targeted LTBI screening and treatment in high-risk groups </w:t>
      </w:r>
      <w:r w:rsidRPr="00C422B0">
        <w:rPr>
          <w:rFonts w:ascii="Arial" w:hAnsi="Arial" w:cs="Arial"/>
        </w:rPr>
        <w:softHyphen/>
        <w:t xml:space="preserve">– including migrant populations –  as an effective and cost-effective approach to averting cases of active TB </w:t>
      </w:r>
      <w:r>
        <w:rPr>
          <w:rFonts w:ascii="Arial" w:hAnsi="Arial" w:cs="Arial"/>
          <w:noProof/>
        </w:rPr>
        <w:t>(2, 19-21)</w:t>
      </w:r>
      <w:r>
        <w:rPr>
          <w:rFonts w:ascii="Arial" w:hAnsi="Arial" w:cs="Arial"/>
        </w:rPr>
        <w:t>,</w:t>
      </w:r>
      <w:r w:rsidRPr="00C422B0">
        <w:rPr>
          <w:rFonts w:ascii="Arial" w:hAnsi="Arial" w:cs="Arial"/>
        </w:rPr>
        <w:t xml:space="preserve"> align</w:t>
      </w:r>
      <w:r>
        <w:rPr>
          <w:rFonts w:ascii="Arial" w:hAnsi="Arial" w:cs="Arial"/>
        </w:rPr>
        <w:t>ing</w:t>
      </w:r>
      <w:r w:rsidRPr="00C422B0">
        <w:rPr>
          <w:rFonts w:ascii="Arial" w:hAnsi="Arial" w:cs="Arial"/>
        </w:rPr>
        <w:t xml:space="preserve"> with</w:t>
      </w:r>
      <w:r>
        <w:rPr>
          <w:rFonts w:ascii="Arial" w:hAnsi="Arial" w:cs="Arial"/>
        </w:rPr>
        <w:t xml:space="preserve"> </w:t>
      </w:r>
      <w:r w:rsidRPr="00185791">
        <w:rPr>
          <w:rFonts w:ascii="Arial" w:hAnsi="Arial" w:cs="Arial"/>
        </w:rPr>
        <w:t xml:space="preserve">WHO’s END TB strategy targets </w:t>
      </w:r>
      <w:r>
        <w:rPr>
          <w:rFonts w:ascii="Arial" w:hAnsi="Arial" w:cs="Arial"/>
          <w:noProof/>
        </w:rPr>
        <w:t>(22, 23)</w:t>
      </w:r>
      <w:r>
        <w:rPr>
          <w:rFonts w:ascii="Arial" w:hAnsi="Arial" w:cs="Arial"/>
        </w:rPr>
        <w:t xml:space="preserve"> and new ECDC guidelines</w:t>
      </w:r>
      <w:r>
        <w:rPr>
          <w:rFonts w:ascii="Arial" w:hAnsi="Arial" w:cs="Arial"/>
          <w:noProof/>
        </w:rPr>
        <w:t>(16)</w:t>
      </w:r>
      <w:r w:rsidRPr="00185791">
        <w:rPr>
          <w:rFonts w:ascii="Arial" w:hAnsi="Arial" w:cs="Arial"/>
        </w:rPr>
        <w:t xml:space="preserve">. Most current guidelines recommend testing for </w:t>
      </w:r>
      <w:r w:rsidRPr="00714A95">
        <w:rPr>
          <w:rFonts w:ascii="Arial" w:hAnsi="Arial" w:cs="Arial"/>
        </w:rPr>
        <w:t xml:space="preserve">LTBI in new migrants </w:t>
      </w:r>
      <w:r w:rsidRPr="00185791">
        <w:rPr>
          <w:rFonts w:ascii="Arial" w:hAnsi="Arial" w:cs="Arial"/>
        </w:rPr>
        <w:t>from high-incidence countries (</w:t>
      </w:r>
      <w:r w:rsidRPr="00185791">
        <w:rPr>
          <w:rFonts w:ascii="Cambria Math" w:hAnsi="Cambria Math" w:cs="Cambria Math"/>
          <w:color w:val="211E1E"/>
        </w:rPr>
        <w:t>⩾</w:t>
      </w:r>
      <w:r w:rsidRPr="00185791">
        <w:rPr>
          <w:rFonts w:ascii="Arial" w:hAnsi="Arial" w:cs="Arial"/>
          <w:color w:val="211E1E"/>
        </w:rPr>
        <w:t>150 per 100,000)</w:t>
      </w:r>
      <w:r w:rsidRPr="00185791">
        <w:rPr>
          <w:rFonts w:ascii="Arial" w:hAnsi="Arial" w:cs="Arial"/>
        </w:rPr>
        <w:t xml:space="preserve">, with screening and treatment being implemented across Europe in migrant </w:t>
      </w:r>
      <w:r w:rsidR="00BC6CE7">
        <w:rPr>
          <w:rFonts w:ascii="Arial" w:hAnsi="Arial" w:cs="Arial"/>
        </w:rPr>
        <w:t xml:space="preserve">and other high-risk </w:t>
      </w:r>
      <w:r w:rsidRPr="00185791">
        <w:rPr>
          <w:rFonts w:ascii="Arial" w:hAnsi="Arial" w:cs="Arial"/>
        </w:rPr>
        <w:t xml:space="preserve">populations </w:t>
      </w:r>
      <w:r>
        <w:rPr>
          <w:rFonts w:ascii="Arial" w:hAnsi="Arial" w:cs="Arial"/>
          <w:noProof/>
        </w:rPr>
        <w:t>(24)</w:t>
      </w:r>
      <w:r w:rsidRPr="00185791">
        <w:rPr>
          <w:rFonts w:ascii="Arial" w:hAnsi="Arial" w:cs="Arial"/>
        </w:rPr>
        <w:t xml:space="preserve">. </w:t>
      </w:r>
    </w:p>
    <w:p w14:paraId="04008522" w14:textId="567FB2A6" w:rsidR="00204B98" w:rsidRPr="00185791" w:rsidRDefault="00204B98" w:rsidP="005615F2">
      <w:pPr>
        <w:pStyle w:val="NormalWeb"/>
        <w:spacing w:line="480" w:lineRule="auto"/>
        <w:jc w:val="both"/>
        <w:rPr>
          <w:rFonts w:ascii="Arial" w:hAnsi="Arial" w:cs="Arial"/>
          <w:sz w:val="22"/>
          <w:szCs w:val="22"/>
        </w:rPr>
      </w:pPr>
      <w:r w:rsidRPr="00185791">
        <w:rPr>
          <w:rFonts w:ascii="Arial" w:hAnsi="Arial" w:cs="Arial"/>
          <w:sz w:val="22"/>
          <w:szCs w:val="22"/>
        </w:rPr>
        <w:lastRenderedPageBreak/>
        <w:t xml:space="preserve">Data suggest high acceptability </w:t>
      </w:r>
      <w:r w:rsidRPr="0038539B">
        <w:rPr>
          <w:rFonts w:ascii="Arial" w:hAnsi="Arial" w:cs="Arial"/>
          <w:sz w:val="22"/>
          <w:szCs w:val="22"/>
        </w:rPr>
        <w:t xml:space="preserve">of screening for LTBI and other infections </w:t>
      </w:r>
      <w:r w:rsidRPr="00185791">
        <w:rPr>
          <w:rFonts w:ascii="Arial" w:hAnsi="Arial" w:cs="Arial"/>
          <w:sz w:val="22"/>
          <w:szCs w:val="22"/>
        </w:rPr>
        <w:t xml:space="preserve">among migrants </w:t>
      </w:r>
      <w:r>
        <w:rPr>
          <w:rFonts w:ascii="Arial" w:hAnsi="Arial" w:cs="Arial"/>
          <w:noProof/>
          <w:sz w:val="22"/>
          <w:szCs w:val="22"/>
        </w:rPr>
        <w:t>(21)</w:t>
      </w:r>
      <w:r w:rsidRPr="00185791">
        <w:rPr>
          <w:rFonts w:ascii="Arial" w:hAnsi="Arial" w:cs="Arial"/>
          <w:sz w:val="22"/>
          <w:szCs w:val="22"/>
        </w:rPr>
        <w:t>.</w:t>
      </w:r>
      <w:r w:rsidR="00BC6CE7">
        <w:rPr>
          <w:rFonts w:ascii="Arial" w:hAnsi="Arial" w:cs="Arial"/>
          <w:sz w:val="22"/>
          <w:szCs w:val="22"/>
        </w:rPr>
        <w:t xml:space="preserve"> </w:t>
      </w:r>
      <w:r w:rsidRPr="00185791">
        <w:rPr>
          <w:rFonts w:ascii="Arial" w:hAnsi="Arial" w:cs="Arial"/>
          <w:sz w:val="22"/>
          <w:szCs w:val="22"/>
        </w:rPr>
        <w:t>However, f</w:t>
      </w:r>
      <w:r w:rsidRPr="0038539B">
        <w:rPr>
          <w:rFonts w:ascii="Arial" w:hAnsi="Arial" w:cs="Arial"/>
          <w:sz w:val="22"/>
          <w:szCs w:val="22"/>
        </w:rPr>
        <w:t xml:space="preserve">ormal on-arrival screening programmes miss many migrant groups, </w:t>
      </w:r>
      <w:r w:rsidRPr="00185791">
        <w:rPr>
          <w:rFonts w:ascii="Arial" w:hAnsi="Arial" w:cs="Arial"/>
          <w:sz w:val="22"/>
          <w:szCs w:val="22"/>
        </w:rPr>
        <w:t xml:space="preserve">with evidence of significant barriers to </w:t>
      </w:r>
      <w:r>
        <w:rPr>
          <w:rFonts w:ascii="Arial" w:hAnsi="Arial" w:cs="Arial"/>
          <w:sz w:val="22"/>
          <w:szCs w:val="22"/>
        </w:rPr>
        <w:t xml:space="preserve">migrant engagement with </w:t>
      </w:r>
      <w:r w:rsidRPr="00185791">
        <w:rPr>
          <w:rFonts w:ascii="Arial" w:hAnsi="Arial" w:cs="Arial"/>
          <w:sz w:val="22"/>
          <w:szCs w:val="22"/>
        </w:rPr>
        <w:t xml:space="preserve">primary care where screening is routinely delivered </w:t>
      </w:r>
      <w:r>
        <w:rPr>
          <w:rFonts w:ascii="Arial" w:hAnsi="Arial" w:cs="Arial"/>
          <w:noProof/>
          <w:sz w:val="22"/>
          <w:szCs w:val="22"/>
        </w:rPr>
        <w:t>(12, 25)</w:t>
      </w:r>
      <w:r w:rsidRPr="00185791">
        <w:rPr>
          <w:rFonts w:ascii="Arial" w:hAnsi="Arial" w:cs="Arial"/>
          <w:sz w:val="22"/>
          <w:szCs w:val="22"/>
        </w:rPr>
        <w:t xml:space="preserve">, and lack of consistency in provision of screening </w:t>
      </w:r>
      <w:r>
        <w:rPr>
          <w:rFonts w:ascii="Arial" w:hAnsi="Arial" w:cs="Arial"/>
          <w:noProof/>
          <w:sz w:val="22"/>
          <w:szCs w:val="22"/>
        </w:rPr>
        <w:t>(26-30)</w:t>
      </w:r>
      <w:r w:rsidRPr="00185791">
        <w:rPr>
          <w:rFonts w:ascii="Arial" w:hAnsi="Arial" w:cs="Arial"/>
          <w:sz w:val="22"/>
          <w:szCs w:val="22"/>
        </w:rPr>
        <w:t>. There remain</w:t>
      </w:r>
      <w:r w:rsidRPr="00714A95">
        <w:rPr>
          <w:rFonts w:ascii="Arial" w:hAnsi="Arial" w:cs="Arial"/>
          <w:sz w:val="22"/>
          <w:szCs w:val="22"/>
        </w:rPr>
        <w:t xml:space="preserve"> significant evidence-gaps around effective and cost-effective approaches to implementing </w:t>
      </w:r>
      <w:r>
        <w:rPr>
          <w:rFonts w:ascii="Arial" w:hAnsi="Arial" w:cs="Arial"/>
          <w:sz w:val="22"/>
          <w:szCs w:val="22"/>
        </w:rPr>
        <w:t xml:space="preserve">TB and other </w:t>
      </w:r>
      <w:r w:rsidRPr="00714A95">
        <w:rPr>
          <w:rFonts w:ascii="Arial" w:hAnsi="Arial" w:cs="Arial"/>
          <w:sz w:val="22"/>
          <w:szCs w:val="22"/>
        </w:rPr>
        <w:t xml:space="preserve">infectious diseases screening and ensuring successful treatment outcomes </w:t>
      </w:r>
      <w:r>
        <w:rPr>
          <w:rFonts w:ascii="Arial" w:hAnsi="Arial" w:cs="Arial"/>
          <w:noProof/>
          <w:sz w:val="22"/>
          <w:szCs w:val="22"/>
        </w:rPr>
        <w:t>(6, 21, 24, 31-33)</w:t>
      </w:r>
      <w:r w:rsidRPr="0038539B">
        <w:rPr>
          <w:rFonts w:ascii="Arial" w:hAnsi="Arial" w:cs="Arial"/>
          <w:sz w:val="22"/>
          <w:szCs w:val="22"/>
        </w:rPr>
        <w:t>. As a result, t</w:t>
      </w:r>
      <w:r w:rsidRPr="00185791">
        <w:rPr>
          <w:rFonts w:ascii="Arial" w:hAnsi="Arial" w:cs="Arial"/>
          <w:sz w:val="22"/>
          <w:szCs w:val="22"/>
        </w:rPr>
        <w:t xml:space="preserve">here is a lack of consensus on optimal approaches to improving the detection and treatment of key infections in migrants across Europe </w:t>
      </w:r>
      <w:r>
        <w:rPr>
          <w:rFonts w:ascii="Arial" w:hAnsi="Arial" w:cs="Arial"/>
          <w:noProof/>
          <w:sz w:val="22"/>
          <w:szCs w:val="22"/>
          <w:lang w:eastAsia="en-GB"/>
        </w:rPr>
        <w:t>(34)</w:t>
      </w:r>
      <w:hyperlink w:anchor="_ENREF_24" w:tooltip="Coker, 2006 #22" w:history="1"/>
      <w:r>
        <w:rPr>
          <w:rFonts w:ascii="Arial" w:hAnsi="Arial" w:cs="Arial"/>
          <w:noProof/>
          <w:sz w:val="22"/>
          <w:szCs w:val="22"/>
        </w:rPr>
        <w:t>(35)</w:t>
      </w:r>
      <w:r w:rsidRPr="00185791">
        <w:rPr>
          <w:rFonts w:ascii="Arial" w:hAnsi="Arial" w:cs="Arial"/>
          <w:sz w:val="22"/>
          <w:szCs w:val="22"/>
        </w:rPr>
        <w:t xml:space="preserve">.  </w:t>
      </w:r>
    </w:p>
    <w:p w14:paraId="230021C6" w14:textId="0F1C0D02" w:rsidR="00204B98" w:rsidRPr="0038539B" w:rsidRDefault="00204B98" w:rsidP="005615F2">
      <w:pPr>
        <w:pStyle w:val="NormalWeb"/>
        <w:spacing w:line="480" w:lineRule="auto"/>
        <w:jc w:val="both"/>
        <w:rPr>
          <w:rFonts w:ascii="Arial" w:hAnsi="Arial" w:cs="Arial"/>
          <w:sz w:val="22"/>
          <w:szCs w:val="22"/>
        </w:rPr>
      </w:pPr>
      <w:r w:rsidRPr="0038539B">
        <w:rPr>
          <w:rFonts w:ascii="Arial" w:hAnsi="Arial" w:cs="Arial"/>
          <w:sz w:val="22"/>
          <w:szCs w:val="22"/>
        </w:rPr>
        <w:t xml:space="preserve">New and innovative approaches to engaging migrants and delivering screening need to be developed and evaluated. Recent studies </w:t>
      </w:r>
      <w:r>
        <w:rPr>
          <w:rFonts w:ascii="Arial" w:hAnsi="Arial" w:cs="Arial"/>
          <w:sz w:val="22"/>
          <w:szCs w:val="22"/>
        </w:rPr>
        <w:t xml:space="preserve">have </w:t>
      </w:r>
      <w:r w:rsidRPr="0038539B">
        <w:rPr>
          <w:rFonts w:ascii="Arial" w:hAnsi="Arial" w:cs="Arial"/>
          <w:sz w:val="22"/>
          <w:szCs w:val="22"/>
        </w:rPr>
        <w:t>examined the feasibility of implementing LTBI screening in high migrant community settings such as language classes</w:t>
      </w:r>
      <w:r>
        <w:rPr>
          <w:rFonts w:ascii="Arial" w:hAnsi="Arial" w:cs="Arial"/>
          <w:sz w:val="22"/>
          <w:szCs w:val="22"/>
        </w:rPr>
        <w:t>,</w:t>
      </w:r>
      <w:r w:rsidRPr="0038539B">
        <w:rPr>
          <w:rFonts w:ascii="Arial" w:hAnsi="Arial" w:cs="Arial"/>
          <w:sz w:val="22"/>
          <w:szCs w:val="22"/>
        </w:rPr>
        <w:t xml:space="preserve"> to increase uptake and treatment </w:t>
      </w:r>
      <w:r>
        <w:rPr>
          <w:rFonts w:ascii="Arial" w:hAnsi="Arial" w:cs="Arial"/>
          <w:noProof/>
          <w:sz w:val="22"/>
          <w:szCs w:val="22"/>
        </w:rPr>
        <w:t>(36)</w:t>
      </w:r>
      <w:r w:rsidR="0001259C">
        <w:rPr>
          <w:rFonts w:ascii="Arial" w:hAnsi="Arial" w:cs="Arial"/>
          <w:noProof/>
          <w:sz w:val="22"/>
          <w:szCs w:val="22"/>
        </w:rPr>
        <w:t>, which successfully engaged migrants (75% uptake, 85% treatment completion) in 71 LTBI-positive students (n=440)</w:t>
      </w:r>
      <w:r w:rsidRPr="0038539B">
        <w:rPr>
          <w:rFonts w:ascii="Arial" w:hAnsi="Arial" w:cs="Arial"/>
          <w:sz w:val="22"/>
          <w:szCs w:val="22"/>
        </w:rPr>
        <w:t>. Hospital emergency departments, where migrants are known to be overrepresented due to barriers to registering with primary-care providers</w:t>
      </w:r>
      <w:r w:rsidRPr="004A218E">
        <w:rPr>
          <w:rFonts w:ascii="Arial" w:hAnsi="Arial" w:cs="Arial"/>
          <w:sz w:val="22"/>
          <w:szCs w:val="22"/>
        </w:rPr>
        <w:t xml:space="preserve"> </w:t>
      </w:r>
      <w:r>
        <w:rPr>
          <w:rFonts w:ascii="Arial" w:hAnsi="Arial" w:cs="Arial"/>
          <w:sz w:val="22"/>
          <w:szCs w:val="22"/>
        </w:rPr>
        <w:t>in several EU/EEA countries</w:t>
      </w:r>
      <w:r w:rsidRPr="0038539B">
        <w:rPr>
          <w:rFonts w:ascii="Arial" w:hAnsi="Arial" w:cs="Arial"/>
          <w:sz w:val="22"/>
          <w:szCs w:val="22"/>
        </w:rPr>
        <w:t xml:space="preserve">, </w:t>
      </w:r>
      <w:r>
        <w:rPr>
          <w:rFonts w:ascii="Arial" w:hAnsi="Arial" w:cs="Arial"/>
          <w:sz w:val="22"/>
          <w:szCs w:val="22"/>
        </w:rPr>
        <w:t>potentially</w:t>
      </w:r>
      <w:r w:rsidRPr="0038539B">
        <w:rPr>
          <w:rFonts w:ascii="Arial" w:hAnsi="Arial" w:cs="Arial"/>
          <w:sz w:val="22"/>
          <w:szCs w:val="22"/>
        </w:rPr>
        <w:t xml:space="preserve"> present a </w:t>
      </w:r>
      <w:r>
        <w:rPr>
          <w:rFonts w:ascii="Arial" w:hAnsi="Arial" w:cs="Arial"/>
          <w:sz w:val="22"/>
          <w:szCs w:val="22"/>
        </w:rPr>
        <w:t>good</w:t>
      </w:r>
      <w:r w:rsidRPr="0038539B">
        <w:rPr>
          <w:rFonts w:ascii="Arial" w:hAnsi="Arial" w:cs="Arial"/>
          <w:sz w:val="22"/>
          <w:szCs w:val="22"/>
        </w:rPr>
        <w:t xml:space="preserve"> opportunity to deliver cost-effective</w:t>
      </w:r>
      <w:r>
        <w:rPr>
          <w:rFonts w:ascii="Arial" w:hAnsi="Arial" w:cs="Arial"/>
          <w:sz w:val="22"/>
          <w:szCs w:val="22"/>
        </w:rPr>
        <w:t>,</w:t>
      </w:r>
      <w:r w:rsidRPr="0038539B">
        <w:rPr>
          <w:rFonts w:ascii="Arial" w:hAnsi="Arial" w:cs="Arial"/>
          <w:sz w:val="22"/>
          <w:szCs w:val="22"/>
        </w:rPr>
        <w:t xml:space="preserve"> accessible screening to migrants</w:t>
      </w:r>
      <w:r>
        <w:rPr>
          <w:rFonts w:ascii="Arial" w:hAnsi="Arial" w:cs="Arial"/>
          <w:sz w:val="22"/>
          <w:szCs w:val="22"/>
        </w:rPr>
        <w:t>. Although</w:t>
      </w:r>
      <w:r w:rsidRPr="0038539B">
        <w:rPr>
          <w:rFonts w:ascii="Arial" w:hAnsi="Arial" w:cs="Arial"/>
          <w:sz w:val="22"/>
          <w:szCs w:val="22"/>
        </w:rPr>
        <w:t xml:space="preserve"> routine testing for HIV is encouraged in this setting </w:t>
      </w:r>
      <w:r>
        <w:rPr>
          <w:rFonts w:ascii="Arial" w:hAnsi="Arial" w:cs="Arial"/>
          <w:noProof/>
          <w:sz w:val="22"/>
          <w:szCs w:val="22"/>
        </w:rPr>
        <w:t>(37)</w:t>
      </w:r>
      <w:r>
        <w:rPr>
          <w:rFonts w:ascii="Arial" w:hAnsi="Arial" w:cs="Arial"/>
          <w:sz w:val="22"/>
          <w:szCs w:val="22"/>
        </w:rPr>
        <w:t>, in practice this is ad hoc</w:t>
      </w:r>
      <w:r w:rsidR="00BC6CE7">
        <w:rPr>
          <w:rFonts w:ascii="Arial" w:hAnsi="Arial" w:cs="Arial"/>
          <w:sz w:val="22"/>
          <w:szCs w:val="22"/>
        </w:rPr>
        <w:t xml:space="preserve"> in the UK and elsewhere. A</w:t>
      </w:r>
      <w:r>
        <w:rPr>
          <w:rFonts w:ascii="Arial" w:hAnsi="Arial" w:cs="Arial"/>
          <w:sz w:val="22"/>
          <w:szCs w:val="22"/>
        </w:rPr>
        <w:t>dditionally</w:t>
      </w:r>
      <w:r w:rsidR="00BC6CE7">
        <w:rPr>
          <w:rFonts w:ascii="Arial" w:hAnsi="Arial" w:cs="Arial"/>
          <w:sz w:val="22"/>
          <w:szCs w:val="22"/>
        </w:rPr>
        <w:t xml:space="preserve">, </w:t>
      </w:r>
      <w:r w:rsidRPr="0038539B">
        <w:rPr>
          <w:rFonts w:ascii="Arial" w:hAnsi="Arial" w:cs="Arial"/>
          <w:sz w:val="22"/>
          <w:szCs w:val="22"/>
        </w:rPr>
        <w:t xml:space="preserve">there is no evidence </w:t>
      </w:r>
      <w:r>
        <w:rPr>
          <w:rFonts w:ascii="Arial" w:hAnsi="Arial" w:cs="Arial"/>
          <w:sz w:val="22"/>
          <w:szCs w:val="22"/>
        </w:rPr>
        <w:t>available as to</w:t>
      </w:r>
      <w:r w:rsidRPr="0038539B">
        <w:rPr>
          <w:rFonts w:ascii="Arial" w:hAnsi="Arial" w:cs="Arial"/>
          <w:sz w:val="22"/>
          <w:szCs w:val="22"/>
        </w:rPr>
        <w:t xml:space="preserve"> the feasibility of offering LTBI and</w:t>
      </w:r>
      <w:r>
        <w:rPr>
          <w:rFonts w:ascii="Arial" w:hAnsi="Arial" w:cs="Arial"/>
          <w:sz w:val="22"/>
          <w:szCs w:val="22"/>
        </w:rPr>
        <w:t>/or</w:t>
      </w:r>
      <w:r w:rsidRPr="0038539B">
        <w:rPr>
          <w:rFonts w:ascii="Arial" w:hAnsi="Arial" w:cs="Arial"/>
          <w:sz w:val="22"/>
          <w:szCs w:val="22"/>
        </w:rPr>
        <w:t xml:space="preserve"> multi-disease testing in emergency departments</w:t>
      </w:r>
      <w:r>
        <w:rPr>
          <w:rFonts w:ascii="Arial" w:hAnsi="Arial" w:cs="Arial"/>
          <w:sz w:val="22"/>
          <w:szCs w:val="22"/>
        </w:rPr>
        <w:t xml:space="preserve">, although research in this area is currently underway in primary care </w:t>
      </w:r>
      <w:r>
        <w:rPr>
          <w:rFonts w:ascii="Arial" w:hAnsi="Arial" w:cs="Arial"/>
          <w:noProof/>
          <w:sz w:val="22"/>
          <w:szCs w:val="22"/>
        </w:rPr>
        <w:t>(38)</w:t>
      </w:r>
      <w:r w:rsidRPr="0038539B">
        <w:rPr>
          <w:rFonts w:ascii="Arial" w:hAnsi="Arial" w:cs="Arial"/>
          <w:sz w:val="22"/>
          <w:szCs w:val="22"/>
        </w:rPr>
        <w:t xml:space="preserve">. </w:t>
      </w:r>
    </w:p>
    <w:p w14:paraId="571C7A27" w14:textId="35A56F9D" w:rsidR="00204B98" w:rsidRPr="007C4171" w:rsidRDefault="00204B98" w:rsidP="005615F2">
      <w:pPr>
        <w:spacing w:line="480" w:lineRule="auto"/>
        <w:jc w:val="both"/>
        <w:rPr>
          <w:rFonts w:ascii="Arial" w:hAnsi="Arial" w:cs="Arial"/>
        </w:rPr>
      </w:pPr>
      <w:r w:rsidRPr="005D4C83">
        <w:rPr>
          <w:rFonts w:ascii="Arial" w:hAnsi="Arial" w:cs="Arial"/>
        </w:rPr>
        <w:t>We therefore</w:t>
      </w:r>
      <w:r>
        <w:rPr>
          <w:rFonts w:ascii="Arial" w:hAnsi="Arial" w:cs="Arial"/>
        </w:rPr>
        <w:t xml:space="preserve"> did a </w:t>
      </w:r>
      <w:r w:rsidR="00BC6CE7">
        <w:rPr>
          <w:rFonts w:ascii="Arial" w:hAnsi="Arial" w:cs="Arial"/>
        </w:rPr>
        <w:t>feasibility</w:t>
      </w:r>
      <w:r>
        <w:rPr>
          <w:rFonts w:ascii="Arial" w:hAnsi="Arial" w:cs="Arial"/>
        </w:rPr>
        <w:t xml:space="preserve"> study to</w:t>
      </w:r>
      <w:r w:rsidRPr="005D4C83">
        <w:rPr>
          <w:rFonts w:ascii="Arial" w:hAnsi="Arial" w:cs="Arial"/>
        </w:rPr>
        <w:t xml:space="preserve"> investigat</w:t>
      </w:r>
      <w:r>
        <w:rPr>
          <w:rFonts w:ascii="Arial" w:hAnsi="Arial" w:cs="Arial"/>
        </w:rPr>
        <w:t>e</w:t>
      </w:r>
      <w:r w:rsidRPr="005D4C83">
        <w:rPr>
          <w:rFonts w:ascii="Arial" w:hAnsi="Arial" w:cs="Arial"/>
        </w:rPr>
        <w:t xml:space="preserve"> the deliver</w:t>
      </w:r>
      <w:r w:rsidR="00EB79B1">
        <w:rPr>
          <w:rFonts w:ascii="Arial" w:hAnsi="Arial" w:cs="Arial"/>
        </w:rPr>
        <w:t>y</w:t>
      </w:r>
      <w:r w:rsidRPr="005D4C83">
        <w:rPr>
          <w:rFonts w:ascii="Arial" w:hAnsi="Arial" w:cs="Arial"/>
        </w:rPr>
        <w:t xml:space="preserve"> </w:t>
      </w:r>
      <w:r w:rsidR="00EB79B1">
        <w:rPr>
          <w:rFonts w:ascii="Arial" w:hAnsi="Arial" w:cs="Arial"/>
        </w:rPr>
        <w:t xml:space="preserve">of </w:t>
      </w:r>
      <w:r w:rsidRPr="005D4C83">
        <w:rPr>
          <w:rFonts w:ascii="Arial" w:hAnsi="Arial" w:cs="Arial"/>
        </w:rPr>
        <w:t xml:space="preserve">an innovative </w:t>
      </w:r>
      <w:r>
        <w:rPr>
          <w:rFonts w:ascii="Arial" w:hAnsi="Arial" w:cs="Arial"/>
        </w:rPr>
        <w:t xml:space="preserve">opportunistic </w:t>
      </w:r>
      <w:r w:rsidRPr="005D4C83">
        <w:rPr>
          <w:rFonts w:ascii="Arial" w:hAnsi="Arial" w:cs="Arial"/>
        </w:rPr>
        <w:t>screening model offering new m</w:t>
      </w:r>
      <w:r w:rsidRPr="007C4171">
        <w:rPr>
          <w:rFonts w:ascii="Arial" w:hAnsi="Arial" w:cs="Arial"/>
        </w:rPr>
        <w:t xml:space="preserve">igrants </w:t>
      </w:r>
      <w:r>
        <w:rPr>
          <w:rFonts w:ascii="Arial" w:hAnsi="Arial" w:cs="Arial"/>
        </w:rPr>
        <w:t xml:space="preserve">multi-disease screening using </w:t>
      </w:r>
      <w:r w:rsidRPr="007C4171">
        <w:rPr>
          <w:rFonts w:ascii="Arial" w:hAnsi="Arial" w:cs="Arial"/>
        </w:rPr>
        <w:t xml:space="preserve">a one-stop blood test for latent TB combined with HIV and hepatitis B/C in an emergency department setting. </w:t>
      </w:r>
      <w:r w:rsidR="00CF2C11">
        <w:rPr>
          <w:rFonts w:ascii="Arial" w:hAnsi="Arial" w:cs="Arial"/>
        </w:rPr>
        <w:t>We also determined the impact of any previous screening for infection.</w:t>
      </w:r>
    </w:p>
    <w:p w14:paraId="7A87001C" w14:textId="77777777" w:rsidR="00204B98" w:rsidRPr="007C4171" w:rsidRDefault="00204B98" w:rsidP="005615F2">
      <w:pPr>
        <w:spacing w:line="480" w:lineRule="auto"/>
        <w:jc w:val="both"/>
        <w:rPr>
          <w:rFonts w:ascii="Arial" w:hAnsi="Arial" w:cs="Arial"/>
          <w:b/>
        </w:rPr>
      </w:pPr>
      <w:r w:rsidRPr="007C4171">
        <w:rPr>
          <w:rFonts w:ascii="Arial" w:hAnsi="Arial" w:cs="Arial"/>
          <w:b/>
        </w:rPr>
        <w:br w:type="page"/>
      </w:r>
    </w:p>
    <w:p w14:paraId="281C1920" w14:textId="77777777" w:rsidR="00204B98" w:rsidRPr="00655F3D" w:rsidRDefault="00204B98" w:rsidP="005615F2">
      <w:pPr>
        <w:spacing w:line="480" w:lineRule="auto"/>
        <w:jc w:val="both"/>
        <w:rPr>
          <w:rFonts w:ascii="Arial" w:hAnsi="Arial" w:cs="Arial"/>
          <w:b/>
        </w:rPr>
      </w:pPr>
      <w:r w:rsidRPr="00655F3D">
        <w:rPr>
          <w:rFonts w:ascii="Arial" w:hAnsi="Arial" w:cs="Arial"/>
          <w:b/>
        </w:rPr>
        <w:lastRenderedPageBreak/>
        <w:t>M</w:t>
      </w:r>
      <w:r>
        <w:rPr>
          <w:rFonts w:ascii="Arial" w:hAnsi="Arial" w:cs="Arial"/>
          <w:b/>
        </w:rPr>
        <w:t>aterials and m</w:t>
      </w:r>
      <w:r w:rsidRPr="00655F3D">
        <w:rPr>
          <w:rFonts w:ascii="Arial" w:hAnsi="Arial" w:cs="Arial"/>
          <w:b/>
        </w:rPr>
        <w:t xml:space="preserve">ethods </w:t>
      </w:r>
    </w:p>
    <w:p w14:paraId="58FCAA47" w14:textId="77777777" w:rsidR="00204B98" w:rsidRPr="00BD5307" w:rsidRDefault="00204B98" w:rsidP="005615F2">
      <w:pPr>
        <w:spacing w:line="480" w:lineRule="auto"/>
        <w:jc w:val="both"/>
        <w:rPr>
          <w:rFonts w:ascii="Arial" w:hAnsi="Arial" w:cs="Arial"/>
          <w:i/>
        </w:rPr>
      </w:pPr>
      <w:r w:rsidRPr="00AE058A">
        <w:rPr>
          <w:rFonts w:ascii="Arial" w:hAnsi="Arial" w:cs="Arial"/>
          <w:i/>
        </w:rPr>
        <w:t>Screening intervention</w:t>
      </w:r>
      <w:r w:rsidRPr="00BD5307">
        <w:rPr>
          <w:rFonts w:ascii="Arial" w:hAnsi="Arial" w:cs="Arial"/>
          <w:i/>
        </w:rPr>
        <w:t xml:space="preserve"> and setting</w:t>
      </w:r>
    </w:p>
    <w:p w14:paraId="701D54D6" w14:textId="6221973F" w:rsidR="00204B98" w:rsidRDefault="00204B98" w:rsidP="005615F2">
      <w:pPr>
        <w:spacing w:line="480" w:lineRule="auto"/>
        <w:jc w:val="both"/>
        <w:rPr>
          <w:rFonts w:ascii="Arial" w:hAnsi="Arial" w:cs="Arial"/>
        </w:rPr>
      </w:pPr>
      <w:r w:rsidRPr="002443B7">
        <w:rPr>
          <w:rFonts w:ascii="Arial" w:hAnsi="Arial" w:cs="Arial"/>
        </w:rPr>
        <w:t>We developed an innovative combined screening model to facilitate the delivery of LTBI screening alongside HIV and hepatitis B/C, via a one-stop blood test offered new migrants (in the UK for &lt;10 years) presenting to the emergency department. The PROMOTE study (</w:t>
      </w:r>
      <w:proofErr w:type="spellStart"/>
      <w:r w:rsidRPr="002443B7">
        <w:rPr>
          <w:rFonts w:ascii="Arial" w:hAnsi="Arial" w:cs="Arial"/>
          <w:u w:val="single"/>
        </w:rPr>
        <w:t>PRO</w:t>
      </w:r>
      <w:r w:rsidRPr="002443B7">
        <w:rPr>
          <w:rFonts w:ascii="Arial" w:hAnsi="Arial" w:cs="Arial"/>
        </w:rPr>
        <w:t>moting</w:t>
      </w:r>
      <w:proofErr w:type="spellEnd"/>
      <w:r w:rsidRPr="002443B7">
        <w:rPr>
          <w:rFonts w:ascii="Arial" w:hAnsi="Arial" w:cs="Arial"/>
        </w:rPr>
        <w:t xml:space="preserve"> </w:t>
      </w:r>
      <w:r w:rsidRPr="002443B7">
        <w:rPr>
          <w:rFonts w:ascii="Arial" w:hAnsi="Arial" w:cs="Arial"/>
          <w:u w:val="single"/>
        </w:rPr>
        <w:t>M</w:t>
      </w:r>
      <w:r w:rsidRPr="002443B7">
        <w:rPr>
          <w:rFonts w:ascii="Arial" w:hAnsi="Arial" w:cs="Arial"/>
        </w:rPr>
        <w:t xml:space="preserve">igrant </w:t>
      </w:r>
      <w:r w:rsidRPr="002443B7">
        <w:rPr>
          <w:rFonts w:ascii="Arial" w:hAnsi="Arial" w:cs="Arial"/>
          <w:u w:val="single"/>
        </w:rPr>
        <w:t>O</w:t>
      </w:r>
      <w:r w:rsidRPr="002443B7">
        <w:rPr>
          <w:rFonts w:ascii="Arial" w:hAnsi="Arial" w:cs="Arial"/>
        </w:rPr>
        <w:t xml:space="preserve">ne-stop </w:t>
      </w:r>
      <w:r w:rsidRPr="002443B7">
        <w:rPr>
          <w:rFonts w:ascii="Arial" w:hAnsi="Arial" w:cs="Arial"/>
          <w:u w:val="single"/>
        </w:rPr>
        <w:t>T</w:t>
      </w:r>
      <w:r w:rsidRPr="002443B7">
        <w:rPr>
          <w:rFonts w:ascii="Arial" w:hAnsi="Arial" w:cs="Arial"/>
        </w:rPr>
        <w:t xml:space="preserve">esting in </w:t>
      </w:r>
      <w:r w:rsidRPr="002443B7">
        <w:rPr>
          <w:rFonts w:ascii="Arial" w:hAnsi="Arial" w:cs="Arial"/>
          <w:u w:val="single"/>
        </w:rPr>
        <w:t>E</w:t>
      </w:r>
      <w:r w:rsidRPr="002443B7">
        <w:rPr>
          <w:rFonts w:ascii="Arial" w:hAnsi="Arial" w:cs="Arial"/>
        </w:rPr>
        <w:t xml:space="preserve">mergency departments) </w:t>
      </w:r>
      <w:r w:rsidR="00BC6CE7">
        <w:rPr>
          <w:rFonts w:ascii="Arial" w:hAnsi="Arial" w:cs="Arial"/>
        </w:rPr>
        <w:t>was</w:t>
      </w:r>
      <w:r w:rsidRPr="002443B7">
        <w:rPr>
          <w:rFonts w:ascii="Arial" w:hAnsi="Arial" w:cs="Arial"/>
        </w:rPr>
        <w:t xml:space="preserve"> conducted at St. Mary’s Hospital Emergency Department</w:t>
      </w:r>
      <w:r w:rsidR="00764AD5">
        <w:rPr>
          <w:rFonts w:ascii="Arial" w:hAnsi="Arial" w:cs="Arial"/>
        </w:rPr>
        <w:t xml:space="preserve">, London, UK, which </w:t>
      </w:r>
      <w:r w:rsidR="002308DF">
        <w:rPr>
          <w:rFonts w:ascii="Arial" w:hAnsi="Arial" w:cs="Arial"/>
        </w:rPr>
        <w:t>is</w:t>
      </w:r>
      <w:r w:rsidRPr="002443B7">
        <w:rPr>
          <w:rFonts w:ascii="Arial" w:hAnsi="Arial" w:cs="Arial"/>
        </w:rPr>
        <w:t xml:space="preserve"> a high-migrant area </w:t>
      </w:r>
      <w:r w:rsidR="00764AD5">
        <w:rPr>
          <w:rFonts w:ascii="Arial" w:hAnsi="Arial" w:cs="Arial"/>
        </w:rPr>
        <w:t>representative of many of the Boroughs across</w:t>
      </w:r>
      <w:r w:rsidRPr="002443B7">
        <w:rPr>
          <w:rFonts w:ascii="Arial" w:hAnsi="Arial" w:cs="Arial"/>
        </w:rPr>
        <w:t xml:space="preserve"> London,</w:t>
      </w:r>
      <w:r w:rsidR="00764AD5">
        <w:rPr>
          <w:rFonts w:ascii="Arial" w:hAnsi="Arial" w:cs="Arial"/>
        </w:rPr>
        <w:t xml:space="preserve"> and</w:t>
      </w:r>
      <w:r w:rsidRPr="002443B7">
        <w:rPr>
          <w:rFonts w:ascii="Arial" w:hAnsi="Arial" w:cs="Arial"/>
        </w:rPr>
        <w:t xml:space="preserve"> where 49.8% of the resident population was born abroad according to the most recently available 2011 UK national population census data </w:t>
      </w:r>
      <w:r>
        <w:rPr>
          <w:rFonts w:ascii="Arial" w:hAnsi="Arial" w:cs="Arial"/>
          <w:noProof/>
        </w:rPr>
        <w:t>(39)</w:t>
      </w:r>
      <w:r w:rsidRPr="002443B7">
        <w:rPr>
          <w:rFonts w:ascii="Arial" w:hAnsi="Arial" w:cs="Arial"/>
        </w:rPr>
        <w:t xml:space="preserve">. Migrant patients meeting the study inclusion criteria were offered combined infection screening in addition to the standard care they received, and followed-up according to routine care pathways. The screening intervention was </w:t>
      </w:r>
      <w:r w:rsidR="00EB79B1">
        <w:rPr>
          <w:rFonts w:ascii="Arial" w:hAnsi="Arial" w:cs="Arial"/>
        </w:rPr>
        <w:t xml:space="preserve">a single venesection to </w:t>
      </w:r>
      <w:r w:rsidRPr="002443B7">
        <w:rPr>
          <w:rFonts w:ascii="Arial" w:hAnsi="Arial" w:cs="Arial"/>
        </w:rPr>
        <w:t>test for: (</w:t>
      </w:r>
      <w:proofErr w:type="spellStart"/>
      <w:r w:rsidRPr="002443B7">
        <w:rPr>
          <w:rFonts w:ascii="Arial" w:hAnsi="Arial" w:cs="Arial"/>
        </w:rPr>
        <w:t>i</w:t>
      </w:r>
      <w:proofErr w:type="spellEnd"/>
      <w:r w:rsidRPr="002443B7">
        <w:rPr>
          <w:rFonts w:ascii="Arial" w:hAnsi="Arial" w:cs="Arial"/>
        </w:rPr>
        <w:t>) LTBI using interferon gamma release assay (QuantiFERON-TB Gold in-tube); (ii) HIV (HIV screening assay); and (iii) Hepatitis B surface antigen test (HBsAg) and (iv) hepatitis C antibody test (anti-</w:t>
      </w:r>
      <w:proofErr w:type="spellStart"/>
      <w:r w:rsidRPr="002443B7">
        <w:rPr>
          <w:rFonts w:ascii="Arial" w:hAnsi="Arial" w:cs="Arial"/>
        </w:rPr>
        <w:t>HCVAb</w:t>
      </w:r>
      <w:proofErr w:type="spellEnd"/>
      <w:r w:rsidRPr="002443B7">
        <w:rPr>
          <w:rFonts w:ascii="Arial" w:hAnsi="Arial" w:cs="Arial"/>
        </w:rPr>
        <w:t xml:space="preserve">). Awareness-raising educational sessions and an information leaflet regarding the study were delivered to clinical staff prior to implementing the intervention. Laboratory testing, recording and communicating of results, and referral to follow-up care in specialist services followed routine care pathways. Patient records of participants found to be positive for LTBI or other infections followed up at two years.  </w:t>
      </w:r>
    </w:p>
    <w:p w14:paraId="711E66A3" w14:textId="1D6DDED7" w:rsidR="00590B2E" w:rsidRPr="007513C1" w:rsidRDefault="00EB79B1" w:rsidP="007513C1">
      <w:pPr>
        <w:spacing w:line="480" w:lineRule="auto"/>
        <w:rPr>
          <w:rFonts w:ascii="Arial" w:hAnsi="Arial" w:cs="Arial"/>
        </w:rPr>
      </w:pPr>
      <w:r>
        <w:rPr>
          <w:rFonts w:ascii="Arial" w:hAnsi="Arial" w:cs="Arial"/>
        </w:rPr>
        <w:t>The</w:t>
      </w:r>
      <w:r w:rsidR="00590B2E" w:rsidRPr="007513C1">
        <w:rPr>
          <w:rFonts w:ascii="Arial" w:hAnsi="Arial" w:cs="Arial"/>
        </w:rPr>
        <w:t xml:space="preserve"> proposed sample size </w:t>
      </w:r>
      <w:r>
        <w:rPr>
          <w:rFonts w:ascii="Arial" w:hAnsi="Arial" w:cs="Arial"/>
        </w:rPr>
        <w:t xml:space="preserve">was calculated </w:t>
      </w:r>
      <w:r w:rsidR="00590B2E" w:rsidRPr="007513C1">
        <w:rPr>
          <w:rFonts w:ascii="Arial" w:hAnsi="Arial" w:cs="Arial"/>
        </w:rPr>
        <w:t>in relation to the estimated proportion of participants who would screen positive for latent TB</w:t>
      </w:r>
      <w:r w:rsidR="00827B94">
        <w:rPr>
          <w:rFonts w:ascii="Arial" w:hAnsi="Arial" w:cs="Arial"/>
        </w:rPr>
        <w:t xml:space="preserve">. </w:t>
      </w:r>
      <w:r w:rsidR="00590B2E" w:rsidRPr="007513C1">
        <w:rPr>
          <w:rFonts w:ascii="Arial" w:hAnsi="Arial" w:cs="Arial"/>
        </w:rPr>
        <w:t>This was informed by our preceding feasibility study implementing the same screening programme in a primary care setting , in which 18.8% of migrants screened positive for latent TB</w:t>
      </w:r>
      <w:r w:rsidR="00827B94">
        <w:rPr>
          <w:rFonts w:ascii="Arial" w:hAnsi="Arial" w:cs="Arial"/>
        </w:rPr>
        <w:t>, the most common infection detected (1</w:t>
      </w:r>
      <w:r w:rsidR="00EA1424">
        <w:rPr>
          <w:rFonts w:ascii="Arial" w:hAnsi="Arial" w:cs="Arial"/>
        </w:rPr>
        <w:t>2</w:t>
      </w:r>
      <w:r w:rsidR="00827B94">
        <w:rPr>
          <w:rFonts w:ascii="Arial" w:hAnsi="Arial" w:cs="Arial"/>
        </w:rPr>
        <w:t>)</w:t>
      </w:r>
      <w:r w:rsidR="00590B2E" w:rsidRPr="007513C1">
        <w:rPr>
          <w:rFonts w:ascii="Arial" w:hAnsi="Arial" w:cs="Arial"/>
        </w:rPr>
        <w:t xml:space="preserve">. Assuming a 5% significance level and 10% margin of error, </w:t>
      </w:r>
      <w:r w:rsidR="00590B2E">
        <w:rPr>
          <w:rFonts w:ascii="Arial" w:hAnsi="Arial" w:cs="Arial"/>
        </w:rPr>
        <w:t xml:space="preserve">we calculated that </w:t>
      </w:r>
      <w:r w:rsidR="00590B2E" w:rsidRPr="007513C1">
        <w:rPr>
          <w:rFonts w:ascii="Arial" w:hAnsi="Arial" w:cs="Arial"/>
        </w:rPr>
        <w:t xml:space="preserve">a minimum sample size of 59 </w:t>
      </w:r>
      <w:r w:rsidR="00590B2E">
        <w:rPr>
          <w:rFonts w:ascii="Arial" w:hAnsi="Arial" w:cs="Arial"/>
        </w:rPr>
        <w:t>was</w:t>
      </w:r>
      <w:r w:rsidR="00590B2E" w:rsidRPr="007513C1">
        <w:rPr>
          <w:rFonts w:ascii="Arial" w:hAnsi="Arial" w:cs="Arial"/>
        </w:rPr>
        <w:t xml:space="preserve"> required to show an estimated LTBI prevalence of 18.8% among migrant participants.</w:t>
      </w:r>
    </w:p>
    <w:p w14:paraId="13A9B8AC" w14:textId="77777777" w:rsidR="00590B2E" w:rsidRPr="00B30125" w:rsidRDefault="00590B2E" w:rsidP="00590B2E">
      <w:pPr>
        <w:spacing w:line="480" w:lineRule="auto"/>
        <w:jc w:val="both"/>
        <w:rPr>
          <w:rFonts w:ascii="Arial" w:eastAsia="Times New Roman" w:hAnsi="Arial" w:cs="Arial"/>
        </w:rPr>
      </w:pPr>
    </w:p>
    <w:p w14:paraId="304C76ED" w14:textId="77777777" w:rsidR="00204B98" w:rsidRPr="005D4C83" w:rsidRDefault="00204B98" w:rsidP="005615F2">
      <w:pPr>
        <w:spacing w:line="480" w:lineRule="auto"/>
        <w:jc w:val="both"/>
        <w:rPr>
          <w:rFonts w:ascii="Arial" w:hAnsi="Arial" w:cs="Arial"/>
          <w:i/>
        </w:rPr>
      </w:pPr>
      <w:r w:rsidRPr="005D4C83">
        <w:rPr>
          <w:rFonts w:ascii="Arial" w:hAnsi="Arial" w:cs="Arial"/>
          <w:i/>
        </w:rPr>
        <w:t>Inclusion criteria and main outcomes</w:t>
      </w:r>
    </w:p>
    <w:p w14:paraId="007B2C35" w14:textId="77777777" w:rsidR="00204B98" w:rsidRPr="00CF0099" w:rsidRDefault="00204B98" w:rsidP="005615F2">
      <w:pPr>
        <w:spacing w:line="480" w:lineRule="auto"/>
        <w:jc w:val="both"/>
        <w:rPr>
          <w:rFonts w:ascii="Arial" w:hAnsi="Arial" w:cs="Arial"/>
        </w:rPr>
      </w:pPr>
      <w:r w:rsidRPr="005D4C83">
        <w:rPr>
          <w:rFonts w:ascii="Arial" w:hAnsi="Arial" w:cs="Arial"/>
        </w:rPr>
        <w:t xml:space="preserve">This study included foreign-born individuals aged 18 years or older who had lived in the UK for 10 years or less, prior to which they lived for one year or more outside Western Europe, North America, Australia, and New Zealand. Main outcomes </w:t>
      </w:r>
      <w:proofErr w:type="gramStart"/>
      <w:r w:rsidRPr="005D4C83">
        <w:rPr>
          <w:rFonts w:ascii="Arial" w:hAnsi="Arial" w:cs="Arial"/>
        </w:rPr>
        <w:t>were:</w:t>
      </w:r>
      <w:proofErr w:type="gramEnd"/>
      <w:r w:rsidRPr="005D4C83">
        <w:rPr>
          <w:rFonts w:ascii="Arial" w:hAnsi="Arial" w:cs="Arial"/>
        </w:rPr>
        <w:t xml:space="preserve"> presence of an infection, treatment outcome, </w:t>
      </w:r>
      <w:r>
        <w:rPr>
          <w:rFonts w:ascii="Arial" w:hAnsi="Arial" w:cs="Arial"/>
        </w:rPr>
        <w:t>primary-care registration, and</w:t>
      </w:r>
      <w:r w:rsidRPr="005D4C83">
        <w:rPr>
          <w:rFonts w:ascii="Arial" w:hAnsi="Arial" w:cs="Arial"/>
        </w:rPr>
        <w:t xml:space="preserve"> previous screening</w:t>
      </w:r>
      <w:r>
        <w:rPr>
          <w:rFonts w:ascii="Arial" w:hAnsi="Arial" w:cs="Arial"/>
        </w:rPr>
        <w:t>.</w:t>
      </w:r>
    </w:p>
    <w:p w14:paraId="105B9305" w14:textId="77777777" w:rsidR="00204B98" w:rsidRPr="00CF0099" w:rsidRDefault="00204B98" w:rsidP="005615F2">
      <w:pPr>
        <w:spacing w:line="480" w:lineRule="auto"/>
        <w:jc w:val="both"/>
        <w:rPr>
          <w:rFonts w:ascii="Arial" w:hAnsi="Arial" w:cs="Arial"/>
          <w:i/>
        </w:rPr>
      </w:pPr>
      <w:r>
        <w:rPr>
          <w:rFonts w:ascii="Arial" w:hAnsi="Arial" w:cs="Arial"/>
          <w:i/>
        </w:rPr>
        <w:t>Migrant r</w:t>
      </w:r>
      <w:r w:rsidRPr="00CF0099">
        <w:rPr>
          <w:rFonts w:ascii="Arial" w:hAnsi="Arial" w:cs="Arial"/>
          <w:i/>
        </w:rPr>
        <w:t xml:space="preserve">ecruitment </w:t>
      </w:r>
    </w:p>
    <w:p w14:paraId="2423EF46" w14:textId="01EF96BE" w:rsidR="00204B98" w:rsidRPr="00CF0099" w:rsidRDefault="00204B98" w:rsidP="005615F2">
      <w:pPr>
        <w:spacing w:line="480" w:lineRule="auto"/>
        <w:jc w:val="both"/>
        <w:rPr>
          <w:rFonts w:ascii="Arial" w:eastAsia="Times New Roman" w:hAnsi="Arial" w:cs="Arial"/>
          <w:lang w:val="en-US" w:eastAsia="en-GB"/>
        </w:rPr>
      </w:pPr>
      <w:r w:rsidRPr="00CF0099">
        <w:rPr>
          <w:rFonts w:ascii="Arial" w:hAnsi="Arial" w:cs="Arial"/>
        </w:rPr>
        <w:t xml:space="preserve">Patients were invited to participate in the research by a research nurse (JG </w:t>
      </w:r>
      <w:r>
        <w:rPr>
          <w:rFonts w:ascii="Arial" w:hAnsi="Arial" w:cs="Arial"/>
        </w:rPr>
        <w:t>or</w:t>
      </w:r>
      <w:r w:rsidRPr="00CF0099">
        <w:rPr>
          <w:rFonts w:ascii="Arial" w:hAnsi="Arial" w:cs="Arial"/>
        </w:rPr>
        <w:t xml:space="preserve"> CJ), who provided information about the research to all patients presenting </w:t>
      </w:r>
      <w:r>
        <w:rPr>
          <w:rFonts w:ascii="Arial" w:hAnsi="Arial" w:cs="Arial"/>
        </w:rPr>
        <w:t>to the emergency d</w:t>
      </w:r>
      <w:r w:rsidRPr="00CF0099">
        <w:rPr>
          <w:rFonts w:ascii="Arial" w:hAnsi="Arial" w:cs="Arial"/>
        </w:rPr>
        <w:t>epartment Monday-Friday between 8am and 3pm</w:t>
      </w:r>
      <w:r>
        <w:rPr>
          <w:rFonts w:ascii="Arial" w:hAnsi="Arial" w:cs="Arial"/>
        </w:rPr>
        <w:t>, in line with the cut off time during the study period for the laboratory to receive samples</w:t>
      </w:r>
      <w:r w:rsidRPr="00CF0099">
        <w:rPr>
          <w:rFonts w:ascii="Arial" w:hAnsi="Arial" w:cs="Arial"/>
        </w:rPr>
        <w:t xml:space="preserve">.  </w:t>
      </w:r>
      <w:r w:rsidR="008E7ABE">
        <w:rPr>
          <w:rFonts w:ascii="Arial" w:hAnsi="Arial" w:cs="Arial"/>
        </w:rPr>
        <w:t xml:space="preserve">Patients were engaged in the walk-in section of the emergency department, with the </w:t>
      </w:r>
      <w:r w:rsidR="00590B2E">
        <w:rPr>
          <w:rFonts w:ascii="Arial" w:hAnsi="Arial" w:cs="Arial"/>
        </w:rPr>
        <w:t xml:space="preserve">research </w:t>
      </w:r>
      <w:r w:rsidR="008E7ABE">
        <w:rPr>
          <w:rFonts w:ascii="Arial" w:hAnsi="Arial" w:cs="Arial"/>
        </w:rPr>
        <w:t>nurse present in the waiting room</w:t>
      </w:r>
      <w:r w:rsidR="00F46159">
        <w:rPr>
          <w:rFonts w:ascii="Arial" w:hAnsi="Arial" w:cs="Arial"/>
        </w:rPr>
        <w:t xml:space="preserve"> during the study hours</w:t>
      </w:r>
      <w:r w:rsidR="008E7ABE">
        <w:rPr>
          <w:rFonts w:ascii="Arial" w:hAnsi="Arial" w:cs="Arial"/>
        </w:rPr>
        <w:t xml:space="preserve">. Acutely ill patients admitted via ambulance were excluded from the study. </w:t>
      </w:r>
      <w:r w:rsidRPr="00CF0099">
        <w:rPr>
          <w:rFonts w:ascii="Arial" w:hAnsi="Arial" w:cs="Arial"/>
        </w:rPr>
        <w:t xml:space="preserve">Patients who were in the </w:t>
      </w:r>
      <w:r>
        <w:rPr>
          <w:rFonts w:ascii="Arial" w:hAnsi="Arial" w:cs="Arial"/>
        </w:rPr>
        <w:t>emergency d</w:t>
      </w:r>
      <w:r w:rsidRPr="00CF0099">
        <w:rPr>
          <w:rFonts w:ascii="Arial" w:hAnsi="Arial" w:cs="Arial"/>
        </w:rPr>
        <w:t xml:space="preserve">epartment waiting room prior to </w:t>
      </w:r>
      <w:r>
        <w:rPr>
          <w:rFonts w:ascii="Arial" w:hAnsi="Arial" w:cs="Arial"/>
        </w:rPr>
        <w:t>clinical assessment</w:t>
      </w:r>
      <w:r w:rsidRPr="00CF0099">
        <w:rPr>
          <w:rFonts w:ascii="Arial" w:hAnsi="Arial" w:cs="Arial"/>
        </w:rPr>
        <w:t xml:space="preserve"> were provided with an information leaflet, detailed patient information</w:t>
      </w:r>
      <w:r>
        <w:rPr>
          <w:rFonts w:ascii="Arial" w:hAnsi="Arial" w:cs="Arial"/>
        </w:rPr>
        <w:t xml:space="preserve"> recruitment</w:t>
      </w:r>
      <w:r w:rsidRPr="00CF0099">
        <w:rPr>
          <w:rFonts w:ascii="Arial" w:hAnsi="Arial" w:cs="Arial"/>
        </w:rPr>
        <w:t xml:space="preserve"> </w:t>
      </w:r>
      <w:r>
        <w:rPr>
          <w:rFonts w:ascii="Arial" w:hAnsi="Arial" w:cs="Arial"/>
        </w:rPr>
        <w:t>letter</w:t>
      </w:r>
      <w:r w:rsidRPr="00CF0099">
        <w:rPr>
          <w:rFonts w:ascii="Arial" w:hAnsi="Arial" w:cs="Arial"/>
        </w:rPr>
        <w:t xml:space="preserve">, and consent form, which were </w:t>
      </w:r>
      <w:r>
        <w:rPr>
          <w:rFonts w:ascii="Arial" w:hAnsi="Arial" w:cs="Arial"/>
        </w:rPr>
        <w:t>available</w:t>
      </w:r>
      <w:r w:rsidRPr="00CF0099">
        <w:rPr>
          <w:rFonts w:ascii="Arial" w:hAnsi="Arial" w:cs="Arial"/>
        </w:rPr>
        <w:t xml:space="preserve"> in the dominant languages seen at this </w:t>
      </w:r>
      <w:r>
        <w:rPr>
          <w:rFonts w:ascii="Arial" w:hAnsi="Arial" w:cs="Arial"/>
        </w:rPr>
        <w:t xml:space="preserve">emergency </w:t>
      </w:r>
      <w:r w:rsidRPr="00CF0099">
        <w:rPr>
          <w:rFonts w:ascii="Arial" w:hAnsi="Arial" w:cs="Arial"/>
        </w:rPr>
        <w:t xml:space="preserve">department (including Somali, Polish, Gujarati, Arabic, Farsi, and English). </w:t>
      </w:r>
      <w:r>
        <w:rPr>
          <w:rFonts w:ascii="Arial" w:hAnsi="Arial" w:cs="Arial"/>
        </w:rPr>
        <w:t>Further interpreting</w:t>
      </w:r>
      <w:r w:rsidRPr="00CF0099">
        <w:rPr>
          <w:rFonts w:ascii="Arial" w:hAnsi="Arial" w:cs="Arial"/>
        </w:rPr>
        <w:t xml:space="preserve"> </w:t>
      </w:r>
      <w:r>
        <w:rPr>
          <w:rFonts w:ascii="Arial" w:hAnsi="Arial" w:cs="Arial"/>
        </w:rPr>
        <w:t>services</w:t>
      </w:r>
      <w:r w:rsidRPr="00CF0099">
        <w:rPr>
          <w:rFonts w:ascii="Arial" w:hAnsi="Arial" w:cs="Arial"/>
        </w:rPr>
        <w:t xml:space="preserve"> were available if needed through the NHS telephone interpreting service</w:t>
      </w:r>
      <w:r>
        <w:rPr>
          <w:rFonts w:ascii="Arial" w:hAnsi="Arial" w:cs="Arial"/>
        </w:rPr>
        <w:t xml:space="preserve">.  It was not known which patients in the waiting room were migrants due to lack of routine data collection at NHS services on migrant status, and so denominator data are not available on the total number of migrants who attended the emergency department during the study period. </w:t>
      </w:r>
      <w:r w:rsidRPr="00CF0099">
        <w:rPr>
          <w:rFonts w:ascii="Arial" w:hAnsi="Arial" w:cs="Arial"/>
        </w:rPr>
        <w:t xml:space="preserve">All participants provided written informed consent, and capacity to consent was assessed in line with the </w:t>
      </w:r>
      <w:r>
        <w:rPr>
          <w:rFonts w:ascii="Arial" w:hAnsi="Arial" w:cs="Arial"/>
        </w:rPr>
        <w:t xml:space="preserve">UK </w:t>
      </w:r>
      <w:r w:rsidRPr="00CF0099">
        <w:rPr>
          <w:rFonts w:ascii="Arial" w:hAnsi="Arial" w:cs="Arial"/>
        </w:rPr>
        <w:t>Mental Capacity Act Framework</w:t>
      </w:r>
      <w:r>
        <w:rPr>
          <w:rFonts w:ascii="Arial" w:hAnsi="Arial" w:cs="Arial"/>
        </w:rPr>
        <w:t xml:space="preserve"> </w:t>
      </w:r>
      <w:r>
        <w:rPr>
          <w:rFonts w:ascii="Arial" w:eastAsia="Times New Roman" w:hAnsi="Arial" w:cs="Arial"/>
          <w:noProof/>
          <w:lang w:val="en-US" w:eastAsia="en-GB"/>
        </w:rPr>
        <w:t>(40, 41)</w:t>
      </w:r>
      <w:r>
        <w:rPr>
          <w:rFonts w:ascii="Arial" w:eastAsia="Times New Roman" w:hAnsi="Arial" w:cs="Arial"/>
          <w:lang w:val="en-US" w:eastAsia="en-GB"/>
        </w:rPr>
        <w:t>.</w:t>
      </w:r>
    </w:p>
    <w:p w14:paraId="119F2836" w14:textId="77777777" w:rsidR="00204B98" w:rsidRPr="00CF0099" w:rsidRDefault="00204B98" w:rsidP="005615F2">
      <w:pPr>
        <w:spacing w:line="480" w:lineRule="auto"/>
        <w:jc w:val="both"/>
        <w:rPr>
          <w:rFonts w:ascii="Arial" w:eastAsia="Times New Roman" w:hAnsi="Arial" w:cs="Arial"/>
          <w:i/>
          <w:lang w:val="en-US" w:eastAsia="en-GB"/>
        </w:rPr>
      </w:pPr>
      <w:r w:rsidRPr="00CF0099">
        <w:rPr>
          <w:rFonts w:ascii="Arial" w:eastAsia="Times New Roman" w:hAnsi="Arial" w:cs="Arial"/>
          <w:i/>
          <w:lang w:val="en-US" w:eastAsia="en-GB"/>
        </w:rPr>
        <w:t xml:space="preserve">Screening </w:t>
      </w:r>
      <w:r>
        <w:rPr>
          <w:rFonts w:ascii="Arial" w:eastAsia="Times New Roman" w:hAnsi="Arial" w:cs="Arial"/>
          <w:i/>
          <w:lang w:val="en-US" w:eastAsia="en-GB"/>
        </w:rPr>
        <w:t xml:space="preserve">procedure </w:t>
      </w:r>
      <w:r w:rsidRPr="00CF0099">
        <w:rPr>
          <w:rFonts w:ascii="Arial" w:eastAsia="Times New Roman" w:hAnsi="Arial" w:cs="Arial"/>
          <w:i/>
          <w:lang w:val="en-US" w:eastAsia="en-GB"/>
        </w:rPr>
        <w:t>and follow-up</w:t>
      </w:r>
    </w:p>
    <w:p w14:paraId="21D65E4C" w14:textId="77777777" w:rsidR="00204B98" w:rsidRPr="00CF0099" w:rsidRDefault="00204B98" w:rsidP="005615F2">
      <w:pPr>
        <w:spacing w:line="480" w:lineRule="auto"/>
        <w:jc w:val="both"/>
        <w:rPr>
          <w:rFonts w:ascii="Arial" w:hAnsi="Arial" w:cs="Arial"/>
        </w:rPr>
      </w:pPr>
      <w:r w:rsidRPr="00CF0099">
        <w:rPr>
          <w:rFonts w:ascii="Arial" w:hAnsi="Arial" w:cs="Arial"/>
        </w:rPr>
        <w:t xml:space="preserve">Participants </w:t>
      </w:r>
      <w:r>
        <w:rPr>
          <w:rFonts w:ascii="Arial" w:hAnsi="Arial" w:cs="Arial"/>
        </w:rPr>
        <w:t xml:space="preserve">completed a questionnaire (piloted in this setting) with questions pertaining to </w:t>
      </w:r>
      <w:r w:rsidRPr="00CF0099">
        <w:rPr>
          <w:rFonts w:ascii="Arial" w:hAnsi="Arial" w:cs="Arial"/>
        </w:rPr>
        <w:t xml:space="preserve">time in the UK, nationality, registration with a local </w:t>
      </w:r>
      <w:r>
        <w:rPr>
          <w:rFonts w:ascii="Arial" w:hAnsi="Arial" w:cs="Arial"/>
        </w:rPr>
        <w:t>primary-care provider</w:t>
      </w:r>
      <w:r w:rsidRPr="00CF0099">
        <w:rPr>
          <w:rFonts w:ascii="Arial" w:hAnsi="Arial" w:cs="Arial"/>
        </w:rPr>
        <w:t xml:space="preserve">, and whether </w:t>
      </w:r>
      <w:r>
        <w:rPr>
          <w:rFonts w:ascii="Arial" w:hAnsi="Arial" w:cs="Arial"/>
        </w:rPr>
        <w:t xml:space="preserve">patients </w:t>
      </w:r>
      <w:r>
        <w:rPr>
          <w:rFonts w:ascii="Arial" w:hAnsi="Arial" w:cs="Arial"/>
        </w:rPr>
        <w:lastRenderedPageBreak/>
        <w:t xml:space="preserve">had </w:t>
      </w:r>
      <w:r w:rsidRPr="00CF0099">
        <w:rPr>
          <w:rFonts w:ascii="Arial" w:hAnsi="Arial" w:cs="Arial"/>
        </w:rPr>
        <w:t xml:space="preserve">previously been offered any kind of screening since their arrival. </w:t>
      </w:r>
      <w:r>
        <w:rPr>
          <w:rFonts w:ascii="Arial" w:hAnsi="Arial" w:cs="Arial"/>
        </w:rPr>
        <w:t xml:space="preserve">They then provided a peripheral venous blood sample, which was obtained by the research nurse. </w:t>
      </w:r>
      <w:r w:rsidRPr="00CF0099">
        <w:rPr>
          <w:rFonts w:ascii="Arial" w:hAnsi="Arial" w:cs="Arial"/>
        </w:rPr>
        <w:t xml:space="preserve">Blood samples were tested by the </w:t>
      </w:r>
      <w:r>
        <w:rPr>
          <w:rFonts w:ascii="Arial" w:hAnsi="Arial" w:cs="Arial"/>
        </w:rPr>
        <w:t>local</w:t>
      </w:r>
      <w:r w:rsidRPr="00CF0099">
        <w:rPr>
          <w:rFonts w:ascii="Arial" w:hAnsi="Arial" w:cs="Arial"/>
        </w:rPr>
        <w:t xml:space="preserve"> NHS laborator</w:t>
      </w:r>
      <w:r>
        <w:rPr>
          <w:rFonts w:ascii="Arial" w:hAnsi="Arial" w:cs="Arial"/>
        </w:rPr>
        <w:t>ies</w:t>
      </w:r>
      <w:r w:rsidRPr="00CF0099">
        <w:rPr>
          <w:rFonts w:ascii="Arial" w:hAnsi="Arial" w:cs="Arial"/>
        </w:rPr>
        <w:t xml:space="preserve">, as per routine practice.  </w:t>
      </w:r>
    </w:p>
    <w:p w14:paraId="37EC4E0F" w14:textId="77777777" w:rsidR="00204B98" w:rsidRPr="00CF0099" w:rsidRDefault="00204B98" w:rsidP="005615F2">
      <w:pPr>
        <w:spacing w:line="480" w:lineRule="auto"/>
        <w:jc w:val="both"/>
        <w:rPr>
          <w:rFonts w:ascii="Arial" w:hAnsi="Arial" w:cs="Arial"/>
        </w:rPr>
      </w:pPr>
      <w:r w:rsidRPr="00CF0099">
        <w:rPr>
          <w:rFonts w:ascii="Arial" w:hAnsi="Arial" w:cs="Arial"/>
        </w:rPr>
        <w:t xml:space="preserve">All participants were contacted by the research nurse with their test results within seven days. Patients with positive results </w:t>
      </w:r>
      <w:r>
        <w:rPr>
          <w:rFonts w:ascii="Arial" w:hAnsi="Arial" w:cs="Arial"/>
        </w:rPr>
        <w:t xml:space="preserve">were then offered care </w:t>
      </w:r>
      <w:r w:rsidRPr="00CF0099">
        <w:rPr>
          <w:rFonts w:ascii="Arial" w:hAnsi="Arial" w:cs="Arial"/>
        </w:rPr>
        <w:t xml:space="preserve">through </w:t>
      </w:r>
      <w:r>
        <w:rPr>
          <w:rFonts w:ascii="Arial" w:hAnsi="Arial" w:cs="Arial"/>
        </w:rPr>
        <w:t>standard</w:t>
      </w:r>
      <w:r w:rsidRPr="00CF0099">
        <w:rPr>
          <w:rFonts w:ascii="Arial" w:hAnsi="Arial" w:cs="Arial"/>
        </w:rPr>
        <w:t xml:space="preserve"> </w:t>
      </w:r>
      <w:r>
        <w:rPr>
          <w:rFonts w:ascii="Arial" w:hAnsi="Arial" w:cs="Arial"/>
        </w:rPr>
        <w:t xml:space="preserve">hospital </w:t>
      </w:r>
      <w:r w:rsidRPr="00CF0099">
        <w:rPr>
          <w:rFonts w:ascii="Arial" w:hAnsi="Arial" w:cs="Arial"/>
        </w:rPr>
        <w:t>pathways</w:t>
      </w:r>
      <w:r>
        <w:rPr>
          <w:rFonts w:ascii="Arial" w:hAnsi="Arial" w:cs="Arial"/>
        </w:rPr>
        <w:t xml:space="preserve"> for the relevant infections</w:t>
      </w:r>
      <w:r w:rsidRPr="00CF0099">
        <w:rPr>
          <w:rFonts w:ascii="Arial" w:hAnsi="Arial" w:cs="Arial"/>
        </w:rPr>
        <w:t>.</w:t>
      </w:r>
      <w:r>
        <w:rPr>
          <w:rFonts w:ascii="Arial" w:hAnsi="Arial" w:cs="Arial"/>
        </w:rPr>
        <w:t xml:space="preserve"> Patient records for participants found to be positive for LTBI or other infections were followed up at 2 years.  </w:t>
      </w:r>
    </w:p>
    <w:p w14:paraId="7F7B595E" w14:textId="77777777" w:rsidR="00204B98" w:rsidRPr="00CF0099" w:rsidRDefault="00204B98" w:rsidP="005615F2">
      <w:pPr>
        <w:spacing w:line="480" w:lineRule="auto"/>
        <w:jc w:val="both"/>
        <w:rPr>
          <w:rFonts w:ascii="Arial" w:hAnsi="Arial" w:cs="Arial"/>
          <w:i/>
        </w:rPr>
      </w:pPr>
      <w:r w:rsidRPr="00CF0099">
        <w:rPr>
          <w:rFonts w:ascii="Arial" w:hAnsi="Arial" w:cs="Arial"/>
          <w:i/>
        </w:rPr>
        <w:t>Data management and analysis</w:t>
      </w:r>
    </w:p>
    <w:p w14:paraId="3A20716C" w14:textId="77777777" w:rsidR="00204B98" w:rsidRPr="00CF0099" w:rsidRDefault="00204B98" w:rsidP="005615F2">
      <w:pPr>
        <w:spacing w:line="480" w:lineRule="auto"/>
        <w:jc w:val="both"/>
        <w:rPr>
          <w:rFonts w:ascii="Arial" w:hAnsi="Arial" w:cs="Arial"/>
        </w:rPr>
      </w:pPr>
      <w:r w:rsidRPr="00CF0099">
        <w:rPr>
          <w:rFonts w:ascii="Arial" w:hAnsi="Arial" w:cs="Arial"/>
        </w:rPr>
        <w:t xml:space="preserve">Participant data were </w:t>
      </w:r>
      <w:r>
        <w:rPr>
          <w:rFonts w:ascii="Arial" w:hAnsi="Arial" w:cs="Arial"/>
        </w:rPr>
        <w:t xml:space="preserve">collected and </w:t>
      </w:r>
      <w:r w:rsidRPr="00CF0099">
        <w:rPr>
          <w:rFonts w:ascii="Arial" w:hAnsi="Arial" w:cs="Arial"/>
        </w:rPr>
        <w:t xml:space="preserve">anonymised by the research nurse for analysis, and downloaded into a password protected Excel spreadsheet. Anonymised data were also extracted for the patient population at </w:t>
      </w:r>
      <w:r>
        <w:rPr>
          <w:rFonts w:ascii="Arial" w:hAnsi="Arial" w:cs="Arial"/>
        </w:rPr>
        <w:t>the</w:t>
      </w:r>
      <w:r w:rsidRPr="00CF0099">
        <w:rPr>
          <w:rFonts w:ascii="Arial" w:hAnsi="Arial" w:cs="Arial"/>
        </w:rPr>
        <w:t xml:space="preserve"> </w:t>
      </w:r>
      <w:r>
        <w:rPr>
          <w:rFonts w:ascii="Arial" w:hAnsi="Arial" w:cs="Arial"/>
        </w:rPr>
        <w:t>emergency d</w:t>
      </w:r>
      <w:r w:rsidRPr="00CF0099">
        <w:rPr>
          <w:rFonts w:ascii="Arial" w:hAnsi="Arial" w:cs="Arial"/>
        </w:rPr>
        <w:t xml:space="preserve">epartment to provide comparison population data. Data analysis was conducted using Stata </w:t>
      </w:r>
      <w:r>
        <w:rPr>
          <w:rFonts w:ascii="Arial" w:hAnsi="Arial" w:cs="Arial"/>
        </w:rPr>
        <w:t xml:space="preserve">14 </w:t>
      </w:r>
      <w:r w:rsidRPr="00CF0099">
        <w:rPr>
          <w:rFonts w:ascii="Arial" w:hAnsi="Arial" w:cs="Arial"/>
        </w:rPr>
        <w:t>statistical analysis software</w:t>
      </w:r>
      <w:r>
        <w:rPr>
          <w:rFonts w:ascii="Arial" w:hAnsi="Arial" w:cs="Arial"/>
        </w:rPr>
        <w:t xml:space="preserve"> </w:t>
      </w:r>
      <w:r>
        <w:rPr>
          <w:rFonts w:ascii="Arial" w:hAnsi="Arial" w:cs="Arial"/>
          <w:noProof/>
        </w:rPr>
        <w:t>(42)</w:t>
      </w:r>
      <w:r>
        <w:rPr>
          <w:rFonts w:ascii="Arial" w:hAnsi="Arial" w:cs="Arial"/>
        </w:rPr>
        <w:t>.</w:t>
      </w:r>
    </w:p>
    <w:p w14:paraId="09AC02E5" w14:textId="77777777" w:rsidR="00204B98" w:rsidRPr="00CF0099" w:rsidRDefault="00204B98" w:rsidP="005615F2">
      <w:pPr>
        <w:spacing w:line="480" w:lineRule="auto"/>
        <w:jc w:val="both"/>
        <w:rPr>
          <w:rFonts w:ascii="Arial" w:hAnsi="Arial" w:cs="Arial"/>
        </w:rPr>
      </w:pPr>
      <w:r w:rsidRPr="00CF0099">
        <w:rPr>
          <w:rFonts w:ascii="Arial" w:hAnsi="Arial" w:cs="Arial"/>
        </w:rPr>
        <w:t xml:space="preserve">Descriptive analyses were carried out to examine </w:t>
      </w:r>
      <w:r>
        <w:rPr>
          <w:rFonts w:ascii="Arial" w:hAnsi="Arial" w:cs="Arial"/>
        </w:rPr>
        <w:t xml:space="preserve">the </w:t>
      </w:r>
      <w:r w:rsidRPr="00CF0099">
        <w:rPr>
          <w:rFonts w:ascii="Arial" w:hAnsi="Arial" w:cs="Arial"/>
        </w:rPr>
        <w:t xml:space="preserve">demographic characteristics of </w:t>
      </w:r>
      <w:r>
        <w:rPr>
          <w:rFonts w:ascii="Arial" w:hAnsi="Arial" w:cs="Arial"/>
        </w:rPr>
        <w:t>the migrant participants and the other patients presenting to the emergency department during this time period</w:t>
      </w:r>
      <w:r w:rsidRPr="00CF0099">
        <w:rPr>
          <w:rFonts w:ascii="Arial" w:hAnsi="Arial" w:cs="Arial"/>
        </w:rPr>
        <w:t xml:space="preserve">, and to summarise patient screening and treatment outcomes. </w:t>
      </w:r>
      <w:r>
        <w:rPr>
          <w:rFonts w:ascii="Arial" w:hAnsi="Arial" w:cs="Arial"/>
        </w:rPr>
        <w:t xml:space="preserve">Bivariate analyses were carried out </w:t>
      </w:r>
      <w:r w:rsidRPr="00CF0099">
        <w:rPr>
          <w:rFonts w:ascii="Arial" w:hAnsi="Arial" w:cs="Arial"/>
        </w:rPr>
        <w:t xml:space="preserve">to examine associations between demographic characteristics, </w:t>
      </w:r>
      <w:r>
        <w:rPr>
          <w:rFonts w:ascii="Arial" w:hAnsi="Arial" w:cs="Arial"/>
        </w:rPr>
        <w:t>primary-care</w:t>
      </w:r>
      <w:r w:rsidRPr="00CF0099">
        <w:rPr>
          <w:rFonts w:ascii="Arial" w:hAnsi="Arial" w:cs="Arial"/>
        </w:rPr>
        <w:t xml:space="preserve"> registration</w:t>
      </w:r>
      <w:r>
        <w:rPr>
          <w:rFonts w:ascii="Arial" w:hAnsi="Arial" w:cs="Arial"/>
        </w:rPr>
        <w:t>, screening history, and LTBI</w:t>
      </w:r>
      <w:r w:rsidRPr="00CF0099">
        <w:rPr>
          <w:rFonts w:ascii="Arial" w:hAnsi="Arial" w:cs="Arial"/>
        </w:rPr>
        <w:t>.</w:t>
      </w:r>
    </w:p>
    <w:p w14:paraId="26F7C9AF" w14:textId="77777777" w:rsidR="00204B98" w:rsidRPr="00CF0099" w:rsidRDefault="00204B98" w:rsidP="005615F2">
      <w:pPr>
        <w:spacing w:line="480" w:lineRule="auto"/>
        <w:jc w:val="both"/>
        <w:rPr>
          <w:rFonts w:ascii="Arial" w:hAnsi="Arial" w:cs="Arial"/>
          <w:i/>
        </w:rPr>
      </w:pPr>
      <w:r w:rsidRPr="00CF0099">
        <w:rPr>
          <w:rFonts w:ascii="Arial" w:hAnsi="Arial" w:cs="Arial"/>
          <w:i/>
        </w:rPr>
        <w:t>Ethical approval</w:t>
      </w:r>
    </w:p>
    <w:p w14:paraId="41214E10" w14:textId="15521C0A" w:rsidR="00204B98" w:rsidRPr="00CF0099" w:rsidRDefault="00204B98" w:rsidP="005615F2">
      <w:pPr>
        <w:spacing w:line="480" w:lineRule="auto"/>
        <w:jc w:val="both"/>
        <w:rPr>
          <w:rFonts w:ascii="Arial" w:hAnsi="Arial" w:cs="Arial"/>
          <w:b/>
        </w:rPr>
      </w:pPr>
      <w:r w:rsidRPr="00CF0099">
        <w:rPr>
          <w:rFonts w:ascii="Arial" w:hAnsi="Arial" w:cs="Arial"/>
        </w:rPr>
        <w:t>Ethical approval was received from the NHS Health Research Authority London – City &amp; East Research Ethics Committee.</w:t>
      </w:r>
      <w:r w:rsidRPr="00CF0099">
        <w:rPr>
          <w:rFonts w:ascii="Arial" w:hAnsi="Arial" w:cs="Arial"/>
          <w:b/>
        </w:rPr>
        <w:br w:type="page"/>
      </w:r>
    </w:p>
    <w:p w14:paraId="35BC9ABF" w14:textId="77777777" w:rsidR="00204B98" w:rsidRPr="00CF0099" w:rsidRDefault="00204B98" w:rsidP="005615F2">
      <w:pPr>
        <w:spacing w:line="480" w:lineRule="auto"/>
        <w:jc w:val="both"/>
        <w:rPr>
          <w:rFonts w:ascii="Arial" w:hAnsi="Arial" w:cs="Arial"/>
          <w:b/>
        </w:rPr>
      </w:pPr>
      <w:r w:rsidRPr="00CF0099">
        <w:rPr>
          <w:rFonts w:ascii="Arial" w:hAnsi="Arial" w:cs="Arial"/>
          <w:b/>
        </w:rPr>
        <w:lastRenderedPageBreak/>
        <w:t>Results</w:t>
      </w:r>
    </w:p>
    <w:p w14:paraId="1F89708C" w14:textId="77777777" w:rsidR="00204B98" w:rsidRPr="00CF0099" w:rsidRDefault="00204B98" w:rsidP="005615F2">
      <w:pPr>
        <w:spacing w:line="480" w:lineRule="auto"/>
        <w:jc w:val="both"/>
        <w:rPr>
          <w:rFonts w:ascii="Arial" w:hAnsi="Arial" w:cs="Arial"/>
          <w:i/>
        </w:rPr>
      </w:pPr>
      <w:r>
        <w:rPr>
          <w:rFonts w:ascii="Arial" w:hAnsi="Arial" w:cs="Arial"/>
          <w:i/>
        </w:rPr>
        <w:t>Emergency d</w:t>
      </w:r>
      <w:r w:rsidRPr="00CF0099">
        <w:rPr>
          <w:rFonts w:ascii="Arial" w:hAnsi="Arial" w:cs="Arial"/>
          <w:i/>
        </w:rPr>
        <w:t>epartment patient population</w:t>
      </w:r>
    </w:p>
    <w:p w14:paraId="76AF788F" w14:textId="649D7783" w:rsidR="00204B98" w:rsidRDefault="00204B98" w:rsidP="005615F2">
      <w:pPr>
        <w:spacing w:line="480" w:lineRule="auto"/>
        <w:jc w:val="both"/>
        <w:rPr>
          <w:rFonts w:ascii="Arial" w:hAnsi="Arial" w:cs="Arial"/>
        </w:rPr>
      </w:pPr>
      <w:r w:rsidRPr="00CF0099">
        <w:rPr>
          <w:rFonts w:ascii="Arial" w:hAnsi="Arial" w:cs="Arial"/>
        </w:rPr>
        <w:t xml:space="preserve">72,279 patients presented to </w:t>
      </w:r>
      <w:r>
        <w:rPr>
          <w:rFonts w:ascii="Arial" w:hAnsi="Arial" w:cs="Arial"/>
        </w:rPr>
        <w:t>the emergency d</w:t>
      </w:r>
      <w:r w:rsidRPr="00CF0099">
        <w:rPr>
          <w:rFonts w:ascii="Arial" w:hAnsi="Arial" w:cs="Arial"/>
        </w:rPr>
        <w:t xml:space="preserve">epartment during </w:t>
      </w:r>
      <w:r w:rsidR="00C50558">
        <w:rPr>
          <w:rFonts w:ascii="Arial" w:hAnsi="Arial" w:cs="Arial"/>
        </w:rPr>
        <w:t xml:space="preserve">the </w:t>
      </w:r>
      <w:r w:rsidR="00590B2E">
        <w:rPr>
          <w:rFonts w:ascii="Arial" w:hAnsi="Arial" w:cs="Arial"/>
        </w:rPr>
        <w:t>nine</w:t>
      </w:r>
      <w:r w:rsidR="00C50558">
        <w:rPr>
          <w:rFonts w:ascii="Arial" w:hAnsi="Arial" w:cs="Arial"/>
        </w:rPr>
        <w:t xml:space="preserve">-month recruitment </w:t>
      </w:r>
      <w:r w:rsidRPr="00CF0099">
        <w:rPr>
          <w:rFonts w:ascii="Arial" w:hAnsi="Arial" w:cs="Arial"/>
        </w:rPr>
        <w:t>period</w:t>
      </w:r>
      <w:r w:rsidR="00C50558">
        <w:rPr>
          <w:rFonts w:ascii="Arial" w:hAnsi="Arial" w:cs="Arial"/>
        </w:rPr>
        <w:t xml:space="preserve"> required to achieve the target sample size</w:t>
      </w:r>
      <w:r>
        <w:rPr>
          <w:rFonts w:ascii="Arial" w:hAnsi="Arial" w:cs="Arial"/>
        </w:rPr>
        <w:t xml:space="preserve"> (Table 1)</w:t>
      </w:r>
      <w:r w:rsidRPr="00CF0099">
        <w:rPr>
          <w:rFonts w:ascii="Arial" w:hAnsi="Arial" w:cs="Arial"/>
        </w:rPr>
        <w:t xml:space="preserve">.  61.3% of patients (44,040) were reported </w:t>
      </w:r>
      <w:r>
        <w:rPr>
          <w:rFonts w:ascii="Arial" w:hAnsi="Arial" w:cs="Arial"/>
        </w:rPr>
        <w:t>to be</w:t>
      </w:r>
      <w:r w:rsidRPr="00CF0099">
        <w:rPr>
          <w:rFonts w:ascii="Arial" w:hAnsi="Arial" w:cs="Arial"/>
        </w:rPr>
        <w:t xml:space="preserve"> from an ethnic minority background</w:t>
      </w:r>
      <w:r>
        <w:rPr>
          <w:rFonts w:ascii="Arial" w:hAnsi="Arial" w:cs="Arial"/>
        </w:rPr>
        <w:t xml:space="preserve"> (no data on migrant status available at UK emergency departments)</w:t>
      </w:r>
      <w:r w:rsidRPr="00CF0099">
        <w:rPr>
          <w:rFonts w:ascii="Arial" w:hAnsi="Arial" w:cs="Arial"/>
        </w:rPr>
        <w:t xml:space="preserve">, including Asian (6,872; 9.5%), Black African or Black Caribbean (8,797; 12.2%), or ‘other’ (28,371; 39.3%).  49.6% (35,825) of patients were female, and 78.7% (56,874) were registered with a GP. </w:t>
      </w:r>
    </w:p>
    <w:p w14:paraId="44B0EDA6" w14:textId="77777777" w:rsidR="00204B98" w:rsidRPr="009F5F7B" w:rsidRDefault="00204B98" w:rsidP="005615F2">
      <w:pPr>
        <w:pStyle w:val="Caption"/>
        <w:keepNext/>
        <w:rPr>
          <w:rFonts w:ascii="Arial" w:hAnsi="Arial" w:cs="Arial"/>
          <w:sz w:val="22"/>
          <w:szCs w:val="22"/>
        </w:rPr>
      </w:pPr>
      <w:r w:rsidRPr="00E65D00">
        <w:rPr>
          <w:rFonts w:ascii="Arial" w:hAnsi="Arial" w:cs="Arial"/>
          <w:sz w:val="22"/>
          <w:szCs w:val="22"/>
        </w:rPr>
        <w:t>Table</w:t>
      </w:r>
      <w:r>
        <w:rPr>
          <w:rFonts w:ascii="Arial" w:hAnsi="Arial" w:cs="Arial"/>
          <w:sz w:val="22"/>
          <w:szCs w:val="22"/>
        </w:rPr>
        <w:t xml:space="preserve">: </w:t>
      </w:r>
      <w:r w:rsidRPr="00E65D00">
        <w:rPr>
          <w:rFonts w:ascii="Arial" w:hAnsi="Arial" w:cs="Arial"/>
          <w:sz w:val="22"/>
          <w:szCs w:val="22"/>
        </w:rPr>
        <w:t xml:space="preserve">1 </w:t>
      </w:r>
      <w:r>
        <w:rPr>
          <w:rFonts w:ascii="Arial" w:hAnsi="Arial" w:cs="Arial"/>
          <w:sz w:val="22"/>
          <w:szCs w:val="22"/>
        </w:rPr>
        <w:t>St. Mary’s emergency department attenders during the study period</w:t>
      </w:r>
    </w:p>
    <w:tbl>
      <w:tblPr>
        <w:tblStyle w:val="TableGrid"/>
        <w:tblW w:w="0" w:type="auto"/>
        <w:tblLook w:val="04A0" w:firstRow="1" w:lastRow="0" w:firstColumn="1" w:lastColumn="0" w:noHBand="0" w:noVBand="1"/>
      </w:tblPr>
      <w:tblGrid>
        <w:gridCol w:w="3678"/>
        <w:gridCol w:w="2328"/>
        <w:gridCol w:w="3004"/>
      </w:tblGrid>
      <w:tr w:rsidR="00204B98" w14:paraId="7740EBF3" w14:textId="77777777" w:rsidTr="005615F2">
        <w:tc>
          <w:tcPr>
            <w:tcW w:w="3681" w:type="dxa"/>
          </w:tcPr>
          <w:p w14:paraId="5299E221" w14:textId="77777777" w:rsidR="00204B98" w:rsidRPr="00F9747E" w:rsidRDefault="00204B98" w:rsidP="005615F2">
            <w:pPr>
              <w:rPr>
                <w:b/>
              </w:rPr>
            </w:pPr>
            <w:r>
              <w:rPr>
                <w:b/>
              </w:rPr>
              <w:t>Characteristic</w:t>
            </w:r>
          </w:p>
        </w:tc>
        <w:tc>
          <w:tcPr>
            <w:tcW w:w="2329" w:type="dxa"/>
          </w:tcPr>
          <w:p w14:paraId="7484EA3F" w14:textId="77777777" w:rsidR="00204B98" w:rsidRPr="00E92EE4" w:rsidRDefault="00204B98" w:rsidP="005615F2">
            <w:pPr>
              <w:rPr>
                <w:rFonts w:ascii="Arial" w:hAnsi="Arial" w:cs="Arial"/>
              </w:rPr>
            </w:pPr>
            <w:r w:rsidRPr="00E92EE4">
              <w:rPr>
                <w:rFonts w:ascii="Arial" w:hAnsi="Arial" w:cs="Arial"/>
              </w:rPr>
              <w:t>n</w:t>
            </w:r>
          </w:p>
        </w:tc>
        <w:tc>
          <w:tcPr>
            <w:tcW w:w="3006" w:type="dxa"/>
          </w:tcPr>
          <w:p w14:paraId="2A1B600F" w14:textId="77777777" w:rsidR="00204B98" w:rsidRPr="00E92EE4" w:rsidRDefault="00204B98" w:rsidP="005615F2">
            <w:pPr>
              <w:rPr>
                <w:rFonts w:ascii="Arial" w:hAnsi="Arial" w:cs="Arial"/>
              </w:rPr>
            </w:pPr>
            <w:r w:rsidRPr="00E92EE4">
              <w:rPr>
                <w:rFonts w:ascii="Arial" w:hAnsi="Arial" w:cs="Arial"/>
              </w:rPr>
              <w:t>%</w:t>
            </w:r>
          </w:p>
        </w:tc>
      </w:tr>
      <w:tr w:rsidR="00204B98" w14:paraId="7AAB3F63" w14:textId="77777777" w:rsidTr="005615F2">
        <w:tc>
          <w:tcPr>
            <w:tcW w:w="3681" w:type="dxa"/>
          </w:tcPr>
          <w:p w14:paraId="10A8B494" w14:textId="77777777" w:rsidR="00204B98" w:rsidRPr="00CF0099" w:rsidRDefault="00204B98" w:rsidP="005615F2">
            <w:pPr>
              <w:rPr>
                <w:rFonts w:ascii="Arial" w:hAnsi="Arial" w:cs="Arial"/>
              </w:rPr>
            </w:pPr>
            <w:r w:rsidRPr="00CF0099">
              <w:rPr>
                <w:rFonts w:ascii="Arial" w:hAnsi="Arial" w:cs="Arial"/>
              </w:rPr>
              <w:t>Ethnicity</w:t>
            </w:r>
          </w:p>
          <w:p w14:paraId="33244970" w14:textId="77777777" w:rsidR="00204B98" w:rsidRPr="00CF0099" w:rsidRDefault="00204B98" w:rsidP="005615F2">
            <w:pPr>
              <w:ind w:left="171"/>
              <w:rPr>
                <w:rFonts w:ascii="Arial" w:hAnsi="Arial" w:cs="Arial"/>
              </w:rPr>
            </w:pPr>
            <w:r w:rsidRPr="00CF0099">
              <w:rPr>
                <w:rFonts w:ascii="Arial" w:hAnsi="Arial" w:cs="Arial"/>
              </w:rPr>
              <w:t>White</w:t>
            </w:r>
          </w:p>
          <w:p w14:paraId="122225F5" w14:textId="77777777" w:rsidR="00204B98" w:rsidRPr="00CF0099" w:rsidRDefault="00204B98" w:rsidP="005615F2">
            <w:pPr>
              <w:ind w:left="171"/>
              <w:rPr>
                <w:rFonts w:ascii="Arial" w:hAnsi="Arial" w:cs="Arial"/>
              </w:rPr>
            </w:pPr>
            <w:r w:rsidRPr="00CF0099">
              <w:rPr>
                <w:rFonts w:ascii="Arial" w:hAnsi="Arial" w:cs="Arial"/>
              </w:rPr>
              <w:t>Asian</w:t>
            </w:r>
          </w:p>
          <w:p w14:paraId="4316DA6E" w14:textId="77777777" w:rsidR="00204B98" w:rsidRPr="00CF0099" w:rsidRDefault="00204B98" w:rsidP="005615F2">
            <w:pPr>
              <w:ind w:left="171"/>
              <w:rPr>
                <w:rFonts w:ascii="Arial" w:hAnsi="Arial" w:cs="Arial"/>
              </w:rPr>
            </w:pPr>
            <w:r w:rsidRPr="00CF0099">
              <w:rPr>
                <w:rFonts w:ascii="Arial" w:hAnsi="Arial" w:cs="Arial"/>
              </w:rPr>
              <w:t>Black African or Black Caribbean</w:t>
            </w:r>
          </w:p>
          <w:p w14:paraId="5EC6912A" w14:textId="77777777" w:rsidR="00204B98" w:rsidRPr="00CF0099" w:rsidRDefault="00204B98" w:rsidP="005615F2">
            <w:pPr>
              <w:ind w:left="171"/>
              <w:rPr>
                <w:rFonts w:ascii="Arial" w:hAnsi="Arial" w:cs="Arial"/>
              </w:rPr>
            </w:pPr>
            <w:r>
              <w:rPr>
                <w:rFonts w:ascii="Arial" w:hAnsi="Arial" w:cs="Arial"/>
              </w:rPr>
              <w:t>Other</w:t>
            </w:r>
          </w:p>
        </w:tc>
        <w:tc>
          <w:tcPr>
            <w:tcW w:w="2329" w:type="dxa"/>
          </w:tcPr>
          <w:p w14:paraId="02BBE4FC" w14:textId="77777777" w:rsidR="00204B98" w:rsidRPr="00E92EE4" w:rsidRDefault="00204B98" w:rsidP="005615F2">
            <w:pPr>
              <w:rPr>
                <w:rFonts w:ascii="Arial" w:hAnsi="Arial" w:cs="Arial"/>
              </w:rPr>
            </w:pPr>
          </w:p>
          <w:p w14:paraId="7D4C3A29" w14:textId="77777777" w:rsidR="00204B98" w:rsidRPr="00E92EE4" w:rsidRDefault="00204B98" w:rsidP="005615F2">
            <w:pPr>
              <w:rPr>
                <w:rFonts w:ascii="Arial" w:hAnsi="Arial" w:cs="Arial"/>
              </w:rPr>
            </w:pPr>
            <w:r w:rsidRPr="00E92EE4">
              <w:rPr>
                <w:rFonts w:ascii="Arial" w:hAnsi="Arial" w:cs="Arial"/>
              </w:rPr>
              <w:t>28,239</w:t>
            </w:r>
          </w:p>
          <w:p w14:paraId="706033F3" w14:textId="77777777" w:rsidR="00204B98" w:rsidRPr="00E92EE4" w:rsidRDefault="00204B98" w:rsidP="005615F2">
            <w:pPr>
              <w:rPr>
                <w:rFonts w:ascii="Arial" w:hAnsi="Arial" w:cs="Arial"/>
              </w:rPr>
            </w:pPr>
            <w:r w:rsidRPr="00E92EE4">
              <w:rPr>
                <w:rFonts w:ascii="Arial" w:hAnsi="Arial" w:cs="Arial"/>
              </w:rPr>
              <w:t>6,872</w:t>
            </w:r>
          </w:p>
          <w:p w14:paraId="35B5E831" w14:textId="77777777" w:rsidR="00204B98" w:rsidRPr="00E92EE4" w:rsidRDefault="00204B98" w:rsidP="005615F2">
            <w:pPr>
              <w:rPr>
                <w:rFonts w:ascii="Arial" w:hAnsi="Arial" w:cs="Arial"/>
              </w:rPr>
            </w:pPr>
            <w:r w:rsidRPr="00E92EE4">
              <w:rPr>
                <w:rFonts w:ascii="Arial" w:hAnsi="Arial" w:cs="Arial"/>
              </w:rPr>
              <w:t>8,797</w:t>
            </w:r>
          </w:p>
          <w:p w14:paraId="1E995D78" w14:textId="77777777" w:rsidR="00204B98" w:rsidRPr="00E92EE4" w:rsidRDefault="00204B98" w:rsidP="005615F2">
            <w:pPr>
              <w:rPr>
                <w:rFonts w:ascii="Arial" w:hAnsi="Arial" w:cs="Arial"/>
              </w:rPr>
            </w:pPr>
            <w:r w:rsidRPr="00E92EE4">
              <w:rPr>
                <w:rFonts w:ascii="Arial" w:hAnsi="Arial" w:cs="Arial"/>
              </w:rPr>
              <w:t>28,371</w:t>
            </w:r>
          </w:p>
        </w:tc>
        <w:tc>
          <w:tcPr>
            <w:tcW w:w="3006" w:type="dxa"/>
          </w:tcPr>
          <w:p w14:paraId="7CA38AE0" w14:textId="77777777" w:rsidR="00204B98" w:rsidRPr="00E92EE4" w:rsidRDefault="00204B98" w:rsidP="005615F2">
            <w:pPr>
              <w:rPr>
                <w:rFonts w:ascii="Arial" w:hAnsi="Arial" w:cs="Arial"/>
              </w:rPr>
            </w:pPr>
          </w:p>
          <w:p w14:paraId="29139BC0" w14:textId="77777777" w:rsidR="00204B98" w:rsidRPr="00E92EE4" w:rsidRDefault="00204B98" w:rsidP="005615F2">
            <w:pPr>
              <w:rPr>
                <w:rFonts w:ascii="Arial" w:hAnsi="Arial" w:cs="Arial"/>
              </w:rPr>
            </w:pPr>
            <w:r w:rsidRPr="00E92EE4">
              <w:rPr>
                <w:rFonts w:ascii="Arial" w:hAnsi="Arial" w:cs="Arial"/>
              </w:rPr>
              <w:t>39.1</w:t>
            </w:r>
          </w:p>
          <w:p w14:paraId="704AEFA3" w14:textId="77777777" w:rsidR="00204B98" w:rsidRPr="00E92EE4" w:rsidRDefault="00204B98" w:rsidP="005615F2">
            <w:pPr>
              <w:rPr>
                <w:rFonts w:ascii="Arial" w:hAnsi="Arial" w:cs="Arial"/>
              </w:rPr>
            </w:pPr>
            <w:r w:rsidRPr="00E92EE4">
              <w:rPr>
                <w:rFonts w:ascii="Arial" w:hAnsi="Arial" w:cs="Arial"/>
              </w:rPr>
              <w:t>9.5</w:t>
            </w:r>
          </w:p>
          <w:p w14:paraId="05D826B8" w14:textId="77777777" w:rsidR="00204B98" w:rsidRPr="00E92EE4" w:rsidRDefault="00204B98" w:rsidP="005615F2">
            <w:pPr>
              <w:rPr>
                <w:rFonts w:ascii="Arial" w:hAnsi="Arial" w:cs="Arial"/>
              </w:rPr>
            </w:pPr>
            <w:r w:rsidRPr="00E92EE4">
              <w:rPr>
                <w:rFonts w:ascii="Arial" w:hAnsi="Arial" w:cs="Arial"/>
              </w:rPr>
              <w:t>12.2</w:t>
            </w:r>
          </w:p>
          <w:p w14:paraId="505226E7" w14:textId="77777777" w:rsidR="00204B98" w:rsidRPr="00E92EE4" w:rsidRDefault="00204B98" w:rsidP="005615F2">
            <w:pPr>
              <w:rPr>
                <w:rFonts w:ascii="Arial" w:hAnsi="Arial" w:cs="Arial"/>
              </w:rPr>
            </w:pPr>
            <w:r w:rsidRPr="00E92EE4">
              <w:rPr>
                <w:rFonts w:ascii="Arial" w:hAnsi="Arial" w:cs="Arial"/>
              </w:rPr>
              <w:t>39.3</w:t>
            </w:r>
          </w:p>
        </w:tc>
      </w:tr>
      <w:tr w:rsidR="00204B98" w14:paraId="6D9A65AE" w14:textId="77777777" w:rsidTr="005615F2">
        <w:tc>
          <w:tcPr>
            <w:tcW w:w="3681" w:type="dxa"/>
          </w:tcPr>
          <w:p w14:paraId="16ABA025" w14:textId="77777777" w:rsidR="00204B98" w:rsidRPr="00CF0099" w:rsidRDefault="00204B98" w:rsidP="005615F2">
            <w:pPr>
              <w:rPr>
                <w:rFonts w:ascii="Arial" w:hAnsi="Arial" w:cs="Arial"/>
              </w:rPr>
            </w:pPr>
            <w:r w:rsidRPr="00CF0099">
              <w:rPr>
                <w:rFonts w:ascii="Arial" w:hAnsi="Arial" w:cs="Arial"/>
              </w:rPr>
              <w:t>Gender</w:t>
            </w:r>
          </w:p>
          <w:p w14:paraId="512B6390" w14:textId="77777777" w:rsidR="00204B98" w:rsidRPr="00CF0099" w:rsidRDefault="00204B98" w:rsidP="005615F2">
            <w:pPr>
              <w:ind w:left="171"/>
              <w:rPr>
                <w:rFonts w:ascii="Arial" w:hAnsi="Arial" w:cs="Arial"/>
              </w:rPr>
            </w:pPr>
            <w:r w:rsidRPr="00CF0099">
              <w:rPr>
                <w:rFonts w:ascii="Arial" w:hAnsi="Arial" w:cs="Arial"/>
              </w:rPr>
              <w:t>Male</w:t>
            </w:r>
          </w:p>
          <w:p w14:paraId="08976707" w14:textId="77777777" w:rsidR="00204B98" w:rsidRDefault="00204B98" w:rsidP="005615F2">
            <w:pPr>
              <w:ind w:left="171"/>
            </w:pPr>
            <w:r w:rsidRPr="00CF0099">
              <w:rPr>
                <w:rFonts w:ascii="Arial" w:hAnsi="Arial" w:cs="Arial"/>
              </w:rPr>
              <w:t>Female</w:t>
            </w:r>
          </w:p>
        </w:tc>
        <w:tc>
          <w:tcPr>
            <w:tcW w:w="2329" w:type="dxa"/>
          </w:tcPr>
          <w:p w14:paraId="3358379C" w14:textId="77777777" w:rsidR="00204B98" w:rsidRPr="00E92EE4" w:rsidRDefault="00204B98" w:rsidP="005615F2">
            <w:pPr>
              <w:rPr>
                <w:rFonts w:ascii="Arial" w:hAnsi="Arial" w:cs="Arial"/>
              </w:rPr>
            </w:pPr>
          </w:p>
          <w:p w14:paraId="5A5A1AC3" w14:textId="77777777" w:rsidR="00204B98" w:rsidRPr="00E92EE4" w:rsidRDefault="00204B98" w:rsidP="005615F2">
            <w:pPr>
              <w:rPr>
                <w:rFonts w:ascii="Arial" w:hAnsi="Arial" w:cs="Arial"/>
              </w:rPr>
            </w:pPr>
            <w:r w:rsidRPr="00E92EE4">
              <w:rPr>
                <w:rFonts w:ascii="Arial" w:hAnsi="Arial" w:cs="Arial"/>
              </w:rPr>
              <w:t>36,454</w:t>
            </w:r>
          </w:p>
          <w:p w14:paraId="4DC1826E" w14:textId="77777777" w:rsidR="00204B98" w:rsidRPr="00E92EE4" w:rsidRDefault="00204B98" w:rsidP="005615F2">
            <w:pPr>
              <w:rPr>
                <w:rFonts w:ascii="Arial" w:hAnsi="Arial" w:cs="Arial"/>
              </w:rPr>
            </w:pPr>
            <w:r w:rsidRPr="00E92EE4">
              <w:rPr>
                <w:rFonts w:ascii="Arial" w:hAnsi="Arial" w:cs="Arial"/>
              </w:rPr>
              <w:t>35,825</w:t>
            </w:r>
          </w:p>
        </w:tc>
        <w:tc>
          <w:tcPr>
            <w:tcW w:w="3006" w:type="dxa"/>
          </w:tcPr>
          <w:p w14:paraId="13B59CC4" w14:textId="77777777" w:rsidR="00204B98" w:rsidRPr="00E92EE4" w:rsidRDefault="00204B98" w:rsidP="005615F2">
            <w:pPr>
              <w:rPr>
                <w:rFonts w:ascii="Arial" w:hAnsi="Arial" w:cs="Arial"/>
              </w:rPr>
            </w:pPr>
          </w:p>
          <w:p w14:paraId="394BC6C6" w14:textId="77777777" w:rsidR="00204B98" w:rsidRPr="00E92EE4" w:rsidRDefault="00204B98" w:rsidP="005615F2">
            <w:pPr>
              <w:rPr>
                <w:rFonts w:ascii="Arial" w:hAnsi="Arial" w:cs="Arial"/>
              </w:rPr>
            </w:pPr>
            <w:r w:rsidRPr="00E92EE4">
              <w:rPr>
                <w:rFonts w:ascii="Arial" w:hAnsi="Arial" w:cs="Arial"/>
              </w:rPr>
              <w:t>50.4</w:t>
            </w:r>
          </w:p>
          <w:p w14:paraId="2B155CEB" w14:textId="77777777" w:rsidR="00204B98" w:rsidRPr="00E92EE4" w:rsidRDefault="00204B98" w:rsidP="005615F2">
            <w:pPr>
              <w:rPr>
                <w:rFonts w:ascii="Arial" w:hAnsi="Arial" w:cs="Arial"/>
              </w:rPr>
            </w:pPr>
            <w:r w:rsidRPr="00E92EE4">
              <w:rPr>
                <w:rFonts w:ascii="Arial" w:hAnsi="Arial" w:cs="Arial"/>
              </w:rPr>
              <w:t>49.6</w:t>
            </w:r>
          </w:p>
        </w:tc>
      </w:tr>
      <w:tr w:rsidR="00204B98" w14:paraId="5662345A" w14:textId="77777777" w:rsidTr="005615F2">
        <w:tc>
          <w:tcPr>
            <w:tcW w:w="3681" w:type="dxa"/>
          </w:tcPr>
          <w:p w14:paraId="573BBAE5" w14:textId="77777777" w:rsidR="00204B98" w:rsidRPr="00E92EE4" w:rsidRDefault="00204B98" w:rsidP="005615F2">
            <w:pPr>
              <w:rPr>
                <w:rFonts w:ascii="Arial" w:hAnsi="Arial" w:cs="Arial"/>
              </w:rPr>
            </w:pPr>
            <w:r w:rsidRPr="00E92EE4">
              <w:rPr>
                <w:rFonts w:ascii="Arial" w:hAnsi="Arial" w:cs="Arial"/>
              </w:rPr>
              <w:t>GP registration</w:t>
            </w:r>
          </w:p>
          <w:p w14:paraId="297DD89B" w14:textId="77777777" w:rsidR="00204B98" w:rsidRPr="00E92EE4" w:rsidRDefault="00204B98" w:rsidP="005615F2">
            <w:pPr>
              <w:ind w:left="171"/>
              <w:rPr>
                <w:rFonts w:ascii="Arial" w:hAnsi="Arial" w:cs="Arial"/>
              </w:rPr>
            </w:pPr>
            <w:r w:rsidRPr="00AE76A9">
              <w:rPr>
                <w:rFonts w:ascii="Arial" w:hAnsi="Arial" w:cs="Arial"/>
              </w:rPr>
              <w:t>Y</w:t>
            </w:r>
            <w:r w:rsidRPr="00E92EE4">
              <w:rPr>
                <w:rFonts w:ascii="Arial" w:hAnsi="Arial" w:cs="Arial"/>
              </w:rPr>
              <w:t>es</w:t>
            </w:r>
          </w:p>
          <w:p w14:paraId="5BEB7DFC" w14:textId="77777777" w:rsidR="00204B98" w:rsidRDefault="00204B98" w:rsidP="005615F2">
            <w:pPr>
              <w:ind w:left="171"/>
            </w:pPr>
            <w:r w:rsidRPr="00E92EE4">
              <w:rPr>
                <w:rFonts w:ascii="Arial" w:hAnsi="Arial" w:cs="Arial"/>
              </w:rPr>
              <w:t>No</w:t>
            </w:r>
          </w:p>
        </w:tc>
        <w:tc>
          <w:tcPr>
            <w:tcW w:w="2329" w:type="dxa"/>
          </w:tcPr>
          <w:p w14:paraId="744D17EB" w14:textId="77777777" w:rsidR="00204B98" w:rsidRPr="00E92EE4" w:rsidRDefault="00204B98" w:rsidP="005615F2">
            <w:pPr>
              <w:rPr>
                <w:rFonts w:ascii="Arial" w:hAnsi="Arial" w:cs="Arial"/>
              </w:rPr>
            </w:pPr>
          </w:p>
          <w:p w14:paraId="4C9B7760" w14:textId="77777777" w:rsidR="00204B98" w:rsidRPr="00E92EE4" w:rsidRDefault="00204B98" w:rsidP="005615F2">
            <w:pPr>
              <w:rPr>
                <w:rFonts w:ascii="Arial" w:hAnsi="Arial" w:cs="Arial"/>
              </w:rPr>
            </w:pPr>
            <w:r w:rsidRPr="00E92EE4">
              <w:rPr>
                <w:rFonts w:ascii="Arial" w:hAnsi="Arial" w:cs="Arial"/>
              </w:rPr>
              <w:t>56,874</w:t>
            </w:r>
          </w:p>
          <w:p w14:paraId="033F7206" w14:textId="77777777" w:rsidR="00204B98" w:rsidRPr="00E92EE4" w:rsidRDefault="00204B98" w:rsidP="005615F2">
            <w:pPr>
              <w:rPr>
                <w:rFonts w:ascii="Arial" w:hAnsi="Arial" w:cs="Arial"/>
              </w:rPr>
            </w:pPr>
            <w:r w:rsidRPr="00E92EE4">
              <w:rPr>
                <w:rFonts w:ascii="Arial" w:hAnsi="Arial" w:cs="Arial"/>
              </w:rPr>
              <w:t>15,405</w:t>
            </w:r>
          </w:p>
        </w:tc>
        <w:tc>
          <w:tcPr>
            <w:tcW w:w="3006" w:type="dxa"/>
          </w:tcPr>
          <w:p w14:paraId="340602FB" w14:textId="77777777" w:rsidR="00204B98" w:rsidRPr="00E92EE4" w:rsidRDefault="00204B98" w:rsidP="005615F2">
            <w:pPr>
              <w:rPr>
                <w:rFonts w:ascii="Arial" w:hAnsi="Arial" w:cs="Arial"/>
              </w:rPr>
            </w:pPr>
          </w:p>
          <w:p w14:paraId="65AD36DE" w14:textId="77777777" w:rsidR="00204B98" w:rsidRPr="00E92EE4" w:rsidRDefault="00204B98" w:rsidP="005615F2">
            <w:pPr>
              <w:rPr>
                <w:rFonts w:ascii="Arial" w:hAnsi="Arial" w:cs="Arial"/>
              </w:rPr>
            </w:pPr>
            <w:r w:rsidRPr="00E92EE4">
              <w:rPr>
                <w:rFonts w:ascii="Arial" w:hAnsi="Arial" w:cs="Arial"/>
              </w:rPr>
              <w:t>78.7</w:t>
            </w:r>
          </w:p>
          <w:p w14:paraId="411ED1C4" w14:textId="77777777" w:rsidR="00204B98" w:rsidRPr="00E92EE4" w:rsidRDefault="00204B98" w:rsidP="005615F2">
            <w:pPr>
              <w:rPr>
                <w:rFonts w:ascii="Arial" w:hAnsi="Arial" w:cs="Arial"/>
              </w:rPr>
            </w:pPr>
            <w:r w:rsidRPr="00E92EE4">
              <w:rPr>
                <w:rFonts w:ascii="Arial" w:hAnsi="Arial" w:cs="Arial"/>
              </w:rPr>
              <w:t>21.3</w:t>
            </w:r>
          </w:p>
        </w:tc>
      </w:tr>
    </w:tbl>
    <w:p w14:paraId="107F4CF8" w14:textId="77777777" w:rsidR="00204B98" w:rsidRDefault="00204B98" w:rsidP="005615F2">
      <w:pPr>
        <w:pStyle w:val="Caption"/>
        <w:keepNext/>
        <w:rPr>
          <w:rFonts w:ascii="Arial" w:hAnsi="Arial" w:cs="Arial"/>
          <w:sz w:val="22"/>
          <w:szCs w:val="22"/>
        </w:rPr>
      </w:pPr>
    </w:p>
    <w:p w14:paraId="7EB88BA0" w14:textId="77777777" w:rsidR="00204B98" w:rsidRPr="00CF0099" w:rsidRDefault="00204B98" w:rsidP="005615F2">
      <w:pPr>
        <w:spacing w:line="480" w:lineRule="auto"/>
        <w:jc w:val="both"/>
        <w:rPr>
          <w:rFonts w:ascii="Arial" w:hAnsi="Arial" w:cs="Arial"/>
          <w:i/>
        </w:rPr>
      </w:pPr>
      <w:r w:rsidRPr="00CF0099">
        <w:rPr>
          <w:rFonts w:ascii="Arial" w:hAnsi="Arial" w:cs="Arial"/>
          <w:i/>
        </w:rPr>
        <w:t>Screening participants</w:t>
      </w:r>
    </w:p>
    <w:p w14:paraId="08D1688C" w14:textId="537556F1" w:rsidR="00204B98" w:rsidRPr="00CF0099" w:rsidRDefault="00204B98" w:rsidP="005615F2">
      <w:pPr>
        <w:spacing w:line="480" w:lineRule="auto"/>
        <w:jc w:val="both"/>
        <w:rPr>
          <w:rFonts w:ascii="Arial" w:hAnsi="Arial" w:cs="Arial"/>
          <w:i/>
        </w:rPr>
      </w:pPr>
      <w:r w:rsidRPr="00CF0099">
        <w:rPr>
          <w:rFonts w:ascii="Arial" w:hAnsi="Arial" w:cs="Arial"/>
        </w:rPr>
        <w:t xml:space="preserve">96 migrants from 43 </w:t>
      </w:r>
      <w:r>
        <w:rPr>
          <w:rFonts w:ascii="Arial" w:hAnsi="Arial" w:cs="Arial"/>
        </w:rPr>
        <w:t xml:space="preserve">different </w:t>
      </w:r>
      <w:r w:rsidRPr="00CF0099">
        <w:rPr>
          <w:rFonts w:ascii="Arial" w:hAnsi="Arial" w:cs="Arial"/>
        </w:rPr>
        <w:t>countries were screened</w:t>
      </w:r>
      <w:r>
        <w:rPr>
          <w:rFonts w:ascii="Arial" w:hAnsi="Arial" w:cs="Arial"/>
        </w:rPr>
        <w:t xml:space="preserve"> </w:t>
      </w:r>
      <w:r w:rsidRPr="00CF0099">
        <w:rPr>
          <w:rFonts w:ascii="Arial" w:hAnsi="Arial" w:cs="Arial"/>
        </w:rPr>
        <w:t>(</w:t>
      </w:r>
      <w:r>
        <w:rPr>
          <w:rFonts w:ascii="Arial" w:hAnsi="Arial" w:cs="Arial"/>
        </w:rPr>
        <w:t>Table 2, 3</w:t>
      </w:r>
      <w:r w:rsidRPr="00CF0099">
        <w:rPr>
          <w:rFonts w:ascii="Arial" w:hAnsi="Arial" w:cs="Arial"/>
        </w:rPr>
        <w:t>), including economic migrants</w:t>
      </w:r>
      <w:r>
        <w:rPr>
          <w:rFonts w:ascii="Arial" w:hAnsi="Arial" w:cs="Arial"/>
        </w:rPr>
        <w:t xml:space="preserve"> (migrating for work or study)</w:t>
      </w:r>
      <w:r w:rsidRPr="00CF0099">
        <w:rPr>
          <w:rFonts w:ascii="Arial" w:hAnsi="Arial" w:cs="Arial"/>
        </w:rPr>
        <w:t xml:space="preserve"> (n=57), asylum seekers/refugees</w:t>
      </w:r>
      <w:r>
        <w:rPr>
          <w:rFonts w:ascii="Arial" w:hAnsi="Arial" w:cs="Arial"/>
        </w:rPr>
        <w:t xml:space="preserve"> (fleeing conflict or persecution and seeking asylum in the UK)</w:t>
      </w:r>
      <w:r w:rsidRPr="00CF0099">
        <w:rPr>
          <w:rFonts w:ascii="Arial" w:hAnsi="Arial" w:cs="Arial"/>
        </w:rPr>
        <w:t xml:space="preserve"> (n=13), family reunion migrants</w:t>
      </w:r>
      <w:r>
        <w:rPr>
          <w:rFonts w:ascii="Arial" w:hAnsi="Arial" w:cs="Arial"/>
        </w:rPr>
        <w:t xml:space="preserve"> (joining family living in the UK)</w:t>
      </w:r>
      <w:r w:rsidRPr="00CF0099">
        <w:rPr>
          <w:rFonts w:ascii="Arial" w:hAnsi="Arial" w:cs="Arial"/>
        </w:rPr>
        <w:t xml:space="preserve"> (n=20), undocumented migrants </w:t>
      </w:r>
      <w:r>
        <w:rPr>
          <w:rFonts w:ascii="Arial" w:hAnsi="Arial" w:cs="Arial"/>
        </w:rPr>
        <w:t xml:space="preserve">(without necessary authorisation or documents) </w:t>
      </w:r>
      <w:r w:rsidRPr="00CF0099">
        <w:rPr>
          <w:rFonts w:ascii="Arial" w:hAnsi="Arial" w:cs="Arial"/>
        </w:rPr>
        <w:t xml:space="preserve">(n=4), and those who migrated for medical reasons (n=2).  The mean number of </w:t>
      </w:r>
      <w:r w:rsidRPr="00CF0099">
        <w:rPr>
          <w:rFonts w:ascii="Arial" w:hAnsi="Arial" w:cs="Arial"/>
        </w:rPr>
        <w:lastRenderedPageBreak/>
        <w:t>years in the UK was 4.8</w:t>
      </w:r>
      <w:r>
        <w:rPr>
          <w:rFonts w:ascii="Arial" w:hAnsi="Arial" w:cs="Arial"/>
        </w:rPr>
        <w:t xml:space="preserve"> years</w:t>
      </w:r>
      <w:r w:rsidRPr="00CF0099">
        <w:rPr>
          <w:rFonts w:ascii="Arial" w:hAnsi="Arial" w:cs="Arial"/>
        </w:rPr>
        <w:t xml:space="preserve"> (</w:t>
      </w:r>
      <w:r>
        <w:rPr>
          <w:rFonts w:ascii="Arial" w:hAnsi="Arial" w:cs="Arial"/>
        </w:rPr>
        <w:t>SD</w:t>
      </w:r>
      <w:r w:rsidRPr="00CF0099">
        <w:rPr>
          <w:rFonts w:ascii="Arial" w:hAnsi="Arial" w:cs="Arial"/>
        </w:rPr>
        <w:t xml:space="preserve"> 3.2</w:t>
      </w:r>
      <w:r>
        <w:rPr>
          <w:rFonts w:ascii="Arial" w:hAnsi="Arial" w:cs="Arial"/>
        </w:rPr>
        <w:t>), ranging from 0 to 10 years, in line with the inclusion criteria</w:t>
      </w:r>
      <w:r w:rsidRPr="00CF0099">
        <w:rPr>
          <w:rFonts w:ascii="Arial" w:hAnsi="Arial" w:cs="Arial"/>
        </w:rPr>
        <w:t xml:space="preserve">. </w:t>
      </w:r>
      <w:r>
        <w:rPr>
          <w:rFonts w:ascii="Arial" w:hAnsi="Arial" w:cs="Arial"/>
        </w:rPr>
        <w:t xml:space="preserve">46 participants (47.9%) were women.  The mean age was 35.2 years (SD 11.7).  54 participants (76.2%) were of non-white ethnicity. 53 (55.2%) reported being married, 45 (45.8%) had university level education, and 59 (61.5%) were employed. 60 (63.8%) participants had a household income of less than £1592 per month.  </w:t>
      </w:r>
    </w:p>
    <w:p w14:paraId="64A47A3B" w14:textId="77777777" w:rsidR="00204B98" w:rsidRPr="00E65D00" w:rsidRDefault="00204B98" w:rsidP="005615F2">
      <w:pPr>
        <w:pStyle w:val="Caption"/>
        <w:keepNext/>
        <w:rPr>
          <w:rFonts w:ascii="Arial" w:hAnsi="Arial" w:cs="Arial"/>
          <w:sz w:val="22"/>
          <w:szCs w:val="22"/>
        </w:rPr>
      </w:pPr>
      <w:r w:rsidRPr="00E65D00">
        <w:rPr>
          <w:rFonts w:ascii="Arial" w:hAnsi="Arial" w:cs="Arial"/>
          <w:sz w:val="22"/>
          <w:szCs w:val="22"/>
        </w:rPr>
        <w:t xml:space="preserve">Table </w:t>
      </w:r>
      <w:r>
        <w:rPr>
          <w:rFonts w:ascii="Arial" w:hAnsi="Arial" w:cs="Arial"/>
          <w:sz w:val="22"/>
          <w:szCs w:val="22"/>
        </w:rPr>
        <w:t>2</w:t>
      </w:r>
      <w:r w:rsidRPr="00E65D00">
        <w:rPr>
          <w:rFonts w:ascii="Arial" w:hAnsi="Arial" w:cs="Arial"/>
          <w:sz w:val="22"/>
          <w:szCs w:val="22"/>
        </w:rPr>
        <w:t xml:space="preserve"> Migration characteristics</w:t>
      </w:r>
    </w:p>
    <w:tbl>
      <w:tblPr>
        <w:tblStyle w:val="TableGrid"/>
        <w:tblW w:w="0" w:type="auto"/>
        <w:tblLook w:val="04A0" w:firstRow="1" w:lastRow="0" w:firstColumn="1" w:lastColumn="0" w:noHBand="0" w:noVBand="1"/>
      </w:tblPr>
      <w:tblGrid>
        <w:gridCol w:w="6369"/>
        <w:gridCol w:w="851"/>
        <w:gridCol w:w="1790"/>
      </w:tblGrid>
      <w:tr w:rsidR="00204B98" w:rsidRPr="00CF0099" w14:paraId="54A14418" w14:textId="77777777" w:rsidTr="005615F2">
        <w:tc>
          <w:tcPr>
            <w:tcW w:w="6374" w:type="dxa"/>
          </w:tcPr>
          <w:p w14:paraId="14F20C31" w14:textId="77777777" w:rsidR="00204B98" w:rsidRPr="00CF0099" w:rsidRDefault="00204B98" w:rsidP="005615F2">
            <w:pPr>
              <w:rPr>
                <w:rFonts w:ascii="Arial" w:hAnsi="Arial" w:cs="Arial"/>
                <w:b/>
              </w:rPr>
            </w:pPr>
            <w:r>
              <w:rPr>
                <w:rFonts w:ascii="Arial" w:hAnsi="Arial" w:cs="Arial"/>
                <w:b/>
              </w:rPr>
              <w:t>Migration characteristics</w:t>
            </w:r>
          </w:p>
        </w:tc>
        <w:tc>
          <w:tcPr>
            <w:tcW w:w="851" w:type="dxa"/>
          </w:tcPr>
          <w:p w14:paraId="24CA76B7" w14:textId="77777777" w:rsidR="00204B98" w:rsidRPr="00CF0099" w:rsidRDefault="00204B98" w:rsidP="005615F2">
            <w:pPr>
              <w:rPr>
                <w:rFonts w:ascii="Arial" w:hAnsi="Arial" w:cs="Arial"/>
              </w:rPr>
            </w:pPr>
            <w:r w:rsidRPr="00CF0099">
              <w:rPr>
                <w:rFonts w:ascii="Arial" w:hAnsi="Arial" w:cs="Arial"/>
              </w:rPr>
              <w:t>n</w:t>
            </w:r>
          </w:p>
        </w:tc>
        <w:tc>
          <w:tcPr>
            <w:tcW w:w="1791" w:type="dxa"/>
          </w:tcPr>
          <w:p w14:paraId="063905D4" w14:textId="77777777" w:rsidR="00204B98" w:rsidRPr="00CF0099" w:rsidRDefault="00204B98" w:rsidP="005615F2">
            <w:pPr>
              <w:rPr>
                <w:rFonts w:ascii="Arial" w:hAnsi="Arial" w:cs="Arial"/>
              </w:rPr>
            </w:pPr>
            <w:r w:rsidRPr="00CF0099">
              <w:rPr>
                <w:rFonts w:ascii="Arial" w:hAnsi="Arial" w:cs="Arial"/>
              </w:rPr>
              <w:t>% (</w:t>
            </w:r>
            <w:r>
              <w:rPr>
                <w:rFonts w:ascii="Arial" w:hAnsi="Arial" w:cs="Arial"/>
              </w:rPr>
              <w:t>M</w:t>
            </w:r>
            <w:r w:rsidRPr="00CF0099">
              <w:rPr>
                <w:rFonts w:ascii="Arial" w:hAnsi="Arial" w:cs="Arial"/>
              </w:rPr>
              <w:t>ean</w:t>
            </w:r>
            <w:r>
              <w:rPr>
                <w:rFonts w:ascii="Arial" w:hAnsi="Arial" w:cs="Arial"/>
              </w:rPr>
              <w:t xml:space="preserve"> [SD]</w:t>
            </w:r>
            <w:r w:rsidRPr="00CF0099">
              <w:rPr>
                <w:rFonts w:ascii="Arial" w:hAnsi="Arial" w:cs="Arial"/>
              </w:rPr>
              <w:t>)</w:t>
            </w:r>
          </w:p>
        </w:tc>
      </w:tr>
      <w:tr w:rsidR="00204B98" w:rsidRPr="00CF0099" w14:paraId="41B9B8DE" w14:textId="77777777" w:rsidTr="005615F2">
        <w:tc>
          <w:tcPr>
            <w:tcW w:w="6374" w:type="dxa"/>
          </w:tcPr>
          <w:p w14:paraId="49BE41C2" w14:textId="77777777" w:rsidR="00204B98" w:rsidRPr="00CF0099" w:rsidRDefault="00204B98" w:rsidP="005615F2">
            <w:pPr>
              <w:rPr>
                <w:rFonts w:ascii="Arial" w:hAnsi="Arial" w:cs="Arial"/>
              </w:rPr>
            </w:pPr>
            <w:r w:rsidRPr="00CF0099">
              <w:rPr>
                <w:rFonts w:ascii="Arial" w:hAnsi="Arial" w:cs="Arial"/>
              </w:rPr>
              <w:t>Reason for migration</w:t>
            </w:r>
          </w:p>
          <w:p w14:paraId="22ED7EAE" w14:textId="77777777" w:rsidR="00204B98" w:rsidRPr="00CF0099" w:rsidRDefault="00204B98" w:rsidP="005615F2">
            <w:pPr>
              <w:ind w:left="171"/>
              <w:rPr>
                <w:rFonts w:ascii="Arial" w:hAnsi="Arial" w:cs="Arial"/>
              </w:rPr>
            </w:pPr>
            <w:r w:rsidRPr="00CF0099">
              <w:rPr>
                <w:rFonts w:ascii="Arial" w:hAnsi="Arial" w:cs="Arial"/>
              </w:rPr>
              <w:t xml:space="preserve">Economic </w:t>
            </w:r>
          </w:p>
          <w:p w14:paraId="0C218C77" w14:textId="77777777" w:rsidR="00204B98" w:rsidRPr="00CF0099" w:rsidRDefault="00204B98" w:rsidP="005615F2">
            <w:pPr>
              <w:ind w:left="171"/>
              <w:rPr>
                <w:rFonts w:ascii="Arial" w:hAnsi="Arial" w:cs="Arial"/>
              </w:rPr>
            </w:pPr>
            <w:r w:rsidRPr="00CF0099">
              <w:rPr>
                <w:rFonts w:ascii="Arial" w:hAnsi="Arial" w:cs="Arial"/>
              </w:rPr>
              <w:t xml:space="preserve">Asylum </w:t>
            </w:r>
          </w:p>
          <w:p w14:paraId="7E166DFE" w14:textId="77777777" w:rsidR="00204B98" w:rsidRPr="00CF0099" w:rsidRDefault="00204B98" w:rsidP="005615F2">
            <w:pPr>
              <w:ind w:left="171"/>
              <w:rPr>
                <w:rFonts w:ascii="Arial" w:hAnsi="Arial" w:cs="Arial"/>
              </w:rPr>
            </w:pPr>
            <w:r w:rsidRPr="00CF0099">
              <w:rPr>
                <w:rFonts w:ascii="Arial" w:hAnsi="Arial" w:cs="Arial"/>
              </w:rPr>
              <w:t>Family reunion</w:t>
            </w:r>
          </w:p>
          <w:p w14:paraId="3D86B564" w14:textId="77777777" w:rsidR="00204B98" w:rsidRPr="00CF0099" w:rsidRDefault="00204B98" w:rsidP="005615F2">
            <w:pPr>
              <w:ind w:left="171"/>
              <w:rPr>
                <w:rFonts w:ascii="Arial" w:hAnsi="Arial" w:cs="Arial"/>
              </w:rPr>
            </w:pPr>
            <w:r w:rsidRPr="00CF0099">
              <w:rPr>
                <w:rFonts w:ascii="Arial" w:hAnsi="Arial" w:cs="Arial"/>
              </w:rPr>
              <w:t>Undocumented</w:t>
            </w:r>
          </w:p>
          <w:p w14:paraId="73E98A94" w14:textId="77777777" w:rsidR="00204B98" w:rsidRPr="00CF0099" w:rsidRDefault="00204B98" w:rsidP="005615F2">
            <w:pPr>
              <w:ind w:left="171"/>
              <w:rPr>
                <w:rFonts w:ascii="Arial" w:hAnsi="Arial" w:cs="Arial"/>
              </w:rPr>
            </w:pPr>
            <w:r w:rsidRPr="00CF0099">
              <w:rPr>
                <w:rFonts w:ascii="Arial" w:hAnsi="Arial" w:cs="Arial"/>
              </w:rPr>
              <w:t>Medical reasons</w:t>
            </w:r>
          </w:p>
        </w:tc>
        <w:tc>
          <w:tcPr>
            <w:tcW w:w="851" w:type="dxa"/>
          </w:tcPr>
          <w:p w14:paraId="61763405" w14:textId="77777777" w:rsidR="00204B98" w:rsidRPr="00CF0099" w:rsidRDefault="00204B98" w:rsidP="005615F2">
            <w:pPr>
              <w:rPr>
                <w:rFonts w:ascii="Arial" w:hAnsi="Arial" w:cs="Arial"/>
              </w:rPr>
            </w:pPr>
          </w:p>
          <w:p w14:paraId="0EB67F28" w14:textId="77777777" w:rsidR="00204B98" w:rsidRPr="00CF0099" w:rsidRDefault="00204B98" w:rsidP="005615F2">
            <w:pPr>
              <w:rPr>
                <w:rFonts w:ascii="Arial" w:hAnsi="Arial" w:cs="Arial"/>
              </w:rPr>
            </w:pPr>
            <w:r w:rsidRPr="00CF0099">
              <w:rPr>
                <w:rFonts w:ascii="Arial" w:hAnsi="Arial" w:cs="Arial"/>
              </w:rPr>
              <w:t>57</w:t>
            </w:r>
          </w:p>
          <w:p w14:paraId="0A38E51F" w14:textId="77777777" w:rsidR="00204B98" w:rsidRPr="00CF0099" w:rsidRDefault="00204B98" w:rsidP="005615F2">
            <w:pPr>
              <w:rPr>
                <w:rFonts w:ascii="Arial" w:hAnsi="Arial" w:cs="Arial"/>
              </w:rPr>
            </w:pPr>
            <w:r w:rsidRPr="00CF0099">
              <w:rPr>
                <w:rFonts w:ascii="Arial" w:hAnsi="Arial" w:cs="Arial"/>
              </w:rPr>
              <w:t>13</w:t>
            </w:r>
          </w:p>
          <w:p w14:paraId="43BA8398" w14:textId="77777777" w:rsidR="00204B98" w:rsidRPr="00CF0099" w:rsidRDefault="00204B98" w:rsidP="005615F2">
            <w:pPr>
              <w:rPr>
                <w:rFonts w:ascii="Arial" w:hAnsi="Arial" w:cs="Arial"/>
              </w:rPr>
            </w:pPr>
            <w:r w:rsidRPr="00CF0099">
              <w:rPr>
                <w:rFonts w:ascii="Arial" w:hAnsi="Arial" w:cs="Arial"/>
              </w:rPr>
              <w:t>20</w:t>
            </w:r>
          </w:p>
          <w:p w14:paraId="655733EF" w14:textId="77777777" w:rsidR="00204B98" w:rsidRPr="00CF0099" w:rsidRDefault="00204B98" w:rsidP="005615F2">
            <w:pPr>
              <w:rPr>
                <w:rFonts w:ascii="Arial" w:hAnsi="Arial" w:cs="Arial"/>
              </w:rPr>
            </w:pPr>
            <w:r w:rsidRPr="00CF0099">
              <w:rPr>
                <w:rFonts w:ascii="Arial" w:hAnsi="Arial" w:cs="Arial"/>
              </w:rPr>
              <w:t>4</w:t>
            </w:r>
          </w:p>
          <w:p w14:paraId="5D70503C" w14:textId="77777777" w:rsidR="00204B98" w:rsidRPr="00CF0099" w:rsidRDefault="00204B98" w:rsidP="005615F2">
            <w:pPr>
              <w:rPr>
                <w:rFonts w:ascii="Arial" w:hAnsi="Arial" w:cs="Arial"/>
              </w:rPr>
            </w:pPr>
            <w:r w:rsidRPr="00CF0099">
              <w:rPr>
                <w:rFonts w:ascii="Arial" w:hAnsi="Arial" w:cs="Arial"/>
              </w:rPr>
              <w:t>2</w:t>
            </w:r>
          </w:p>
        </w:tc>
        <w:tc>
          <w:tcPr>
            <w:tcW w:w="1791" w:type="dxa"/>
          </w:tcPr>
          <w:p w14:paraId="38C2E3AA" w14:textId="77777777" w:rsidR="00204B98" w:rsidRPr="00CF0099" w:rsidRDefault="00204B98" w:rsidP="005615F2">
            <w:pPr>
              <w:rPr>
                <w:rFonts w:ascii="Arial" w:hAnsi="Arial" w:cs="Arial"/>
              </w:rPr>
            </w:pPr>
          </w:p>
          <w:p w14:paraId="27A4D0BE" w14:textId="77777777" w:rsidR="00204B98" w:rsidRPr="00CF0099" w:rsidRDefault="00204B98" w:rsidP="005615F2">
            <w:pPr>
              <w:rPr>
                <w:rFonts w:ascii="Arial" w:hAnsi="Arial" w:cs="Arial"/>
              </w:rPr>
            </w:pPr>
            <w:r w:rsidRPr="00CF0099">
              <w:rPr>
                <w:rFonts w:ascii="Arial" w:hAnsi="Arial" w:cs="Arial"/>
              </w:rPr>
              <w:t>59.4</w:t>
            </w:r>
          </w:p>
          <w:p w14:paraId="78E8D6A5" w14:textId="77777777" w:rsidR="00204B98" w:rsidRPr="00CF0099" w:rsidRDefault="00204B98" w:rsidP="005615F2">
            <w:pPr>
              <w:rPr>
                <w:rFonts w:ascii="Arial" w:hAnsi="Arial" w:cs="Arial"/>
              </w:rPr>
            </w:pPr>
            <w:r w:rsidRPr="00CF0099">
              <w:rPr>
                <w:rFonts w:ascii="Arial" w:hAnsi="Arial" w:cs="Arial"/>
              </w:rPr>
              <w:t>13.5</w:t>
            </w:r>
          </w:p>
          <w:p w14:paraId="177F7F0A" w14:textId="77777777" w:rsidR="00204B98" w:rsidRPr="00CF0099" w:rsidRDefault="00204B98" w:rsidP="005615F2">
            <w:pPr>
              <w:rPr>
                <w:rFonts w:ascii="Arial" w:hAnsi="Arial" w:cs="Arial"/>
              </w:rPr>
            </w:pPr>
            <w:r w:rsidRPr="00CF0099">
              <w:rPr>
                <w:rFonts w:ascii="Arial" w:hAnsi="Arial" w:cs="Arial"/>
              </w:rPr>
              <w:t>20.8</w:t>
            </w:r>
          </w:p>
          <w:p w14:paraId="1139694B" w14:textId="77777777" w:rsidR="00204B98" w:rsidRPr="00CF0099" w:rsidRDefault="00204B98" w:rsidP="005615F2">
            <w:pPr>
              <w:rPr>
                <w:rFonts w:ascii="Arial" w:hAnsi="Arial" w:cs="Arial"/>
              </w:rPr>
            </w:pPr>
            <w:r w:rsidRPr="00CF0099">
              <w:rPr>
                <w:rFonts w:ascii="Arial" w:hAnsi="Arial" w:cs="Arial"/>
              </w:rPr>
              <w:t>4.2</w:t>
            </w:r>
          </w:p>
          <w:p w14:paraId="628920BC" w14:textId="77777777" w:rsidR="00204B98" w:rsidRPr="00CF0099" w:rsidRDefault="00204B98" w:rsidP="005615F2">
            <w:pPr>
              <w:rPr>
                <w:rFonts w:ascii="Arial" w:hAnsi="Arial" w:cs="Arial"/>
              </w:rPr>
            </w:pPr>
            <w:r w:rsidRPr="00CF0099">
              <w:rPr>
                <w:rFonts w:ascii="Arial" w:hAnsi="Arial" w:cs="Arial"/>
              </w:rPr>
              <w:t>2.1</w:t>
            </w:r>
          </w:p>
        </w:tc>
      </w:tr>
      <w:tr w:rsidR="00204B98" w:rsidRPr="00CF0099" w14:paraId="11AF5886" w14:textId="77777777" w:rsidTr="005615F2">
        <w:tc>
          <w:tcPr>
            <w:tcW w:w="6374" w:type="dxa"/>
          </w:tcPr>
          <w:p w14:paraId="0CF5FE0F" w14:textId="77777777" w:rsidR="00204B98" w:rsidRPr="00CF0099" w:rsidRDefault="00204B98" w:rsidP="005615F2">
            <w:pPr>
              <w:rPr>
                <w:rFonts w:ascii="Arial" w:hAnsi="Arial" w:cs="Arial"/>
              </w:rPr>
            </w:pPr>
            <w:r w:rsidRPr="00CF0099">
              <w:rPr>
                <w:rFonts w:ascii="Arial" w:hAnsi="Arial" w:cs="Arial"/>
              </w:rPr>
              <w:t>Years in UK</w:t>
            </w:r>
          </w:p>
        </w:tc>
        <w:tc>
          <w:tcPr>
            <w:tcW w:w="851" w:type="dxa"/>
          </w:tcPr>
          <w:p w14:paraId="54203E05" w14:textId="77777777" w:rsidR="00204B98" w:rsidRPr="00CF0099" w:rsidRDefault="00204B98" w:rsidP="005615F2">
            <w:pPr>
              <w:rPr>
                <w:rFonts w:ascii="Arial" w:hAnsi="Arial" w:cs="Arial"/>
              </w:rPr>
            </w:pPr>
            <w:r w:rsidRPr="00CF0099">
              <w:rPr>
                <w:rFonts w:ascii="Arial" w:hAnsi="Arial" w:cs="Arial"/>
              </w:rPr>
              <w:t>96</w:t>
            </w:r>
          </w:p>
        </w:tc>
        <w:tc>
          <w:tcPr>
            <w:tcW w:w="1791" w:type="dxa"/>
          </w:tcPr>
          <w:p w14:paraId="73F824F9" w14:textId="77777777" w:rsidR="00204B98" w:rsidRPr="00CF0099" w:rsidRDefault="00204B98" w:rsidP="005615F2">
            <w:pPr>
              <w:rPr>
                <w:rFonts w:ascii="Arial" w:hAnsi="Arial" w:cs="Arial"/>
              </w:rPr>
            </w:pPr>
            <w:r w:rsidRPr="00CF0099">
              <w:rPr>
                <w:rFonts w:ascii="Arial" w:hAnsi="Arial" w:cs="Arial"/>
              </w:rPr>
              <w:t>(4.8</w:t>
            </w:r>
            <w:r>
              <w:rPr>
                <w:rFonts w:ascii="Arial" w:hAnsi="Arial" w:cs="Arial"/>
              </w:rPr>
              <w:t xml:space="preserve"> [</w:t>
            </w:r>
            <w:r w:rsidRPr="00CF0099">
              <w:rPr>
                <w:rFonts w:ascii="Arial" w:hAnsi="Arial" w:cs="Arial"/>
              </w:rPr>
              <w:t>3.2</w:t>
            </w:r>
            <w:r>
              <w:rPr>
                <w:rFonts w:ascii="Arial" w:hAnsi="Arial" w:cs="Arial"/>
              </w:rPr>
              <w:t>]</w:t>
            </w:r>
            <w:r w:rsidRPr="00CF0099">
              <w:rPr>
                <w:rFonts w:ascii="Arial" w:hAnsi="Arial" w:cs="Arial"/>
              </w:rPr>
              <w:t>)</w:t>
            </w:r>
          </w:p>
        </w:tc>
      </w:tr>
      <w:tr w:rsidR="00204B98" w:rsidRPr="00CF0099" w14:paraId="04DBF76E" w14:textId="77777777" w:rsidTr="005615F2">
        <w:tc>
          <w:tcPr>
            <w:tcW w:w="6374" w:type="dxa"/>
          </w:tcPr>
          <w:p w14:paraId="0EE3CE18" w14:textId="77777777" w:rsidR="00204B98" w:rsidRPr="00CF0099" w:rsidRDefault="00204B98" w:rsidP="005615F2">
            <w:pPr>
              <w:rPr>
                <w:rFonts w:ascii="Arial" w:hAnsi="Arial" w:cs="Arial"/>
              </w:rPr>
            </w:pPr>
            <w:r>
              <w:rPr>
                <w:rFonts w:ascii="Arial" w:hAnsi="Arial" w:cs="Arial"/>
              </w:rPr>
              <w:t>Region of origin</w:t>
            </w:r>
          </w:p>
          <w:p w14:paraId="54663826" w14:textId="77777777" w:rsidR="00204B98" w:rsidRDefault="00204B98" w:rsidP="005615F2">
            <w:pPr>
              <w:ind w:left="171"/>
              <w:rPr>
                <w:rFonts w:ascii="Arial" w:hAnsi="Arial" w:cs="Arial"/>
              </w:rPr>
            </w:pPr>
            <w:r>
              <w:rPr>
                <w:rFonts w:ascii="Arial" w:hAnsi="Arial" w:cs="Arial"/>
              </w:rPr>
              <w:t>Eastern Europe/Former Soviet Union</w:t>
            </w:r>
          </w:p>
          <w:p w14:paraId="7084E3F1" w14:textId="77777777" w:rsidR="00204B98" w:rsidRDefault="00204B98" w:rsidP="005615F2">
            <w:pPr>
              <w:ind w:left="171"/>
              <w:rPr>
                <w:rFonts w:ascii="Arial" w:hAnsi="Arial" w:cs="Arial"/>
              </w:rPr>
            </w:pPr>
            <w:r>
              <w:rPr>
                <w:rFonts w:ascii="Arial" w:hAnsi="Arial" w:cs="Arial"/>
              </w:rPr>
              <w:t>Central/Southern Europe</w:t>
            </w:r>
          </w:p>
          <w:p w14:paraId="35298219" w14:textId="77777777" w:rsidR="00204B98" w:rsidRDefault="00204B98" w:rsidP="005615F2">
            <w:pPr>
              <w:ind w:left="171"/>
              <w:rPr>
                <w:rFonts w:ascii="Arial" w:hAnsi="Arial" w:cs="Arial"/>
              </w:rPr>
            </w:pPr>
            <w:r>
              <w:rPr>
                <w:rFonts w:ascii="Arial" w:hAnsi="Arial" w:cs="Arial"/>
              </w:rPr>
              <w:t>Middle East</w:t>
            </w:r>
          </w:p>
          <w:p w14:paraId="1470C224" w14:textId="77777777" w:rsidR="00204B98" w:rsidRDefault="00204B98" w:rsidP="005615F2">
            <w:pPr>
              <w:ind w:left="171"/>
              <w:rPr>
                <w:rFonts w:ascii="Arial" w:hAnsi="Arial" w:cs="Arial"/>
              </w:rPr>
            </w:pPr>
            <w:r>
              <w:rPr>
                <w:rFonts w:ascii="Arial" w:hAnsi="Arial" w:cs="Arial"/>
              </w:rPr>
              <w:t>Africa</w:t>
            </w:r>
          </w:p>
          <w:p w14:paraId="44D49660" w14:textId="77777777" w:rsidR="00204B98" w:rsidRDefault="00204B98" w:rsidP="005615F2">
            <w:pPr>
              <w:ind w:left="171"/>
              <w:rPr>
                <w:rFonts w:ascii="Arial" w:hAnsi="Arial" w:cs="Arial"/>
              </w:rPr>
            </w:pPr>
            <w:r>
              <w:rPr>
                <w:rFonts w:ascii="Arial" w:hAnsi="Arial" w:cs="Arial"/>
              </w:rPr>
              <w:t>South America</w:t>
            </w:r>
          </w:p>
          <w:p w14:paraId="2A99BCAA" w14:textId="77777777" w:rsidR="00204B98" w:rsidRPr="00CF0099" w:rsidRDefault="00204B98" w:rsidP="005615F2">
            <w:pPr>
              <w:ind w:left="171"/>
              <w:rPr>
                <w:rFonts w:ascii="Arial" w:hAnsi="Arial" w:cs="Arial"/>
              </w:rPr>
            </w:pPr>
            <w:r>
              <w:rPr>
                <w:rFonts w:ascii="Arial" w:hAnsi="Arial" w:cs="Arial"/>
              </w:rPr>
              <w:t>Asia</w:t>
            </w:r>
          </w:p>
        </w:tc>
        <w:tc>
          <w:tcPr>
            <w:tcW w:w="851" w:type="dxa"/>
          </w:tcPr>
          <w:p w14:paraId="66E78CCA" w14:textId="77777777" w:rsidR="00204B98" w:rsidRPr="00CF0099" w:rsidRDefault="00204B98" w:rsidP="005615F2">
            <w:pPr>
              <w:rPr>
                <w:rFonts w:ascii="Arial" w:hAnsi="Arial" w:cs="Arial"/>
              </w:rPr>
            </w:pPr>
          </w:p>
          <w:p w14:paraId="5C1102B7" w14:textId="77777777" w:rsidR="00204B98" w:rsidRPr="00CF0099" w:rsidRDefault="00204B98" w:rsidP="005615F2">
            <w:pPr>
              <w:rPr>
                <w:rFonts w:ascii="Arial" w:hAnsi="Arial" w:cs="Arial"/>
              </w:rPr>
            </w:pPr>
            <w:r>
              <w:rPr>
                <w:rFonts w:ascii="Arial" w:hAnsi="Arial" w:cs="Arial"/>
              </w:rPr>
              <w:t>28</w:t>
            </w:r>
          </w:p>
          <w:p w14:paraId="13A1FE73" w14:textId="77777777" w:rsidR="00204B98" w:rsidRDefault="00204B98" w:rsidP="005615F2">
            <w:pPr>
              <w:rPr>
                <w:rFonts w:ascii="Arial" w:hAnsi="Arial" w:cs="Arial"/>
              </w:rPr>
            </w:pPr>
            <w:r>
              <w:rPr>
                <w:rFonts w:ascii="Arial" w:hAnsi="Arial" w:cs="Arial"/>
              </w:rPr>
              <w:t>4</w:t>
            </w:r>
          </w:p>
          <w:p w14:paraId="48AB3EB2" w14:textId="77777777" w:rsidR="00204B98" w:rsidRPr="00CF0099" w:rsidRDefault="00204B98" w:rsidP="005615F2">
            <w:pPr>
              <w:rPr>
                <w:rFonts w:ascii="Arial" w:hAnsi="Arial" w:cs="Arial"/>
              </w:rPr>
            </w:pPr>
            <w:r>
              <w:rPr>
                <w:rFonts w:ascii="Arial" w:hAnsi="Arial" w:cs="Arial"/>
              </w:rPr>
              <w:t>19</w:t>
            </w:r>
          </w:p>
          <w:p w14:paraId="6C90FFFD" w14:textId="77777777" w:rsidR="00204B98" w:rsidRDefault="00204B98" w:rsidP="005615F2">
            <w:pPr>
              <w:rPr>
                <w:rFonts w:ascii="Arial" w:hAnsi="Arial" w:cs="Arial"/>
              </w:rPr>
            </w:pPr>
            <w:r>
              <w:rPr>
                <w:rFonts w:ascii="Arial" w:hAnsi="Arial" w:cs="Arial"/>
              </w:rPr>
              <w:t>24</w:t>
            </w:r>
          </w:p>
          <w:p w14:paraId="11B97823" w14:textId="77777777" w:rsidR="00204B98" w:rsidRDefault="00204B98" w:rsidP="005615F2">
            <w:pPr>
              <w:rPr>
                <w:rFonts w:ascii="Arial" w:hAnsi="Arial" w:cs="Arial"/>
              </w:rPr>
            </w:pPr>
            <w:r>
              <w:rPr>
                <w:rFonts w:ascii="Arial" w:hAnsi="Arial" w:cs="Arial"/>
              </w:rPr>
              <w:t>10</w:t>
            </w:r>
          </w:p>
          <w:p w14:paraId="1342877F" w14:textId="77777777" w:rsidR="00204B98" w:rsidRPr="00CF0099" w:rsidRDefault="00204B98" w:rsidP="005615F2">
            <w:pPr>
              <w:rPr>
                <w:rFonts w:ascii="Arial" w:hAnsi="Arial" w:cs="Arial"/>
              </w:rPr>
            </w:pPr>
            <w:r>
              <w:rPr>
                <w:rFonts w:ascii="Arial" w:hAnsi="Arial" w:cs="Arial"/>
              </w:rPr>
              <w:t>11</w:t>
            </w:r>
          </w:p>
        </w:tc>
        <w:tc>
          <w:tcPr>
            <w:tcW w:w="1791" w:type="dxa"/>
          </w:tcPr>
          <w:p w14:paraId="7A54D020" w14:textId="77777777" w:rsidR="00204B98" w:rsidRPr="00CF0099" w:rsidRDefault="00204B98" w:rsidP="005615F2">
            <w:pPr>
              <w:rPr>
                <w:rFonts w:ascii="Arial" w:hAnsi="Arial" w:cs="Arial"/>
              </w:rPr>
            </w:pPr>
          </w:p>
          <w:p w14:paraId="22C15649" w14:textId="77777777" w:rsidR="00204B98" w:rsidRPr="00CF0099" w:rsidRDefault="00204B98" w:rsidP="005615F2">
            <w:pPr>
              <w:rPr>
                <w:rFonts w:ascii="Arial" w:hAnsi="Arial" w:cs="Arial"/>
              </w:rPr>
            </w:pPr>
            <w:r>
              <w:rPr>
                <w:rFonts w:ascii="Arial" w:hAnsi="Arial" w:cs="Arial"/>
              </w:rPr>
              <w:t>29.2</w:t>
            </w:r>
          </w:p>
          <w:p w14:paraId="6E17EF54" w14:textId="77777777" w:rsidR="00204B98" w:rsidRDefault="00204B98" w:rsidP="005615F2">
            <w:pPr>
              <w:rPr>
                <w:rFonts w:ascii="Arial" w:hAnsi="Arial" w:cs="Arial"/>
              </w:rPr>
            </w:pPr>
            <w:r>
              <w:rPr>
                <w:rFonts w:ascii="Arial" w:hAnsi="Arial" w:cs="Arial"/>
              </w:rPr>
              <w:t>4.2</w:t>
            </w:r>
          </w:p>
          <w:p w14:paraId="27456E4A" w14:textId="77777777" w:rsidR="00204B98" w:rsidRPr="00CF0099" w:rsidRDefault="00204B98" w:rsidP="005615F2">
            <w:pPr>
              <w:rPr>
                <w:rFonts w:ascii="Arial" w:hAnsi="Arial" w:cs="Arial"/>
              </w:rPr>
            </w:pPr>
            <w:r>
              <w:rPr>
                <w:rFonts w:ascii="Arial" w:hAnsi="Arial" w:cs="Arial"/>
              </w:rPr>
              <w:t>19.8</w:t>
            </w:r>
          </w:p>
          <w:p w14:paraId="2DA4E1A1" w14:textId="77777777" w:rsidR="00204B98" w:rsidRPr="00CF0099" w:rsidRDefault="00204B98" w:rsidP="005615F2">
            <w:pPr>
              <w:rPr>
                <w:rFonts w:ascii="Arial" w:hAnsi="Arial" w:cs="Arial"/>
              </w:rPr>
            </w:pPr>
            <w:r>
              <w:rPr>
                <w:rFonts w:ascii="Arial" w:hAnsi="Arial" w:cs="Arial"/>
              </w:rPr>
              <w:t>25.0</w:t>
            </w:r>
          </w:p>
          <w:p w14:paraId="2970A1AD" w14:textId="77777777" w:rsidR="00204B98" w:rsidRDefault="00204B98" w:rsidP="005615F2">
            <w:pPr>
              <w:rPr>
                <w:rFonts w:ascii="Arial" w:hAnsi="Arial" w:cs="Arial"/>
              </w:rPr>
            </w:pPr>
            <w:r>
              <w:rPr>
                <w:rFonts w:ascii="Arial" w:hAnsi="Arial" w:cs="Arial"/>
              </w:rPr>
              <w:t>10.4</w:t>
            </w:r>
          </w:p>
          <w:p w14:paraId="60F72890" w14:textId="77777777" w:rsidR="00204B98" w:rsidRPr="00CF0099" w:rsidRDefault="00204B98" w:rsidP="005615F2">
            <w:pPr>
              <w:rPr>
                <w:rFonts w:ascii="Arial" w:hAnsi="Arial" w:cs="Arial"/>
              </w:rPr>
            </w:pPr>
            <w:r>
              <w:rPr>
                <w:rFonts w:ascii="Arial" w:hAnsi="Arial" w:cs="Arial"/>
              </w:rPr>
              <w:t>11.8</w:t>
            </w:r>
          </w:p>
        </w:tc>
      </w:tr>
      <w:tr w:rsidR="00204B98" w:rsidRPr="00CF0099" w14:paraId="090042D0" w14:textId="77777777" w:rsidTr="005615F2">
        <w:trPr>
          <w:trHeight w:val="2389"/>
        </w:trPr>
        <w:tc>
          <w:tcPr>
            <w:tcW w:w="9016" w:type="dxa"/>
            <w:gridSpan w:val="3"/>
          </w:tcPr>
          <w:p w14:paraId="05AFE5A5" w14:textId="77777777" w:rsidR="00204B98" w:rsidRDefault="00204B98" w:rsidP="005615F2">
            <w:pPr>
              <w:rPr>
                <w:rFonts w:ascii="Arial" w:hAnsi="Arial" w:cs="Arial"/>
              </w:rPr>
            </w:pPr>
            <w:r>
              <w:rPr>
                <w:rFonts w:ascii="Arial" w:hAnsi="Arial" w:cs="Arial"/>
              </w:rPr>
              <w:t>Countries of Origin (number of migrants screened)</w:t>
            </w:r>
          </w:p>
          <w:p w14:paraId="4809A4A3" w14:textId="77777777" w:rsidR="00204B98" w:rsidRDefault="00204B98" w:rsidP="005615F2">
            <w:pPr>
              <w:rPr>
                <w:rFonts w:ascii="Arial" w:hAnsi="Arial" w:cs="Arial"/>
              </w:rPr>
            </w:pPr>
          </w:p>
          <w:p w14:paraId="34FDD5CF" w14:textId="77777777" w:rsidR="00204B98" w:rsidRPr="00CF0099" w:rsidRDefault="00204B98" w:rsidP="005615F2">
            <w:pPr>
              <w:rPr>
                <w:rFonts w:ascii="Arial" w:hAnsi="Arial" w:cs="Arial"/>
              </w:rPr>
            </w:pPr>
            <w:r w:rsidRPr="00CF0099">
              <w:rPr>
                <w:rFonts w:ascii="Arial" w:hAnsi="Arial" w:cs="Arial"/>
              </w:rPr>
              <w:t>Afghanistan (1), Albania (1), Algeria (3), Argentina (1), Bangladesh (1), Bolivia (1), Brazil (7), Brunei (1), Bulgaria (2), China (2), Egypt (3), Eritrea (2), Estonia (2), Ethiopia (1), Ghana (1), Greece (2), Guinea Bissau (1), Hungary (2), India (2), Iran (4), Iraq (6), Kazakhstan (1), Kosovo (1), Latvia (2), Lithuania (1), Malaysia (1), Mauritius (1), Morocco (2), Peru (1), Philippines (2), Palestine (1), Poland (10), Kuwait (3), Romania (7), Russia (2), Samoa (1), Somalia (3), South Africa (1), Sri Lanka (1), Syria (5), Tanzania (1), The Gambia (1), Tunisia (2).</w:t>
            </w:r>
          </w:p>
        </w:tc>
      </w:tr>
    </w:tbl>
    <w:p w14:paraId="6A0FEC84" w14:textId="77777777" w:rsidR="00204B98" w:rsidRDefault="00204B98" w:rsidP="005615F2">
      <w:pPr>
        <w:pStyle w:val="Caption"/>
        <w:keepNext/>
        <w:rPr>
          <w:rFonts w:ascii="Arial" w:hAnsi="Arial" w:cs="Arial"/>
          <w:sz w:val="22"/>
          <w:szCs w:val="22"/>
        </w:rPr>
      </w:pPr>
    </w:p>
    <w:p w14:paraId="7FF184AD" w14:textId="77777777" w:rsidR="00204B98" w:rsidRPr="00CF0099" w:rsidRDefault="00204B98" w:rsidP="005615F2">
      <w:pPr>
        <w:pStyle w:val="Caption"/>
        <w:keepNext/>
        <w:rPr>
          <w:rFonts w:ascii="Arial" w:hAnsi="Arial" w:cs="Arial"/>
          <w:sz w:val="22"/>
          <w:szCs w:val="22"/>
        </w:rPr>
      </w:pPr>
      <w:r w:rsidRPr="00CF0099">
        <w:rPr>
          <w:rFonts w:ascii="Arial" w:hAnsi="Arial" w:cs="Arial"/>
          <w:sz w:val="22"/>
          <w:szCs w:val="22"/>
        </w:rPr>
        <w:t xml:space="preserve">Table </w:t>
      </w:r>
      <w:r>
        <w:rPr>
          <w:rFonts w:ascii="Arial" w:hAnsi="Arial" w:cs="Arial"/>
          <w:sz w:val="22"/>
          <w:szCs w:val="22"/>
        </w:rPr>
        <w:t>3</w:t>
      </w:r>
      <w:r w:rsidRPr="00CF0099">
        <w:rPr>
          <w:rFonts w:ascii="Arial" w:hAnsi="Arial" w:cs="Arial"/>
          <w:sz w:val="22"/>
          <w:szCs w:val="22"/>
        </w:rPr>
        <w:t xml:space="preserve"> </w:t>
      </w:r>
      <w:r>
        <w:rPr>
          <w:rFonts w:ascii="Arial" w:hAnsi="Arial" w:cs="Arial"/>
          <w:sz w:val="22"/>
          <w:szCs w:val="22"/>
        </w:rPr>
        <w:t>Socio-demographic and socio-economic</w:t>
      </w:r>
      <w:r w:rsidRPr="00CF0099">
        <w:rPr>
          <w:rFonts w:ascii="Arial" w:hAnsi="Arial" w:cs="Arial"/>
          <w:sz w:val="22"/>
          <w:szCs w:val="22"/>
        </w:rPr>
        <w:t xml:space="preserve"> characteristics</w:t>
      </w:r>
      <w:r>
        <w:rPr>
          <w:rFonts w:ascii="Arial" w:hAnsi="Arial" w:cs="Arial"/>
          <w:sz w:val="22"/>
          <w:szCs w:val="22"/>
        </w:rPr>
        <w:t xml:space="preserve"> of migrants</w:t>
      </w:r>
    </w:p>
    <w:tbl>
      <w:tblPr>
        <w:tblStyle w:val="TableGrid"/>
        <w:tblW w:w="0" w:type="auto"/>
        <w:tblLook w:val="04A0" w:firstRow="1" w:lastRow="0" w:firstColumn="1" w:lastColumn="0" w:noHBand="0" w:noVBand="1"/>
      </w:tblPr>
      <w:tblGrid>
        <w:gridCol w:w="6370"/>
        <w:gridCol w:w="850"/>
        <w:gridCol w:w="1790"/>
      </w:tblGrid>
      <w:tr w:rsidR="00204B98" w:rsidRPr="00CF0099" w14:paraId="365C78C6" w14:textId="77777777" w:rsidTr="005615F2">
        <w:tc>
          <w:tcPr>
            <w:tcW w:w="6374" w:type="dxa"/>
          </w:tcPr>
          <w:p w14:paraId="6F7BE34C" w14:textId="77777777" w:rsidR="00204B98" w:rsidRPr="00CF0099" w:rsidRDefault="00204B98" w:rsidP="005615F2">
            <w:pPr>
              <w:rPr>
                <w:rFonts w:ascii="Arial" w:hAnsi="Arial" w:cs="Arial"/>
                <w:b/>
              </w:rPr>
            </w:pPr>
            <w:r>
              <w:rPr>
                <w:rFonts w:ascii="Arial" w:hAnsi="Arial" w:cs="Arial"/>
                <w:b/>
              </w:rPr>
              <w:t>Socio-demographic characteristics</w:t>
            </w:r>
          </w:p>
        </w:tc>
        <w:tc>
          <w:tcPr>
            <w:tcW w:w="851" w:type="dxa"/>
          </w:tcPr>
          <w:p w14:paraId="7ECBBD96" w14:textId="77777777" w:rsidR="00204B98" w:rsidRPr="00CF0099" w:rsidRDefault="00204B98" w:rsidP="005615F2">
            <w:pPr>
              <w:rPr>
                <w:rFonts w:ascii="Arial" w:hAnsi="Arial" w:cs="Arial"/>
              </w:rPr>
            </w:pPr>
            <w:r w:rsidRPr="00CF0099">
              <w:rPr>
                <w:rFonts w:ascii="Arial" w:hAnsi="Arial" w:cs="Arial"/>
              </w:rPr>
              <w:t>n</w:t>
            </w:r>
          </w:p>
        </w:tc>
        <w:tc>
          <w:tcPr>
            <w:tcW w:w="1791" w:type="dxa"/>
          </w:tcPr>
          <w:p w14:paraId="693521BF" w14:textId="77777777" w:rsidR="00204B98" w:rsidRPr="00CF0099" w:rsidRDefault="00204B98" w:rsidP="005615F2">
            <w:pPr>
              <w:rPr>
                <w:rFonts w:ascii="Arial" w:hAnsi="Arial" w:cs="Arial"/>
              </w:rPr>
            </w:pPr>
            <w:r w:rsidRPr="00CF0099">
              <w:rPr>
                <w:rFonts w:ascii="Arial" w:hAnsi="Arial" w:cs="Arial"/>
              </w:rPr>
              <w:t xml:space="preserve">% (mean, </w:t>
            </w:r>
            <w:r>
              <w:rPr>
                <w:rFonts w:ascii="Arial" w:hAnsi="Arial" w:cs="Arial"/>
              </w:rPr>
              <w:t>SD</w:t>
            </w:r>
            <w:r w:rsidRPr="00CF0099">
              <w:rPr>
                <w:rFonts w:ascii="Arial" w:hAnsi="Arial" w:cs="Arial"/>
              </w:rPr>
              <w:t>)</w:t>
            </w:r>
          </w:p>
        </w:tc>
      </w:tr>
      <w:tr w:rsidR="00204B98" w:rsidRPr="00CF0099" w14:paraId="4A0AA8D6" w14:textId="77777777" w:rsidTr="005615F2">
        <w:tc>
          <w:tcPr>
            <w:tcW w:w="6374" w:type="dxa"/>
          </w:tcPr>
          <w:p w14:paraId="14921C59" w14:textId="77777777" w:rsidR="00204B98" w:rsidRPr="00CF0099" w:rsidRDefault="00204B98" w:rsidP="005615F2">
            <w:pPr>
              <w:rPr>
                <w:rFonts w:ascii="Arial" w:hAnsi="Arial" w:cs="Arial"/>
              </w:rPr>
            </w:pPr>
            <w:r w:rsidRPr="00CF0099">
              <w:rPr>
                <w:rFonts w:ascii="Arial" w:hAnsi="Arial" w:cs="Arial"/>
              </w:rPr>
              <w:t>Gender</w:t>
            </w:r>
          </w:p>
          <w:p w14:paraId="445642B2" w14:textId="77777777" w:rsidR="00204B98" w:rsidRPr="00CF0099" w:rsidRDefault="00204B98" w:rsidP="005615F2">
            <w:pPr>
              <w:ind w:left="171"/>
              <w:rPr>
                <w:rFonts w:ascii="Arial" w:hAnsi="Arial" w:cs="Arial"/>
              </w:rPr>
            </w:pPr>
            <w:r w:rsidRPr="00CF0099">
              <w:rPr>
                <w:rFonts w:ascii="Arial" w:hAnsi="Arial" w:cs="Arial"/>
              </w:rPr>
              <w:t>Male</w:t>
            </w:r>
          </w:p>
          <w:p w14:paraId="3C4981A1" w14:textId="77777777" w:rsidR="00204B98" w:rsidRPr="00CF0099" w:rsidRDefault="00204B98" w:rsidP="005615F2">
            <w:pPr>
              <w:ind w:left="171"/>
              <w:rPr>
                <w:rFonts w:ascii="Arial" w:hAnsi="Arial" w:cs="Arial"/>
              </w:rPr>
            </w:pPr>
            <w:r w:rsidRPr="00CF0099">
              <w:rPr>
                <w:rFonts w:ascii="Arial" w:hAnsi="Arial" w:cs="Arial"/>
              </w:rPr>
              <w:t>Female</w:t>
            </w:r>
          </w:p>
        </w:tc>
        <w:tc>
          <w:tcPr>
            <w:tcW w:w="851" w:type="dxa"/>
          </w:tcPr>
          <w:p w14:paraId="6AFEC498" w14:textId="77777777" w:rsidR="00204B98" w:rsidRPr="00CF0099" w:rsidRDefault="00204B98" w:rsidP="005615F2">
            <w:pPr>
              <w:rPr>
                <w:rFonts w:ascii="Arial" w:hAnsi="Arial" w:cs="Arial"/>
              </w:rPr>
            </w:pPr>
          </w:p>
          <w:p w14:paraId="4AC8E385" w14:textId="77777777" w:rsidR="00204B98" w:rsidRPr="00CF0099" w:rsidRDefault="00204B98" w:rsidP="005615F2">
            <w:pPr>
              <w:rPr>
                <w:rFonts w:ascii="Arial" w:hAnsi="Arial" w:cs="Arial"/>
              </w:rPr>
            </w:pPr>
            <w:r w:rsidRPr="00CF0099">
              <w:rPr>
                <w:rFonts w:ascii="Arial" w:hAnsi="Arial" w:cs="Arial"/>
              </w:rPr>
              <w:t>50</w:t>
            </w:r>
          </w:p>
          <w:p w14:paraId="17CD392A" w14:textId="77777777" w:rsidR="00204B98" w:rsidRPr="00CF0099" w:rsidRDefault="00204B98" w:rsidP="005615F2">
            <w:pPr>
              <w:rPr>
                <w:rFonts w:ascii="Arial" w:hAnsi="Arial" w:cs="Arial"/>
              </w:rPr>
            </w:pPr>
            <w:r w:rsidRPr="00CF0099">
              <w:rPr>
                <w:rFonts w:ascii="Arial" w:hAnsi="Arial" w:cs="Arial"/>
              </w:rPr>
              <w:t>46</w:t>
            </w:r>
          </w:p>
        </w:tc>
        <w:tc>
          <w:tcPr>
            <w:tcW w:w="1791" w:type="dxa"/>
          </w:tcPr>
          <w:p w14:paraId="3716BD8D" w14:textId="77777777" w:rsidR="00204B98" w:rsidRPr="00CF0099" w:rsidRDefault="00204B98" w:rsidP="005615F2">
            <w:pPr>
              <w:rPr>
                <w:rFonts w:ascii="Arial" w:hAnsi="Arial" w:cs="Arial"/>
              </w:rPr>
            </w:pPr>
          </w:p>
          <w:p w14:paraId="7E729406" w14:textId="77777777" w:rsidR="00204B98" w:rsidRPr="00CF0099" w:rsidRDefault="00204B98" w:rsidP="005615F2">
            <w:pPr>
              <w:rPr>
                <w:rFonts w:ascii="Arial" w:hAnsi="Arial" w:cs="Arial"/>
              </w:rPr>
            </w:pPr>
            <w:r w:rsidRPr="00CF0099">
              <w:rPr>
                <w:rFonts w:ascii="Arial" w:hAnsi="Arial" w:cs="Arial"/>
              </w:rPr>
              <w:t>52.1</w:t>
            </w:r>
          </w:p>
          <w:p w14:paraId="0CA5A72A" w14:textId="77777777" w:rsidR="00204B98" w:rsidRPr="00CF0099" w:rsidRDefault="00204B98" w:rsidP="005615F2">
            <w:pPr>
              <w:rPr>
                <w:rFonts w:ascii="Arial" w:hAnsi="Arial" w:cs="Arial"/>
              </w:rPr>
            </w:pPr>
            <w:r w:rsidRPr="00CF0099">
              <w:rPr>
                <w:rFonts w:ascii="Arial" w:hAnsi="Arial" w:cs="Arial"/>
              </w:rPr>
              <w:t>47.9</w:t>
            </w:r>
          </w:p>
        </w:tc>
      </w:tr>
      <w:tr w:rsidR="00204B98" w:rsidRPr="00CF0099" w14:paraId="43496CC1" w14:textId="77777777" w:rsidTr="005615F2">
        <w:tc>
          <w:tcPr>
            <w:tcW w:w="6374" w:type="dxa"/>
          </w:tcPr>
          <w:p w14:paraId="15FBE486" w14:textId="77777777" w:rsidR="00204B98" w:rsidRPr="00CF0099" w:rsidRDefault="00204B98" w:rsidP="005615F2">
            <w:pPr>
              <w:rPr>
                <w:rFonts w:ascii="Arial" w:hAnsi="Arial" w:cs="Arial"/>
              </w:rPr>
            </w:pPr>
            <w:r w:rsidRPr="00CF0099">
              <w:rPr>
                <w:rFonts w:ascii="Arial" w:hAnsi="Arial" w:cs="Arial"/>
              </w:rPr>
              <w:t>Age</w:t>
            </w:r>
          </w:p>
        </w:tc>
        <w:tc>
          <w:tcPr>
            <w:tcW w:w="851" w:type="dxa"/>
          </w:tcPr>
          <w:p w14:paraId="7B7AA6CB" w14:textId="77777777" w:rsidR="00204B98" w:rsidRPr="00CF0099" w:rsidRDefault="00204B98" w:rsidP="005615F2">
            <w:pPr>
              <w:rPr>
                <w:rFonts w:ascii="Arial" w:hAnsi="Arial" w:cs="Arial"/>
              </w:rPr>
            </w:pPr>
            <w:r w:rsidRPr="00CF0099">
              <w:rPr>
                <w:rFonts w:ascii="Arial" w:hAnsi="Arial" w:cs="Arial"/>
              </w:rPr>
              <w:t>96</w:t>
            </w:r>
          </w:p>
        </w:tc>
        <w:tc>
          <w:tcPr>
            <w:tcW w:w="1791" w:type="dxa"/>
          </w:tcPr>
          <w:p w14:paraId="2B5DA9D7" w14:textId="77777777" w:rsidR="00204B98" w:rsidRPr="00CF0099" w:rsidRDefault="00204B98" w:rsidP="005615F2">
            <w:pPr>
              <w:rPr>
                <w:rFonts w:ascii="Arial" w:hAnsi="Arial" w:cs="Arial"/>
              </w:rPr>
            </w:pPr>
            <w:r w:rsidRPr="00CF0099">
              <w:rPr>
                <w:rFonts w:ascii="Arial" w:hAnsi="Arial" w:cs="Arial"/>
              </w:rPr>
              <w:t>(35.2, 11.7)</w:t>
            </w:r>
          </w:p>
        </w:tc>
      </w:tr>
      <w:tr w:rsidR="00204B98" w:rsidRPr="00CF0099" w14:paraId="7FA39B1C" w14:textId="77777777" w:rsidTr="005615F2">
        <w:tc>
          <w:tcPr>
            <w:tcW w:w="6374" w:type="dxa"/>
          </w:tcPr>
          <w:p w14:paraId="72DE052C" w14:textId="77777777" w:rsidR="00204B98" w:rsidRPr="00CF0099" w:rsidRDefault="00204B98" w:rsidP="005615F2">
            <w:pPr>
              <w:rPr>
                <w:rFonts w:ascii="Arial" w:hAnsi="Arial" w:cs="Arial"/>
              </w:rPr>
            </w:pPr>
            <w:r w:rsidRPr="00CF0099">
              <w:rPr>
                <w:rFonts w:ascii="Arial" w:hAnsi="Arial" w:cs="Arial"/>
              </w:rPr>
              <w:t>Relationship status</w:t>
            </w:r>
          </w:p>
          <w:p w14:paraId="4A7959C0" w14:textId="77777777" w:rsidR="00204B98" w:rsidRPr="00CF0099" w:rsidRDefault="00204B98" w:rsidP="005615F2">
            <w:pPr>
              <w:ind w:left="171"/>
              <w:rPr>
                <w:rFonts w:ascii="Arial" w:hAnsi="Arial" w:cs="Arial"/>
              </w:rPr>
            </w:pPr>
            <w:r w:rsidRPr="00CF0099">
              <w:rPr>
                <w:rFonts w:ascii="Arial" w:hAnsi="Arial" w:cs="Arial"/>
              </w:rPr>
              <w:t>Married</w:t>
            </w:r>
          </w:p>
          <w:p w14:paraId="2C7502D4" w14:textId="77777777" w:rsidR="00204B98" w:rsidRPr="00CF0099" w:rsidRDefault="00204B98" w:rsidP="005615F2">
            <w:pPr>
              <w:ind w:left="171"/>
              <w:rPr>
                <w:rFonts w:ascii="Arial" w:hAnsi="Arial" w:cs="Arial"/>
              </w:rPr>
            </w:pPr>
            <w:r w:rsidRPr="00CF0099">
              <w:rPr>
                <w:rFonts w:ascii="Arial" w:hAnsi="Arial" w:cs="Arial"/>
              </w:rPr>
              <w:t>Single</w:t>
            </w:r>
          </w:p>
          <w:p w14:paraId="1FFA3DF5" w14:textId="77777777" w:rsidR="00204B98" w:rsidRPr="00CF0099" w:rsidRDefault="00204B98" w:rsidP="005615F2">
            <w:pPr>
              <w:ind w:left="171"/>
              <w:rPr>
                <w:rFonts w:ascii="Arial" w:hAnsi="Arial" w:cs="Arial"/>
              </w:rPr>
            </w:pPr>
            <w:r w:rsidRPr="00CF0099">
              <w:rPr>
                <w:rFonts w:ascii="Arial" w:hAnsi="Arial" w:cs="Arial"/>
              </w:rPr>
              <w:t>Widowed</w:t>
            </w:r>
          </w:p>
          <w:p w14:paraId="5E27A9A8" w14:textId="77777777" w:rsidR="00204B98" w:rsidRPr="00CF0099" w:rsidRDefault="00204B98" w:rsidP="005615F2">
            <w:pPr>
              <w:ind w:left="171"/>
              <w:rPr>
                <w:rFonts w:ascii="Arial" w:hAnsi="Arial" w:cs="Arial"/>
              </w:rPr>
            </w:pPr>
            <w:r w:rsidRPr="00CF0099">
              <w:rPr>
                <w:rFonts w:ascii="Arial" w:hAnsi="Arial" w:cs="Arial"/>
              </w:rPr>
              <w:t>Divorced/separated</w:t>
            </w:r>
          </w:p>
        </w:tc>
        <w:tc>
          <w:tcPr>
            <w:tcW w:w="851" w:type="dxa"/>
          </w:tcPr>
          <w:p w14:paraId="32A48113" w14:textId="77777777" w:rsidR="00204B98" w:rsidRPr="00CF0099" w:rsidRDefault="00204B98" w:rsidP="005615F2">
            <w:pPr>
              <w:rPr>
                <w:rFonts w:ascii="Arial" w:hAnsi="Arial" w:cs="Arial"/>
              </w:rPr>
            </w:pPr>
          </w:p>
          <w:p w14:paraId="6BF89715" w14:textId="77777777" w:rsidR="00204B98" w:rsidRPr="00CF0099" w:rsidRDefault="00204B98" w:rsidP="005615F2">
            <w:pPr>
              <w:rPr>
                <w:rFonts w:ascii="Arial" w:hAnsi="Arial" w:cs="Arial"/>
              </w:rPr>
            </w:pPr>
            <w:r w:rsidRPr="00CF0099">
              <w:rPr>
                <w:rFonts w:ascii="Arial" w:hAnsi="Arial" w:cs="Arial"/>
              </w:rPr>
              <w:t>53</w:t>
            </w:r>
          </w:p>
          <w:p w14:paraId="3AC8F106" w14:textId="77777777" w:rsidR="00204B98" w:rsidRPr="00CF0099" w:rsidRDefault="00204B98" w:rsidP="005615F2">
            <w:pPr>
              <w:rPr>
                <w:rFonts w:ascii="Arial" w:hAnsi="Arial" w:cs="Arial"/>
              </w:rPr>
            </w:pPr>
            <w:r w:rsidRPr="00CF0099">
              <w:rPr>
                <w:rFonts w:ascii="Arial" w:hAnsi="Arial" w:cs="Arial"/>
              </w:rPr>
              <w:t>39</w:t>
            </w:r>
          </w:p>
          <w:p w14:paraId="49D33857" w14:textId="77777777" w:rsidR="00204B98" w:rsidRPr="00CF0099" w:rsidRDefault="00204B98" w:rsidP="005615F2">
            <w:pPr>
              <w:rPr>
                <w:rFonts w:ascii="Arial" w:hAnsi="Arial" w:cs="Arial"/>
              </w:rPr>
            </w:pPr>
            <w:r w:rsidRPr="00CF0099">
              <w:rPr>
                <w:rFonts w:ascii="Arial" w:hAnsi="Arial" w:cs="Arial"/>
              </w:rPr>
              <w:t>1</w:t>
            </w:r>
          </w:p>
          <w:p w14:paraId="47252E2F" w14:textId="77777777" w:rsidR="00204B98" w:rsidRPr="00CF0099" w:rsidRDefault="00204B98" w:rsidP="005615F2">
            <w:pPr>
              <w:rPr>
                <w:rFonts w:ascii="Arial" w:hAnsi="Arial" w:cs="Arial"/>
              </w:rPr>
            </w:pPr>
            <w:r w:rsidRPr="00CF0099">
              <w:rPr>
                <w:rFonts w:ascii="Arial" w:hAnsi="Arial" w:cs="Arial"/>
              </w:rPr>
              <w:t>3</w:t>
            </w:r>
          </w:p>
        </w:tc>
        <w:tc>
          <w:tcPr>
            <w:tcW w:w="1791" w:type="dxa"/>
          </w:tcPr>
          <w:p w14:paraId="78698CF9" w14:textId="77777777" w:rsidR="00204B98" w:rsidRPr="00CF0099" w:rsidRDefault="00204B98" w:rsidP="005615F2">
            <w:pPr>
              <w:rPr>
                <w:rFonts w:ascii="Arial" w:hAnsi="Arial" w:cs="Arial"/>
              </w:rPr>
            </w:pPr>
          </w:p>
          <w:p w14:paraId="04522CBD" w14:textId="77777777" w:rsidR="00204B98" w:rsidRPr="00CF0099" w:rsidRDefault="00204B98" w:rsidP="005615F2">
            <w:pPr>
              <w:rPr>
                <w:rFonts w:ascii="Arial" w:hAnsi="Arial" w:cs="Arial"/>
              </w:rPr>
            </w:pPr>
            <w:r w:rsidRPr="00CF0099">
              <w:rPr>
                <w:rFonts w:ascii="Arial" w:hAnsi="Arial" w:cs="Arial"/>
              </w:rPr>
              <w:t>55.2</w:t>
            </w:r>
          </w:p>
          <w:p w14:paraId="5F8B00EF" w14:textId="77777777" w:rsidR="00204B98" w:rsidRPr="00CF0099" w:rsidRDefault="00204B98" w:rsidP="005615F2">
            <w:pPr>
              <w:rPr>
                <w:rFonts w:ascii="Arial" w:hAnsi="Arial" w:cs="Arial"/>
              </w:rPr>
            </w:pPr>
            <w:r w:rsidRPr="00CF0099">
              <w:rPr>
                <w:rFonts w:ascii="Arial" w:hAnsi="Arial" w:cs="Arial"/>
              </w:rPr>
              <w:t>40.6</w:t>
            </w:r>
          </w:p>
          <w:p w14:paraId="72AFCC74" w14:textId="77777777" w:rsidR="00204B98" w:rsidRPr="00CF0099" w:rsidRDefault="00204B98" w:rsidP="005615F2">
            <w:pPr>
              <w:rPr>
                <w:rFonts w:ascii="Arial" w:hAnsi="Arial" w:cs="Arial"/>
              </w:rPr>
            </w:pPr>
            <w:r w:rsidRPr="00CF0099">
              <w:rPr>
                <w:rFonts w:ascii="Arial" w:hAnsi="Arial" w:cs="Arial"/>
              </w:rPr>
              <w:t>1.0</w:t>
            </w:r>
          </w:p>
          <w:p w14:paraId="5D43731A" w14:textId="77777777" w:rsidR="00204B98" w:rsidRPr="00CF0099" w:rsidRDefault="00204B98" w:rsidP="005615F2">
            <w:pPr>
              <w:rPr>
                <w:rFonts w:ascii="Arial" w:hAnsi="Arial" w:cs="Arial"/>
              </w:rPr>
            </w:pPr>
            <w:r w:rsidRPr="00CF0099">
              <w:rPr>
                <w:rFonts w:ascii="Arial" w:hAnsi="Arial" w:cs="Arial"/>
              </w:rPr>
              <w:t>3.1</w:t>
            </w:r>
          </w:p>
        </w:tc>
      </w:tr>
      <w:tr w:rsidR="00204B98" w:rsidRPr="00CF0099" w14:paraId="43E5E22B" w14:textId="77777777" w:rsidTr="005615F2">
        <w:tc>
          <w:tcPr>
            <w:tcW w:w="6374" w:type="dxa"/>
          </w:tcPr>
          <w:p w14:paraId="42828C3D" w14:textId="77777777" w:rsidR="00204B98" w:rsidRPr="00CF0099" w:rsidRDefault="00204B98" w:rsidP="005615F2">
            <w:pPr>
              <w:rPr>
                <w:rFonts w:ascii="Arial" w:hAnsi="Arial" w:cs="Arial"/>
              </w:rPr>
            </w:pPr>
            <w:r w:rsidRPr="00CF0099">
              <w:rPr>
                <w:rFonts w:ascii="Arial" w:hAnsi="Arial" w:cs="Arial"/>
              </w:rPr>
              <w:t>Ethnicity</w:t>
            </w:r>
          </w:p>
          <w:p w14:paraId="254ADECC" w14:textId="77777777" w:rsidR="00204B98" w:rsidRPr="00CF0099" w:rsidRDefault="00204B98" w:rsidP="005615F2">
            <w:pPr>
              <w:ind w:left="171"/>
              <w:rPr>
                <w:rFonts w:ascii="Arial" w:hAnsi="Arial" w:cs="Arial"/>
              </w:rPr>
            </w:pPr>
            <w:r w:rsidRPr="00CF0099">
              <w:rPr>
                <w:rFonts w:ascii="Arial" w:hAnsi="Arial" w:cs="Arial"/>
              </w:rPr>
              <w:t>White</w:t>
            </w:r>
          </w:p>
          <w:p w14:paraId="4451FB65" w14:textId="77777777" w:rsidR="00204B98" w:rsidRPr="00CF0099" w:rsidRDefault="00204B98" w:rsidP="005615F2">
            <w:pPr>
              <w:ind w:left="171"/>
              <w:rPr>
                <w:rFonts w:ascii="Arial" w:hAnsi="Arial" w:cs="Arial"/>
              </w:rPr>
            </w:pPr>
            <w:r w:rsidRPr="00CF0099">
              <w:rPr>
                <w:rFonts w:ascii="Arial" w:hAnsi="Arial" w:cs="Arial"/>
              </w:rPr>
              <w:t>Black African or Black Caribbean</w:t>
            </w:r>
          </w:p>
          <w:p w14:paraId="18262FE1" w14:textId="77777777" w:rsidR="00204B98" w:rsidRPr="00CF0099" w:rsidRDefault="00204B98" w:rsidP="005615F2">
            <w:pPr>
              <w:ind w:left="171"/>
              <w:rPr>
                <w:rFonts w:ascii="Arial" w:hAnsi="Arial" w:cs="Arial"/>
              </w:rPr>
            </w:pPr>
            <w:r w:rsidRPr="00CF0099">
              <w:rPr>
                <w:rFonts w:ascii="Arial" w:hAnsi="Arial" w:cs="Arial"/>
              </w:rPr>
              <w:t>Asian</w:t>
            </w:r>
          </w:p>
          <w:p w14:paraId="0C078A95" w14:textId="77777777" w:rsidR="00204B98" w:rsidRPr="00CF0099" w:rsidRDefault="00204B98" w:rsidP="005615F2">
            <w:pPr>
              <w:ind w:left="171"/>
              <w:rPr>
                <w:rFonts w:ascii="Arial" w:hAnsi="Arial" w:cs="Arial"/>
              </w:rPr>
            </w:pPr>
            <w:r w:rsidRPr="00CF0099">
              <w:rPr>
                <w:rFonts w:ascii="Arial" w:hAnsi="Arial" w:cs="Arial"/>
              </w:rPr>
              <w:t>Arab</w:t>
            </w:r>
          </w:p>
        </w:tc>
        <w:tc>
          <w:tcPr>
            <w:tcW w:w="851" w:type="dxa"/>
          </w:tcPr>
          <w:p w14:paraId="185C2051" w14:textId="77777777" w:rsidR="00204B98" w:rsidRPr="00CF0099" w:rsidRDefault="00204B98" w:rsidP="005615F2">
            <w:pPr>
              <w:rPr>
                <w:rFonts w:ascii="Arial" w:hAnsi="Arial" w:cs="Arial"/>
              </w:rPr>
            </w:pPr>
          </w:p>
          <w:p w14:paraId="21508105" w14:textId="77777777" w:rsidR="00204B98" w:rsidRPr="00CF0099" w:rsidRDefault="00204B98" w:rsidP="005615F2">
            <w:pPr>
              <w:rPr>
                <w:rFonts w:ascii="Arial" w:hAnsi="Arial" w:cs="Arial"/>
              </w:rPr>
            </w:pPr>
            <w:r w:rsidRPr="00CF0099">
              <w:rPr>
                <w:rFonts w:ascii="Arial" w:hAnsi="Arial" w:cs="Arial"/>
              </w:rPr>
              <w:t>42</w:t>
            </w:r>
          </w:p>
          <w:p w14:paraId="28725C22" w14:textId="77777777" w:rsidR="00204B98" w:rsidRPr="00CF0099" w:rsidRDefault="00204B98" w:rsidP="005615F2">
            <w:pPr>
              <w:rPr>
                <w:rFonts w:ascii="Arial" w:hAnsi="Arial" w:cs="Arial"/>
              </w:rPr>
            </w:pPr>
            <w:r w:rsidRPr="00CF0099">
              <w:rPr>
                <w:rFonts w:ascii="Arial" w:hAnsi="Arial" w:cs="Arial"/>
              </w:rPr>
              <w:t>9</w:t>
            </w:r>
          </w:p>
          <w:p w14:paraId="46454A7C" w14:textId="77777777" w:rsidR="00204B98" w:rsidRPr="00CF0099" w:rsidRDefault="00204B98" w:rsidP="005615F2">
            <w:pPr>
              <w:rPr>
                <w:rFonts w:ascii="Arial" w:hAnsi="Arial" w:cs="Arial"/>
              </w:rPr>
            </w:pPr>
            <w:r w:rsidRPr="00CF0099">
              <w:rPr>
                <w:rFonts w:ascii="Arial" w:hAnsi="Arial" w:cs="Arial"/>
              </w:rPr>
              <w:t>18</w:t>
            </w:r>
          </w:p>
          <w:p w14:paraId="6B47517C" w14:textId="77777777" w:rsidR="00204B98" w:rsidRPr="00CF0099" w:rsidRDefault="00204B98" w:rsidP="005615F2">
            <w:pPr>
              <w:rPr>
                <w:rFonts w:ascii="Arial" w:hAnsi="Arial" w:cs="Arial"/>
              </w:rPr>
            </w:pPr>
            <w:r w:rsidRPr="00CF0099">
              <w:rPr>
                <w:rFonts w:ascii="Arial" w:hAnsi="Arial" w:cs="Arial"/>
              </w:rPr>
              <w:t>27</w:t>
            </w:r>
          </w:p>
        </w:tc>
        <w:tc>
          <w:tcPr>
            <w:tcW w:w="1791" w:type="dxa"/>
          </w:tcPr>
          <w:p w14:paraId="2A0DE51B" w14:textId="77777777" w:rsidR="00204B98" w:rsidRPr="00CF0099" w:rsidRDefault="00204B98" w:rsidP="005615F2">
            <w:pPr>
              <w:rPr>
                <w:rFonts w:ascii="Arial" w:hAnsi="Arial" w:cs="Arial"/>
              </w:rPr>
            </w:pPr>
          </w:p>
          <w:p w14:paraId="721AF560" w14:textId="77777777" w:rsidR="00204B98" w:rsidRPr="00CF0099" w:rsidRDefault="00204B98" w:rsidP="005615F2">
            <w:pPr>
              <w:rPr>
                <w:rFonts w:ascii="Arial" w:hAnsi="Arial" w:cs="Arial"/>
              </w:rPr>
            </w:pPr>
            <w:r w:rsidRPr="00CF0099">
              <w:rPr>
                <w:rFonts w:ascii="Arial" w:hAnsi="Arial" w:cs="Arial"/>
              </w:rPr>
              <w:t>23.8</w:t>
            </w:r>
          </w:p>
          <w:p w14:paraId="0F446967" w14:textId="77777777" w:rsidR="00204B98" w:rsidRPr="00CF0099" w:rsidRDefault="00204B98" w:rsidP="005615F2">
            <w:pPr>
              <w:rPr>
                <w:rFonts w:ascii="Arial" w:hAnsi="Arial" w:cs="Arial"/>
              </w:rPr>
            </w:pPr>
            <w:r w:rsidRPr="00CF0099">
              <w:rPr>
                <w:rFonts w:ascii="Arial" w:hAnsi="Arial" w:cs="Arial"/>
              </w:rPr>
              <w:t>9.4</w:t>
            </w:r>
          </w:p>
          <w:p w14:paraId="4E8C3BE8" w14:textId="77777777" w:rsidR="00204B98" w:rsidRPr="00CF0099" w:rsidRDefault="00204B98" w:rsidP="005615F2">
            <w:pPr>
              <w:rPr>
                <w:rFonts w:ascii="Arial" w:hAnsi="Arial" w:cs="Arial"/>
              </w:rPr>
            </w:pPr>
            <w:r w:rsidRPr="00CF0099">
              <w:rPr>
                <w:rFonts w:ascii="Arial" w:hAnsi="Arial" w:cs="Arial"/>
              </w:rPr>
              <w:t>18.8</w:t>
            </w:r>
          </w:p>
          <w:p w14:paraId="74E3028D" w14:textId="77777777" w:rsidR="00204B98" w:rsidRPr="00CF0099" w:rsidRDefault="00204B98" w:rsidP="005615F2">
            <w:pPr>
              <w:rPr>
                <w:rFonts w:ascii="Arial" w:hAnsi="Arial" w:cs="Arial"/>
              </w:rPr>
            </w:pPr>
            <w:r w:rsidRPr="00CF0099">
              <w:rPr>
                <w:rFonts w:ascii="Arial" w:hAnsi="Arial" w:cs="Arial"/>
              </w:rPr>
              <w:t>28.1</w:t>
            </w:r>
          </w:p>
        </w:tc>
      </w:tr>
      <w:tr w:rsidR="00204B98" w:rsidRPr="00CF0099" w14:paraId="3E3D552D" w14:textId="77777777" w:rsidTr="005615F2">
        <w:tc>
          <w:tcPr>
            <w:tcW w:w="6374" w:type="dxa"/>
          </w:tcPr>
          <w:p w14:paraId="65226AB4" w14:textId="77777777" w:rsidR="00204B98" w:rsidRPr="0088541E" w:rsidRDefault="00204B98" w:rsidP="005615F2">
            <w:pPr>
              <w:rPr>
                <w:rFonts w:ascii="Arial" w:hAnsi="Arial" w:cs="Arial"/>
                <w:b/>
              </w:rPr>
            </w:pPr>
            <w:r>
              <w:rPr>
                <w:rFonts w:ascii="Arial" w:hAnsi="Arial" w:cs="Arial"/>
                <w:b/>
              </w:rPr>
              <w:t>Socio-economic characteristics</w:t>
            </w:r>
          </w:p>
        </w:tc>
        <w:tc>
          <w:tcPr>
            <w:tcW w:w="851" w:type="dxa"/>
          </w:tcPr>
          <w:p w14:paraId="7464687C" w14:textId="77777777" w:rsidR="00204B98" w:rsidRPr="00CF0099" w:rsidRDefault="00204B98" w:rsidP="005615F2">
            <w:pPr>
              <w:rPr>
                <w:rFonts w:ascii="Arial" w:hAnsi="Arial" w:cs="Arial"/>
              </w:rPr>
            </w:pPr>
          </w:p>
        </w:tc>
        <w:tc>
          <w:tcPr>
            <w:tcW w:w="1791" w:type="dxa"/>
          </w:tcPr>
          <w:p w14:paraId="4B0948DE" w14:textId="77777777" w:rsidR="00204B98" w:rsidRPr="00CF0099" w:rsidRDefault="00204B98" w:rsidP="005615F2">
            <w:pPr>
              <w:rPr>
                <w:rFonts w:ascii="Arial" w:hAnsi="Arial" w:cs="Arial"/>
              </w:rPr>
            </w:pPr>
          </w:p>
        </w:tc>
      </w:tr>
      <w:tr w:rsidR="00204B98" w:rsidRPr="00CF0099" w14:paraId="565E23B0" w14:textId="77777777" w:rsidTr="005615F2">
        <w:tc>
          <w:tcPr>
            <w:tcW w:w="6374" w:type="dxa"/>
          </w:tcPr>
          <w:p w14:paraId="51F961BC" w14:textId="77777777" w:rsidR="00204B98" w:rsidRPr="00CF0099" w:rsidRDefault="00204B98" w:rsidP="005615F2">
            <w:pPr>
              <w:rPr>
                <w:rFonts w:ascii="Arial" w:hAnsi="Arial" w:cs="Arial"/>
              </w:rPr>
            </w:pPr>
            <w:r w:rsidRPr="00CF0099">
              <w:rPr>
                <w:rFonts w:ascii="Arial" w:hAnsi="Arial" w:cs="Arial"/>
              </w:rPr>
              <w:t>Education</w:t>
            </w:r>
          </w:p>
          <w:p w14:paraId="67274096" w14:textId="77777777" w:rsidR="00204B98" w:rsidRPr="00CF0099" w:rsidRDefault="00204B98" w:rsidP="005615F2">
            <w:pPr>
              <w:ind w:left="171"/>
              <w:rPr>
                <w:rFonts w:ascii="Arial" w:hAnsi="Arial" w:cs="Arial"/>
              </w:rPr>
            </w:pPr>
            <w:r w:rsidRPr="00CF0099">
              <w:rPr>
                <w:rFonts w:ascii="Arial" w:hAnsi="Arial" w:cs="Arial"/>
              </w:rPr>
              <w:t>Below secondary</w:t>
            </w:r>
          </w:p>
          <w:p w14:paraId="67E5ABC8" w14:textId="77777777" w:rsidR="00204B98" w:rsidRPr="00CF0099" w:rsidRDefault="00204B98" w:rsidP="005615F2">
            <w:pPr>
              <w:ind w:left="171"/>
              <w:rPr>
                <w:rFonts w:ascii="Arial" w:hAnsi="Arial" w:cs="Arial"/>
              </w:rPr>
            </w:pPr>
            <w:r w:rsidRPr="00CF0099">
              <w:rPr>
                <w:rFonts w:ascii="Arial" w:hAnsi="Arial" w:cs="Arial"/>
              </w:rPr>
              <w:t>Secondary</w:t>
            </w:r>
          </w:p>
          <w:p w14:paraId="70FC0A12" w14:textId="77777777" w:rsidR="00204B98" w:rsidRPr="00CF0099" w:rsidRDefault="00204B98" w:rsidP="005615F2">
            <w:pPr>
              <w:ind w:left="171"/>
              <w:rPr>
                <w:rFonts w:ascii="Arial" w:hAnsi="Arial" w:cs="Arial"/>
              </w:rPr>
            </w:pPr>
            <w:r w:rsidRPr="00CF0099">
              <w:rPr>
                <w:rFonts w:ascii="Arial" w:hAnsi="Arial" w:cs="Arial"/>
              </w:rPr>
              <w:t>University</w:t>
            </w:r>
          </w:p>
        </w:tc>
        <w:tc>
          <w:tcPr>
            <w:tcW w:w="851" w:type="dxa"/>
          </w:tcPr>
          <w:p w14:paraId="101B3C65" w14:textId="77777777" w:rsidR="00204B98" w:rsidRPr="00CF0099" w:rsidRDefault="00204B98" w:rsidP="005615F2">
            <w:pPr>
              <w:rPr>
                <w:rFonts w:ascii="Arial" w:hAnsi="Arial" w:cs="Arial"/>
              </w:rPr>
            </w:pPr>
          </w:p>
          <w:p w14:paraId="7FE898DF" w14:textId="77777777" w:rsidR="00204B98" w:rsidRPr="00CF0099" w:rsidRDefault="00204B98" w:rsidP="005615F2">
            <w:pPr>
              <w:rPr>
                <w:rFonts w:ascii="Arial" w:hAnsi="Arial" w:cs="Arial"/>
              </w:rPr>
            </w:pPr>
            <w:r w:rsidRPr="00CF0099">
              <w:rPr>
                <w:rFonts w:ascii="Arial" w:hAnsi="Arial" w:cs="Arial"/>
              </w:rPr>
              <w:t>15</w:t>
            </w:r>
          </w:p>
          <w:p w14:paraId="193DAD55" w14:textId="77777777" w:rsidR="00204B98" w:rsidRPr="00CF0099" w:rsidRDefault="00204B98" w:rsidP="005615F2">
            <w:pPr>
              <w:rPr>
                <w:rFonts w:ascii="Arial" w:hAnsi="Arial" w:cs="Arial"/>
              </w:rPr>
            </w:pPr>
            <w:r w:rsidRPr="00CF0099">
              <w:rPr>
                <w:rFonts w:ascii="Arial" w:hAnsi="Arial" w:cs="Arial"/>
              </w:rPr>
              <w:t>38</w:t>
            </w:r>
          </w:p>
          <w:p w14:paraId="6E2F5557" w14:textId="77777777" w:rsidR="00204B98" w:rsidRPr="00CF0099" w:rsidRDefault="00204B98" w:rsidP="005615F2">
            <w:pPr>
              <w:rPr>
                <w:rFonts w:ascii="Arial" w:hAnsi="Arial" w:cs="Arial"/>
              </w:rPr>
            </w:pPr>
            <w:r w:rsidRPr="00CF0099">
              <w:rPr>
                <w:rFonts w:ascii="Arial" w:hAnsi="Arial" w:cs="Arial"/>
              </w:rPr>
              <w:t>45</w:t>
            </w:r>
          </w:p>
        </w:tc>
        <w:tc>
          <w:tcPr>
            <w:tcW w:w="1791" w:type="dxa"/>
          </w:tcPr>
          <w:p w14:paraId="28E9E50A" w14:textId="77777777" w:rsidR="00204B98" w:rsidRPr="00CF0099" w:rsidRDefault="00204B98" w:rsidP="005615F2">
            <w:pPr>
              <w:rPr>
                <w:rFonts w:ascii="Arial" w:hAnsi="Arial" w:cs="Arial"/>
              </w:rPr>
            </w:pPr>
          </w:p>
          <w:p w14:paraId="300482FB" w14:textId="77777777" w:rsidR="00204B98" w:rsidRPr="00CF0099" w:rsidRDefault="00204B98" w:rsidP="005615F2">
            <w:pPr>
              <w:rPr>
                <w:rFonts w:ascii="Arial" w:hAnsi="Arial" w:cs="Arial"/>
              </w:rPr>
            </w:pPr>
            <w:r w:rsidRPr="00CF0099">
              <w:rPr>
                <w:rFonts w:ascii="Arial" w:hAnsi="Arial" w:cs="Arial"/>
              </w:rPr>
              <w:t>15.6</w:t>
            </w:r>
          </w:p>
          <w:p w14:paraId="3821A290" w14:textId="77777777" w:rsidR="00204B98" w:rsidRPr="00CF0099" w:rsidRDefault="00204B98" w:rsidP="005615F2">
            <w:pPr>
              <w:rPr>
                <w:rFonts w:ascii="Arial" w:hAnsi="Arial" w:cs="Arial"/>
              </w:rPr>
            </w:pPr>
            <w:r w:rsidRPr="00CF0099">
              <w:rPr>
                <w:rFonts w:ascii="Arial" w:hAnsi="Arial" w:cs="Arial"/>
              </w:rPr>
              <w:t>38.5</w:t>
            </w:r>
          </w:p>
          <w:p w14:paraId="7D663DCF" w14:textId="77777777" w:rsidR="00204B98" w:rsidRPr="00CF0099" w:rsidRDefault="00204B98" w:rsidP="005615F2">
            <w:pPr>
              <w:rPr>
                <w:rFonts w:ascii="Arial" w:hAnsi="Arial" w:cs="Arial"/>
              </w:rPr>
            </w:pPr>
            <w:r w:rsidRPr="00CF0099">
              <w:rPr>
                <w:rFonts w:ascii="Arial" w:hAnsi="Arial" w:cs="Arial"/>
              </w:rPr>
              <w:t>45.8</w:t>
            </w:r>
          </w:p>
        </w:tc>
      </w:tr>
      <w:tr w:rsidR="00204B98" w:rsidRPr="00CF0099" w14:paraId="7B734A96" w14:textId="77777777" w:rsidTr="005615F2">
        <w:tc>
          <w:tcPr>
            <w:tcW w:w="6374" w:type="dxa"/>
          </w:tcPr>
          <w:p w14:paraId="748BE995" w14:textId="77777777" w:rsidR="00204B98" w:rsidRPr="00CF0099" w:rsidRDefault="00204B98" w:rsidP="005615F2">
            <w:pPr>
              <w:rPr>
                <w:rFonts w:ascii="Arial" w:hAnsi="Arial" w:cs="Arial"/>
              </w:rPr>
            </w:pPr>
            <w:r w:rsidRPr="00CF0099">
              <w:rPr>
                <w:rFonts w:ascii="Arial" w:hAnsi="Arial" w:cs="Arial"/>
              </w:rPr>
              <w:t>Employment</w:t>
            </w:r>
          </w:p>
          <w:p w14:paraId="368CE062" w14:textId="77777777" w:rsidR="00204B98" w:rsidRPr="00CF0099" w:rsidRDefault="00204B98" w:rsidP="005615F2">
            <w:pPr>
              <w:ind w:left="171"/>
              <w:rPr>
                <w:rFonts w:ascii="Arial" w:hAnsi="Arial" w:cs="Arial"/>
              </w:rPr>
            </w:pPr>
            <w:r w:rsidRPr="00CF0099">
              <w:rPr>
                <w:rFonts w:ascii="Arial" w:hAnsi="Arial" w:cs="Arial"/>
              </w:rPr>
              <w:t>Employed</w:t>
            </w:r>
          </w:p>
          <w:p w14:paraId="5588CEC4" w14:textId="77777777" w:rsidR="00204B98" w:rsidRPr="00CF0099" w:rsidRDefault="00204B98" w:rsidP="005615F2">
            <w:pPr>
              <w:ind w:left="171"/>
              <w:rPr>
                <w:rFonts w:ascii="Arial" w:hAnsi="Arial" w:cs="Arial"/>
              </w:rPr>
            </w:pPr>
            <w:r w:rsidRPr="00CF0099">
              <w:rPr>
                <w:rFonts w:ascii="Arial" w:hAnsi="Arial" w:cs="Arial"/>
              </w:rPr>
              <w:t>Student</w:t>
            </w:r>
          </w:p>
          <w:p w14:paraId="7C7113C2" w14:textId="77777777" w:rsidR="00204B98" w:rsidRPr="00CF0099" w:rsidRDefault="00204B98" w:rsidP="005615F2">
            <w:pPr>
              <w:ind w:left="171"/>
              <w:rPr>
                <w:rFonts w:ascii="Arial" w:hAnsi="Arial" w:cs="Arial"/>
              </w:rPr>
            </w:pPr>
            <w:r w:rsidRPr="00CF0099">
              <w:rPr>
                <w:rFonts w:ascii="Arial" w:hAnsi="Arial" w:cs="Arial"/>
              </w:rPr>
              <w:t>Unemployed/Economically inactive</w:t>
            </w:r>
          </w:p>
          <w:p w14:paraId="19100286" w14:textId="77777777" w:rsidR="00204B98" w:rsidRPr="00CF0099" w:rsidRDefault="00204B98" w:rsidP="005615F2">
            <w:pPr>
              <w:ind w:left="171"/>
              <w:rPr>
                <w:rFonts w:ascii="Arial" w:hAnsi="Arial" w:cs="Arial"/>
              </w:rPr>
            </w:pPr>
            <w:r w:rsidRPr="00CF0099">
              <w:rPr>
                <w:rFonts w:ascii="Arial" w:hAnsi="Arial" w:cs="Arial"/>
              </w:rPr>
              <w:t>Home</w:t>
            </w:r>
          </w:p>
        </w:tc>
        <w:tc>
          <w:tcPr>
            <w:tcW w:w="851" w:type="dxa"/>
          </w:tcPr>
          <w:p w14:paraId="163D8AB3" w14:textId="77777777" w:rsidR="00204B98" w:rsidRPr="00CF0099" w:rsidRDefault="00204B98" w:rsidP="005615F2">
            <w:pPr>
              <w:rPr>
                <w:rFonts w:ascii="Arial" w:hAnsi="Arial" w:cs="Arial"/>
              </w:rPr>
            </w:pPr>
          </w:p>
          <w:p w14:paraId="51FEBB76" w14:textId="77777777" w:rsidR="00204B98" w:rsidRPr="00CF0099" w:rsidRDefault="00204B98" w:rsidP="005615F2">
            <w:pPr>
              <w:rPr>
                <w:rFonts w:ascii="Arial" w:hAnsi="Arial" w:cs="Arial"/>
              </w:rPr>
            </w:pPr>
            <w:r w:rsidRPr="00CF0099">
              <w:rPr>
                <w:rFonts w:ascii="Arial" w:hAnsi="Arial" w:cs="Arial"/>
              </w:rPr>
              <w:t>59</w:t>
            </w:r>
          </w:p>
          <w:p w14:paraId="346A6DD1" w14:textId="77777777" w:rsidR="00204B98" w:rsidRPr="00CF0099" w:rsidRDefault="00204B98" w:rsidP="005615F2">
            <w:pPr>
              <w:rPr>
                <w:rFonts w:ascii="Arial" w:hAnsi="Arial" w:cs="Arial"/>
              </w:rPr>
            </w:pPr>
            <w:r w:rsidRPr="00CF0099">
              <w:rPr>
                <w:rFonts w:ascii="Arial" w:hAnsi="Arial" w:cs="Arial"/>
              </w:rPr>
              <w:t>9</w:t>
            </w:r>
          </w:p>
          <w:p w14:paraId="7203BD7E" w14:textId="77777777" w:rsidR="00204B98" w:rsidRPr="00CF0099" w:rsidRDefault="00204B98" w:rsidP="005615F2">
            <w:pPr>
              <w:rPr>
                <w:rFonts w:ascii="Arial" w:hAnsi="Arial" w:cs="Arial"/>
              </w:rPr>
            </w:pPr>
            <w:r w:rsidRPr="00CF0099">
              <w:rPr>
                <w:rFonts w:ascii="Arial" w:hAnsi="Arial" w:cs="Arial"/>
              </w:rPr>
              <w:t>25</w:t>
            </w:r>
          </w:p>
          <w:p w14:paraId="1489916C" w14:textId="77777777" w:rsidR="00204B98" w:rsidRPr="00CF0099" w:rsidRDefault="00204B98" w:rsidP="005615F2">
            <w:pPr>
              <w:rPr>
                <w:rFonts w:ascii="Arial" w:hAnsi="Arial" w:cs="Arial"/>
              </w:rPr>
            </w:pPr>
            <w:r w:rsidRPr="00CF0099">
              <w:rPr>
                <w:rFonts w:ascii="Arial" w:hAnsi="Arial" w:cs="Arial"/>
              </w:rPr>
              <w:t>3</w:t>
            </w:r>
          </w:p>
        </w:tc>
        <w:tc>
          <w:tcPr>
            <w:tcW w:w="1791" w:type="dxa"/>
          </w:tcPr>
          <w:p w14:paraId="7C9C9F71" w14:textId="77777777" w:rsidR="00204B98" w:rsidRPr="00CF0099" w:rsidRDefault="00204B98" w:rsidP="005615F2">
            <w:pPr>
              <w:rPr>
                <w:rFonts w:ascii="Arial" w:hAnsi="Arial" w:cs="Arial"/>
              </w:rPr>
            </w:pPr>
          </w:p>
          <w:p w14:paraId="1F9DAFA2" w14:textId="77777777" w:rsidR="00204B98" w:rsidRPr="00CF0099" w:rsidRDefault="00204B98" w:rsidP="005615F2">
            <w:pPr>
              <w:rPr>
                <w:rFonts w:ascii="Arial" w:hAnsi="Arial" w:cs="Arial"/>
              </w:rPr>
            </w:pPr>
            <w:r w:rsidRPr="00CF0099">
              <w:rPr>
                <w:rFonts w:ascii="Arial" w:hAnsi="Arial" w:cs="Arial"/>
              </w:rPr>
              <w:t>61.5</w:t>
            </w:r>
          </w:p>
          <w:p w14:paraId="7F679DCF" w14:textId="77777777" w:rsidR="00204B98" w:rsidRPr="00CF0099" w:rsidRDefault="00204B98" w:rsidP="005615F2">
            <w:pPr>
              <w:rPr>
                <w:rFonts w:ascii="Arial" w:hAnsi="Arial" w:cs="Arial"/>
              </w:rPr>
            </w:pPr>
            <w:r w:rsidRPr="00CF0099">
              <w:rPr>
                <w:rFonts w:ascii="Arial" w:hAnsi="Arial" w:cs="Arial"/>
              </w:rPr>
              <w:t>9.4</w:t>
            </w:r>
          </w:p>
          <w:p w14:paraId="451E04BC" w14:textId="77777777" w:rsidR="00204B98" w:rsidRPr="00CF0099" w:rsidRDefault="00204B98" w:rsidP="005615F2">
            <w:pPr>
              <w:rPr>
                <w:rFonts w:ascii="Arial" w:hAnsi="Arial" w:cs="Arial"/>
              </w:rPr>
            </w:pPr>
            <w:r w:rsidRPr="00CF0099">
              <w:rPr>
                <w:rFonts w:ascii="Arial" w:hAnsi="Arial" w:cs="Arial"/>
              </w:rPr>
              <w:t>26.0</w:t>
            </w:r>
          </w:p>
          <w:p w14:paraId="2BA887ED" w14:textId="77777777" w:rsidR="00204B98" w:rsidRPr="00CF0099" w:rsidRDefault="00204B98" w:rsidP="005615F2">
            <w:pPr>
              <w:rPr>
                <w:rFonts w:ascii="Arial" w:hAnsi="Arial" w:cs="Arial"/>
              </w:rPr>
            </w:pPr>
            <w:r w:rsidRPr="00CF0099">
              <w:rPr>
                <w:rFonts w:ascii="Arial" w:hAnsi="Arial" w:cs="Arial"/>
              </w:rPr>
              <w:t>3.1</w:t>
            </w:r>
          </w:p>
        </w:tc>
      </w:tr>
      <w:tr w:rsidR="00204B98" w:rsidRPr="00CF0099" w14:paraId="21CE4A5B" w14:textId="77777777" w:rsidTr="005615F2">
        <w:tc>
          <w:tcPr>
            <w:tcW w:w="6374" w:type="dxa"/>
          </w:tcPr>
          <w:p w14:paraId="1101653D" w14:textId="77777777" w:rsidR="00204B98" w:rsidRPr="00CF0099" w:rsidRDefault="00204B98" w:rsidP="005615F2">
            <w:pPr>
              <w:rPr>
                <w:rFonts w:ascii="Arial" w:hAnsi="Arial" w:cs="Arial"/>
              </w:rPr>
            </w:pPr>
            <w:r w:rsidRPr="00CF0099">
              <w:rPr>
                <w:rFonts w:ascii="Arial" w:hAnsi="Arial" w:cs="Arial"/>
              </w:rPr>
              <w:t>Household income</w:t>
            </w:r>
            <w:r>
              <w:rPr>
                <w:rFonts w:ascii="Arial" w:hAnsi="Arial" w:cs="Arial"/>
              </w:rPr>
              <w:t>*</w:t>
            </w:r>
          </w:p>
          <w:p w14:paraId="7D959BAA" w14:textId="77777777" w:rsidR="00204B98" w:rsidRPr="00CF0099" w:rsidRDefault="00204B98" w:rsidP="005615F2">
            <w:pPr>
              <w:ind w:left="171"/>
              <w:rPr>
                <w:rFonts w:ascii="Arial" w:hAnsi="Arial" w:cs="Arial"/>
              </w:rPr>
            </w:pPr>
            <w:r w:rsidRPr="00CF0099">
              <w:rPr>
                <w:rFonts w:ascii="Arial" w:hAnsi="Arial" w:cs="Arial"/>
              </w:rPr>
              <w:t>£0-420</w:t>
            </w:r>
          </w:p>
          <w:p w14:paraId="6F81C609" w14:textId="77777777" w:rsidR="00204B98" w:rsidRPr="00CF0099" w:rsidRDefault="00204B98" w:rsidP="005615F2">
            <w:pPr>
              <w:ind w:left="171"/>
              <w:rPr>
                <w:rFonts w:ascii="Arial" w:hAnsi="Arial" w:cs="Arial"/>
              </w:rPr>
            </w:pPr>
            <w:r w:rsidRPr="00CF0099">
              <w:rPr>
                <w:rFonts w:ascii="Arial" w:hAnsi="Arial" w:cs="Arial"/>
              </w:rPr>
              <w:t>£421-928</w:t>
            </w:r>
          </w:p>
          <w:p w14:paraId="60973C15" w14:textId="77777777" w:rsidR="00204B98" w:rsidRPr="00CF0099" w:rsidRDefault="00204B98" w:rsidP="005615F2">
            <w:pPr>
              <w:ind w:left="171"/>
              <w:rPr>
                <w:rFonts w:ascii="Arial" w:hAnsi="Arial" w:cs="Arial"/>
              </w:rPr>
            </w:pPr>
            <w:r w:rsidRPr="00CF0099">
              <w:rPr>
                <w:rFonts w:ascii="Arial" w:hAnsi="Arial" w:cs="Arial"/>
              </w:rPr>
              <w:t>£929-1592</w:t>
            </w:r>
          </w:p>
          <w:p w14:paraId="24E8D25D" w14:textId="77777777" w:rsidR="00204B98" w:rsidRPr="00CF0099" w:rsidRDefault="00204B98" w:rsidP="005615F2">
            <w:pPr>
              <w:ind w:left="171"/>
              <w:rPr>
                <w:rFonts w:ascii="Arial" w:hAnsi="Arial" w:cs="Arial"/>
              </w:rPr>
            </w:pPr>
            <w:r w:rsidRPr="00CF0099">
              <w:rPr>
                <w:rFonts w:ascii="Arial" w:hAnsi="Arial" w:cs="Arial"/>
              </w:rPr>
              <w:lastRenderedPageBreak/>
              <w:t>£1593-2471</w:t>
            </w:r>
          </w:p>
          <w:p w14:paraId="12DB005F" w14:textId="57952DBF" w:rsidR="00204B98" w:rsidRPr="00CF0099" w:rsidRDefault="00204B98" w:rsidP="005615F2">
            <w:pPr>
              <w:ind w:left="171"/>
              <w:rPr>
                <w:rFonts w:ascii="Arial" w:hAnsi="Arial" w:cs="Arial"/>
              </w:rPr>
            </w:pPr>
            <w:r w:rsidRPr="00CF0099">
              <w:rPr>
                <w:rFonts w:ascii="Arial" w:hAnsi="Arial" w:cs="Arial"/>
              </w:rPr>
              <w:t>£2471</w:t>
            </w:r>
            <w:r w:rsidR="00052928">
              <w:rPr>
                <w:rFonts w:ascii="Arial" w:hAnsi="Arial" w:cs="Arial"/>
              </w:rPr>
              <w:t>+</w:t>
            </w:r>
          </w:p>
        </w:tc>
        <w:tc>
          <w:tcPr>
            <w:tcW w:w="851" w:type="dxa"/>
          </w:tcPr>
          <w:p w14:paraId="76A9F408" w14:textId="77777777" w:rsidR="00204B98" w:rsidRPr="00CF0099" w:rsidRDefault="00204B98" w:rsidP="005615F2">
            <w:pPr>
              <w:rPr>
                <w:rFonts w:ascii="Arial" w:hAnsi="Arial" w:cs="Arial"/>
              </w:rPr>
            </w:pPr>
          </w:p>
          <w:p w14:paraId="7103C799" w14:textId="77777777" w:rsidR="00204B98" w:rsidRPr="00CF0099" w:rsidRDefault="00204B98" w:rsidP="005615F2">
            <w:pPr>
              <w:rPr>
                <w:rFonts w:ascii="Arial" w:hAnsi="Arial" w:cs="Arial"/>
              </w:rPr>
            </w:pPr>
            <w:r w:rsidRPr="00CF0099">
              <w:rPr>
                <w:rFonts w:ascii="Arial" w:hAnsi="Arial" w:cs="Arial"/>
              </w:rPr>
              <w:t>21</w:t>
            </w:r>
          </w:p>
          <w:p w14:paraId="390D199D" w14:textId="77777777" w:rsidR="00204B98" w:rsidRPr="00CF0099" w:rsidRDefault="00204B98" w:rsidP="005615F2">
            <w:pPr>
              <w:rPr>
                <w:rFonts w:ascii="Arial" w:hAnsi="Arial" w:cs="Arial"/>
              </w:rPr>
            </w:pPr>
            <w:r w:rsidRPr="00CF0099">
              <w:rPr>
                <w:rFonts w:ascii="Arial" w:hAnsi="Arial" w:cs="Arial"/>
              </w:rPr>
              <w:t>14</w:t>
            </w:r>
          </w:p>
          <w:p w14:paraId="469C7E91" w14:textId="77777777" w:rsidR="00204B98" w:rsidRPr="00CF0099" w:rsidRDefault="00204B98" w:rsidP="005615F2">
            <w:pPr>
              <w:rPr>
                <w:rFonts w:ascii="Arial" w:hAnsi="Arial" w:cs="Arial"/>
              </w:rPr>
            </w:pPr>
            <w:r w:rsidRPr="00CF0099">
              <w:rPr>
                <w:rFonts w:ascii="Arial" w:hAnsi="Arial" w:cs="Arial"/>
              </w:rPr>
              <w:t>25</w:t>
            </w:r>
          </w:p>
          <w:p w14:paraId="7CB0550B" w14:textId="77777777" w:rsidR="00204B98" w:rsidRPr="00CF0099" w:rsidRDefault="00204B98" w:rsidP="005615F2">
            <w:pPr>
              <w:rPr>
                <w:rFonts w:ascii="Arial" w:hAnsi="Arial" w:cs="Arial"/>
              </w:rPr>
            </w:pPr>
            <w:r w:rsidRPr="00CF0099">
              <w:rPr>
                <w:rFonts w:ascii="Arial" w:hAnsi="Arial" w:cs="Arial"/>
              </w:rPr>
              <w:lastRenderedPageBreak/>
              <w:t>14</w:t>
            </w:r>
          </w:p>
          <w:p w14:paraId="13BB7512" w14:textId="77777777" w:rsidR="00204B98" w:rsidRPr="00CF0099" w:rsidRDefault="00204B98" w:rsidP="005615F2">
            <w:pPr>
              <w:rPr>
                <w:rFonts w:ascii="Arial" w:hAnsi="Arial" w:cs="Arial"/>
              </w:rPr>
            </w:pPr>
            <w:r w:rsidRPr="00CF0099">
              <w:rPr>
                <w:rFonts w:ascii="Arial" w:hAnsi="Arial" w:cs="Arial"/>
              </w:rPr>
              <w:t>20</w:t>
            </w:r>
          </w:p>
        </w:tc>
        <w:tc>
          <w:tcPr>
            <w:tcW w:w="1791" w:type="dxa"/>
          </w:tcPr>
          <w:p w14:paraId="1986E093" w14:textId="77777777" w:rsidR="00204B98" w:rsidRPr="00CF0099" w:rsidRDefault="00204B98" w:rsidP="005615F2">
            <w:pPr>
              <w:rPr>
                <w:rFonts w:ascii="Arial" w:hAnsi="Arial" w:cs="Arial"/>
              </w:rPr>
            </w:pPr>
          </w:p>
          <w:p w14:paraId="6662213F" w14:textId="77777777" w:rsidR="00204B98" w:rsidRPr="00CF0099" w:rsidRDefault="00204B98" w:rsidP="005615F2">
            <w:pPr>
              <w:rPr>
                <w:rFonts w:ascii="Arial" w:hAnsi="Arial" w:cs="Arial"/>
              </w:rPr>
            </w:pPr>
            <w:r w:rsidRPr="00CF0099">
              <w:rPr>
                <w:rFonts w:ascii="Arial" w:hAnsi="Arial" w:cs="Arial"/>
              </w:rPr>
              <w:t>22.3</w:t>
            </w:r>
          </w:p>
          <w:p w14:paraId="5DA2506A" w14:textId="77777777" w:rsidR="00204B98" w:rsidRPr="00CF0099" w:rsidRDefault="00204B98" w:rsidP="005615F2">
            <w:pPr>
              <w:rPr>
                <w:rFonts w:ascii="Arial" w:hAnsi="Arial" w:cs="Arial"/>
              </w:rPr>
            </w:pPr>
            <w:r w:rsidRPr="00CF0099">
              <w:rPr>
                <w:rFonts w:ascii="Arial" w:hAnsi="Arial" w:cs="Arial"/>
              </w:rPr>
              <w:t>14.9</w:t>
            </w:r>
          </w:p>
          <w:p w14:paraId="36F3ED3E" w14:textId="77777777" w:rsidR="00204B98" w:rsidRPr="00CF0099" w:rsidRDefault="00204B98" w:rsidP="005615F2">
            <w:pPr>
              <w:rPr>
                <w:rFonts w:ascii="Arial" w:hAnsi="Arial" w:cs="Arial"/>
              </w:rPr>
            </w:pPr>
            <w:r w:rsidRPr="00CF0099">
              <w:rPr>
                <w:rFonts w:ascii="Arial" w:hAnsi="Arial" w:cs="Arial"/>
              </w:rPr>
              <w:t>26.6</w:t>
            </w:r>
          </w:p>
          <w:p w14:paraId="46E12B3B" w14:textId="77777777" w:rsidR="00204B98" w:rsidRPr="00CF0099" w:rsidRDefault="00204B98" w:rsidP="005615F2">
            <w:pPr>
              <w:rPr>
                <w:rFonts w:ascii="Arial" w:hAnsi="Arial" w:cs="Arial"/>
              </w:rPr>
            </w:pPr>
            <w:r w:rsidRPr="00CF0099">
              <w:rPr>
                <w:rFonts w:ascii="Arial" w:hAnsi="Arial" w:cs="Arial"/>
              </w:rPr>
              <w:lastRenderedPageBreak/>
              <w:t>14.9</w:t>
            </w:r>
          </w:p>
          <w:p w14:paraId="474449C1" w14:textId="77777777" w:rsidR="00204B98" w:rsidRPr="00CF0099" w:rsidRDefault="00204B98" w:rsidP="005615F2">
            <w:pPr>
              <w:rPr>
                <w:rFonts w:ascii="Arial" w:hAnsi="Arial" w:cs="Arial"/>
              </w:rPr>
            </w:pPr>
            <w:r w:rsidRPr="00CF0099">
              <w:rPr>
                <w:rFonts w:ascii="Arial" w:hAnsi="Arial" w:cs="Arial"/>
              </w:rPr>
              <w:t>21.3</w:t>
            </w:r>
          </w:p>
        </w:tc>
      </w:tr>
    </w:tbl>
    <w:p w14:paraId="0207455A" w14:textId="06F02EC7" w:rsidR="00204B98" w:rsidRDefault="00204B98" w:rsidP="005615F2">
      <w:pPr>
        <w:spacing w:line="480" w:lineRule="auto"/>
        <w:jc w:val="both"/>
        <w:rPr>
          <w:rFonts w:ascii="Arial" w:hAnsi="Arial" w:cs="Arial"/>
        </w:rPr>
      </w:pPr>
      <w:r>
        <w:rPr>
          <w:rFonts w:ascii="Arial" w:hAnsi="Arial" w:cs="Arial"/>
        </w:rPr>
        <w:lastRenderedPageBreak/>
        <w:t>*Gross monthly household income based on 2011 Census</w:t>
      </w:r>
      <w:r w:rsidR="00172788">
        <w:rPr>
          <w:rFonts w:ascii="Arial" w:hAnsi="Arial" w:cs="Arial"/>
        </w:rPr>
        <w:t xml:space="preserve">. </w:t>
      </w:r>
      <w:r w:rsidR="001C010B">
        <w:rPr>
          <w:rFonts w:ascii="Arial" w:hAnsi="Arial" w:cs="Arial"/>
        </w:rPr>
        <w:t>For comparison, c</w:t>
      </w:r>
      <w:r w:rsidR="00172788">
        <w:rPr>
          <w:rFonts w:ascii="Arial" w:hAnsi="Arial" w:cs="Arial"/>
        </w:rPr>
        <w:t xml:space="preserve">urrent UK average monthly income in 2019 is £2921.50. </w:t>
      </w:r>
    </w:p>
    <w:p w14:paraId="6BFC3B53" w14:textId="77777777" w:rsidR="00204B98" w:rsidRDefault="00204B98" w:rsidP="005615F2">
      <w:pPr>
        <w:spacing w:line="480" w:lineRule="auto"/>
        <w:jc w:val="both"/>
        <w:rPr>
          <w:rFonts w:ascii="Arial" w:hAnsi="Arial" w:cs="Arial"/>
        </w:rPr>
      </w:pPr>
    </w:p>
    <w:p w14:paraId="467CD0BF" w14:textId="77777777" w:rsidR="00204B98" w:rsidRPr="00CF0099" w:rsidRDefault="00204B98" w:rsidP="005615F2">
      <w:pPr>
        <w:spacing w:line="480" w:lineRule="auto"/>
        <w:jc w:val="both"/>
        <w:rPr>
          <w:rFonts w:ascii="Arial" w:hAnsi="Arial" w:cs="Arial"/>
          <w:i/>
        </w:rPr>
      </w:pPr>
      <w:r w:rsidRPr="00CF0099">
        <w:rPr>
          <w:rFonts w:ascii="Arial" w:hAnsi="Arial" w:cs="Arial"/>
          <w:i/>
        </w:rPr>
        <w:t>Screening results</w:t>
      </w:r>
    </w:p>
    <w:p w14:paraId="3D610807" w14:textId="77777777" w:rsidR="00204B98" w:rsidRDefault="00204B98" w:rsidP="005615F2">
      <w:pPr>
        <w:spacing w:line="480" w:lineRule="auto"/>
        <w:jc w:val="both"/>
        <w:rPr>
          <w:rFonts w:ascii="Arial" w:hAnsi="Arial" w:cs="Arial"/>
        </w:rPr>
      </w:pPr>
      <w:r>
        <w:rPr>
          <w:rFonts w:ascii="Arial" w:hAnsi="Arial" w:cs="Arial"/>
        </w:rPr>
        <w:t xml:space="preserve">Screening pathways of migrants recruited to the study are summarised in Figure 1. </w:t>
      </w:r>
    </w:p>
    <w:p w14:paraId="4E7DC9D0" w14:textId="77777777" w:rsidR="00204B98" w:rsidRDefault="00204B98" w:rsidP="005615F2">
      <w:pPr>
        <w:pStyle w:val="Caption"/>
        <w:keepNext/>
        <w:rPr>
          <w:rFonts w:ascii="Arial" w:hAnsi="Arial" w:cs="Arial"/>
          <w:i w:val="0"/>
          <w:sz w:val="22"/>
          <w:szCs w:val="22"/>
        </w:rPr>
      </w:pPr>
      <w:r w:rsidRPr="00CF0099">
        <w:rPr>
          <w:rFonts w:ascii="Arial" w:hAnsi="Arial" w:cs="Arial"/>
          <w:sz w:val="22"/>
          <w:szCs w:val="22"/>
        </w:rPr>
        <w:t>Fig</w:t>
      </w:r>
      <w:r>
        <w:rPr>
          <w:rFonts w:ascii="Arial" w:hAnsi="Arial" w:cs="Arial"/>
          <w:sz w:val="22"/>
          <w:szCs w:val="22"/>
        </w:rPr>
        <w:t>ure</w:t>
      </w:r>
      <w:r w:rsidRPr="00CF0099">
        <w:rPr>
          <w:rFonts w:ascii="Arial" w:hAnsi="Arial" w:cs="Arial"/>
          <w:sz w:val="22"/>
          <w:szCs w:val="22"/>
        </w:rPr>
        <w:t xml:space="preserve"> </w:t>
      </w:r>
      <w:r w:rsidRPr="00CF0099">
        <w:rPr>
          <w:rFonts w:ascii="Arial" w:hAnsi="Arial" w:cs="Arial"/>
          <w:sz w:val="22"/>
          <w:szCs w:val="22"/>
        </w:rPr>
        <w:fldChar w:fldCharType="begin"/>
      </w:r>
      <w:r w:rsidRPr="00CF0099">
        <w:rPr>
          <w:rFonts w:ascii="Arial" w:hAnsi="Arial" w:cs="Arial"/>
          <w:sz w:val="22"/>
          <w:szCs w:val="22"/>
        </w:rPr>
        <w:instrText xml:space="preserve"> SEQ Figure \* ARABIC </w:instrText>
      </w:r>
      <w:r w:rsidRPr="00CF0099">
        <w:rPr>
          <w:rFonts w:ascii="Arial" w:hAnsi="Arial" w:cs="Arial"/>
          <w:sz w:val="22"/>
          <w:szCs w:val="22"/>
        </w:rPr>
        <w:fldChar w:fldCharType="separate"/>
      </w:r>
      <w:r w:rsidRPr="00CF0099">
        <w:rPr>
          <w:rFonts w:ascii="Arial" w:hAnsi="Arial" w:cs="Arial"/>
          <w:noProof/>
          <w:sz w:val="22"/>
          <w:szCs w:val="22"/>
        </w:rPr>
        <w:t>1</w:t>
      </w:r>
      <w:r w:rsidRPr="00CF0099">
        <w:rPr>
          <w:rFonts w:ascii="Arial" w:hAnsi="Arial" w:cs="Arial"/>
          <w:sz w:val="22"/>
          <w:szCs w:val="22"/>
        </w:rPr>
        <w:fldChar w:fldCharType="end"/>
      </w:r>
      <w:r>
        <w:rPr>
          <w:rFonts w:ascii="Arial" w:hAnsi="Arial" w:cs="Arial"/>
          <w:sz w:val="22"/>
          <w:szCs w:val="22"/>
        </w:rPr>
        <w:t>:</w:t>
      </w:r>
      <w:r w:rsidRPr="00CF0099">
        <w:rPr>
          <w:rFonts w:ascii="Arial" w:hAnsi="Arial" w:cs="Arial"/>
          <w:sz w:val="22"/>
          <w:szCs w:val="22"/>
        </w:rPr>
        <w:t xml:space="preserve"> </w:t>
      </w:r>
      <w:r w:rsidRPr="00CF0099">
        <w:rPr>
          <w:rFonts w:ascii="Arial" w:hAnsi="Arial" w:cs="Arial"/>
          <w:i w:val="0"/>
          <w:sz w:val="22"/>
          <w:szCs w:val="22"/>
        </w:rPr>
        <w:t>Screening</w:t>
      </w:r>
      <w:r>
        <w:rPr>
          <w:rFonts w:ascii="Arial" w:hAnsi="Arial" w:cs="Arial"/>
          <w:i w:val="0"/>
          <w:sz w:val="22"/>
          <w:szCs w:val="22"/>
        </w:rPr>
        <w:t xml:space="preserve"> pathways for recruited migrant patients (n=96)</w:t>
      </w:r>
    </w:p>
    <w:p w14:paraId="4AB3FF29" w14:textId="77777777" w:rsidR="00204B98" w:rsidRPr="00B216C1" w:rsidRDefault="00204B98" w:rsidP="005615F2"/>
    <w:p w14:paraId="7650B67C" w14:textId="77777777" w:rsidR="00204B98" w:rsidRDefault="00204B98" w:rsidP="005615F2">
      <w:pPr>
        <w:spacing w:line="480" w:lineRule="auto"/>
        <w:jc w:val="both"/>
        <w:rPr>
          <w:rFonts w:ascii="Arial" w:hAnsi="Arial" w:cs="Arial"/>
        </w:rPr>
      </w:pPr>
      <w:r w:rsidRPr="00CF0099">
        <w:rPr>
          <w:rFonts w:ascii="Arial" w:hAnsi="Arial" w:cs="Arial"/>
        </w:rPr>
        <w:t>14 migrants (14.6%) had a positive QuantiFERON test</w:t>
      </w:r>
      <w:r>
        <w:rPr>
          <w:rFonts w:ascii="Arial" w:hAnsi="Arial" w:cs="Arial"/>
        </w:rPr>
        <w:t xml:space="preserve"> (Table 4). Three participants (3.1%) had an indeterminate QuantiFERON result. None of the participants had active TB. There were 2 cases of hepatitis B (1 case of hepatitis B/LTBI co-infection) and 1 case each of hepatitis C and HIV, all of which were previously known.  </w:t>
      </w:r>
    </w:p>
    <w:p w14:paraId="1175B726" w14:textId="77777777" w:rsidR="00204B98" w:rsidRDefault="00204B98" w:rsidP="005615F2">
      <w:pPr>
        <w:pStyle w:val="Caption"/>
        <w:keepNext/>
        <w:rPr>
          <w:rFonts w:ascii="Arial" w:hAnsi="Arial" w:cs="Arial"/>
        </w:rPr>
      </w:pPr>
      <w:r w:rsidRPr="00E65D00">
        <w:rPr>
          <w:rFonts w:ascii="Arial" w:hAnsi="Arial" w:cs="Arial"/>
          <w:sz w:val="22"/>
          <w:szCs w:val="22"/>
        </w:rPr>
        <w:t xml:space="preserve">Table </w:t>
      </w:r>
      <w:r>
        <w:rPr>
          <w:rFonts w:ascii="Arial" w:hAnsi="Arial" w:cs="Arial"/>
          <w:sz w:val="22"/>
          <w:szCs w:val="22"/>
        </w:rPr>
        <w:t>4</w:t>
      </w:r>
      <w:r w:rsidRPr="00E65D00">
        <w:rPr>
          <w:rFonts w:ascii="Arial" w:hAnsi="Arial" w:cs="Arial"/>
          <w:sz w:val="22"/>
          <w:szCs w:val="22"/>
        </w:rPr>
        <w:t xml:space="preserve"> </w:t>
      </w:r>
      <w:r>
        <w:rPr>
          <w:rFonts w:ascii="Arial" w:hAnsi="Arial" w:cs="Arial"/>
          <w:sz w:val="22"/>
          <w:szCs w:val="22"/>
        </w:rPr>
        <w:t>Characteristics of migrants testing positive for LTBI</w:t>
      </w:r>
    </w:p>
    <w:tbl>
      <w:tblPr>
        <w:tblStyle w:val="TableGrid"/>
        <w:tblW w:w="9634" w:type="dxa"/>
        <w:tblLook w:val="04A0" w:firstRow="1" w:lastRow="0" w:firstColumn="1" w:lastColumn="0" w:noHBand="0" w:noVBand="1"/>
      </w:tblPr>
      <w:tblGrid>
        <w:gridCol w:w="519"/>
        <w:gridCol w:w="777"/>
        <w:gridCol w:w="857"/>
        <w:gridCol w:w="652"/>
        <w:gridCol w:w="545"/>
        <w:gridCol w:w="1026"/>
        <w:gridCol w:w="955"/>
        <w:gridCol w:w="1043"/>
        <w:gridCol w:w="1177"/>
        <w:gridCol w:w="990"/>
        <w:gridCol w:w="1093"/>
      </w:tblGrid>
      <w:tr w:rsidR="00204B98" w:rsidRPr="000A6C3D" w14:paraId="297AFDFF" w14:textId="77777777" w:rsidTr="005615F2">
        <w:trPr>
          <w:trHeight w:val="59"/>
        </w:trPr>
        <w:tc>
          <w:tcPr>
            <w:tcW w:w="519" w:type="dxa"/>
          </w:tcPr>
          <w:p w14:paraId="6BFFE945"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Age</w:t>
            </w:r>
          </w:p>
        </w:tc>
        <w:tc>
          <w:tcPr>
            <w:tcW w:w="777" w:type="dxa"/>
          </w:tcPr>
          <w:p w14:paraId="53A4EC4F"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Gender</w:t>
            </w:r>
          </w:p>
        </w:tc>
        <w:tc>
          <w:tcPr>
            <w:tcW w:w="857" w:type="dxa"/>
          </w:tcPr>
          <w:p w14:paraId="790A706E"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Country of origin</w:t>
            </w:r>
          </w:p>
        </w:tc>
        <w:tc>
          <w:tcPr>
            <w:tcW w:w="652" w:type="dxa"/>
          </w:tcPr>
          <w:p w14:paraId="20883515"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Years in UK</w:t>
            </w:r>
          </w:p>
        </w:tc>
        <w:tc>
          <w:tcPr>
            <w:tcW w:w="545" w:type="dxa"/>
          </w:tcPr>
          <w:p w14:paraId="246929B1"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GP?</w:t>
            </w:r>
          </w:p>
        </w:tc>
        <w:tc>
          <w:tcPr>
            <w:tcW w:w="1026" w:type="dxa"/>
          </w:tcPr>
          <w:p w14:paraId="71713494"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Previously tested</w:t>
            </w:r>
          </w:p>
        </w:tc>
        <w:tc>
          <w:tcPr>
            <w:tcW w:w="892" w:type="dxa"/>
          </w:tcPr>
          <w:p w14:paraId="1EFB0455"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 xml:space="preserve">Ethnicity </w:t>
            </w:r>
          </w:p>
        </w:tc>
        <w:tc>
          <w:tcPr>
            <w:tcW w:w="1043" w:type="dxa"/>
          </w:tcPr>
          <w:p w14:paraId="1EE20061"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Household income</w:t>
            </w:r>
          </w:p>
        </w:tc>
        <w:tc>
          <w:tcPr>
            <w:tcW w:w="1177" w:type="dxa"/>
          </w:tcPr>
          <w:p w14:paraId="5F35585C"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Empl</w:t>
            </w:r>
            <w:r>
              <w:rPr>
                <w:rFonts w:ascii="Arial" w:hAnsi="Arial" w:cs="Arial"/>
                <w:b/>
                <w:bCs/>
                <w:color w:val="000000"/>
                <w:sz w:val="16"/>
                <w:szCs w:val="16"/>
              </w:rPr>
              <w:t>o</w:t>
            </w:r>
            <w:r w:rsidRPr="000A6C3D">
              <w:rPr>
                <w:rFonts w:ascii="Arial" w:hAnsi="Arial" w:cs="Arial"/>
                <w:b/>
                <w:bCs/>
                <w:color w:val="000000"/>
                <w:sz w:val="16"/>
                <w:szCs w:val="16"/>
              </w:rPr>
              <w:t>yment status</w:t>
            </w:r>
          </w:p>
        </w:tc>
        <w:tc>
          <w:tcPr>
            <w:tcW w:w="990" w:type="dxa"/>
          </w:tcPr>
          <w:p w14:paraId="1C8BBA6F"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Education Level</w:t>
            </w:r>
          </w:p>
        </w:tc>
        <w:tc>
          <w:tcPr>
            <w:tcW w:w="1156" w:type="dxa"/>
          </w:tcPr>
          <w:p w14:paraId="377BF537" w14:textId="77777777" w:rsidR="00204B98" w:rsidRPr="000A6C3D" w:rsidRDefault="00204B98" w:rsidP="005615F2">
            <w:pPr>
              <w:rPr>
                <w:rFonts w:ascii="Arial" w:hAnsi="Arial" w:cs="Arial"/>
                <w:sz w:val="16"/>
                <w:szCs w:val="16"/>
              </w:rPr>
            </w:pPr>
            <w:r w:rsidRPr="000A6C3D">
              <w:rPr>
                <w:rFonts w:ascii="Arial" w:hAnsi="Arial" w:cs="Arial"/>
                <w:b/>
                <w:bCs/>
                <w:color w:val="000000"/>
                <w:sz w:val="16"/>
                <w:szCs w:val="16"/>
              </w:rPr>
              <w:t>Reason for migration</w:t>
            </w:r>
          </w:p>
        </w:tc>
      </w:tr>
      <w:tr w:rsidR="00204B98" w:rsidRPr="000A6C3D" w14:paraId="603CA260" w14:textId="77777777" w:rsidTr="005615F2">
        <w:tc>
          <w:tcPr>
            <w:tcW w:w="519" w:type="dxa"/>
          </w:tcPr>
          <w:p w14:paraId="6E6EF042"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40</w:t>
            </w:r>
          </w:p>
        </w:tc>
        <w:tc>
          <w:tcPr>
            <w:tcW w:w="777" w:type="dxa"/>
          </w:tcPr>
          <w:p w14:paraId="3103FEE7"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01569F31"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Somalia</w:t>
            </w:r>
          </w:p>
        </w:tc>
        <w:tc>
          <w:tcPr>
            <w:tcW w:w="652" w:type="dxa"/>
          </w:tcPr>
          <w:p w14:paraId="7325C1E9"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5</w:t>
            </w:r>
          </w:p>
        </w:tc>
        <w:tc>
          <w:tcPr>
            <w:tcW w:w="545" w:type="dxa"/>
          </w:tcPr>
          <w:p w14:paraId="0A8D00CF"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5E64B946"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5924957C" w14:textId="77777777" w:rsidR="00204B98" w:rsidRPr="000A6C3D" w:rsidRDefault="00204B98" w:rsidP="005615F2">
            <w:pPr>
              <w:rPr>
                <w:rFonts w:ascii="Arial" w:hAnsi="Arial" w:cs="Arial"/>
                <w:sz w:val="16"/>
                <w:szCs w:val="16"/>
              </w:rPr>
            </w:pPr>
            <w:r>
              <w:rPr>
                <w:rFonts w:ascii="Arial" w:hAnsi="Arial" w:cs="Arial"/>
                <w:color w:val="000000"/>
                <w:sz w:val="16"/>
                <w:szCs w:val="16"/>
              </w:rPr>
              <w:t>Black African</w:t>
            </w:r>
          </w:p>
        </w:tc>
        <w:tc>
          <w:tcPr>
            <w:tcW w:w="1043" w:type="dxa"/>
          </w:tcPr>
          <w:p w14:paraId="6B8794D4" w14:textId="77777777" w:rsidR="00204B98" w:rsidRPr="000A6C3D" w:rsidRDefault="00204B98" w:rsidP="005615F2">
            <w:pPr>
              <w:rPr>
                <w:rFonts w:ascii="Arial" w:hAnsi="Arial" w:cs="Arial"/>
                <w:sz w:val="16"/>
                <w:szCs w:val="16"/>
              </w:rPr>
            </w:pPr>
            <w:r>
              <w:rPr>
                <w:rFonts w:ascii="Arial" w:hAnsi="Arial" w:cs="Arial"/>
                <w:sz w:val="16"/>
                <w:szCs w:val="16"/>
              </w:rPr>
              <w:t>£421-928 pm</w:t>
            </w:r>
          </w:p>
        </w:tc>
        <w:tc>
          <w:tcPr>
            <w:tcW w:w="1177" w:type="dxa"/>
          </w:tcPr>
          <w:p w14:paraId="4B65809A"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100369E4" w14:textId="77777777" w:rsidR="00204B98" w:rsidRPr="000A6C3D" w:rsidRDefault="00204B98" w:rsidP="005615F2">
            <w:pPr>
              <w:rPr>
                <w:rFonts w:ascii="Arial" w:hAnsi="Arial" w:cs="Arial"/>
                <w:sz w:val="16"/>
                <w:szCs w:val="16"/>
              </w:rPr>
            </w:pPr>
            <w:r>
              <w:rPr>
                <w:rFonts w:ascii="Arial" w:hAnsi="Arial" w:cs="Arial"/>
                <w:sz w:val="16"/>
                <w:szCs w:val="16"/>
              </w:rPr>
              <w:t>University</w:t>
            </w:r>
          </w:p>
        </w:tc>
        <w:tc>
          <w:tcPr>
            <w:tcW w:w="1156" w:type="dxa"/>
          </w:tcPr>
          <w:p w14:paraId="6E02106A"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4777ED82" w14:textId="77777777" w:rsidTr="005615F2">
        <w:tc>
          <w:tcPr>
            <w:tcW w:w="519" w:type="dxa"/>
          </w:tcPr>
          <w:p w14:paraId="112E1E0F"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45</w:t>
            </w:r>
          </w:p>
        </w:tc>
        <w:tc>
          <w:tcPr>
            <w:tcW w:w="777" w:type="dxa"/>
          </w:tcPr>
          <w:p w14:paraId="3143EF7B"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164706D8" w14:textId="77777777" w:rsidR="00204B98" w:rsidRPr="000A6C3D" w:rsidRDefault="00204B98" w:rsidP="005615F2">
            <w:pPr>
              <w:rPr>
                <w:rFonts w:ascii="Arial" w:hAnsi="Arial" w:cs="Arial"/>
                <w:sz w:val="16"/>
                <w:szCs w:val="16"/>
              </w:rPr>
            </w:pPr>
            <w:r>
              <w:rPr>
                <w:rFonts w:ascii="Arial" w:hAnsi="Arial" w:cs="Arial"/>
                <w:color w:val="000000"/>
                <w:sz w:val="16"/>
                <w:szCs w:val="16"/>
              </w:rPr>
              <w:t>R</w:t>
            </w:r>
            <w:r w:rsidRPr="000A6C3D">
              <w:rPr>
                <w:rFonts w:ascii="Arial" w:hAnsi="Arial" w:cs="Arial"/>
                <w:color w:val="000000"/>
                <w:sz w:val="16"/>
                <w:szCs w:val="16"/>
              </w:rPr>
              <w:t>omania</w:t>
            </w:r>
          </w:p>
        </w:tc>
        <w:tc>
          <w:tcPr>
            <w:tcW w:w="652" w:type="dxa"/>
          </w:tcPr>
          <w:p w14:paraId="3DDE590C"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1</w:t>
            </w:r>
          </w:p>
        </w:tc>
        <w:tc>
          <w:tcPr>
            <w:tcW w:w="545" w:type="dxa"/>
          </w:tcPr>
          <w:p w14:paraId="160AED44"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1026" w:type="dxa"/>
          </w:tcPr>
          <w:p w14:paraId="3C3CFD41"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0ACC7F42" w14:textId="77777777" w:rsidR="00204B98" w:rsidRPr="000A6C3D" w:rsidRDefault="00204B98" w:rsidP="005615F2">
            <w:pPr>
              <w:rPr>
                <w:rFonts w:ascii="Arial" w:hAnsi="Arial" w:cs="Arial"/>
                <w:sz w:val="16"/>
                <w:szCs w:val="16"/>
              </w:rPr>
            </w:pPr>
            <w:r>
              <w:rPr>
                <w:rFonts w:ascii="Arial" w:hAnsi="Arial" w:cs="Arial"/>
                <w:sz w:val="16"/>
                <w:szCs w:val="16"/>
              </w:rPr>
              <w:t>White</w:t>
            </w:r>
          </w:p>
        </w:tc>
        <w:tc>
          <w:tcPr>
            <w:tcW w:w="1043" w:type="dxa"/>
          </w:tcPr>
          <w:p w14:paraId="623AB5E1" w14:textId="77777777" w:rsidR="00204B98" w:rsidRPr="000A6C3D" w:rsidRDefault="00204B98" w:rsidP="005615F2">
            <w:pPr>
              <w:rPr>
                <w:rFonts w:ascii="Arial" w:hAnsi="Arial" w:cs="Arial"/>
                <w:sz w:val="16"/>
                <w:szCs w:val="16"/>
              </w:rPr>
            </w:pPr>
            <w:r>
              <w:rPr>
                <w:rFonts w:ascii="Arial" w:hAnsi="Arial" w:cs="Arial"/>
                <w:sz w:val="16"/>
                <w:szCs w:val="16"/>
              </w:rPr>
              <w:t>£929-1592 pm</w:t>
            </w:r>
          </w:p>
        </w:tc>
        <w:tc>
          <w:tcPr>
            <w:tcW w:w="1177" w:type="dxa"/>
          </w:tcPr>
          <w:p w14:paraId="01606DB5"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6B5D5A9F" w14:textId="77777777" w:rsidR="00204B98" w:rsidRPr="000A6C3D" w:rsidRDefault="00204B98" w:rsidP="005615F2">
            <w:pPr>
              <w:rPr>
                <w:rFonts w:ascii="Arial" w:hAnsi="Arial" w:cs="Arial"/>
                <w:sz w:val="16"/>
                <w:szCs w:val="16"/>
              </w:rPr>
            </w:pPr>
            <w:r>
              <w:rPr>
                <w:rFonts w:ascii="Arial" w:hAnsi="Arial" w:cs="Arial"/>
                <w:sz w:val="16"/>
                <w:szCs w:val="16"/>
              </w:rPr>
              <w:t>Below secondary</w:t>
            </w:r>
          </w:p>
        </w:tc>
        <w:tc>
          <w:tcPr>
            <w:tcW w:w="1156" w:type="dxa"/>
          </w:tcPr>
          <w:p w14:paraId="776A637F"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192CCB43" w14:textId="77777777" w:rsidTr="005615F2">
        <w:tc>
          <w:tcPr>
            <w:tcW w:w="519" w:type="dxa"/>
          </w:tcPr>
          <w:p w14:paraId="5EDF5D21"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36</w:t>
            </w:r>
          </w:p>
        </w:tc>
        <w:tc>
          <w:tcPr>
            <w:tcW w:w="777" w:type="dxa"/>
          </w:tcPr>
          <w:p w14:paraId="3A04B113"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610A09EE"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Algeria</w:t>
            </w:r>
          </w:p>
        </w:tc>
        <w:tc>
          <w:tcPr>
            <w:tcW w:w="652" w:type="dxa"/>
          </w:tcPr>
          <w:p w14:paraId="592BDC1B"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8</w:t>
            </w:r>
          </w:p>
        </w:tc>
        <w:tc>
          <w:tcPr>
            <w:tcW w:w="545" w:type="dxa"/>
          </w:tcPr>
          <w:p w14:paraId="02A7E030"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7D5045E2"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0B95F501" w14:textId="77777777" w:rsidR="00204B98" w:rsidRPr="000A6C3D" w:rsidRDefault="00204B98" w:rsidP="005615F2">
            <w:pPr>
              <w:rPr>
                <w:rFonts w:ascii="Arial" w:hAnsi="Arial" w:cs="Arial"/>
                <w:sz w:val="16"/>
                <w:szCs w:val="16"/>
              </w:rPr>
            </w:pPr>
            <w:r>
              <w:rPr>
                <w:rFonts w:ascii="Arial" w:hAnsi="Arial" w:cs="Arial"/>
                <w:sz w:val="16"/>
                <w:szCs w:val="16"/>
              </w:rPr>
              <w:t>Other</w:t>
            </w:r>
          </w:p>
        </w:tc>
        <w:tc>
          <w:tcPr>
            <w:tcW w:w="1043" w:type="dxa"/>
          </w:tcPr>
          <w:p w14:paraId="12E4E22F" w14:textId="77777777" w:rsidR="00204B98" w:rsidRPr="000A6C3D" w:rsidRDefault="00204B98" w:rsidP="005615F2">
            <w:pPr>
              <w:rPr>
                <w:rFonts w:ascii="Arial" w:hAnsi="Arial" w:cs="Arial"/>
                <w:sz w:val="16"/>
                <w:szCs w:val="16"/>
              </w:rPr>
            </w:pPr>
            <w:r>
              <w:rPr>
                <w:rFonts w:ascii="Arial" w:hAnsi="Arial" w:cs="Arial"/>
                <w:sz w:val="16"/>
                <w:szCs w:val="16"/>
              </w:rPr>
              <w:t>£0-420 pm</w:t>
            </w:r>
          </w:p>
        </w:tc>
        <w:tc>
          <w:tcPr>
            <w:tcW w:w="1177" w:type="dxa"/>
          </w:tcPr>
          <w:p w14:paraId="71C5EF1A"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5172A3F7" w14:textId="77777777" w:rsidR="00204B98" w:rsidRPr="000A6C3D" w:rsidRDefault="00204B98" w:rsidP="005615F2">
            <w:pPr>
              <w:rPr>
                <w:rFonts w:ascii="Arial" w:hAnsi="Arial" w:cs="Arial"/>
                <w:sz w:val="16"/>
                <w:szCs w:val="16"/>
              </w:rPr>
            </w:pPr>
            <w:r>
              <w:rPr>
                <w:rFonts w:ascii="Arial" w:hAnsi="Arial" w:cs="Arial"/>
                <w:sz w:val="16"/>
                <w:szCs w:val="16"/>
              </w:rPr>
              <w:t>University</w:t>
            </w:r>
          </w:p>
        </w:tc>
        <w:tc>
          <w:tcPr>
            <w:tcW w:w="1156" w:type="dxa"/>
          </w:tcPr>
          <w:p w14:paraId="36092DBF"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43CEA96D" w14:textId="77777777" w:rsidTr="005615F2">
        <w:tc>
          <w:tcPr>
            <w:tcW w:w="519" w:type="dxa"/>
          </w:tcPr>
          <w:p w14:paraId="667E78C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53</w:t>
            </w:r>
          </w:p>
        </w:tc>
        <w:tc>
          <w:tcPr>
            <w:tcW w:w="777" w:type="dxa"/>
          </w:tcPr>
          <w:p w14:paraId="1CEBF695" w14:textId="77777777" w:rsidR="00204B98" w:rsidRPr="000A6C3D" w:rsidRDefault="00204B98" w:rsidP="005615F2">
            <w:pPr>
              <w:rPr>
                <w:rFonts w:ascii="Arial" w:hAnsi="Arial" w:cs="Arial"/>
                <w:sz w:val="16"/>
                <w:szCs w:val="16"/>
              </w:rPr>
            </w:pPr>
            <w:r>
              <w:rPr>
                <w:rFonts w:ascii="Arial" w:hAnsi="Arial" w:cs="Arial"/>
                <w:color w:val="000000"/>
                <w:sz w:val="16"/>
                <w:szCs w:val="16"/>
              </w:rPr>
              <w:t>Female</w:t>
            </w:r>
          </w:p>
        </w:tc>
        <w:tc>
          <w:tcPr>
            <w:tcW w:w="857" w:type="dxa"/>
          </w:tcPr>
          <w:p w14:paraId="235F83E1"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Poland</w:t>
            </w:r>
          </w:p>
        </w:tc>
        <w:tc>
          <w:tcPr>
            <w:tcW w:w="652" w:type="dxa"/>
          </w:tcPr>
          <w:p w14:paraId="225308BC"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9</w:t>
            </w:r>
          </w:p>
        </w:tc>
        <w:tc>
          <w:tcPr>
            <w:tcW w:w="545" w:type="dxa"/>
          </w:tcPr>
          <w:p w14:paraId="6682DE66"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459AE18C"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61CB8050" w14:textId="77777777" w:rsidR="00204B98" w:rsidRPr="000A6C3D" w:rsidRDefault="00204B98" w:rsidP="005615F2">
            <w:pPr>
              <w:rPr>
                <w:rFonts w:ascii="Arial" w:hAnsi="Arial" w:cs="Arial"/>
                <w:sz w:val="16"/>
                <w:szCs w:val="16"/>
              </w:rPr>
            </w:pPr>
            <w:r>
              <w:rPr>
                <w:rFonts w:ascii="Arial" w:hAnsi="Arial" w:cs="Arial"/>
                <w:sz w:val="16"/>
                <w:szCs w:val="16"/>
              </w:rPr>
              <w:t>White</w:t>
            </w:r>
          </w:p>
        </w:tc>
        <w:tc>
          <w:tcPr>
            <w:tcW w:w="1043" w:type="dxa"/>
          </w:tcPr>
          <w:p w14:paraId="57066FB4" w14:textId="77777777" w:rsidR="00204B98" w:rsidRPr="000A6C3D" w:rsidRDefault="00204B98" w:rsidP="005615F2">
            <w:pPr>
              <w:rPr>
                <w:rFonts w:ascii="Arial" w:hAnsi="Arial" w:cs="Arial"/>
                <w:sz w:val="16"/>
                <w:szCs w:val="16"/>
              </w:rPr>
            </w:pPr>
            <w:r>
              <w:rPr>
                <w:rFonts w:ascii="Arial" w:hAnsi="Arial" w:cs="Arial"/>
                <w:sz w:val="16"/>
                <w:szCs w:val="16"/>
              </w:rPr>
              <w:t>£929-1592 pm</w:t>
            </w:r>
          </w:p>
        </w:tc>
        <w:tc>
          <w:tcPr>
            <w:tcW w:w="1177" w:type="dxa"/>
          </w:tcPr>
          <w:p w14:paraId="2CF822C9"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465B3D0E"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3542193B"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4A02A725" w14:textId="77777777" w:rsidTr="005615F2">
        <w:tc>
          <w:tcPr>
            <w:tcW w:w="519" w:type="dxa"/>
          </w:tcPr>
          <w:p w14:paraId="6A468EE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28</w:t>
            </w:r>
          </w:p>
        </w:tc>
        <w:tc>
          <w:tcPr>
            <w:tcW w:w="777" w:type="dxa"/>
          </w:tcPr>
          <w:p w14:paraId="2FE4A7EE"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720B2CE6" w14:textId="77777777" w:rsidR="00204B98" w:rsidRPr="000A6C3D" w:rsidRDefault="00204B98" w:rsidP="005615F2">
            <w:pPr>
              <w:rPr>
                <w:rFonts w:ascii="Arial" w:hAnsi="Arial" w:cs="Arial"/>
                <w:sz w:val="16"/>
                <w:szCs w:val="16"/>
              </w:rPr>
            </w:pPr>
            <w:r>
              <w:rPr>
                <w:rFonts w:ascii="Arial" w:hAnsi="Arial" w:cs="Arial"/>
                <w:color w:val="000000"/>
                <w:sz w:val="16"/>
                <w:szCs w:val="16"/>
              </w:rPr>
              <w:t>Kuwait</w:t>
            </w:r>
          </w:p>
        </w:tc>
        <w:tc>
          <w:tcPr>
            <w:tcW w:w="652" w:type="dxa"/>
          </w:tcPr>
          <w:p w14:paraId="31C672C9"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&lt;1</w:t>
            </w:r>
          </w:p>
        </w:tc>
        <w:tc>
          <w:tcPr>
            <w:tcW w:w="545" w:type="dxa"/>
          </w:tcPr>
          <w:p w14:paraId="252E4CFB"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1026" w:type="dxa"/>
          </w:tcPr>
          <w:p w14:paraId="7C4C095A"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0C0FCF8A" w14:textId="77777777" w:rsidR="00204B98" w:rsidRPr="000A6C3D" w:rsidRDefault="00204B98" w:rsidP="005615F2">
            <w:pPr>
              <w:rPr>
                <w:rFonts w:ascii="Arial" w:hAnsi="Arial" w:cs="Arial"/>
                <w:sz w:val="16"/>
                <w:szCs w:val="16"/>
              </w:rPr>
            </w:pPr>
            <w:r>
              <w:rPr>
                <w:rFonts w:ascii="Arial" w:hAnsi="Arial" w:cs="Arial"/>
                <w:sz w:val="16"/>
                <w:szCs w:val="16"/>
              </w:rPr>
              <w:t>Other</w:t>
            </w:r>
          </w:p>
        </w:tc>
        <w:tc>
          <w:tcPr>
            <w:tcW w:w="1043" w:type="dxa"/>
          </w:tcPr>
          <w:p w14:paraId="55998EC3" w14:textId="77777777" w:rsidR="00204B98" w:rsidRPr="000A6C3D" w:rsidRDefault="00204B98" w:rsidP="005615F2">
            <w:pPr>
              <w:rPr>
                <w:rFonts w:ascii="Arial" w:hAnsi="Arial" w:cs="Arial"/>
                <w:sz w:val="16"/>
                <w:szCs w:val="16"/>
              </w:rPr>
            </w:pPr>
            <w:r>
              <w:rPr>
                <w:rFonts w:ascii="Arial" w:hAnsi="Arial" w:cs="Arial"/>
                <w:color w:val="000000"/>
                <w:sz w:val="16"/>
                <w:szCs w:val="16"/>
              </w:rPr>
              <w:t>£1593-2471 pm</w:t>
            </w:r>
          </w:p>
        </w:tc>
        <w:tc>
          <w:tcPr>
            <w:tcW w:w="1177" w:type="dxa"/>
          </w:tcPr>
          <w:p w14:paraId="7F06C06D"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411123E3"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499A92E8" w14:textId="77777777" w:rsidR="00204B98" w:rsidRPr="000A6C3D" w:rsidRDefault="00204B98" w:rsidP="005615F2">
            <w:pPr>
              <w:rPr>
                <w:rFonts w:ascii="Arial" w:hAnsi="Arial" w:cs="Arial"/>
                <w:sz w:val="16"/>
                <w:szCs w:val="16"/>
              </w:rPr>
            </w:pPr>
            <w:r>
              <w:rPr>
                <w:rFonts w:ascii="Arial" w:hAnsi="Arial" w:cs="Arial"/>
                <w:color w:val="000000"/>
                <w:sz w:val="16"/>
                <w:szCs w:val="16"/>
              </w:rPr>
              <w:t>Medical treatment</w:t>
            </w:r>
          </w:p>
        </w:tc>
      </w:tr>
      <w:tr w:rsidR="00204B98" w:rsidRPr="000A6C3D" w14:paraId="5E836553" w14:textId="77777777" w:rsidTr="005615F2">
        <w:tc>
          <w:tcPr>
            <w:tcW w:w="519" w:type="dxa"/>
          </w:tcPr>
          <w:p w14:paraId="62D3209D"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37</w:t>
            </w:r>
          </w:p>
        </w:tc>
        <w:tc>
          <w:tcPr>
            <w:tcW w:w="777" w:type="dxa"/>
          </w:tcPr>
          <w:p w14:paraId="58970FA2" w14:textId="77777777" w:rsidR="00204B98" w:rsidRPr="000A6C3D" w:rsidRDefault="00204B98" w:rsidP="005615F2">
            <w:pPr>
              <w:rPr>
                <w:rFonts w:ascii="Arial" w:hAnsi="Arial" w:cs="Arial"/>
                <w:sz w:val="16"/>
                <w:szCs w:val="16"/>
              </w:rPr>
            </w:pPr>
            <w:r>
              <w:rPr>
                <w:rFonts w:ascii="Arial" w:hAnsi="Arial" w:cs="Arial"/>
                <w:color w:val="000000"/>
                <w:sz w:val="16"/>
                <w:szCs w:val="16"/>
              </w:rPr>
              <w:t>Female</w:t>
            </w:r>
          </w:p>
        </w:tc>
        <w:tc>
          <w:tcPr>
            <w:tcW w:w="857" w:type="dxa"/>
          </w:tcPr>
          <w:p w14:paraId="363FA992"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Iraq</w:t>
            </w:r>
          </w:p>
        </w:tc>
        <w:tc>
          <w:tcPr>
            <w:tcW w:w="652" w:type="dxa"/>
          </w:tcPr>
          <w:p w14:paraId="43591936"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9</w:t>
            </w:r>
          </w:p>
        </w:tc>
        <w:tc>
          <w:tcPr>
            <w:tcW w:w="545" w:type="dxa"/>
          </w:tcPr>
          <w:p w14:paraId="4C28F7EB"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5ABBE143"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74BDC0F2" w14:textId="77777777" w:rsidR="00204B98" w:rsidRPr="000A6C3D" w:rsidRDefault="00204B98" w:rsidP="005615F2">
            <w:pPr>
              <w:rPr>
                <w:rFonts w:ascii="Arial" w:hAnsi="Arial" w:cs="Arial"/>
                <w:sz w:val="16"/>
                <w:szCs w:val="16"/>
              </w:rPr>
            </w:pPr>
            <w:r>
              <w:rPr>
                <w:rFonts w:ascii="Arial" w:hAnsi="Arial" w:cs="Arial"/>
                <w:sz w:val="16"/>
                <w:szCs w:val="16"/>
              </w:rPr>
              <w:t>Other</w:t>
            </w:r>
          </w:p>
        </w:tc>
        <w:tc>
          <w:tcPr>
            <w:tcW w:w="1043" w:type="dxa"/>
          </w:tcPr>
          <w:p w14:paraId="2E9FFC8D" w14:textId="77777777" w:rsidR="00204B98" w:rsidRPr="000A6C3D" w:rsidRDefault="00204B98" w:rsidP="005615F2">
            <w:pPr>
              <w:rPr>
                <w:rFonts w:ascii="Arial" w:hAnsi="Arial" w:cs="Arial"/>
                <w:sz w:val="16"/>
                <w:szCs w:val="16"/>
              </w:rPr>
            </w:pPr>
            <w:r>
              <w:rPr>
                <w:rFonts w:ascii="Arial" w:hAnsi="Arial" w:cs="Arial"/>
                <w:sz w:val="16"/>
                <w:szCs w:val="16"/>
              </w:rPr>
              <w:t>£421-928 pm</w:t>
            </w:r>
          </w:p>
        </w:tc>
        <w:tc>
          <w:tcPr>
            <w:tcW w:w="1177" w:type="dxa"/>
          </w:tcPr>
          <w:p w14:paraId="4AA871C8"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3B21E737" w14:textId="77777777" w:rsidR="00204B98" w:rsidRPr="000A6C3D" w:rsidRDefault="00204B98" w:rsidP="005615F2">
            <w:pPr>
              <w:rPr>
                <w:rFonts w:ascii="Arial" w:hAnsi="Arial" w:cs="Arial"/>
                <w:sz w:val="16"/>
                <w:szCs w:val="16"/>
              </w:rPr>
            </w:pPr>
            <w:r>
              <w:rPr>
                <w:rFonts w:ascii="Arial" w:hAnsi="Arial" w:cs="Arial"/>
                <w:color w:val="000000"/>
                <w:sz w:val="16"/>
                <w:szCs w:val="16"/>
              </w:rPr>
              <w:t>University</w:t>
            </w:r>
          </w:p>
        </w:tc>
        <w:tc>
          <w:tcPr>
            <w:tcW w:w="1156" w:type="dxa"/>
          </w:tcPr>
          <w:p w14:paraId="1EAFEF7E" w14:textId="77777777" w:rsidR="00204B98" w:rsidRPr="000A6C3D" w:rsidRDefault="00204B98" w:rsidP="005615F2">
            <w:pPr>
              <w:rPr>
                <w:rFonts w:ascii="Arial" w:hAnsi="Arial" w:cs="Arial"/>
                <w:sz w:val="16"/>
                <w:szCs w:val="16"/>
              </w:rPr>
            </w:pPr>
            <w:r>
              <w:rPr>
                <w:rFonts w:ascii="Arial" w:hAnsi="Arial" w:cs="Arial"/>
                <w:color w:val="000000"/>
                <w:sz w:val="16"/>
                <w:szCs w:val="16"/>
              </w:rPr>
              <w:t>Family</w:t>
            </w:r>
          </w:p>
        </w:tc>
      </w:tr>
      <w:tr w:rsidR="00204B98" w:rsidRPr="000A6C3D" w14:paraId="03D2073C" w14:textId="77777777" w:rsidTr="005615F2">
        <w:tc>
          <w:tcPr>
            <w:tcW w:w="519" w:type="dxa"/>
          </w:tcPr>
          <w:p w14:paraId="71D315F6"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52</w:t>
            </w:r>
          </w:p>
        </w:tc>
        <w:tc>
          <w:tcPr>
            <w:tcW w:w="777" w:type="dxa"/>
          </w:tcPr>
          <w:p w14:paraId="49FE8563"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44500D18"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The Gambia</w:t>
            </w:r>
          </w:p>
        </w:tc>
        <w:tc>
          <w:tcPr>
            <w:tcW w:w="652" w:type="dxa"/>
          </w:tcPr>
          <w:p w14:paraId="4E131B4C"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5</w:t>
            </w:r>
          </w:p>
        </w:tc>
        <w:tc>
          <w:tcPr>
            <w:tcW w:w="545" w:type="dxa"/>
          </w:tcPr>
          <w:p w14:paraId="4E0B1AAF"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1B0B90E1"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25C1D165" w14:textId="77777777" w:rsidR="00204B98" w:rsidRPr="000A6C3D" w:rsidRDefault="00204B98" w:rsidP="005615F2">
            <w:pPr>
              <w:rPr>
                <w:rFonts w:ascii="Arial" w:hAnsi="Arial" w:cs="Arial"/>
                <w:sz w:val="16"/>
                <w:szCs w:val="16"/>
              </w:rPr>
            </w:pPr>
            <w:r>
              <w:rPr>
                <w:rFonts w:ascii="Arial" w:hAnsi="Arial" w:cs="Arial"/>
                <w:sz w:val="16"/>
                <w:szCs w:val="16"/>
              </w:rPr>
              <w:t>Black African</w:t>
            </w:r>
          </w:p>
        </w:tc>
        <w:tc>
          <w:tcPr>
            <w:tcW w:w="1043" w:type="dxa"/>
          </w:tcPr>
          <w:p w14:paraId="178AD860"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1</w:t>
            </w:r>
          </w:p>
        </w:tc>
        <w:tc>
          <w:tcPr>
            <w:tcW w:w="1177" w:type="dxa"/>
          </w:tcPr>
          <w:p w14:paraId="449B95B2" w14:textId="77777777" w:rsidR="00204B98" w:rsidRPr="000A6C3D" w:rsidRDefault="00204B98" w:rsidP="005615F2">
            <w:pPr>
              <w:rPr>
                <w:rFonts w:ascii="Arial" w:hAnsi="Arial" w:cs="Arial"/>
                <w:sz w:val="16"/>
                <w:szCs w:val="16"/>
              </w:rPr>
            </w:pPr>
            <w:r>
              <w:rPr>
                <w:rFonts w:ascii="Arial" w:hAnsi="Arial" w:cs="Arial"/>
                <w:color w:val="000000"/>
                <w:sz w:val="16"/>
                <w:szCs w:val="16"/>
              </w:rPr>
              <w:t>Unemployed</w:t>
            </w:r>
          </w:p>
        </w:tc>
        <w:tc>
          <w:tcPr>
            <w:tcW w:w="990" w:type="dxa"/>
          </w:tcPr>
          <w:p w14:paraId="1FCA97B2"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3A2A4CD3"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76E1AC40" w14:textId="77777777" w:rsidTr="005615F2">
        <w:tc>
          <w:tcPr>
            <w:tcW w:w="519" w:type="dxa"/>
          </w:tcPr>
          <w:p w14:paraId="2B6C2E56"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34</w:t>
            </w:r>
          </w:p>
        </w:tc>
        <w:tc>
          <w:tcPr>
            <w:tcW w:w="777" w:type="dxa"/>
          </w:tcPr>
          <w:p w14:paraId="703A7327" w14:textId="77777777" w:rsidR="00204B98" w:rsidRPr="000A6C3D" w:rsidRDefault="00204B98" w:rsidP="005615F2">
            <w:pPr>
              <w:rPr>
                <w:rFonts w:ascii="Arial" w:hAnsi="Arial" w:cs="Arial"/>
                <w:sz w:val="16"/>
                <w:szCs w:val="16"/>
              </w:rPr>
            </w:pPr>
            <w:r>
              <w:rPr>
                <w:rFonts w:ascii="Arial" w:hAnsi="Arial" w:cs="Arial"/>
                <w:color w:val="000000"/>
                <w:sz w:val="16"/>
                <w:szCs w:val="16"/>
              </w:rPr>
              <w:t>Female</w:t>
            </w:r>
          </w:p>
        </w:tc>
        <w:tc>
          <w:tcPr>
            <w:tcW w:w="857" w:type="dxa"/>
          </w:tcPr>
          <w:p w14:paraId="0D609E2D"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Romania</w:t>
            </w:r>
          </w:p>
        </w:tc>
        <w:tc>
          <w:tcPr>
            <w:tcW w:w="652" w:type="dxa"/>
          </w:tcPr>
          <w:p w14:paraId="4EA0D35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w:t>
            </w:r>
          </w:p>
        </w:tc>
        <w:tc>
          <w:tcPr>
            <w:tcW w:w="545" w:type="dxa"/>
          </w:tcPr>
          <w:p w14:paraId="0AD81316"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1E60F71B"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08F47E8F" w14:textId="77777777" w:rsidR="00204B98" w:rsidRPr="000A6C3D" w:rsidRDefault="00204B98" w:rsidP="005615F2">
            <w:pPr>
              <w:rPr>
                <w:rFonts w:ascii="Arial" w:hAnsi="Arial" w:cs="Arial"/>
                <w:sz w:val="16"/>
                <w:szCs w:val="16"/>
              </w:rPr>
            </w:pPr>
            <w:r>
              <w:rPr>
                <w:rFonts w:ascii="Arial" w:hAnsi="Arial" w:cs="Arial"/>
                <w:sz w:val="16"/>
                <w:szCs w:val="16"/>
              </w:rPr>
              <w:t>White</w:t>
            </w:r>
          </w:p>
        </w:tc>
        <w:tc>
          <w:tcPr>
            <w:tcW w:w="1043" w:type="dxa"/>
          </w:tcPr>
          <w:p w14:paraId="26A7ECD2" w14:textId="77777777" w:rsidR="00204B98" w:rsidRPr="000A6C3D" w:rsidRDefault="00204B98" w:rsidP="005615F2">
            <w:pPr>
              <w:rPr>
                <w:rFonts w:ascii="Arial" w:hAnsi="Arial" w:cs="Arial"/>
                <w:sz w:val="16"/>
                <w:szCs w:val="16"/>
              </w:rPr>
            </w:pPr>
            <w:r>
              <w:rPr>
                <w:rFonts w:ascii="Arial" w:hAnsi="Arial" w:cs="Arial"/>
                <w:sz w:val="16"/>
                <w:szCs w:val="16"/>
              </w:rPr>
              <w:t>£929-1592 pm</w:t>
            </w:r>
          </w:p>
        </w:tc>
        <w:tc>
          <w:tcPr>
            <w:tcW w:w="1177" w:type="dxa"/>
          </w:tcPr>
          <w:p w14:paraId="133508F6"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74A58295" w14:textId="77777777" w:rsidR="00204B98" w:rsidRPr="000A6C3D" w:rsidRDefault="00204B98" w:rsidP="005615F2">
            <w:pPr>
              <w:rPr>
                <w:rFonts w:ascii="Arial" w:hAnsi="Arial" w:cs="Arial"/>
                <w:sz w:val="16"/>
                <w:szCs w:val="16"/>
              </w:rPr>
            </w:pPr>
            <w:r>
              <w:rPr>
                <w:rFonts w:ascii="Arial" w:hAnsi="Arial" w:cs="Arial"/>
                <w:color w:val="000000"/>
                <w:sz w:val="16"/>
                <w:szCs w:val="16"/>
              </w:rPr>
              <w:t>University</w:t>
            </w:r>
          </w:p>
        </w:tc>
        <w:tc>
          <w:tcPr>
            <w:tcW w:w="1156" w:type="dxa"/>
          </w:tcPr>
          <w:p w14:paraId="0C8F7755"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0593B97A" w14:textId="77777777" w:rsidTr="005615F2">
        <w:tc>
          <w:tcPr>
            <w:tcW w:w="519" w:type="dxa"/>
          </w:tcPr>
          <w:p w14:paraId="4A9A122E"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26</w:t>
            </w:r>
          </w:p>
        </w:tc>
        <w:tc>
          <w:tcPr>
            <w:tcW w:w="777" w:type="dxa"/>
          </w:tcPr>
          <w:p w14:paraId="13B83D2A"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1E0F2E8E"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Peru</w:t>
            </w:r>
          </w:p>
        </w:tc>
        <w:tc>
          <w:tcPr>
            <w:tcW w:w="652" w:type="dxa"/>
          </w:tcPr>
          <w:p w14:paraId="4779BD33"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2</w:t>
            </w:r>
          </w:p>
        </w:tc>
        <w:tc>
          <w:tcPr>
            <w:tcW w:w="545" w:type="dxa"/>
          </w:tcPr>
          <w:p w14:paraId="245C2F89"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7F9864B8"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145CF1C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Other</w:t>
            </w:r>
          </w:p>
        </w:tc>
        <w:tc>
          <w:tcPr>
            <w:tcW w:w="1043" w:type="dxa"/>
          </w:tcPr>
          <w:p w14:paraId="4CB396B0" w14:textId="77777777" w:rsidR="00204B98" w:rsidRPr="000A6C3D" w:rsidRDefault="00204B98" w:rsidP="005615F2">
            <w:pPr>
              <w:rPr>
                <w:rFonts w:ascii="Arial" w:hAnsi="Arial" w:cs="Arial"/>
                <w:sz w:val="16"/>
                <w:szCs w:val="16"/>
              </w:rPr>
            </w:pPr>
            <w:r>
              <w:rPr>
                <w:rFonts w:ascii="Arial" w:hAnsi="Arial" w:cs="Arial"/>
                <w:sz w:val="16"/>
                <w:szCs w:val="16"/>
              </w:rPr>
              <w:t>£929-1592 pm</w:t>
            </w:r>
          </w:p>
        </w:tc>
        <w:tc>
          <w:tcPr>
            <w:tcW w:w="1177" w:type="dxa"/>
          </w:tcPr>
          <w:p w14:paraId="20A8B767"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0390BF9E"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6313B1AA" w14:textId="77777777" w:rsidR="00204B98" w:rsidRPr="000A6C3D" w:rsidRDefault="00204B98" w:rsidP="005615F2">
            <w:pPr>
              <w:rPr>
                <w:rFonts w:ascii="Arial" w:hAnsi="Arial" w:cs="Arial"/>
                <w:sz w:val="16"/>
                <w:szCs w:val="16"/>
              </w:rPr>
            </w:pPr>
            <w:r>
              <w:rPr>
                <w:rFonts w:ascii="Arial" w:hAnsi="Arial" w:cs="Arial"/>
                <w:color w:val="000000"/>
                <w:sz w:val="16"/>
                <w:szCs w:val="16"/>
              </w:rPr>
              <w:t>Family</w:t>
            </w:r>
          </w:p>
        </w:tc>
      </w:tr>
      <w:tr w:rsidR="00204B98" w:rsidRPr="000A6C3D" w14:paraId="1044A667" w14:textId="77777777" w:rsidTr="005615F2">
        <w:tc>
          <w:tcPr>
            <w:tcW w:w="519" w:type="dxa"/>
          </w:tcPr>
          <w:p w14:paraId="0F3F3452" w14:textId="77777777" w:rsidR="00204B98" w:rsidRPr="000A6C3D" w:rsidRDefault="00204B98" w:rsidP="005615F2">
            <w:pPr>
              <w:rPr>
                <w:rFonts w:ascii="Arial" w:hAnsi="Arial" w:cs="Arial"/>
                <w:sz w:val="16"/>
                <w:szCs w:val="16"/>
              </w:rPr>
            </w:pPr>
            <w:r w:rsidRPr="000A6C3D">
              <w:rPr>
                <w:rFonts w:ascii="Arial" w:hAnsi="Arial" w:cs="Arial"/>
                <w:sz w:val="16"/>
                <w:szCs w:val="16"/>
              </w:rPr>
              <w:t>38</w:t>
            </w:r>
          </w:p>
        </w:tc>
        <w:tc>
          <w:tcPr>
            <w:tcW w:w="777" w:type="dxa"/>
          </w:tcPr>
          <w:p w14:paraId="06C6EDB5" w14:textId="77777777" w:rsidR="00204B98" w:rsidRPr="000A6C3D" w:rsidRDefault="00204B98" w:rsidP="005615F2">
            <w:pPr>
              <w:rPr>
                <w:rFonts w:ascii="Arial" w:hAnsi="Arial" w:cs="Arial"/>
                <w:sz w:val="16"/>
                <w:szCs w:val="16"/>
              </w:rPr>
            </w:pPr>
            <w:r>
              <w:rPr>
                <w:rFonts w:ascii="Arial" w:hAnsi="Arial" w:cs="Arial"/>
                <w:color w:val="000000"/>
                <w:sz w:val="16"/>
                <w:szCs w:val="16"/>
              </w:rPr>
              <w:t>Female</w:t>
            </w:r>
          </w:p>
        </w:tc>
        <w:tc>
          <w:tcPr>
            <w:tcW w:w="857" w:type="dxa"/>
          </w:tcPr>
          <w:p w14:paraId="1899E9E9"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 xml:space="preserve">Romania </w:t>
            </w:r>
          </w:p>
        </w:tc>
        <w:tc>
          <w:tcPr>
            <w:tcW w:w="652" w:type="dxa"/>
          </w:tcPr>
          <w:p w14:paraId="63AF491D"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2</w:t>
            </w:r>
          </w:p>
        </w:tc>
        <w:tc>
          <w:tcPr>
            <w:tcW w:w="545" w:type="dxa"/>
          </w:tcPr>
          <w:p w14:paraId="5694C396"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24203A78"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036FD36E" w14:textId="77777777" w:rsidR="00204B98" w:rsidRPr="000A6C3D" w:rsidRDefault="00204B98" w:rsidP="005615F2">
            <w:pPr>
              <w:rPr>
                <w:rFonts w:ascii="Arial" w:hAnsi="Arial" w:cs="Arial"/>
                <w:sz w:val="16"/>
                <w:szCs w:val="16"/>
              </w:rPr>
            </w:pPr>
            <w:r>
              <w:rPr>
                <w:rFonts w:ascii="Arial" w:hAnsi="Arial" w:cs="Arial"/>
                <w:sz w:val="16"/>
                <w:szCs w:val="16"/>
              </w:rPr>
              <w:t>White</w:t>
            </w:r>
          </w:p>
        </w:tc>
        <w:tc>
          <w:tcPr>
            <w:tcW w:w="1043" w:type="dxa"/>
          </w:tcPr>
          <w:p w14:paraId="740EE186" w14:textId="77777777" w:rsidR="00204B98" w:rsidRPr="000A6C3D" w:rsidRDefault="00204B98" w:rsidP="005615F2">
            <w:pPr>
              <w:rPr>
                <w:rFonts w:ascii="Arial" w:hAnsi="Arial" w:cs="Arial"/>
                <w:sz w:val="16"/>
                <w:szCs w:val="16"/>
              </w:rPr>
            </w:pPr>
            <w:r>
              <w:rPr>
                <w:rFonts w:ascii="Arial" w:hAnsi="Arial" w:cs="Arial"/>
                <w:color w:val="000000"/>
                <w:sz w:val="16"/>
                <w:szCs w:val="16"/>
              </w:rPr>
              <w:t>£1593-2471 pm</w:t>
            </w:r>
          </w:p>
        </w:tc>
        <w:tc>
          <w:tcPr>
            <w:tcW w:w="1177" w:type="dxa"/>
          </w:tcPr>
          <w:p w14:paraId="79EEC537"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5810D2C7" w14:textId="77777777" w:rsidR="00204B98" w:rsidRPr="000A6C3D" w:rsidRDefault="00204B98" w:rsidP="005615F2">
            <w:pPr>
              <w:rPr>
                <w:rFonts w:ascii="Arial" w:hAnsi="Arial" w:cs="Arial"/>
                <w:sz w:val="16"/>
                <w:szCs w:val="16"/>
              </w:rPr>
            </w:pPr>
            <w:r>
              <w:rPr>
                <w:rFonts w:ascii="Arial" w:hAnsi="Arial" w:cs="Arial"/>
                <w:color w:val="000000"/>
                <w:sz w:val="16"/>
                <w:szCs w:val="16"/>
              </w:rPr>
              <w:t>University</w:t>
            </w:r>
          </w:p>
        </w:tc>
        <w:tc>
          <w:tcPr>
            <w:tcW w:w="1156" w:type="dxa"/>
          </w:tcPr>
          <w:p w14:paraId="1873099E"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22C911CB" w14:textId="77777777" w:rsidTr="005615F2">
        <w:tc>
          <w:tcPr>
            <w:tcW w:w="519" w:type="dxa"/>
          </w:tcPr>
          <w:p w14:paraId="34B0732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lastRenderedPageBreak/>
              <w:t>50</w:t>
            </w:r>
          </w:p>
        </w:tc>
        <w:tc>
          <w:tcPr>
            <w:tcW w:w="777" w:type="dxa"/>
          </w:tcPr>
          <w:p w14:paraId="703E0EFB" w14:textId="77777777" w:rsidR="00204B98" w:rsidRPr="000A6C3D" w:rsidRDefault="00204B98" w:rsidP="005615F2">
            <w:pPr>
              <w:rPr>
                <w:rFonts w:ascii="Arial" w:hAnsi="Arial" w:cs="Arial"/>
                <w:sz w:val="16"/>
                <w:szCs w:val="16"/>
              </w:rPr>
            </w:pPr>
            <w:r>
              <w:rPr>
                <w:rFonts w:ascii="Arial" w:hAnsi="Arial" w:cs="Arial"/>
                <w:color w:val="000000"/>
                <w:sz w:val="16"/>
                <w:szCs w:val="16"/>
              </w:rPr>
              <w:t>Female</w:t>
            </w:r>
          </w:p>
        </w:tc>
        <w:tc>
          <w:tcPr>
            <w:tcW w:w="857" w:type="dxa"/>
          </w:tcPr>
          <w:p w14:paraId="17D1AA66"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India</w:t>
            </w:r>
          </w:p>
        </w:tc>
        <w:tc>
          <w:tcPr>
            <w:tcW w:w="652" w:type="dxa"/>
          </w:tcPr>
          <w:p w14:paraId="6182BE3B"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6</w:t>
            </w:r>
          </w:p>
        </w:tc>
        <w:tc>
          <w:tcPr>
            <w:tcW w:w="545" w:type="dxa"/>
          </w:tcPr>
          <w:p w14:paraId="6FC8B998"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0284E619"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3F7BF385" w14:textId="77777777" w:rsidR="00204B98" w:rsidRPr="000A6C3D" w:rsidRDefault="00204B98" w:rsidP="005615F2">
            <w:pPr>
              <w:rPr>
                <w:rFonts w:ascii="Arial" w:hAnsi="Arial" w:cs="Arial"/>
                <w:sz w:val="16"/>
                <w:szCs w:val="16"/>
              </w:rPr>
            </w:pPr>
            <w:r>
              <w:rPr>
                <w:rFonts w:ascii="Arial" w:hAnsi="Arial" w:cs="Arial"/>
                <w:color w:val="000000"/>
                <w:sz w:val="16"/>
                <w:szCs w:val="16"/>
              </w:rPr>
              <w:t>Asian</w:t>
            </w:r>
          </w:p>
        </w:tc>
        <w:tc>
          <w:tcPr>
            <w:tcW w:w="1043" w:type="dxa"/>
          </w:tcPr>
          <w:p w14:paraId="113A1621" w14:textId="77777777" w:rsidR="00204B98" w:rsidRPr="000A6C3D" w:rsidRDefault="00204B98" w:rsidP="005615F2">
            <w:pPr>
              <w:rPr>
                <w:rFonts w:ascii="Arial" w:hAnsi="Arial" w:cs="Arial"/>
                <w:sz w:val="16"/>
                <w:szCs w:val="16"/>
              </w:rPr>
            </w:pPr>
            <w:r>
              <w:rPr>
                <w:rFonts w:ascii="Arial" w:hAnsi="Arial" w:cs="Arial"/>
                <w:sz w:val="16"/>
                <w:szCs w:val="16"/>
              </w:rPr>
              <w:t>£2471 + pm</w:t>
            </w:r>
          </w:p>
        </w:tc>
        <w:tc>
          <w:tcPr>
            <w:tcW w:w="1177" w:type="dxa"/>
          </w:tcPr>
          <w:p w14:paraId="7C6FAE2D"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6379EB68" w14:textId="77777777" w:rsidR="00204B98" w:rsidRPr="000A6C3D" w:rsidRDefault="00204B98" w:rsidP="005615F2">
            <w:pPr>
              <w:rPr>
                <w:rFonts w:ascii="Arial" w:hAnsi="Arial" w:cs="Arial"/>
                <w:sz w:val="16"/>
                <w:szCs w:val="16"/>
              </w:rPr>
            </w:pPr>
            <w:r>
              <w:rPr>
                <w:rFonts w:ascii="Arial" w:hAnsi="Arial" w:cs="Arial"/>
                <w:color w:val="000000"/>
                <w:sz w:val="16"/>
                <w:szCs w:val="16"/>
              </w:rPr>
              <w:t>University</w:t>
            </w:r>
          </w:p>
        </w:tc>
        <w:tc>
          <w:tcPr>
            <w:tcW w:w="1156" w:type="dxa"/>
          </w:tcPr>
          <w:p w14:paraId="5748E6BF"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09B6DBCC" w14:textId="77777777" w:rsidTr="005615F2">
        <w:tc>
          <w:tcPr>
            <w:tcW w:w="519" w:type="dxa"/>
          </w:tcPr>
          <w:p w14:paraId="16BC5B83"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43</w:t>
            </w:r>
          </w:p>
        </w:tc>
        <w:tc>
          <w:tcPr>
            <w:tcW w:w="777" w:type="dxa"/>
          </w:tcPr>
          <w:p w14:paraId="530F5DFF" w14:textId="77777777" w:rsidR="00204B98" w:rsidRPr="000A6C3D" w:rsidRDefault="00204B98" w:rsidP="005615F2">
            <w:pPr>
              <w:rPr>
                <w:rFonts w:ascii="Arial" w:hAnsi="Arial" w:cs="Arial"/>
                <w:sz w:val="16"/>
                <w:szCs w:val="16"/>
              </w:rPr>
            </w:pPr>
            <w:r>
              <w:rPr>
                <w:rFonts w:ascii="Arial" w:hAnsi="Arial" w:cs="Arial"/>
                <w:color w:val="000000"/>
                <w:sz w:val="16"/>
                <w:szCs w:val="16"/>
              </w:rPr>
              <w:t>Male</w:t>
            </w:r>
          </w:p>
        </w:tc>
        <w:tc>
          <w:tcPr>
            <w:tcW w:w="857" w:type="dxa"/>
          </w:tcPr>
          <w:p w14:paraId="0F95DC5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Eth</w:t>
            </w:r>
            <w:r>
              <w:rPr>
                <w:rFonts w:ascii="Arial" w:hAnsi="Arial" w:cs="Arial"/>
                <w:color w:val="000000"/>
                <w:sz w:val="16"/>
                <w:szCs w:val="16"/>
              </w:rPr>
              <w:t>i</w:t>
            </w:r>
            <w:r w:rsidRPr="000A6C3D">
              <w:rPr>
                <w:rFonts w:ascii="Arial" w:hAnsi="Arial" w:cs="Arial"/>
                <w:color w:val="000000"/>
                <w:sz w:val="16"/>
                <w:szCs w:val="16"/>
              </w:rPr>
              <w:t>opia</w:t>
            </w:r>
          </w:p>
        </w:tc>
        <w:tc>
          <w:tcPr>
            <w:tcW w:w="652" w:type="dxa"/>
          </w:tcPr>
          <w:p w14:paraId="03322A15"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2</w:t>
            </w:r>
          </w:p>
        </w:tc>
        <w:tc>
          <w:tcPr>
            <w:tcW w:w="545" w:type="dxa"/>
          </w:tcPr>
          <w:p w14:paraId="36851782"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2AE3B2B1"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7C4B0052" w14:textId="77777777" w:rsidR="00204B98" w:rsidRPr="000A6C3D" w:rsidRDefault="00204B98" w:rsidP="005615F2">
            <w:pPr>
              <w:rPr>
                <w:rFonts w:ascii="Arial" w:hAnsi="Arial" w:cs="Arial"/>
                <w:sz w:val="16"/>
                <w:szCs w:val="16"/>
              </w:rPr>
            </w:pPr>
            <w:r>
              <w:rPr>
                <w:rFonts w:ascii="Arial" w:hAnsi="Arial" w:cs="Arial"/>
                <w:sz w:val="16"/>
                <w:szCs w:val="16"/>
              </w:rPr>
              <w:t>Black Caribbean</w:t>
            </w:r>
          </w:p>
        </w:tc>
        <w:tc>
          <w:tcPr>
            <w:tcW w:w="1043" w:type="dxa"/>
          </w:tcPr>
          <w:p w14:paraId="645849B1" w14:textId="77777777" w:rsidR="00204B98" w:rsidRPr="000A6C3D" w:rsidRDefault="00204B98" w:rsidP="005615F2">
            <w:pPr>
              <w:rPr>
                <w:rFonts w:ascii="Arial" w:hAnsi="Arial" w:cs="Arial"/>
                <w:sz w:val="16"/>
                <w:szCs w:val="16"/>
              </w:rPr>
            </w:pPr>
            <w:r>
              <w:rPr>
                <w:rFonts w:ascii="Arial" w:hAnsi="Arial" w:cs="Arial"/>
                <w:sz w:val="16"/>
                <w:szCs w:val="16"/>
              </w:rPr>
              <w:t>£421-928 pm</w:t>
            </w:r>
          </w:p>
        </w:tc>
        <w:tc>
          <w:tcPr>
            <w:tcW w:w="1177" w:type="dxa"/>
          </w:tcPr>
          <w:p w14:paraId="2A0FE78A" w14:textId="77777777" w:rsidR="00204B98" w:rsidRPr="000A6C3D" w:rsidRDefault="00204B98" w:rsidP="005615F2">
            <w:pPr>
              <w:rPr>
                <w:rFonts w:ascii="Arial" w:hAnsi="Arial" w:cs="Arial"/>
                <w:sz w:val="16"/>
                <w:szCs w:val="16"/>
              </w:rPr>
            </w:pPr>
            <w:r>
              <w:rPr>
                <w:rFonts w:ascii="Arial" w:hAnsi="Arial" w:cs="Arial"/>
                <w:color w:val="000000"/>
                <w:sz w:val="16"/>
                <w:szCs w:val="16"/>
              </w:rPr>
              <w:t>Employed</w:t>
            </w:r>
          </w:p>
        </w:tc>
        <w:tc>
          <w:tcPr>
            <w:tcW w:w="990" w:type="dxa"/>
          </w:tcPr>
          <w:p w14:paraId="3F32639D" w14:textId="77777777" w:rsidR="00204B98" w:rsidRPr="000A6C3D" w:rsidRDefault="00204B98" w:rsidP="005615F2">
            <w:pPr>
              <w:rPr>
                <w:rFonts w:ascii="Arial" w:hAnsi="Arial" w:cs="Arial"/>
                <w:sz w:val="16"/>
                <w:szCs w:val="16"/>
              </w:rPr>
            </w:pPr>
            <w:r>
              <w:rPr>
                <w:rFonts w:ascii="Arial" w:hAnsi="Arial" w:cs="Arial"/>
                <w:color w:val="000000"/>
                <w:sz w:val="16"/>
                <w:szCs w:val="16"/>
              </w:rPr>
              <w:t>University</w:t>
            </w:r>
          </w:p>
        </w:tc>
        <w:tc>
          <w:tcPr>
            <w:tcW w:w="1156" w:type="dxa"/>
          </w:tcPr>
          <w:p w14:paraId="0B2446A5" w14:textId="77777777" w:rsidR="00204B98" w:rsidRPr="000A6C3D" w:rsidRDefault="00204B98" w:rsidP="005615F2">
            <w:pPr>
              <w:rPr>
                <w:rFonts w:ascii="Arial" w:hAnsi="Arial" w:cs="Arial"/>
                <w:sz w:val="16"/>
                <w:szCs w:val="16"/>
              </w:rPr>
            </w:pPr>
            <w:r>
              <w:rPr>
                <w:rFonts w:ascii="Arial" w:hAnsi="Arial" w:cs="Arial"/>
                <w:sz w:val="16"/>
                <w:szCs w:val="16"/>
              </w:rPr>
              <w:t>Economic</w:t>
            </w:r>
          </w:p>
        </w:tc>
      </w:tr>
      <w:tr w:rsidR="00204B98" w:rsidRPr="000A6C3D" w14:paraId="0F3581D8" w14:textId="77777777" w:rsidTr="005615F2">
        <w:tc>
          <w:tcPr>
            <w:tcW w:w="519" w:type="dxa"/>
          </w:tcPr>
          <w:p w14:paraId="471AC8E5"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30</w:t>
            </w:r>
          </w:p>
        </w:tc>
        <w:tc>
          <w:tcPr>
            <w:tcW w:w="777" w:type="dxa"/>
          </w:tcPr>
          <w:p w14:paraId="6999E456" w14:textId="77777777" w:rsidR="00204B98" w:rsidRPr="000A6C3D" w:rsidRDefault="00204B98" w:rsidP="005615F2">
            <w:pPr>
              <w:rPr>
                <w:rFonts w:ascii="Arial" w:hAnsi="Arial" w:cs="Arial"/>
                <w:sz w:val="16"/>
                <w:szCs w:val="16"/>
              </w:rPr>
            </w:pPr>
            <w:r>
              <w:rPr>
                <w:rFonts w:ascii="Arial" w:hAnsi="Arial" w:cs="Arial"/>
                <w:sz w:val="16"/>
                <w:szCs w:val="16"/>
              </w:rPr>
              <w:t>Female</w:t>
            </w:r>
          </w:p>
        </w:tc>
        <w:tc>
          <w:tcPr>
            <w:tcW w:w="857" w:type="dxa"/>
          </w:tcPr>
          <w:p w14:paraId="4FD9ADB4"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Somalia</w:t>
            </w:r>
          </w:p>
        </w:tc>
        <w:tc>
          <w:tcPr>
            <w:tcW w:w="652" w:type="dxa"/>
          </w:tcPr>
          <w:p w14:paraId="6CE9B2E5"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10</w:t>
            </w:r>
          </w:p>
        </w:tc>
        <w:tc>
          <w:tcPr>
            <w:tcW w:w="545" w:type="dxa"/>
          </w:tcPr>
          <w:p w14:paraId="5C80F998"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5AF4268A"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892" w:type="dxa"/>
          </w:tcPr>
          <w:p w14:paraId="637772AB" w14:textId="77777777" w:rsidR="00204B98" w:rsidRPr="000A6C3D" w:rsidRDefault="00204B98" w:rsidP="005615F2">
            <w:pPr>
              <w:rPr>
                <w:rFonts w:ascii="Arial" w:hAnsi="Arial" w:cs="Arial"/>
                <w:sz w:val="16"/>
                <w:szCs w:val="16"/>
              </w:rPr>
            </w:pPr>
            <w:r>
              <w:rPr>
                <w:rFonts w:ascii="Arial" w:hAnsi="Arial" w:cs="Arial"/>
                <w:sz w:val="16"/>
                <w:szCs w:val="16"/>
              </w:rPr>
              <w:t>White</w:t>
            </w:r>
          </w:p>
        </w:tc>
        <w:tc>
          <w:tcPr>
            <w:tcW w:w="1043" w:type="dxa"/>
          </w:tcPr>
          <w:p w14:paraId="7876F198" w14:textId="77777777" w:rsidR="00204B98" w:rsidRPr="000A6C3D" w:rsidRDefault="00204B98" w:rsidP="005615F2">
            <w:pPr>
              <w:rPr>
                <w:rFonts w:ascii="Arial" w:hAnsi="Arial" w:cs="Arial"/>
                <w:sz w:val="16"/>
                <w:szCs w:val="16"/>
              </w:rPr>
            </w:pPr>
            <w:r>
              <w:rPr>
                <w:rFonts w:ascii="Arial" w:hAnsi="Arial" w:cs="Arial"/>
                <w:sz w:val="16"/>
                <w:szCs w:val="16"/>
              </w:rPr>
              <w:t>£929-1592 pm</w:t>
            </w:r>
          </w:p>
        </w:tc>
        <w:tc>
          <w:tcPr>
            <w:tcW w:w="1177" w:type="dxa"/>
          </w:tcPr>
          <w:p w14:paraId="061F4E81" w14:textId="77777777" w:rsidR="00204B98" w:rsidRPr="000A6C3D" w:rsidRDefault="00204B98" w:rsidP="005615F2">
            <w:pPr>
              <w:rPr>
                <w:rFonts w:ascii="Arial" w:hAnsi="Arial" w:cs="Arial"/>
                <w:sz w:val="16"/>
                <w:szCs w:val="16"/>
              </w:rPr>
            </w:pPr>
            <w:r>
              <w:rPr>
                <w:rFonts w:ascii="Arial" w:hAnsi="Arial" w:cs="Arial"/>
                <w:sz w:val="16"/>
                <w:szCs w:val="16"/>
              </w:rPr>
              <w:t>At home</w:t>
            </w:r>
          </w:p>
        </w:tc>
        <w:tc>
          <w:tcPr>
            <w:tcW w:w="990" w:type="dxa"/>
          </w:tcPr>
          <w:p w14:paraId="7A136F1F"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569AE44F" w14:textId="77777777" w:rsidR="00204B98" w:rsidRPr="000A6C3D" w:rsidRDefault="00204B98" w:rsidP="005615F2">
            <w:pPr>
              <w:rPr>
                <w:rFonts w:ascii="Arial" w:hAnsi="Arial" w:cs="Arial"/>
                <w:sz w:val="16"/>
                <w:szCs w:val="16"/>
              </w:rPr>
            </w:pPr>
            <w:r>
              <w:rPr>
                <w:rFonts w:ascii="Arial" w:hAnsi="Arial" w:cs="Arial"/>
                <w:sz w:val="16"/>
                <w:szCs w:val="16"/>
              </w:rPr>
              <w:t>Asylum</w:t>
            </w:r>
          </w:p>
        </w:tc>
      </w:tr>
      <w:tr w:rsidR="00204B98" w:rsidRPr="000A6C3D" w14:paraId="1A191A22" w14:textId="77777777" w:rsidTr="005615F2">
        <w:tc>
          <w:tcPr>
            <w:tcW w:w="519" w:type="dxa"/>
          </w:tcPr>
          <w:p w14:paraId="12C2F877"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39</w:t>
            </w:r>
          </w:p>
        </w:tc>
        <w:tc>
          <w:tcPr>
            <w:tcW w:w="777" w:type="dxa"/>
          </w:tcPr>
          <w:p w14:paraId="5CC29B29" w14:textId="77777777" w:rsidR="00204B98" w:rsidRPr="000A6C3D" w:rsidRDefault="00204B98" w:rsidP="005615F2">
            <w:pPr>
              <w:rPr>
                <w:rFonts w:ascii="Arial" w:hAnsi="Arial" w:cs="Arial"/>
                <w:sz w:val="16"/>
                <w:szCs w:val="16"/>
              </w:rPr>
            </w:pPr>
            <w:r>
              <w:rPr>
                <w:rFonts w:ascii="Arial" w:hAnsi="Arial" w:cs="Arial"/>
                <w:sz w:val="16"/>
                <w:szCs w:val="16"/>
              </w:rPr>
              <w:t>Female</w:t>
            </w:r>
          </w:p>
        </w:tc>
        <w:tc>
          <w:tcPr>
            <w:tcW w:w="857" w:type="dxa"/>
          </w:tcPr>
          <w:p w14:paraId="30C75AFF"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India</w:t>
            </w:r>
          </w:p>
        </w:tc>
        <w:tc>
          <w:tcPr>
            <w:tcW w:w="652" w:type="dxa"/>
          </w:tcPr>
          <w:p w14:paraId="6AFAC013" w14:textId="77777777" w:rsidR="00204B98" w:rsidRPr="000A6C3D" w:rsidRDefault="00204B98" w:rsidP="005615F2">
            <w:pPr>
              <w:rPr>
                <w:rFonts w:ascii="Arial" w:hAnsi="Arial" w:cs="Arial"/>
                <w:sz w:val="16"/>
                <w:szCs w:val="16"/>
              </w:rPr>
            </w:pPr>
            <w:r w:rsidRPr="000A6C3D">
              <w:rPr>
                <w:rFonts w:ascii="Arial" w:hAnsi="Arial" w:cs="Arial"/>
                <w:color w:val="000000"/>
                <w:sz w:val="16"/>
                <w:szCs w:val="16"/>
              </w:rPr>
              <w:t>5</w:t>
            </w:r>
          </w:p>
        </w:tc>
        <w:tc>
          <w:tcPr>
            <w:tcW w:w="545" w:type="dxa"/>
          </w:tcPr>
          <w:p w14:paraId="30A79822" w14:textId="77777777" w:rsidR="00204B98" w:rsidRPr="000A6C3D" w:rsidRDefault="00204B98" w:rsidP="005615F2">
            <w:pPr>
              <w:rPr>
                <w:rFonts w:ascii="Arial" w:hAnsi="Arial" w:cs="Arial"/>
                <w:sz w:val="16"/>
                <w:szCs w:val="16"/>
              </w:rPr>
            </w:pPr>
            <w:r>
              <w:rPr>
                <w:rFonts w:ascii="Arial" w:hAnsi="Arial" w:cs="Arial"/>
                <w:sz w:val="16"/>
                <w:szCs w:val="16"/>
              </w:rPr>
              <w:t>Yes</w:t>
            </w:r>
          </w:p>
        </w:tc>
        <w:tc>
          <w:tcPr>
            <w:tcW w:w="1026" w:type="dxa"/>
          </w:tcPr>
          <w:p w14:paraId="28841450" w14:textId="77777777" w:rsidR="00204B98" w:rsidRPr="000A6C3D" w:rsidRDefault="00204B98" w:rsidP="005615F2">
            <w:pPr>
              <w:rPr>
                <w:rFonts w:ascii="Arial" w:hAnsi="Arial" w:cs="Arial"/>
                <w:sz w:val="16"/>
                <w:szCs w:val="16"/>
              </w:rPr>
            </w:pPr>
            <w:r>
              <w:rPr>
                <w:rFonts w:ascii="Arial" w:hAnsi="Arial" w:cs="Arial"/>
                <w:sz w:val="16"/>
                <w:szCs w:val="16"/>
              </w:rPr>
              <w:t>No</w:t>
            </w:r>
          </w:p>
        </w:tc>
        <w:tc>
          <w:tcPr>
            <w:tcW w:w="892" w:type="dxa"/>
          </w:tcPr>
          <w:p w14:paraId="6E0C113C" w14:textId="77777777" w:rsidR="00204B98" w:rsidRPr="000A6C3D" w:rsidRDefault="00204B98" w:rsidP="005615F2">
            <w:pPr>
              <w:rPr>
                <w:rFonts w:ascii="Arial" w:hAnsi="Arial" w:cs="Arial"/>
                <w:sz w:val="16"/>
                <w:szCs w:val="16"/>
              </w:rPr>
            </w:pPr>
            <w:r>
              <w:rPr>
                <w:rFonts w:ascii="Arial" w:hAnsi="Arial" w:cs="Arial"/>
                <w:sz w:val="16"/>
                <w:szCs w:val="16"/>
              </w:rPr>
              <w:t>Asian</w:t>
            </w:r>
          </w:p>
        </w:tc>
        <w:tc>
          <w:tcPr>
            <w:tcW w:w="1043" w:type="dxa"/>
          </w:tcPr>
          <w:p w14:paraId="5FFE1245" w14:textId="77777777" w:rsidR="00204B98" w:rsidRPr="000A6C3D" w:rsidRDefault="00204B98" w:rsidP="005615F2">
            <w:pPr>
              <w:rPr>
                <w:rFonts w:ascii="Arial" w:hAnsi="Arial" w:cs="Arial"/>
                <w:sz w:val="16"/>
                <w:szCs w:val="16"/>
              </w:rPr>
            </w:pPr>
            <w:r>
              <w:rPr>
                <w:rFonts w:ascii="Arial" w:hAnsi="Arial" w:cs="Arial"/>
                <w:color w:val="000000"/>
                <w:sz w:val="16"/>
                <w:szCs w:val="16"/>
              </w:rPr>
              <w:t>£1593-2471 pm</w:t>
            </w:r>
          </w:p>
        </w:tc>
        <w:tc>
          <w:tcPr>
            <w:tcW w:w="1177" w:type="dxa"/>
          </w:tcPr>
          <w:p w14:paraId="310FDB6D" w14:textId="77777777" w:rsidR="00204B98" w:rsidRPr="000A6C3D" w:rsidRDefault="00204B98" w:rsidP="005615F2">
            <w:pPr>
              <w:rPr>
                <w:rFonts w:ascii="Arial" w:hAnsi="Arial" w:cs="Arial"/>
                <w:sz w:val="16"/>
                <w:szCs w:val="16"/>
              </w:rPr>
            </w:pPr>
            <w:r>
              <w:rPr>
                <w:rFonts w:ascii="Arial" w:hAnsi="Arial" w:cs="Arial"/>
                <w:color w:val="000000"/>
                <w:sz w:val="16"/>
                <w:szCs w:val="16"/>
              </w:rPr>
              <w:t>At home</w:t>
            </w:r>
          </w:p>
        </w:tc>
        <w:tc>
          <w:tcPr>
            <w:tcW w:w="990" w:type="dxa"/>
          </w:tcPr>
          <w:p w14:paraId="4861AFD3" w14:textId="77777777" w:rsidR="00204B98" w:rsidRPr="000A6C3D" w:rsidRDefault="00204B98" w:rsidP="005615F2">
            <w:pPr>
              <w:rPr>
                <w:rFonts w:ascii="Arial" w:hAnsi="Arial" w:cs="Arial"/>
                <w:sz w:val="16"/>
                <w:szCs w:val="16"/>
              </w:rPr>
            </w:pPr>
            <w:r>
              <w:rPr>
                <w:rFonts w:ascii="Arial" w:hAnsi="Arial" w:cs="Arial"/>
                <w:sz w:val="16"/>
                <w:szCs w:val="16"/>
              </w:rPr>
              <w:t>Secondary</w:t>
            </w:r>
          </w:p>
        </w:tc>
        <w:tc>
          <w:tcPr>
            <w:tcW w:w="1156" w:type="dxa"/>
          </w:tcPr>
          <w:p w14:paraId="66A31993" w14:textId="77777777" w:rsidR="00204B98" w:rsidRPr="000A6C3D" w:rsidRDefault="00204B98" w:rsidP="005615F2">
            <w:pPr>
              <w:rPr>
                <w:rFonts w:ascii="Arial" w:hAnsi="Arial" w:cs="Arial"/>
                <w:sz w:val="16"/>
                <w:szCs w:val="16"/>
              </w:rPr>
            </w:pPr>
            <w:r>
              <w:rPr>
                <w:rFonts w:ascii="Arial" w:hAnsi="Arial" w:cs="Arial"/>
                <w:color w:val="000000"/>
                <w:sz w:val="16"/>
                <w:szCs w:val="16"/>
              </w:rPr>
              <w:t>Family</w:t>
            </w:r>
          </w:p>
        </w:tc>
      </w:tr>
    </w:tbl>
    <w:p w14:paraId="500C5C3F" w14:textId="77777777" w:rsidR="00204B98" w:rsidRDefault="00204B98" w:rsidP="005615F2">
      <w:pPr>
        <w:spacing w:line="480" w:lineRule="auto"/>
        <w:jc w:val="both"/>
        <w:rPr>
          <w:rFonts w:ascii="Arial" w:hAnsi="Arial" w:cs="Arial"/>
        </w:rPr>
      </w:pPr>
    </w:p>
    <w:p w14:paraId="053BCB2F" w14:textId="77777777" w:rsidR="00204B98" w:rsidRDefault="00204B98" w:rsidP="005615F2">
      <w:pPr>
        <w:spacing w:line="480" w:lineRule="auto"/>
        <w:jc w:val="both"/>
        <w:rPr>
          <w:rFonts w:ascii="Arial" w:hAnsi="Arial" w:cs="Arial"/>
        </w:rPr>
      </w:pPr>
      <w:r>
        <w:rPr>
          <w:rFonts w:ascii="Arial" w:hAnsi="Arial" w:cs="Arial"/>
        </w:rPr>
        <w:t>Five (35.7%) of 14 migrants with a positive QuantiFERON test were subsequently followed-up by specialist services as per routine health-care pathways and were engaged in LTBI treatment, of whom four have successfully completed treatment, and the fifth is currently completing treatment following a pregnancy. Of the other nine participants with positive QuantiFERON tests (64.3%), three</w:t>
      </w:r>
      <w:r w:rsidRPr="00CF0099">
        <w:rPr>
          <w:rFonts w:ascii="Arial" w:hAnsi="Arial" w:cs="Arial"/>
        </w:rPr>
        <w:t xml:space="preserve"> </w:t>
      </w:r>
      <w:r>
        <w:rPr>
          <w:rFonts w:ascii="Arial" w:hAnsi="Arial" w:cs="Arial"/>
        </w:rPr>
        <w:t xml:space="preserve">(21.4%) </w:t>
      </w:r>
      <w:r w:rsidRPr="00CF0099">
        <w:rPr>
          <w:rFonts w:ascii="Arial" w:hAnsi="Arial" w:cs="Arial"/>
        </w:rPr>
        <w:t>were lost to follow-up</w:t>
      </w:r>
      <w:r>
        <w:rPr>
          <w:rFonts w:ascii="Arial" w:hAnsi="Arial" w:cs="Arial"/>
        </w:rPr>
        <w:t xml:space="preserve"> as they did not attend appointments or could not be contacted. One patient returned overseas, and two declined treatment after follow-up consultations. Three participants were not offered treatment. One of these participants had a complicated pregnancy so LTBI treatment was deferred, and one had a concurrent hepatitis B diagnosis. The third patient was inappropriately discharged from the TB service and not offered latent TB treatment because a clinician deemed them not eligible according to review of the medical records. </w:t>
      </w:r>
      <w:r w:rsidRPr="00CF0099">
        <w:rPr>
          <w:rFonts w:ascii="Arial" w:hAnsi="Arial" w:cs="Arial"/>
        </w:rPr>
        <w:t xml:space="preserve"> </w:t>
      </w:r>
    </w:p>
    <w:p w14:paraId="61EE8BEF" w14:textId="77777777" w:rsidR="00204B98" w:rsidRDefault="00204B98" w:rsidP="005615F2">
      <w:pPr>
        <w:spacing w:line="480" w:lineRule="auto"/>
        <w:jc w:val="both"/>
        <w:rPr>
          <w:rFonts w:ascii="Arial" w:hAnsi="Arial" w:cs="Arial"/>
        </w:rPr>
      </w:pPr>
      <w:r>
        <w:rPr>
          <w:rFonts w:ascii="Arial" w:hAnsi="Arial" w:cs="Arial"/>
        </w:rPr>
        <w:t xml:space="preserve">Of the three participants (3.1%) with an indeterminate QuantiFERON result, </w:t>
      </w:r>
      <w:r w:rsidRPr="00CF0099">
        <w:rPr>
          <w:rFonts w:ascii="Arial" w:hAnsi="Arial" w:cs="Arial"/>
        </w:rPr>
        <w:t>one declined re-testing</w:t>
      </w:r>
      <w:r>
        <w:rPr>
          <w:rFonts w:ascii="Arial" w:hAnsi="Arial" w:cs="Arial"/>
        </w:rPr>
        <w:t xml:space="preserve"> as she had been previously treated for active TB (the likely explanation for the result)</w:t>
      </w:r>
      <w:r w:rsidRPr="00CF0099">
        <w:rPr>
          <w:rFonts w:ascii="Arial" w:hAnsi="Arial" w:cs="Arial"/>
        </w:rPr>
        <w:t>, one had a negative screen when re</w:t>
      </w:r>
      <w:r>
        <w:rPr>
          <w:rFonts w:ascii="Arial" w:hAnsi="Arial" w:cs="Arial"/>
        </w:rPr>
        <w:t>tes</w:t>
      </w:r>
      <w:r w:rsidRPr="00CF0099">
        <w:rPr>
          <w:rFonts w:ascii="Arial" w:hAnsi="Arial" w:cs="Arial"/>
        </w:rPr>
        <w:t xml:space="preserve">ted, and one </w:t>
      </w:r>
      <w:r>
        <w:rPr>
          <w:rFonts w:ascii="Arial" w:hAnsi="Arial" w:cs="Arial"/>
        </w:rPr>
        <w:t>died from a known unrelated malignancy (this patient had no evidence of active TB)</w:t>
      </w:r>
      <w:r w:rsidRPr="00CF0099">
        <w:rPr>
          <w:rFonts w:ascii="Arial" w:hAnsi="Arial" w:cs="Arial"/>
        </w:rPr>
        <w:t xml:space="preserve">. </w:t>
      </w:r>
    </w:p>
    <w:p w14:paraId="177B4311" w14:textId="77777777" w:rsidR="00204B98" w:rsidRPr="00CF0099" w:rsidRDefault="00204B98" w:rsidP="005615F2">
      <w:pPr>
        <w:spacing w:line="480" w:lineRule="auto"/>
        <w:jc w:val="both"/>
        <w:rPr>
          <w:rFonts w:ascii="Arial" w:hAnsi="Arial" w:cs="Arial"/>
        </w:rPr>
      </w:pPr>
      <w:r>
        <w:rPr>
          <w:rFonts w:ascii="Arial" w:hAnsi="Arial" w:cs="Arial"/>
        </w:rPr>
        <w:t>One patient who screened positive for latent TB was also identified to have hepatitis B.  In addition, one further patient screened positive for hepatitis B</w:t>
      </w:r>
      <w:r w:rsidRPr="00CF0099">
        <w:rPr>
          <w:rFonts w:ascii="Arial" w:hAnsi="Arial" w:cs="Arial"/>
        </w:rPr>
        <w:t xml:space="preserve">, </w:t>
      </w:r>
      <w:r>
        <w:rPr>
          <w:rFonts w:ascii="Arial" w:hAnsi="Arial" w:cs="Arial"/>
        </w:rPr>
        <w:t xml:space="preserve">one had </w:t>
      </w:r>
      <w:r w:rsidRPr="00CF0099">
        <w:rPr>
          <w:rFonts w:ascii="Arial" w:hAnsi="Arial" w:cs="Arial"/>
        </w:rPr>
        <w:t xml:space="preserve">hepatitis C, and </w:t>
      </w:r>
      <w:r>
        <w:rPr>
          <w:rFonts w:ascii="Arial" w:hAnsi="Arial" w:cs="Arial"/>
        </w:rPr>
        <w:t xml:space="preserve">one had </w:t>
      </w:r>
      <w:r w:rsidRPr="00CF0099">
        <w:rPr>
          <w:rFonts w:ascii="Arial" w:hAnsi="Arial" w:cs="Arial"/>
        </w:rPr>
        <w:t>HIV</w:t>
      </w:r>
      <w:r>
        <w:rPr>
          <w:rFonts w:ascii="Arial" w:hAnsi="Arial" w:cs="Arial"/>
        </w:rPr>
        <w:t>, all of which</w:t>
      </w:r>
      <w:r w:rsidRPr="00CF0099">
        <w:rPr>
          <w:rFonts w:ascii="Arial" w:hAnsi="Arial" w:cs="Arial"/>
        </w:rPr>
        <w:t xml:space="preserve"> were previously known. </w:t>
      </w:r>
    </w:p>
    <w:p w14:paraId="6EC8A496" w14:textId="77777777" w:rsidR="00204B98" w:rsidRDefault="00204B98" w:rsidP="005615F2">
      <w:pPr>
        <w:spacing w:line="480" w:lineRule="auto"/>
        <w:jc w:val="both"/>
        <w:rPr>
          <w:rFonts w:ascii="Arial" w:hAnsi="Arial" w:cs="Arial"/>
          <w:i/>
        </w:rPr>
      </w:pPr>
    </w:p>
    <w:p w14:paraId="225EFE4A" w14:textId="77777777" w:rsidR="00204B98" w:rsidRPr="00CF0099" w:rsidRDefault="00204B98" w:rsidP="005615F2">
      <w:pPr>
        <w:spacing w:line="480" w:lineRule="auto"/>
        <w:jc w:val="both"/>
        <w:rPr>
          <w:rFonts w:ascii="Arial" w:hAnsi="Arial" w:cs="Arial"/>
          <w:i/>
        </w:rPr>
      </w:pPr>
      <w:r>
        <w:rPr>
          <w:rFonts w:ascii="Arial" w:hAnsi="Arial" w:cs="Arial"/>
          <w:i/>
        </w:rPr>
        <w:t>Primary care registration and s</w:t>
      </w:r>
      <w:r w:rsidRPr="00CF0099">
        <w:rPr>
          <w:rFonts w:ascii="Arial" w:hAnsi="Arial" w:cs="Arial"/>
          <w:i/>
        </w:rPr>
        <w:t>creening history</w:t>
      </w:r>
      <w:r>
        <w:rPr>
          <w:rFonts w:ascii="Arial" w:hAnsi="Arial" w:cs="Arial"/>
          <w:i/>
        </w:rPr>
        <w:t xml:space="preserve"> prior to presentation to the emergency department</w:t>
      </w:r>
    </w:p>
    <w:p w14:paraId="314E10A9" w14:textId="2D0F686E" w:rsidR="00204B98" w:rsidRDefault="00204B98" w:rsidP="005615F2">
      <w:pPr>
        <w:spacing w:line="480" w:lineRule="auto"/>
        <w:jc w:val="both"/>
        <w:rPr>
          <w:rFonts w:ascii="Arial" w:hAnsi="Arial" w:cs="Arial"/>
        </w:rPr>
      </w:pPr>
      <w:r w:rsidRPr="00CF0099">
        <w:rPr>
          <w:rFonts w:ascii="Arial" w:hAnsi="Arial" w:cs="Arial"/>
        </w:rPr>
        <w:lastRenderedPageBreak/>
        <w:t xml:space="preserve">20 participants (20.8%) were not permanently registered with a </w:t>
      </w:r>
      <w:r>
        <w:rPr>
          <w:rFonts w:ascii="Arial" w:hAnsi="Arial" w:cs="Arial"/>
        </w:rPr>
        <w:t>primary-care doctor</w:t>
      </w:r>
      <w:r w:rsidRPr="00CF0099">
        <w:rPr>
          <w:rFonts w:ascii="Arial" w:hAnsi="Arial" w:cs="Arial"/>
        </w:rPr>
        <w:t xml:space="preserve"> in the UK</w:t>
      </w:r>
      <w:r>
        <w:rPr>
          <w:rFonts w:ascii="Arial" w:hAnsi="Arial" w:cs="Arial"/>
        </w:rPr>
        <w:t>, but the majority were</w:t>
      </w:r>
      <w:r w:rsidRPr="00CF0099">
        <w:rPr>
          <w:rFonts w:ascii="Arial" w:hAnsi="Arial" w:cs="Arial"/>
        </w:rPr>
        <w:t>. 74 (77.1%) of participants had never been screened for</w:t>
      </w:r>
      <w:r>
        <w:rPr>
          <w:rFonts w:ascii="Arial" w:hAnsi="Arial" w:cs="Arial"/>
        </w:rPr>
        <w:t xml:space="preserve"> TB or any other</w:t>
      </w:r>
      <w:r w:rsidRPr="00CF0099">
        <w:rPr>
          <w:rFonts w:ascii="Arial" w:hAnsi="Arial" w:cs="Arial"/>
        </w:rPr>
        <w:t xml:space="preserve"> infectious disease since migrating to the UK</w:t>
      </w:r>
      <w:r w:rsidR="00AB4B78">
        <w:rPr>
          <w:rFonts w:ascii="Arial" w:hAnsi="Arial" w:cs="Arial"/>
        </w:rPr>
        <w:t>, though recall bias is possible</w:t>
      </w:r>
      <w:r w:rsidRPr="00CF0099">
        <w:rPr>
          <w:rFonts w:ascii="Arial" w:hAnsi="Arial" w:cs="Arial"/>
        </w:rPr>
        <w:t xml:space="preserve">. </w:t>
      </w:r>
      <w:r>
        <w:rPr>
          <w:rFonts w:ascii="Arial" w:hAnsi="Arial" w:cs="Arial"/>
        </w:rPr>
        <w:t xml:space="preserve">19 (95.0%) of these 20 participants not registered with a primary-care provider had never received any infectious diseases screening in the UK </w:t>
      </w:r>
      <w:r w:rsidRPr="00CF0099">
        <w:rPr>
          <w:rFonts w:ascii="Arial" w:hAnsi="Arial" w:cs="Arial"/>
        </w:rPr>
        <w:t xml:space="preserve">(Table </w:t>
      </w:r>
      <w:r>
        <w:rPr>
          <w:rFonts w:ascii="Arial" w:hAnsi="Arial" w:cs="Arial"/>
        </w:rPr>
        <w:t>5</w:t>
      </w:r>
      <w:r w:rsidRPr="00CF0099">
        <w:rPr>
          <w:rFonts w:ascii="Arial" w:hAnsi="Arial" w:cs="Arial"/>
        </w:rPr>
        <w:t>)</w:t>
      </w:r>
      <w:r>
        <w:rPr>
          <w:rFonts w:ascii="Arial" w:hAnsi="Arial" w:cs="Arial"/>
        </w:rPr>
        <w:t>.  Even</w:t>
      </w:r>
      <w:r w:rsidRPr="00CF0099">
        <w:rPr>
          <w:rFonts w:ascii="Arial" w:hAnsi="Arial" w:cs="Arial"/>
        </w:rPr>
        <w:t xml:space="preserve"> among the 76 migrants </w:t>
      </w:r>
      <w:r>
        <w:rPr>
          <w:rFonts w:ascii="Arial" w:hAnsi="Arial" w:cs="Arial"/>
        </w:rPr>
        <w:t xml:space="preserve">who were </w:t>
      </w:r>
      <w:r w:rsidRPr="00CF0099">
        <w:rPr>
          <w:rFonts w:ascii="Arial" w:hAnsi="Arial" w:cs="Arial"/>
        </w:rPr>
        <w:t xml:space="preserve">registered with a GP, 55 (72.4%) had never been </w:t>
      </w:r>
      <w:r>
        <w:rPr>
          <w:rFonts w:ascii="Arial" w:hAnsi="Arial" w:cs="Arial"/>
        </w:rPr>
        <w:t xml:space="preserve">previously </w:t>
      </w:r>
      <w:r w:rsidRPr="00CF0099">
        <w:rPr>
          <w:rFonts w:ascii="Arial" w:hAnsi="Arial" w:cs="Arial"/>
        </w:rPr>
        <w:t xml:space="preserve">screened for </w:t>
      </w:r>
      <w:r>
        <w:rPr>
          <w:rFonts w:ascii="Arial" w:hAnsi="Arial" w:cs="Arial"/>
        </w:rPr>
        <w:t xml:space="preserve">TB or </w:t>
      </w:r>
      <w:r w:rsidRPr="00CF0099">
        <w:rPr>
          <w:rFonts w:ascii="Arial" w:hAnsi="Arial" w:cs="Arial"/>
        </w:rPr>
        <w:t xml:space="preserve">any </w:t>
      </w:r>
      <w:r>
        <w:rPr>
          <w:rFonts w:ascii="Arial" w:hAnsi="Arial" w:cs="Arial"/>
        </w:rPr>
        <w:t xml:space="preserve">other </w:t>
      </w:r>
      <w:r w:rsidRPr="00CF0099">
        <w:rPr>
          <w:rFonts w:ascii="Arial" w:hAnsi="Arial" w:cs="Arial"/>
        </w:rPr>
        <w:t>infectious disease</w:t>
      </w:r>
      <w:r>
        <w:rPr>
          <w:rFonts w:ascii="Arial" w:hAnsi="Arial" w:cs="Arial"/>
        </w:rPr>
        <w:t xml:space="preserve"> since arrival</w:t>
      </w:r>
      <w:r w:rsidRPr="00CF0099">
        <w:rPr>
          <w:rFonts w:ascii="Arial" w:hAnsi="Arial" w:cs="Arial"/>
        </w:rPr>
        <w:t xml:space="preserve"> in the UK</w:t>
      </w:r>
      <w:r>
        <w:rPr>
          <w:rFonts w:ascii="Arial" w:hAnsi="Arial" w:cs="Arial"/>
        </w:rPr>
        <w:t xml:space="preserve">.  </w:t>
      </w:r>
      <w:r w:rsidRPr="00CF0099">
        <w:rPr>
          <w:rFonts w:ascii="Arial" w:hAnsi="Arial" w:cs="Arial"/>
        </w:rPr>
        <w:t xml:space="preserve">Among participants who screened positive for </w:t>
      </w:r>
      <w:r>
        <w:rPr>
          <w:rFonts w:ascii="Arial" w:hAnsi="Arial" w:cs="Arial"/>
        </w:rPr>
        <w:t>LTBI</w:t>
      </w:r>
      <w:r w:rsidRPr="00CF0099">
        <w:rPr>
          <w:rFonts w:ascii="Arial" w:hAnsi="Arial" w:cs="Arial"/>
        </w:rPr>
        <w:t xml:space="preserve"> (1</w:t>
      </w:r>
      <w:r>
        <w:rPr>
          <w:rFonts w:ascii="Arial" w:hAnsi="Arial" w:cs="Arial"/>
        </w:rPr>
        <w:t>4</w:t>
      </w:r>
      <w:r w:rsidRPr="00CF0099">
        <w:rPr>
          <w:rFonts w:ascii="Arial" w:hAnsi="Arial" w:cs="Arial"/>
        </w:rPr>
        <w:t xml:space="preserve">), </w:t>
      </w:r>
      <w:r>
        <w:rPr>
          <w:rFonts w:ascii="Arial" w:hAnsi="Arial" w:cs="Arial"/>
        </w:rPr>
        <w:t>9 (64.3%) had never been previously screened for an infectious disease in the UK.</w:t>
      </w:r>
      <w:r w:rsidRPr="00CF0099">
        <w:rPr>
          <w:rFonts w:ascii="Arial" w:hAnsi="Arial" w:cs="Arial"/>
        </w:rPr>
        <w:t xml:space="preserve"> </w:t>
      </w:r>
    </w:p>
    <w:p w14:paraId="1AE1EA94" w14:textId="77777777" w:rsidR="00204B98" w:rsidRPr="00CF0099" w:rsidRDefault="00204B98" w:rsidP="005615F2">
      <w:pPr>
        <w:pStyle w:val="Caption"/>
        <w:keepNext/>
        <w:rPr>
          <w:rFonts w:ascii="Arial" w:hAnsi="Arial" w:cs="Arial"/>
          <w:sz w:val="22"/>
          <w:szCs w:val="22"/>
        </w:rPr>
      </w:pPr>
      <w:r w:rsidRPr="00CF0099">
        <w:rPr>
          <w:rFonts w:ascii="Arial" w:hAnsi="Arial" w:cs="Arial"/>
          <w:sz w:val="22"/>
          <w:szCs w:val="22"/>
        </w:rPr>
        <w:t xml:space="preserve">Table </w:t>
      </w:r>
      <w:r>
        <w:rPr>
          <w:rFonts w:ascii="Arial" w:hAnsi="Arial" w:cs="Arial"/>
          <w:sz w:val="22"/>
          <w:szCs w:val="22"/>
        </w:rPr>
        <w:t>5</w:t>
      </w:r>
      <w:r w:rsidRPr="00CF0099">
        <w:rPr>
          <w:rFonts w:ascii="Arial" w:hAnsi="Arial" w:cs="Arial"/>
          <w:i w:val="0"/>
          <w:sz w:val="22"/>
          <w:szCs w:val="22"/>
        </w:rPr>
        <w:t xml:space="preserve"> Screening history</w:t>
      </w:r>
    </w:p>
    <w:tbl>
      <w:tblPr>
        <w:tblStyle w:val="TableGrid"/>
        <w:tblW w:w="9067" w:type="dxa"/>
        <w:tblLook w:val="04A0" w:firstRow="1" w:lastRow="0" w:firstColumn="1" w:lastColumn="0" w:noHBand="0" w:noVBand="1"/>
      </w:tblPr>
      <w:tblGrid>
        <w:gridCol w:w="3823"/>
        <w:gridCol w:w="2693"/>
        <w:gridCol w:w="2551"/>
      </w:tblGrid>
      <w:tr w:rsidR="00204B98" w:rsidRPr="00CF0099" w14:paraId="72C5B5CD" w14:textId="77777777" w:rsidTr="005615F2">
        <w:tc>
          <w:tcPr>
            <w:tcW w:w="3823" w:type="dxa"/>
            <w:vMerge w:val="restart"/>
          </w:tcPr>
          <w:p w14:paraId="67F0F8AB" w14:textId="77777777" w:rsidR="00204B98" w:rsidRPr="00CF0099" w:rsidRDefault="00204B98" w:rsidP="005615F2">
            <w:pPr>
              <w:rPr>
                <w:rFonts w:ascii="Arial" w:hAnsi="Arial" w:cs="Arial"/>
                <w:b/>
              </w:rPr>
            </w:pPr>
          </w:p>
        </w:tc>
        <w:tc>
          <w:tcPr>
            <w:tcW w:w="5244" w:type="dxa"/>
            <w:gridSpan w:val="2"/>
          </w:tcPr>
          <w:p w14:paraId="2280AE36" w14:textId="77777777" w:rsidR="00204B98" w:rsidRPr="00CF0099" w:rsidRDefault="00204B98" w:rsidP="005615F2">
            <w:pPr>
              <w:rPr>
                <w:rFonts w:ascii="Arial" w:hAnsi="Arial" w:cs="Arial"/>
                <w:b/>
              </w:rPr>
            </w:pPr>
            <w:r w:rsidRPr="00CF0099">
              <w:rPr>
                <w:rFonts w:ascii="Arial" w:hAnsi="Arial" w:cs="Arial"/>
                <w:b/>
              </w:rPr>
              <w:t xml:space="preserve">Previous screening in UK </w:t>
            </w:r>
          </w:p>
          <w:p w14:paraId="3DA80B49" w14:textId="77777777" w:rsidR="00204B98" w:rsidRPr="00CF0099" w:rsidRDefault="00204B98" w:rsidP="005615F2">
            <w:pPr>
              <w:rPr>
                <w:rFonts w:ascii="Arial" w:hAnsi="Arial" w:cs="Arial"/>
                <w:b/>
              </w:rPr>
            </w:pPr>
          </w:p>
        </w:tc>
      </w:tr>
      <w:tr w:rsidR="00204B98" w:rsidRPr="00CF0099" w14:paraId="0D9C8D65" w14:textId="77777777" w:rsidTr="005615F2">
        <w:tc>
          <w:tcPr>
            <w:tcW w:w="3823" w:type="dxa"/>
            <w:vMerge/>
          </w:tcPr>
          <w:p w14:paraId="25DC61DA" w14:textId="77777777" w:rsidR="00204B98" w:rsidRPr="00CF0099" w:rsidRDefault="00204B98" w:rsidP="005615F2">
            <w:pPr>
              <w:rPr>
                <w:rFonts w:ascii="Arial" w:hAnsi="Arial" w:cs="Arial"/>
              </w:rPr>
            </w:pPr>
          </w:p>
        </w:tc>
        <w:tc>
          <w:tcPr>
            <w:tcW w:w="2693" w:type="dxa"/>
            <w:tcBorders>
              <w:bottom w:val="single" w:sz="4" w:space="0" w:color="auto"/>
            </w:tcBorders>
          </w:tcPr>
          <w:p w14:paraId="12A29CB9" w14:textId="77777777" w:rsidR="00204B98" w:rsidRPr="00CF0099" w:rsidRDefault="00204B98" w:rsidP="005615F2">
            <w:pPr>
              <w:rPr>
                <w:rFonts w:ascii="Arial" w:hAnsi="Arial" w:cs="Arial"/>
              </w:rPr>
            </w:pPr>
            <w:r w:rsidRPr="00CF0099">
              <w:rPr>
                <w:rFonts w:ascii="Arial" w:hAnsi="Arial" w:cs="Arial"/>
              </w:rPr>
              <w:t>Never tested</w:t>
            </w:r>
          </w:p>
        </w:tc>
        <w:tc>
          <w:tcPr>
            <w:tcW w:w="2551" w:type="dxa"/>
            <w:tcBorders>
              <w:bottom w:val="single" w:sz="4" w:space="0" w:color="auto"/>
            </w:tcBorders>
          </w:tcPr>
          <w:p w14:paraId="0363255A" w14:textId="77777777" w:rsidR="00204B98" w:rsidRPr="00CF0099" w:rsidRDefault="00204B98" w:rsidP="005615F2">
            <w:pPr>
              <w:rPr>
                <w:rFonts w:ascii="Arial" w:hAnsi="Arial" w:cs="Arial"/>
              </w:rPr>
            </w:pPr>
            <w:r w:rsidRPr="00CF0099">
              <w:rPr>
                <w:rFonts w:ascii="Arial" w:hAnsi="Arial" w:cs="Arial"/>
              </w:rPr>
              <w:t>Previously tested</w:t>
            </w:r>
          </w:p>
        </w:tc>
      </w:tr>
      <w:tr w:rsidR="00204B98" w:rsidRPr="00CF0099" w14:paraId="47AE7E34" w14:textId="77777777" w:rsidTr="005615F2">
        <w:tc>
          <w:tcPr>
            <w:tcW w:w="3823" w:type="dxa"/>
            <w:tcBorders>
              <w:bottom w:val="nil"/>
            </w:tcBorders>
          </w:tcPr>
          <w:p w14:paraId="49E908CC" w14:textId="77777777" w:rsidR="00204B98" w:rsidRPr="00CF0099" w:rsidRDefault="00204B98" w:rsidP="005615F2">
            <w:pPr>
              <w:rPr>
                <w:rFonts w:ascii="Arial" w:hAnsi="Arial" w:cs="Arial"/>
                <w:b/>
              </w:rPr>
            </w:pPr>
            <w:r w:rsidRPr="00CF0099">
              <w:rPr>
                <w:rFonts w:ascii="Arial" w:hAnsi="Arial" w:cs="Arial"/>
                <w:b/>
              </w:rPr>
              <w:t>GP registration</w:t>
            </w:r>
          </w:p>
        </w:tc>
        <w:tc>
          <w:tcPr>
            <w:tcW w:w="2693" w:type="dxa"/>
            <w:tcBorders>
              <w:bottom w:val="nil"/>
            </w:tcBorders>
          </w:tcPr>
          <w:p w14:paraId="0C03614A" w14:textId="77777777" w:rsidR="00204B98" w:rsidRPr="00CF0099" w:rsidRDefault="00204B98" w:rsidP="005615F2">
            <w:pPr>
              <w:rPr>
                <w:rFonts w:ascii="Arial" w:hAnsi="Arial" w:cs="Arial"/>
              </w:rPr>
            </w:pPr>
          </w:p>
        </w:tc>
        <w:tc>
          <w:tcPr>
            <w:tcW w:w="2551" w:type="dxa"/>
            <w:tcBorders>
              <w:bottom w:val="nil"/>
            </w:tcBorders>
          </w:tcPr>
          <w:p w14:paraId="78B80BED" w14:textId="77777777" w:rsidR="00204B98" w:rsidRPr="00CF0099" w:rsidRDefault="00204B98" w:rsidP="005615F2">
            <w:pPr>
              <w:rPr>
                <w:rFonts w:ascii="Arial" w:hAnsi="Arial" w:cs="Arial"/>
              </w:rPr>
            </w:pPr>
          </w:p>
        </w:tc>
      </w:tr>
      <w:tr w:rsidR="00204B98" w:rsidRPr="00CF0099" w14:paraId="655496AC" w14:textId="77777777" w:rsidTr="005615F2">
        <w:tc>
          <w:tcPr>
            <w:tcW w:w="3823" w:type="dxa"/>
            <w:tcBorders>
              <w:top w:val="nil"/>
              <w:bottom w:val="nil"/>
            </w:tcBorders>
          </w:tcPr>
          <w:p w14:paraId="0C2C7B84" w14:textId="77777777" w:rsidR="00204B98" w:rsidRPr="00CF0099" w:rsidRDefault="00204B98" w:rsidP="005615F2">
            <w:pPr>
              <w:ind w:left="313"/>
              <w:rPr>
                <w:rFonts w:ascii="Arial" w:hAnsi="Arial" w:cs="Arial"/>
              </w:rPr>
            </w:pPr>
            <w:r w:rsidRPr="00CF0099">
              <w:rPr>
                <w:rFonts w:ascii="Arial" w:hAnsi="Arial" w:cs="Arial"/>
              </w:rPr>
              <w:t>Not registered</w:t>
            </w:r>
          </w:p>
        </w:tc>
        <w:tc>
          <w:tcPr>
            <w:tcW w:w="2693" w:type="dxa"/>
            <w:tcBorders>
              <w:top w:val="nil"/>
              <w:bottom w:val="nil"/>
            </w:tcBorders>
          </w:tcPr>
          <w:p w14:paraId="218B3CA3" w14:textId="77777777" w:rsidR="00204B98" w:rsidRPr="00CF0099" w:rsidRDefault="00204B98" w:rsidP="005615F2">
            <w:pPr>
              <w:tabs>
                <w:tab w:val="center" w:pos="1019"/>
              </w:tabs>
              <w:rPr>
                <w:rFonts w:ascii="Arial" w:hAnsi="Arial" w:cs="Arial"/>
              </w:rPr>
            </w:pPr>
            <w:r w:rsidRPr="00CF0099">
              <w:rPr>
                <w:rFonts w:ascii="Arial" w:hAnsi="Arial" w:cs="Arial"/>
              </w:rPr>
              <w:t>19 (95.0%)</w:t>
            </w:r>
          </w:p>
        </w:tc>
        <w:tc>
          <w:tcPr>
            <w:tcW w:w="2551" w:type="dxa"/>
            <w:tcBorders>
              <w:top w:val="nil"/>
              <w:bottom w:val="nil"/>
            </w:tcBorders>
          </w:tcPr>
          <w:p w14:paraId="75A21034" w14:textId="77777777" w:rsidR="00204B98" w:rsidRPr="00CF0099" w:rsidRDefault="00204B98" w:rsidP="005615F2">
            <w:pPr>
              <w:rPr>
                <w:rFonts w:ascii="Arial" w:hAnsi="Arial" w:cs="Arial"/>
              </w:rPr>
            </w:pPr>
            <w:r w:rsidRPr="00CF0099">
              <w:rPr>
                <w:rFonts w:ascii="Arial" w:hAnsi="Arial" w:cs="Arial"/>
              </w:rPr>
              <w:t>1 (5.0%)</w:t>
            </w:r>
          </w:p>
        </w:tc>
      </w:tr>
      <w:tr w:rsidR="00204B98" w:rsidRPr="00CF0099" w14:paraId="0CC1B244" w14:textId="77777777" w:rsidTr="005615F2">
        <w:tc>
          <w:tcPr>
            <w:tcW w:w="3823" w:type="dxa"/>
            <w:tcBorders>
              <w:top w:val="nil"/>
            </w:tcBorders>
          </w:tcPr>
          <w:p w14:paraId="79252105" w14:textId="77777777" w:rsidR="00204B98" w:rsidRPr="00CF0099" w:rsidRDefault="00204B98" w:rsidP="005615F2">
            <w:pPr>
              <w:ind w:left="313"/>
              <w:rPr>
                <w:rFonts w:ascii="Arial" w:hAnsi="Arial" w:cs="Arial"/>
              </w:rPr>
            </w:pPr>
            <w:r w:rsidRPr="00CF0099">
              <w:rPr>
                <w:rFonts w:ascii="Arial" w:hAnsi="Arial" w:cs="Arial"/>
              </w:rPr>
              <w:t>Registered</w:t>
            </w:r>
          </w:p>
        </w:tc>
        <w:tc>
          <w:tcPr>
            <w:tcW w:w="2693" w:type="dxa"/>
            <w:tcBorders>
              <w:top w:val="nil"/>
              <w:bottom w:val="single" w:sz="4" w:space="0" w:color="auto"/>
            </w:tcBorders>
          </w:tcPr>
          <w:p w14:paraId="2070A32C" w14:textId="77777777" w:rsidR="00204B98" w:rsidRPr="00CF0099" w:rsidRDefault="00204B98" w:rsidP="005615F2">
            <w:pPr>
              <w:rPr>
                <w:rFonts w:ascii="Arial" w:hAnsi="Arial" w:cs="Arial"/>
              </w:rPr>
            </w:pPr>
            <w:r w:rsidRPr="00CF0099">
              <w:rPr>
                <w:rFonts w:ascii="Arial" w:hAnsi="Arial" w:cs="Arial"/>
              </w:rPr>
              <w:t>55 (72.4%)</w:t>
            </w:r>
          </w:p>
        </w:tc>
        <w:tc>
          <w:tcPr>
            <w:tcW w:w="2551" w:type="dxa"/>
            <w:tcBorders>
              <w:top w:val="nil"/>
              <w:bottom w:val="single" w:sz="4" w:space="0" w:color="auto"/>
            </w:tcBorders>
          </w:tcPr>
          <w:p w14:paraId="1C308742" w14:textId="77777777" w:rsidR="00204B98" w:rsidRPr="00CF0099" w:rsidRDefault="00204B98" w:rsidP="005615F2">
            <w:pPr>
              <w:rPr>
                <w:rFonts w:ascii="Arial" w:hAnsi="Arial" w:cs="Arial"/>
              </w:rPr>
            </w:pPr>
            <w:r w:rsidRPr="00CF0099">
              <w:rPr>
                <w:rFonts w:ascii="Arial" w:hAnsi="Arial" w:cs="Arial"/>
              </w:rPr>
              <w:t>21 (27.6%)</w:t>
            </w:r>
          </w:p>
        </w:tc>
      </w:tr>
      <w:tr w:rsidR="00204B98" w:rsidRPr="00CF0099" w14:paraId="51D81E42" w14:textId="77777777" w:rsidTr="005615F2">
        <w:tc>
          <w:tcPr>
            <w:tcW w:w="3823" w:type="dxa"/>
            <w:tcBorders>
              <w:bottom w:val="nil"/>
            </w:tcBorders>
          </w:tcPr>
          <w:p w14:paraId="7DE09285" w14:textId="77777777" w:rsidR="00204B98" w:rsidRPr="00CF0099" w:rsidRDefault="00204B98" w:rsidP="005615F2">
            <w:pPr>
              <w:rPr>
                <w:rFonts w:ascii="Arial" w:hAnsi="Arial" w:cs="Arial"/>
                <w:b/>
              </w:rPr>
            </w:pPr>
            <w:r w:rsidRPr="00CF0099">
              <w:rPr>
                <w:rFonts w:ascii="Arial" w:hAnsi="Arial" w:cs="Arial"/>
                <w:b/>
              </w:rPr>
              <w:t>Test results</w:t>
            </w:r>
          </w:p>
        </w:tc>
        <w:tc>
          <w:tcPr>
            <w:tcW w:w="2693" w:type="dxa"/>
            <w:tcBorders>
              <w:bottom w:val="nil"/>
            </w:tcBorders>
          </w:tcPr>
          <w:p w14:paraId="2B6204E2" w14:textId="77777777" w:rsidR="00204B98" w:rsidRPr="00CF0099" w:rsidRDefault="00204B98" w:rsidP="005615F2">
            <w:pPr>
              <w:rPr>
                <w:rFonts w:ascii="Arial" w:hAnsi="Arial" w:cs="Arial"/>
              </w:rPr>
            </w:pPr>
          </w:p>
        </w:tc>
        <w:tc>
          <w:tcPr>
            <w:tcW w:w="2551" w:type="dxa"/>
            <w:tcBorders>
              <w:bottom w:val="nil"/>
            </w:tcBorders>
          </w:tcPr>
          <w:p w14:paraId="6A6222A6" w14:textId="77777777" w:rsidR="00204B98" w:rsidRPr="00CF0099" w:rsidRDefault="00204B98" w:rsidP="005615F2">
            <w:pPr>
              <w:rPr>
                <w:rFonts w:ascii="Arial" w:hAnsi="Arial" w:cs="Arial"/>
              </w:rPr>
            </w:pPr>
          </w:p>
        </w:tc>
      </w:tr>
      <w:tr w:rsidR="00204B98" w:rsidRPr="00CF0099" w14:paraId="6FC936B7" w14:textId="77777777" w:rsidTr="005615F2">
        <w:tc>
          <w:tcPr>
            <w:tcW w:w="3823" w:type="dxa"/>
            <w:tcBorders>
              <w:top w:val="nil"/>
              <w:bottom w:val="nil"/>
            </w:tcBorders>
          </w:tcPr>
          <w:p w14:paraId="6B0DAFA7" w14:textId="77777777" w:rsidR="00204B98" w:rsidRPr="00CF0099" w:rsidRDefault="00204B98" w:rsidP="005615F2">
            <w:pPr>
              <w:ind w:left="313"/>
              <w:rPr>
                <w:rFonts w:ascii="Arial" w:hAnsi="Arial" w:cs="Arial"/>
              </w:rPr>
            </w:pPr>
            <w:r w:rsidRPr="00CF0099">
              <w:rPr>
                <w:rFonts w:ascii="Arial" w:hAnsi="Arial" w:cs="Arial"/>
              </w:rPr>
              <w:t>Negative</w:t>
            </w:r>
          </w:p>
        </w:tc>
        <w:tc>
          <w:tcPr>
            <w:tcW w:w="2693" w:type="dxa"/>
            <w:tcBorders>
              <w:top w:val="nil"/>
              <w:bottom w:val="nil"/>
            </w:tcBorders>
          </w:tcPr>
          <w:p w14:paraId="0718862B" w14:textId="77777777" w:rsidR="00204B98" w:rsidRPr="00CF0099" w:rsidRDefault="00204B98" w:rsidP="005615F2">
            <w:pPr>
              <w:rPr>
                <w:rFonts w:ascii="Arial" w:hAnsi="Arial" w:cs="Arial"/>
              </w:rPr>
            </w:pPr>
            <w:r w:rsidRPr="00CF0099">
              <w:rPr>
                <w:rFonts w:ascii="Arial" w:hAnsi="Arial" w:cs="Arial"/>
              </w:rPr>
              <w:t>61 (80.3%)</w:t>
            </w:r>
          </w:p>
        </w:tc>
        <w:tc>
          <w:tcPr>
            <w:tcW w:w="2551" w:type="dxa"/>
            <w:tcBorders>
              <w:top w:val="nil"/>
              <w:bottom w:val="nil"/>
            </w:tcBorders>
          </w:tcPr>
          <w:p w14:paraId="52DFD3B2" w14:textId="77777777" w:rsidR="00204B98" w:rsidRPr="00CF0099" w:rsidRDefault="00204B98" w:rsidP="005615F2">
            <w:pPr>
              <w:rPr>
                <w:rFonts w:ascii="Arial" w:hAnsi="Arial" w:cs="Arial"/>
              </w:rPr>
            </w:pPr>
            <w:r w:rsidRPr="00CF0099">
              <w:rPr>
                <w:rFonts w:ascii="Arial" w:hAnsi="Arial" w:cs="Arial"/>
              </w:rPr>
              <w:t>15 (20.0%)</w:t>
            </w:r>
          </w:p>
        </w:tc>
      </w:tr>
      <w:tr w:rsidR="00204B98" w:rsidRPr="00CF0099" w14:paraId="7B0F404A" w14:textId="77777777" w:rsidTr="005615F2">
        <w:tc>
          <w:tcPr>
            <w:tcW w:w="3823" w:type="dxa"/>
            <w:tcBorders>
              <w:top w:val="nil"/>
              <w:bottom w:val="nil"/>
            </w:tcBorders>
          </w:tcPr>
          <w:p w14:paraId="15450FA2" w14:textId="77777777" w:rsidR="00204B98" w:rsidRPr="00CF0099" w:rsidRDefault="00204B98" w:rsidP="005615F2">
            <w:pPr>
              <w:ind w:left="313"/>
              <w:rPr>
                <w:rFonts w:ascii="Arial" w:hAnsi="Arial" w:cs="Arial"/>
              </w:rPr>
            </w:pPr>
            <w:r w:rsidRPr="00CF0099">
              <w:rPr>
                <w:rFonts w:ascii="Arial" w:hAnsi="Arial" w:cs="Arial"/>
              </w:rPr>
              <w:t>Positive QuantiFERON</w:t>
            </w:r>
          </w:p>
        </w:tc>
        <w:tc>
          <w:tcPr>
            <w:tcW w:w="2693" w:type="dxa"/>
            <w:tcBorders>
              <w:top w:val="nil"/>
              <w:bottom w:val="nil"/>
            </w:tcBorders>
          </w:tcPr>
          <w:p w14:paraId="157564CA" w14:textId="77777777" w:rsidR="00204B98" w:rsidRPr="00CF0099" w:rsidRDefault="00204B98" w:rsidP="005615F2">
            <w:pPr>
              <w:rPr>
                <w:rFonts w:ascii="Arial" w:hAnsi="Arial" w:cs="Arial"/>
              </w:rPr>
            </w:pPr>
            <w:r w:rsidRPr="00CF0099">
              <w:rPr>
                <w:rFonts w:ascii="Arial" w:hAnsi="Arial" w:cs="Arial"/>
              </w:rPr>
              <w:t>9 (64.3%)</w:t>
            </w:r>
          </w:p>
        </w:tc>
        <w:tc>
          <w:tcPr>
            <w:tcW w:w="2551" w:type="dxa"/>
            <w:tcBorders>
              <w:top w:val="nil"/>
              <w:bottom w:val="nil"/>
            </w:tcBorders>
          </w:tcPr>
          <w:p w14:paraId="53A84FEE" w14:textId="77777777" w:rsidR="00204B98" w:rsidRPr="00CF0099" w:rsidRDefault="00204B98" w:rsidP="005615F2">
            <w:pPr>
              <w:rPr>
                <w:rFonts w:ascii="Arial" w:hAnsi="Arial" w:cs="Arial"/>
              </w:rPr>
            </w:pPr>
            <w:r w:rsidRPr="00CF0099">
              <w:rPr>
                <w:rFonts w:ascii="Arial" w:hAnsi="Arial" w:cs="Arial"/>
              </w:rPr>
              <w:t>5 (35.7%)</w:t>
            </w:r>
          </w:p>
        </w:tc>
      </w:tr>
      <w:tr w:rsidR="00204B98" w:rsidRPr="00CF0099" w14:paraId="7712379E" w14:textId="77777777" w:rsidTr="005615F2">
        <w:tc>
          <w:tcPr>
            <w:tcW w:w="3823" w:type="dxa"/>
            <w:tcBorders>
              <w:top w:val="nil"/>
              <w:bottom w:val="nil"/>
            </w:tcBorders>
          </w:tcPr>
          <w:p w14:paraId="13224721" w14:textId="77777777" w:rsidR="00204B98" w:rsidRPr="00CF0099" w:rsidRDefault="00204B98" w:rsidP="005615F2">
            <w:pPr>
              <w:ind w:left="313"/>
              <w:rPr>
                <w:rFonts w:ascii="Arial" w:hAnsi="Arial" w:cs="Arial"/>
              </w:rPr>
            </w:pPr>
            <w:r w:rsidRPr="00CF0099">
              <w:rPr>
                <w:rFonts w:ascii="Arial" w:hAnsi="Arial" w:cs="Arial"/>
              </w:rPr>
              <w:t>Hepatitis B</w:t>
            </w:r>
          </w:p>
        </w:tc>
        <w:tc>
          <w:tcPr>
            <w:tcW w:w="2693" w:type="dxa"/>
            <w:tcBorders>
              <w:top w:val="nil"/>
              <w:bottom w:val="nil"/>
            </w:tcBorders>
          </w:tcPr>
          <w:p w14:paraId="250F745D" w14:textId="77777777" w:rsidR="00204B98" w:rsidRPr="00CF0099" w:rsidRDefault="00204B98" w:rsidP="005615F2">
            <w:pPr>
              <w:rPr>
                <w:rFonts w:ascii="Arial" w:hAnsi="Arial" w:cs="Arial"/>
              </w:rPr>
            </w:pPr>
            <w:r w:rsidRPr="00CF0099">
              <w:rPr>
                <w:rFonts w:ascii="Arial" w:hAnsi="Arial" w:cs="Arial"/>
              </w:rPr>
              <w:t>1 (50.0%)*</w:t>
            </w:r>
          </w:p>
        </w:tc>
        <w:tc>
          <w:tcPr>
            <w:tcW w:w="2551" w:type="dxa"/>
            <w:tcBorders>
              <w:top w:val="nil"/>
              <w:bottom w:val="nil"/>
            </w:tcBorders>
          </w:tcPr>
          <w:p w14:paraId="5CEFD02D" w14:textId="77777777" w:rsidR="00204B98" w:rsidRPr="00CF0099" w:rsidRDefault="00204B98" w:rsidP="005615F2">
            <w:pPr>
              <w:rPr>
                <w:rFonts w:ascii="Arial" w:hAnsi="Arial" w:cs="Arial"/>
              </w:rPr>
            </w:pPr>
            <w:r w:rsidRPr="00CF0099">
              <w:rPr>
                <w:rFonts w:ascii="Arial" w:hAnsi="Arial" w:cs="Arial"/>
              </w:rPr>
              <w:t>1 (50.0%)</w:t>
            </w:r>
          </w:p>
        </w:tc>
      </w:tr>
      <w:tr w:rsidR="00204B98" w:rsidRPr="00CF0099" w14:paraId="17BFBBE7" w14:textId="77777777" w:rsidTr="005615F2">
        <w:tc>
          <w:tcPr>
            <w:tcW w:w="3823" w:type="dxa"/>
            <w:tcBorders>
              <w:top w:val="nil"/>
              <w:bottom w:val="nil"/>
            </w:tcBorders>
          </w:tcPr>
          <w:p w14:paraId="10ECB079" w14:textId="77777777" w:rsidR="00204B98" w:rsidRPr="00CF0099" w:rsidRDefault="00204B98" w:rsidP="005615F2">
            <w:pPr>
              <w:ind w:left="313"/>
              <w:rPr>
                <w:rFonts w:ascii="Arial" w:hAnsi="Arial" w:cs="Arial"/>
              </w:rPr>
            </w:pPr>
            <w:r w:rsidRPr="00CF0099">
              <w:rPr>
                <w:rFonts w:ascii="Arial" w:hAnsi="Arial" w:cs="Arial"/>
              </w:rPr>
              <w:t>Hepatitis C</w:t>
            </w:r>
          </w:p>
        </w:tc>
        <w:tc>
          <w:tcPr>
            <w:tcW w:w="2693" w:type="dxa"/>
            <w:tcBorders>
              <w:top w:val="nil"/>
              <w:bottom w:val="nil"/>
            </w:tcBorders>
          </w:tcPr>
          <w:p w14:paraId="633AC009" w14:textId="77777777" w:rsidR="00204B98" w:rsidRPr="00CF0099" w:rsidRDefault="00204B98" w:rsidP="005615F2">
            <w:pPr>
              <w:rPr>
                <w:rFonts w:ascii="Arial" w:hAnsi="Arial" w:cs="Arial"/>
              </w:rPr>
            </w:pPr>
            <w:r w:rsidRPr="00CF0099">
              <w:rPr>
                <w:rFonts w:ascii="Arial" w:hAnsi="Arial" w:cs="Arial"/>
              </w:rPr>
              <w:t>0 (0.0%)</w:t>
            </w:r>
          </w:p>
        </w:tc>
        <w:tc>
          <w:tcPr>
            <w:tcW w:w="2551" w:type="dxa"/>
            <w:tcBorders>
              <w:top w:val="nil"/>
              <w:bottom w:val="nil"/>
            </w:tcBorders>
          </w:tcPr>
          <w:p w14:paraId="5FE60E4E" w14:textId="77777777" w:rsidR="00204B98" w:rsidRPr="00CF0099" w:rsidRDefault="00204B98" w:rsidP="005615F2">
            <w:pPr>
              <w:rPr>
                <w:rFonts w:ascii="Arial" w:hAnsi="Arial" w:cs="Arial"/>
              </w:rPr>
            </w:pPr>
            <w:r w:rsidRPr="00CF0099">
              <w:rPr>
                <w:rFonts w:ascii="Arial" w:hAnsi="Arial" w:cs="Arial"/>
              </w:rPr>
              <w:t>1 (100.0%)</w:t>
            </w:r>
          </w:p>
        </w:tc>
      </w:tr>
      <w:tr w:rsidR="00204B98" w:rsidRPr="00CF0099" w14:paraId="05CF74F8" w14:textId="77777777" w:rsidTr="005615F2">
        <w:tc>
          <w:tcPr>
            <w:tcW w:w="3823" w:type="dxa"/>
            <w:tcBorders>
              <w:top w:val="nil"/>
              <w:bottom w:val="nil"/>
            </w:tcBorders>
          </w:tcPr>
          <w:p w14:paraId="3198402C" w14:textId="77777777" w:rsidR="00204B98" w:rsidRPr="00CF0099" w:rsidRDefault="00204B98" w:rsidP="005615F2">
            <w:pPr>
              <w:ind w:left="313"/>
              <w:rPr>
                <w:rFonts w:ascii="Arial" w:hAnsi="Arial" w:cs="Arial"/>
              </w:rPr>
            </w:pPr>
            <w:r w:rsidRPr="00CF0099">
              <w:rPr>
                <w:rFonts w:ascii="Arial" w:hAnsi="Arial" w:cs="Arial"/>
              </w:rPr>
              <w:t>HIV</w:t>
            </w:r>
          </w:p>
        </w:tc>
        <w:tc>
          <w:tcPr>
            <w:tcW w:w="2693" w:type="dxa"/>
            <w:tcBorders>
              <w:top w:val="nil"/>
              <w:bottom w:val="nil"/>
            </w:tcBorders>
          </w:tcPr>
          <w:p w14:paraId="38E294C1" w14:textId="77777777" w:rsidR="00204B98" w:rsidRPr="00CF0099" w:rsidRDefault="00204B98" w:rsidP="005615F2">
            <w:pPr>
              <w:rPr>
                <w:rFonts w:ascii="Arial" w:hAnsi="Arial" w:cs="Arial"/>
              </w:rPr>
            </w:pPr>
            <w:r w:rsidRPr="00CF0099">
              <w:rPr>
                <w:rFonts w:ascii="Arial" w:hAnsi="Arial" w:cs="Arial"/>
              </w:rPr>
              <w:t>0 (0.0%)</w:t>
            </w:r>
          </w:p>
        </w:tc>
        <w:tc>
          <w:tcPr>
            <w:tcW w:w="2551" w:type="dxa"/>
            <w:tcBorders>
              <w:top w:val="nil"/>
              <w:bottom w:val="nil"/>
            </w:tcBorders>
          </w:tcPr>
          <w:p w14:paraId="67716F80" w14:textId="77777777" w:rsidR="00204B98" w:rsidRPr="00CF0099" w:rsidRDefault="00204B98" w:rsidP="005615F2">
            <w:pPr>
              <w:rPr>
                <w:rFonts w:ascii="Arial" w:hAnsi="Arial" w:cs="Arial"/>
              </w:rPr>
            </w:pPr>
            <w:r w:rsidRPr="00CF0099">
              <w:rPr>
                <w:rFonts w:ascii="Arial" w:hAnsi="Arial" w:cs="Arial"/>
              </w:rPr>
              <w:t>1 (100.0%)</w:t>
            </w:r>
          </w:p>
        </w:tc>
      </w:tr>
      <w:tr w:rsidR="00204B98" w:rsidRPr="00CF0099" w14:paraId="659DB0EC" w14:textId="77777777" w:rsidTr="005615F2">
        <w:tc>
          <w:tcPr>
            <w:tcW w:w="3823" w:type="dxa"/>
            <w:tcBorders>
              <w:top w:val="nil"/>
            </w:tcBorders>
          </w:tcPr>
          <w:p w14:paraId="02C6FE0D" w14:textId="77777777" w:rsidR="00204B98" w:rsidRPr="00CF0099" w:rsidRDefault="00204B98" w:rsidP="005615F2">
            <w:pPr>
              <w:ind w:left="313"/>
              <w:rPr>
                <w:rFonts w:ascii="Arial" w:hAnsi="Arial" w:cs="Arial"/>
              </w:rPr>
            </w:pPr>
            <w:r w:rsidRPr="00CF0099">
              <w:rPr>
                <w:rFonts w:ascii="Arial" w:hAnsi="Arial" w:cs="Arial"/>
              </w:rPr>
              <w:t>Indeterminate</w:t>
            </w:r>
          </w:p>
        </w:tc>
        <w:tc>
          <w:tcPr>
            <w:tcW w:w="2693" w:type="dxa"/>
            <w:tcBorders>
              <w:top w:val="nil"/>
            </w:tcBorders>
          </w:tcPr>
          <w:p w14:paraId="270CF5CB" w14:textId="77777777" w:rsidR="00204B98" w:rsidRPr="00CF0099" w:rsidRDefault="00204B98" w:rsidP="005615F2">
            <w:pPr>
              <w:rPr>
                <w:rFonts w:ascii="Arial" w:hAnsi="Arial" w:cs="Arial"/>
              </w:rPr>
            </w:pPr>
            <w:r w:rsidRPr="00CF0099">
              <w:rPr>
                <w:rFonts w:ascii="Arial" w:hAnsi="Arial" w:cs="Arial"/>
              </w:rPr>
              <w:t>3 (100.0%)</w:t>
            </w:r>
          </w:p>
        </w:tc>
        <w:tc>
          <w:tcPr>
            <w:tcW w:w="2551" w:type="dxa"/>
            <w:tcBorders>
              <w:top w:val="nil"/>
            </w:tcBorders>
          </w:tcPr>
          <w:p w14:paraId="373E21A6" w14:textId="77777777" w:rsidR="00204B98" w:rsidRPr="00CF0099" w:rsidRDefault="00204B98" w:rsidP="005615F2">
            <w:pPr>
              <w:rPr>
                <w:rFonts w:ascii="Arial" w:hAnsi="Arial" w:cs="Arial"/>
              </w:rPr>
            </w:pPr>
            <w:r w:rsidRPr="00CF0099">
              <w:rPr>
                <w:rFonts w:ascii="Arial" w:hAnsi="Arial" w:cs="Arial"/>
              </w:rPr>
              <w:t>0 (0.0%)</w:t>
            </w:r>
          </w:p>
        </w:tc>
      </w:tr>
    </w:tbl>
    <w:p w14:paraId="6D9942D8" w14:textId="77777777" w:rsidR="00204B98" w:rsidRPr="00CF0099" w:rsidRDefault="00204B98" w:rsidP="005615F2">
      <w:pPr>
        <w:rPr>
          <w:rFonts w:ascii="Arial" w:hAnsi="Arial" w:cs="Arial"/>
        </w:rPr>
      </w:pPr>
      <w:r w:rsidRPr="00CF0099">
        <w:rPr>
          <w:rFonts w:ascii="Arial" w:hAnsi="Arial" w:cs="Arial"/>
        </w:rPr>
        <w:t>*Positive QuantiFERON</w:t>
      </w:r>
    </w:p>
    <w:p w14:paraId="2BA65500" w14:textId="77777777" w:rsidR="00204B98" w:rsidRDefault="00204B98" w:rsidP="005615F2">
      <w:pPr>
        <w:rPr>
          <w:rFonts w:ascii="Arial" w:hAnsi="Arial" w:cs="Arial"/>
          <w:i/>
        </w:rPr>
      </w:pPr>
    </w:p>
    <w:p w14:paraId="2717B6A5" w14:textId="77777777" w:rsidR="00204B98" w:rsidRDefault="00204B98" w:rsidP="005615F2">
      <w:pPr>
        <w:jc w:val="both"/>
        <w:rPr>
          <w:rFonts w:ascii="Arial" w:hAnsi="Arial" w:cs="Arial"/>
          <w:i/>
        </w:rPr>
      </w:pPr>
      <w:r>
        <w:rPr>
          <w:rFonts w:ascii="Arial" w:hAnsi="Arial" w:cs="Arial"/>
          <w:i/>
        </w:rPr>
        <w:t>Correlates of infection, primary care registration, and screening history</w:t>
      </w:r>
    </w:p>
    <w:p w14:paraId="53C6A305" w14:textId="77777777" w:rsidR="00204B98" w:rsidRDefault="00204B98" w:rsidP="005615F2">
      <w:pPr>
        <w:jc w:val="both"/>
        <w:rPr>
          <w:rFonts w:ascii="Arial" w:hAnsi="Arial" w:cs="Arial"/>
          <w:i/>
        </w:rPr>
      </w:pPr>
    </w:p>
    <w:p w14:paraId="0668D0CF" w14:textId="77777777" w:rsidR="00204B98" w:rsidRDefault="00204B98" w:rsidP="005615F2">
      <w:pPr>
        <w:spacing w:line="480" w:lineRule="auto"/>
        <w:jc w:val="both"/>
        <w:rPr>
          <w:rFonts w:ascii="Arial" w:hAnsi="Arial" w:cs="Arial"/>
        </w:rPr>
      </w:pPr>
      <w:r>
        <w:rPr>
          <w:rFonts w:ascii="Arial" w:hAnsi="Arial" w:cs="Arial"/>
        </w:rPr>
        <w:t xml:space="preserve">We found no association between socio-demographic variables and patients testing positive for LTBI.  However, registration with a GP was positively associated with years in the UK (OR: 1.7; 95% CI: 1.3 – 2.2), with the mean time in the UK for those with a GP being 5.6 years (SD 2.9) compared to 2.0 years (SD 2.6) for those without a GP.  Women were more likely to be </w:t>
      </w:r>
      <w:r>
        <w:rPr>
          <w:rFonts w:ascii="Arial" w:hAnsi="Arial" w:cs="Arial"/>
        </w:rPr>
        <w:lastRenderedPageBreak/>
        <w:t>registered than men (OR 3.2; 95% CI: 1.1 – 9.3). Registration was also associated with education, with those with secondary or university education being significantly more likely to have a GP (OR: 6.6; 95%: 2.0 – 21.5). Being previously offered screening was significantly associated with longer time in the UK (1.3; 95% CI: 1.1 - 1.5), with those tested having been in the UK a mean of 6.6 years (SD 2.8) compared to 4.3 years (SD3.2) among those who had not been screened.</w:t>
      </w:r>
    </w:p>
    <w:p w14:paraId="7E1F4E71" w14:textId="77777777" w:rsidR="00204B98" w:rsidRPr="003011AA" w:rsidRDefault="00204B98" w:rsidP="005615F2">
      <w:pPr>
        <w:spacing w:line="480" w:lineRule="auto"/>
        <w:jc w:val="both"/>
        <w:rPr>
          <w:rFonts w:ascii="Arial" w:hAnsi="Arial" w:cs="Arial"/>
        </w:rPr>
      </w:pPr>
    </w:p>
    <w:p w14:paraId="12113C91" w14:textId="77777777" w:rsidR="00204B98" w:rsidRPr="00CF0099" w:rsidRDefault="00204B98" w:rsidP="005615F2">
      <w:pPr>
        <w:spacing w:line="480" w:lineRule="auto"/>
        <w:jc w:val="both"/>
        <w:rPr>
          <w:rFonts w:ascii="Arial" w:hAnsi="Arial" w:cs="Arial"/>
          <w:b/>
        </w:rPr>
      </w:pPr>
      <w:r w:rsidRPr="00CF0099">
        <w:rPr>
          <w:rFonts w:ascii="Arial" w:hAnsi="Arial" w:cs="Arial"/>
          <w:b/>
        </w:rPr>
        <w:t>Discussion</w:t>
      </w:r>
    </w:p>
    <w:p w14:paraId="3A4D2F5D" w14:textId="61FA7923" w:rsidR="00204B98" w:rsidRPr="00660C5D" w:rsidRDefault="00204B98" w:rsidP="00660C5D">
      <w:pPr>
        <w:spacing w:line="480" w:lineRule="auto"/>
        <w:jc w:val="both"/>
        <w:rPr>
          <w:rFonts w:ascii="Arial" w:hAnsi="Arial" w:cs="Arial"/>
        </w:rPr>
      </w:pPr>
      <w:r>
        <w:rPr>
          <w:rFonts w:ascii="Arial" w:hAnsi="Arial" w:cs="Arial"/>
        </w:rPr>
        <w:t xml:space="preserve">A diverse migrant population presented to this emergency room </w:t>
      </w:r>
      <w:r w:rsidR="00C50558">
        <w:rPr>
          <w:rFonts w:ascii="Arial" w:hAnsi="Arial" w:cs="Arial"/>
        </w:rPr>
        <w:t>during the study period</w:t>
      </w:r>
      <w:r>
        <w:rPr>
          <w:rFonts w:ascii="Arial" w:hAnsi="Arial" w:cs="Arial"/>
        </w:rPr>
        <w:t xml:space="preserve">, and the combined screening model </w:t>
      </w:r>
      <w:r w:rsidR="00472137">
        <w:rPr>
          <w:rFonts w:ascii="Arial" w:hAnsi="Arial" w:cs="Arial"/>
        </w:rPr>
        <w:t>increased</w:t>
      </w:r>
      <w:r>
        <w:rPr>
          <w:rFonts w:ascii="Arial" w:hAnsi="Arial" w:cs="Arial"/>
        </w:rPr>
        <w:t xml:space="preserve"> the detection of LTBI in migrants presenting to the emergency department (</w:t>
      </w:r>
      <w:r w:rsidRPr="00CF0099">
        <w:rPr>
          <w:rFonts w:ascii="Arial" w:hAnsi="Arial" w:cs="Arial"/>
        </w:rPr>
        <w:t xml:space="preserve">14 </w:t>
      </w:r>
      <w:r>
        <w:rPr>
          <w:rFonts w:ascii="Arial" w:hAnsi="Arial" w:cs="Arial"/>
        </w:rPr>
        <w:t>[14.6%])</w:t>
      </w:r>
      <w:r w:rsidR="00524685">
        <w:rPr>
          <w:rFonts w:ascii="Arial" w:hAnsi="Arial" w:cs="Arial"/>
        </w:rPr>
        <w:t xml:space="preserve">. </w:t>
      </w:r>
      <w:r>
        <w:rPr>
          <w:rFonts w:ascii="Arial" w:hAnsi="Arial" w:cs="Arial"/>
        </w:rPr>
        <w:t>No cases of active TB were identified, and there was one HIV, two hepatitis B, and one hepatitis C cases identified, though all were previously known</w:t>
      </w:r>
      <w:r w:rsidRPr="00CF0099">
        <w:rPr>
          <w:rFonts w:ascii="Arial" w:hAnsi="Arial" w:cs="Arial"/>
        </w:rPr>
        <w:t xml:space="preserve">. </w:t>
      </w:r>
      <w:r>
        <w:rPr>
          <w:rFonts w:ascii="Arial" w:hAnsi="Arial" w:cs="Arial"/>
        </w:rPr>
        <w:t>Of the 14 migrants with LTBI, 5 (35.7%) were successfully engaged in treatment</w:t>
      </w:r>
      <w:r w:rsidR="00115E6A">
        <w:rPr>
          <w:rFonts w:ascii="Arial" w:hAnsi="Arial" w:cs="Arial"/>
        </w:rPr>
        <w:t xml:space="preserve"> within 2 years of follow up although for one patient this was delayed for clinical reasons</w:t>
      </w:r>
      <w:r>
        <w:rPr>
          <w:rFonts w:ascii="Arial" w:hAnsi="Arial" w:cs="Arial"/>
        </w:rPr>
        <w:t xml:space="preserve">. 9 (64.2%) did not ultimately receive treatment for a variety of reasons.  Only three (21.4%) of participants were lost to follow up. Additionally, two declined treatment after follow-up consultations, one returned to their country of origin, and three were not offered treatment, one of which was due to inaccurate understandings of their eligibility. Importantly, the majority </w:t>
      </w:r>
      <w:r w:rsidRPr="00CF0099">
        <w:rPr>
          <w:rFonts w:ascii="Arial" w:hAnsi="Arial" w:cs="Arial"/>
        </w:rPr>
        <w:t xml:space="preserve">(77.1%) </w:t>
      </w:r>
      <w:r>
        <w:rPr>
          <w:rFonts w:ascii="Arial" w:hAnsi="Arial" w:cs="Arial"/>
        </w:rPr>
        <w:t>of migrants reported not having</w:t>
      </w:r>
      <w:r w:rsidRPr="00CF0099">
        <w:rPr>
          <w:rFonts w:ascii="Arial" w:hAnsi="Arial" w:cs="Arial"/>
        </w:rPr>
        <w:t xml:space="preserve"> been</w:t>
      </w:r>
      <w:r>
        <w:rPr>
          <w:rFonts w:ascii="Arial" w:hAnsi="Arial" w:cs="Arial"/>
        </w:rPr>
        <w:t xml:space="preserve"> previously offered</w:t>
      </w:r>
      <w:r w:rsidRPr="00CF0099">
        <w:rPr>
          <w:rFonts w:ascii="Arial" w:hAnsi="Arial" w:cs="Arial"/>
        </w:rPr>
        <w:t xml:space="preserve"> screen</w:t>
      </w:r>
      <w:r>
        <w:rPr>
          <w:rFonts w:ascii="Arial" w:hAnsi="Arial" w:cs="Arial"/>
        </w:rPr>
        <w:t>ing</w:t>
      </w:r>
      <w:r w:rsidRPr="00CF0099">
        <w:rPr>
          <w:rFonts w:ascii="Arial" w:hAnsi="Arial" w:cs="Arial"/>
        </w:rPr>
        <w:t xml:space="preserve"> </w:t>
      </w:r>
      <w:r>
        <w:rPr>
          <w:rFonts w:ascii="Arial" w:hAnsi="Arial" w:cs="Arial"/>
        </w:rPr>
        <w:t xml:space="preserve">for an infectious disease </w:t>
      </w:r>
      <w:r w:rsidRPr="00CF0099">
        <w:rPr>
          <w:rFonts w:ascii="Arial" w:hAnsi="Arial" w:cs="Arial"/>
        </w:rPr>
        <w:t>since migrating to the UK</w:t>
      </w:r>
      <w:r>
        <w:rPr>
          <w:rFonts w:ascii="Arial" w:hAnsi="Arial" w:cs="Arial"/>
        </w:rPr>
        <w:t xml:space="preserve">, despite relatively high levels of registration with primary-care providers </w:t>
      </w:r>
      <w:r w:rsidRPr="00CF0099">
        <w:rPr>
          <w:rFonts w:ascii="Arial" w:hAnsi="Arial" w:cs="Arial"/>
        </w:rPr>
        <w:t>(79.2%)</w:t>
      </w:r>
      <w:r>
        <w:rPr>
          <w:rFonts w:ascii="Arial" w:hAnsi="Arial" w:cs="Arial"/>
        </w:rPr>
        <w:t xml:space="preserve"> and being in the UK for an average of 4.8 years. This suggests major gaps in current screening provision to new migrants, and for a need to promote screening for </w:t>
      </w:r>
      <w:r w:rsidRPr="00660C5D">
        <w:rPr>
          <w:rFonts w:ascii="Arial" w:hAnsi="Arial" w:cs="Arial"/>
        </w:rPr>
        <w:t xml:space="preserve">a more diverse range of key infections in the UK. </w:t>
      </w:r>
    </w:p>
    <w:p w14:paraId="3E1ECE77" w14:textId="4A4508F8" w:rsidR="00204B98" w:rsidRPr="00FC5219" w:rsidRDefault="00204B98" w:rsidP="007513C1">
      <w:pPr>
        <w:pStyle w:val="EC-Para"/>
        <w:spacing w:after="0" w:line="480" w:lineRule="auto"/>
        <w:jc w:val="both"/>
        <w:rPr>
          <w:rFonts w:ascii="Arial" w:hAnsi="Arial" w:cs="Arial"/>
        </w:rPr>
      </w:pPr>
      <w:r w:rsidRPr="007513C1">
        <w:rPr>
          <w:rFonts w:ascii="Arial" w:hAnsi="Arial" w:cs="Arial"/>
          <w:sz w:val="22"/>
          <w:szCs w:val="22"/>
        </w:rPr>
        <w:t xml:space="preserve">Our data adds to the growing body of evidence indicating that it is feasible to engage migrants in multi-disease screening including for LTBI. There is mounting evidence of the effectiveness, cost-effectiveness, high uptake, and acceptability of LTBI screening, and combined infectious </w:t>
      </w:r>
      <w:r w:rsidRPr="007513C1">
        <w:rPr>
          <w:rFonts w:ascii="Arial" w:hAnsi="Arial" w:cs="Arial"/>
          <w:sz w:val="22"/>
          <w:szCs w:val="22"/>
        </w:rPr>
        <w:lastRenderedPageBreak/>
        <w:t xml:space="preserve">diseases screening in migrants </w:t>
      </w:r>
      <w:r w:rsidRPr="007513C1">
        <w:rPr>
          <w:rFonts w:ascii="Arial" w:hAnsi="Arial" w:cs="Arial"/>
          <w:noProof/>
          <w:sz w:val="22"/>
          <w:szCs w:val="22"/>
        </w:rPr>
        <w:t>(12, 15, 43-47)</w:t>
      </w:r>
      <w:r w:rsidRPr="007513C1">
        <w:rPr>
          <w:rFonts w:ascii="Arial" w:hAnsi="Arial" w:cs="Arial"/>
          <w:sz w:val="22"/>
          <w:szCs w:val="22"/>
        </w:rPr>
        <w:t xml:space="preserve">. </w:t>
      </w:r>
      <w:r w:rsidR="00524685" w:rsidRPr="007513C1">
        <w:rPr>
          <w:rFonts w:ascii="Arial" w:eastAsia="Times New Roman" w:hAnsi="Arial" w:cs="Arial"/>
          <w:b/>
          <w:bCs/>
          <w:sz w:val="22"/>
          <w:szCs w:val="22"/>
          <w:lang w:eastAsia="en-GB"/>
        </w:rPr>
        <w:t>In a previous systematic review that we conducted, involving a pooled analysis of migrant screening data from EU/EEA countries, a</w:t>
      </w:r>
      <w:r w:rsidR="00524685" w:rsidRPr="007513C1">
        <w:rPr>
          <w:rFonts w:ascii="Arial" w:eastAsia="Times New Roman" w:hAnsi="Arial" w:cs="Arial"/>
          <w:b/>
          <w:bCs/>
          <w:sz w:val="22"/>
          <w:szCs w:val="22"/>
          <w:shd w:val="clear" w:color="auto" w:fill="FFFFFF"/>
          <w:lang w:eastAsia="en-GB"/>
        </w:rPr>
        <w:t xml:space="preserve">n infection was detected in 3·74% (range 0·00-95·16) of migrants. Latent tuberculosis had the highest prevalence across all infections with a median of 15·02% [0·35-31·81]) migrants screening positive for LTBI, a prevalence rate which aligns with this study. </w:t>
      </w:r>
      <w:r w:rsidRPr="007513C1">
        <w:rPr>
          <w:rFonts w:ascii="Arial" w:hAnsi="Arial" w:cs="Arial"/>
          <w:sz w:val="22"/>
          <w:szCs w:val="22"/>
        </w:rPr>
        <w:t xml:space="preserve">The site at which screening is offered may be key, and our data indicate that the emergency department should be considered as a promising site for detection, alongside primary care </w:t>
      </w:r>
      <w:r w:rsidRPr="007513C1">
        <w:rPr>
          <w:rFonts w:ascii="Arial" w:hAnsi="Arial" w:cs="Arial"/>
          <w:noProof/>
          <w:sz w:val="22"/>
          <w:szCs w:val="22"/>
        </w:rPr>
        <w:t>(38)</w:t>
      </w:r>
      <w:r w:rsidRPr="007513C1">
        <w:rPr>
          <w:rFonts w:ascii="Arial" w:hAnsi="Arial" w:cs="Arial"/>
          <w:sz w:val="22"/>
          <w:szCs w:val="22"/>
        </w:rPr>
        <w:t xml:space="preserve">. In the UK, Public Health England is also advocating combined packages of infectious disease screening and vaccination for new migrants, aligning with the new ECDC guidelines </w:t>
      </w:r>
      <w:r w:rsidR="00660C5D">
        <w:rPr>
          <w:rFonts w:ascii="Arial" w:hAnsi="Arial" w:cs="Arial"/>
          <w:noProof/>
          <w:sz w:val="22"/>
          <w:szCs w:val="22"/>
        </w:rPr>
        <w:t>[</w:t>
      </w:r>
      <w:r w:rsidRPr="007513C1">
        <w:rPr>
          <w:rFonts w:ascii="Arial" w:hAnsi="Arial" w:cs="Arial"/>
          <w:noProof/>
          <w:sz w:val="22"/>
          <w:szCs w:val="22"/>
        </w:rPr>
        <w:t>16, 48</w:t>
      </w:r>
      <w:r w:rsidR="00660C5D">
        <w:rPr>
          <w:rFonts w:ascii="Arial" w:hAnsi="Arial" w:cs="Arial"/>
          <w:noProof/>
          <w:sz w:val="22"/>
          <w:szCs w:val="22"/>
        </w:rPr>
        <w:t>]</w:t>
      </w:r>
      <w:r w:rsidRPr="007513C1">
        <w:rPr>
          <w:rFonts w:ascii="Arial" w:hAnsi="Arial" w:cs="Arial"/>
          <w:sz w:val="22"/>
          <w:szCs w:val="22"/>
        </w:rPr>
        <w:t xml:space="preserve">.  </w:t>
      </w:r>
      <w:r w:rsidR="00660C5D" w:rsidRPr="007513C1">
        <w:rPr>
          <w:rFonts w:ascii="Arial" w:hAnsi="Arial" w:cs="Arial"/>
          <w:sz w:val="22"/>
          <w:szCs w:val="22"/>
        </w:rPr>
        <w:t>The ECDC guidelines</w:t>
      </w:r>
      <w:r w:rsidR="00660C5D">
        <w:rPr>
          <w:rFonts w:ascii="Arial" w:hAnsi="Arial" w:cs="Arial"/>
          <w:sz w:val="22"/>
          <w:szCs w:val="22"/>
        </w:rPr>
        <w:t xml:space="preserve"> [16]</w:t>
      </w:r>
      <w:r w:rsidR="00660C5D" w:rsidRPr="007513C1">
        <w:rPr>
          <w:rFonts w:ascii="Arial" w:hAnsi="Arial" w:cs="Arial"/>
          <w:sz w:val="22"/>
          <w:szCs w:val="22"/>
        </w:rPr>
        <w:t xml:space="preserve"> call for targeted screening for active TB, LTBI, hepatitis B and C, HIV, schistosomiasis, and strongyloidiasis, and to consider the vaccination of newly arrived migrants to EU/EEA countries. Catch-up vaccination should be offered to adult</w:t>
      </w:r>
      <w:r w:rsidR="00660C5D">
        <w:rPr>
          <w:rFonts w:ascii="Arial" w:hAnsi="Arial" w:cs="Arial"/>
          <w:sz w:val="22"/>
          <w:szCs w:val="22"/>
        </w:rPr>
        <w:t xml:space="preserve">, </w:t>
      </w:r>
      <w:r w:rsidR="00660C5D" w:rsidRPr="007513C1">
        <w:rPr>
          <w:rFonts w:ascii="Arial" w:hAnsi="Arial" w:cs="Arial"/>
          <w:sz w:val="22"/>
          <w:szCs w:val="22"/>
        </w:rPr>
        <w:t>adolescent</w:t>
      </w:r>
      <w:r w:rsidR="00660C5D">
        <w:rPr>
          <w:rFonts w:ascii="Arial" w:hAnsi="Arial" w:cs="Arial"/>
          <w:sz w:val="22"/>
          <w:szCs w:val="22"/>
        </w:rPr>
        <w:t>, and child</w:t>
      </w:r>
      <w:r w:rsidR="00660C5D" w:rsidRPr="007513C1">
        <w:rPr>
          <w:rFonts w:ascii="Arial" w:hAnsi="Arial" w:cs="Arial"/>
          <w:sz w:val="22"/>
          <w:szCs w:val="22"/>
        </w:rPr>
        <w:t xml:space="preserve"> migrants with no evidence of previous vaccinations with MMR (measles-mumps-rubella) and DTP (diphtheria-tetanus-pertussis) vaccines, and to offer hepatitis B vaccination series to all migrant children and adolescents </w:t>
      </w:r>
      <w:r w:rsidR="00660C5D" w:rsidRPr="007513C1">
        <w:rPr>
          <w:rFonts w:ascii="Arial" w:hAnsi="Arial" w:cs="Arial"/>
          <w:sz w:val="22"/>
          <w:szCs w:val="22"/>
          <w:lang w:val="da-DK"/>
        </w:rPr>
        <w:t>from intermediate (≥2%) or high (≥5%) HBsAg prevalence countries</w:t>
      </w:r>
      <w:r w:rsidR="00660C5D" w:rsidRPr="007513C1" w:rsidDel="00DC283A">
        <w:rPr>
          <w:rFonts w:ascii="Arial" w:hAnsi="Arial" w:cs="Arial"/>
          <w:sz w:val="22"/>
          <w:szCs w:val="22"/>
          <w:lang w:val="da-DK"/>
        </w:rPr>
        <w:t xml:space="preserve"> </w:t>
      </w:r>
      <w:r w:rsidR="00660C5D" w:rsidRPr="007513C1">
        <w:rPr>
          <w:rFonts w:ascii="Arial" w:hAnsi="Arial" w:cs="Arial"/>
          <w:sz w:val="22"/>
          <w:szCs w:val="22"/>
        </w:rPr>
        <w:t>who do not have evidence of vaccination or immunity.</w:t>
      </w:r>
      <w:r w:rsidR="00660C5D">
        <w:rPr>
          <w:rFonts w:ascii="Arial" w:hAnsi="Arial" w:cs="Arial"/>
          <w:sz w:val="22"/>
          <w:szCs w:val="22"/>
        </w:rPr>
        <w:t xml:space="preserve"> </w:t>
      </w:r>
      <w:r w:rsidRPr="007513C1">
        <w:rPr>
          <w:rFonts w:ascii="Arial" w:hAnsi="Arial" w:cs="Arial"/>
          <w:sz w:val="22"/>
          <w:szCs w:val="22"/>
        </w:rPr>
        <w:t xml:space="preserve">Across Europe, migrant communities are facing increasingly restrictive access to health services including primary-care services </w:t>
      </w:r>
      <w:r w:rsidRPr="007513C1">
        <w:rPr>
          <w:rFonts w:ascii="Arial" w:hAnsi="Arial" w:cs="Arial"/>
          <w:noProof/>
          <w:sz w:val="22"/>
          <w:szCs w:val="22"/>
        </w:rPr>
        <w:t>(49)</w:t>
      </w:r>
      <w:r w:rsidRPr="007513C1">
        <w:rPr>
          <w:rFonts w:ascii="Arial" w:hAnsi="Arial" w:cs="Arial"/>
          <w:sz w:val="22"/>
          <w:szCs w:val="22"/>
        </w:rPr>
        <w:t xml:space="preserve">. This means that in many cases an emergency room remains a migrant’s only accessible source of healthcare </w:t>
      </w:r>
      <w:r w:rsidRPr="007513C1">
        <w:rPr>
          <w:rFonts w:ascii="Arial" w:hAnsi="Arial" w:cs="Arial"/>
          <w:noProof/>
          <w:sz w:val="22"/>
          <w:szCs w:val="22"/>
        </w:rPr>
        <w:t>(50)</w:t>
      </w:r>
      <w:r w:rsidRPr="007513C1">
        <w:rPr>
          <w:rFonts w:ascii="Arial" w:hAnsi="Arial" w:cs="Arial"/>
          <w:sz w:val="22"/>
          <w:szCs w:val="22"/>
        </w:rPr>
        <w:t>, and are many cases over</w:t>
      </w:r>
      <w:r w:rsidR="00255A69">
        <w:rPr>
          <w:rFonts w:ascii="Arial" w:hAnsi="Arial" w:cs="Arial"/>
          <w:sz w:val="22"/>
          <w:szCs w:val="22"/>
        </w:rPr>
        <w:t>-</w:t>
      </w:r>
      <w:r w:rsidRPr="007513C1">
        <w:rPr>
          <w:rFonts w:ascii="Arial" w:hAnsi="Arial" w:cs="Arial"/>
          <w:sz w:val="22"/>
          <w:szCs w:val="22"/>
        </w:rPr>
        <w:t xml:space="preserve">represented in such services </w:t>
      </w:r>
      <w:r w:rsidRPr="007513C1">
        <w:rPr>
          <w:rFonts w:ascii="Arial" w:hAnsi="Arial" w:cs="Arial"/>
          <w:noProof/>
          <w:sz w:val="22"/>
          <w:szCs w:val="22"/>
        </w:rPr>
        <w:t>(51)</w:t>
      </w:r>
      <w:r w:rsidRPr="007513C1">
        <w:rPr>
          <w:rFonts w:ascii="Arial" w:hAnsi="Arial" w:cs="Arial"/>
          <w:sz w:val="22"/>
          <w:szCs w:val="22"/>
        </w:rPr>
        <w:t xml:space="preserve">. Even in this study, with relatively high rates of GP registration, these individuals were accessing emergency services, and had not been previously screened. There is evidence that migrants attending emergency departments may do so for primary care reasons due to the barriers they face within primary care </w:t>
      </w:r>
      <w:r w:rsidRPr="007513C1">
        <w:rPr>
          <w:rFonts w:ascii="Arial" w:hAnsi="Arial" w:cs="Arial"/>
          <w:noProof/>
          <w:sz w:val="22"/>
          <w:szCs w:val="22"/>
        </w:rPr>
        <w:t>(52, 53)</w:t>
      </w:r>
      <w:r w:rsidRPr="007513C1">
        <w:rPr>
          <w:rFonts w:ascii="Arial" w:hAnsi="Arial" w:cs="Arial"/>
          <w:sz w:val="22"/>
          <w:szCs w:val="22"/>
        </w:rPr>
        <w:t xml:space="preserve">, however, we did not explore reasons for attendance in our study. We found it difficult to identify migrants in the emergency room context, largely because the NHS on the whole, including emergency departments, does not routinely collect data on migrant status. We relied on individuals in the waiting area to respond to information in leaflets, and identify themselves to the research nurse. </w:t>
      </w:r>
    </w:p>
    <w:p w14:paraId="3EE3703D" w14:textId="77777777" w:rsidR="009328EC" w:rsidRPr="00660C5D" w:rsidRDefault="009328EC">
      <w:pPr>
        <w:spacing w:line="480" w:lineRule="auto"/>
        <w:jc w:val="both"/>
        <w:rPr>
          <w:rFonts w:ascii="Arial" w:hAnsi="Arial" w:cs="Arial"/>
        </w:rPr>
      </w:pPr>
    </w:p>
    <w:p w14:paraId="20A4DD43" w14:textId="5575E5B6" w:rsidR="00204B98" w:rsidRDefault="00204B98" w:rsidP="005615F2">
      <w:pPr>
        <w:spacing w:line="480" w:lineRule="auto"/>
        <w:jc w:val="both"/>
        <w:rPr>
          <w:rFonts w:ascii="Arial" w:hAnsi="Arial" w:cs="Arial"/>
        </w:rPr>
      </w:pPr>
      <w:r>
        <w:rPr>
          <w:rFonts w:ascii="Arial" w:hAnsi="Arial" w:cs="Arial"/>
        </w:rPr>
        <w:t xml:space="preserve">Only three patients were lost to follow up, which was low compared to our previous study engaging migrants for combined screening in primary care </w:t>
      </w:r>
      <w:r>
        <w:rPr>
          <w:rFonts w:ascii="Arial" w:hAnsi="Arial" w:cs="Arial"/>
          <w:noProof/>
        </w:rPr>
        <w:t>(12)</w:t>
      </w:r>
      <w:r>
        <w:rPr>
          <w:rFonts w:ascii="Arial" w:hAnsi="Arial" w:cs="Arial"/>
        </w:rPr>
        <w:t xml:space="preserve">. Although previous research has shown high uptake of screening (80%) </w:t>
      </w:r>
      <w:r>
        <w:rPr>
          <w:rFonts w:ascii="Arial" w:hAnsi="Arial" w:cs="Arial"/>
          <w:noProof/>
        </w:rPr>
        <w:t>(21)</w:t>
      </w:r>
      <w:r>
        <w:rPr>
          <w:rFonts w:ascii="Arial" w:hAnsi="Arial" w:cs="Arial"/>
        </w:rPr>
        <w:t xml:space="preserve">, rates of treatment completion in this and other studies in this area are relatively low </w:t>
      </w:r>
      <w:r>
        <w:rPr>
          <w:rFonts w:ascii="Arial" w:hAnsi="Arial" w:cs="Arial"/>
          <w:noProof/>
        </w:rPr>
        <w:t xml:space="preserve">(21, 27).  </w:t>
      </w:r>
      <w:r>
        <w:rPr>
          <w:rFonts w:ascii="Arial" w:hAnsi="Arial" w:cs="Arial"/>
        </w:rPr>
        <w:t xml:space="preserve">LTBI in particular has low rates of treatment completion in comparison to other infections in pooled data from migrant screening programmes across the EU/EEA, with only 54.45% (median, range 35.71–72.27) of migrants diagnosed positive for LTBI ultimately completing treatment after screening </w:t>
      </w:r>
      <w:r>
        <w:rPr>
          <w:rFonts w:ascii="Arial" w:hAnsi="Arial" w:cs="Arial"/>
          <w:noProof/>
        </w:rPr>
        <w:t>(21, 27)</w:t>
      </w:r>
      <w:r>
        <w:rPr>
          <w:rFonts w:ascii="Arial" w:hAnsi="Arial" w:cs="Arial"/>
        </w:rPr>
        <w:t xml:space="preserve">. Screening programmes will only be effective if we ensure follow-up and linkage-to-care, with migrants are supported along the entire screening and treatment trajectory to minimise drop out. </w:t>
      </w:r>
    </w:p>
    <w:p w14:paraId="6FC91918" w14:textId="26FA6C3B" w:rsidR="00204B98" w:rsidRDefault="00204B98" w:rsidP="005615F2">
      <w:pPr>
        <w:spacing w:line="480" w:lineRule="auto"/>
        <w:jc w:val="both"/>
        <w:rPr>
          <w:rFonts w:ascii="Arial" w:hAnsi="Arial" w:cs="Arial"/>
        </w:rPr>
      </w:pPr>
      <w:r>
        <w:rPr>
          <w:rFonts w:ascii="Arial" w:hAnsi="Arial" w:cs="Arial"/>
        </w:rPr>
        <w:t>O</w:t>
      </w:r>
      <w:r w:rsidRPr="00256BC1">
        <w:rPr>
          <w:rFonts w:ascii="Arial" w:hAnsi="Arial" w:cs="Arial"/>
        </w:rPr>
        <w:t>ur findings</w:t>
      </w:r>
      <w:r w:rsidRPr="00F95DCD">
        <w:rPr>
          <w:rFonts w:ascii="Arial" w:hAnsi="Arial" w:cs="Arial"/>
        </w:rPr>
        <w:t xml:space="preserve"> show that </w:t>
      </w:r>
      <w:r>
        <w:rPr>
          <w:rFonts w:ascii="Arial" w:hAnsi="Arial" w:cs="Arial"/>
        </w:rPr>
        <w:t xml:space="preserve">many migrants </w:t>
      </w:r>
      <w:r w:rsidR="00FF30F1">
        <w:rPr>
          <w:rFonts w:ascii="Arial" w:hAnsi="Arial" w:cs="Arial"/>
        </w:rPr>
        <w:t xml:space="preserve">accessing emergency services </w:t>
      </w:r>
      <w:r>
        <w:rPr>
          <w:rFonts w:ascii="Arial" w:hAnsi="Arial" w:cs="Arial"/>
        </w:rPr>
        <w:t xml:space="preserve">may be missing out on screening for infectious diseases, aligning with previous research and discourse from other EU/EEA countries, despite agreement that it is beneficial </w:t>
      </w:r>
      <w:r>
        <w:rPr>
          <w:rFonts w:ascii="Arial" w:hAnsi="Arial" w:cs="Arial"/>
          <w:noProof/>
        </w:rPr>
        <w:t>(10, 38, 54, 55)</w:t>
      </w:r>
      <w:r>
        <w:rPr>
          <w:rFonts w:ascii="Arial" w:hAnsi="Arial" w:cs="Arial"/>
        </w:rPr>
        <w:t xml:space="preserve">. Routine testing for new entrants from high-incidence countries is recommended for LTBI, HIV, and hepatitis B and C in a range of clinical and community settings </w:t>
      </w:r>
      <w:r>
        <w:rPr>
          <w:rFonts w:ascii="Arial" w:hAnsi="Arial" w:cs="Arial"/>
          <w:noProof/>
        </w:rPr>
        <w:t>(22, 23, 56-58)</w:t>
      </w:r>
      <w:r>
        <w:rPr>
          <w:rFonts w:ascii="Arial" w:hAnsi="Arial" w:cs="Arial"/>
        </w:rPr>
        <w:t xml:space="preserve">. Even among those registered with a GP, very few participants in our study reported ever having been offered screening in the UK. This is despite the availability of national guidelines for the screening of high-risk groups – including migrants – in the primary care context and secondary-care settings, particularly for HIV testing, which is being advocated for across healthcare settings including emergency departments </w:t>
      </w:r>
      <w:r>
        <w:rPr>
          <w:rFonts w:ascii="Arial" w:hAnsi="Arial" w:cs="Arial"/>
          <w:noProof/>
        </w:rPr>
        <w:t>(22, 59)</w:t>
      </w:r>
      <w:r>
        <w:rPr>
          <w:rFonts w:ascii="Arial" w:hAnsi="Arial" w:cs="Arial"/>
        </w:rPr>
        <w:t xml:space="preserve">. This is supported by the work of others: in one study exploring hepatitis B screening in a primary care setting, only 9627 (12%) of 82561 migrants eligible for screening in accordance with national guidelines migrants were offered screening by clinicians, with lack of knowledge and lack of resourced cited by clinicians as key barriers </w:t>
      </w:r>
      <w:r>
        <w:rPr>
          <w:rFonts w:ascii="Arial" w:hAnsi="Arial" w:cs="Arial"/>
          <w:noProof/>
        </w:rPr>
        <w:t>(</w:t>
      </w:r>
      <w:r w:rsidR="00FE1FC4">
        <w:rPr>
          <w:rFonts w:ascii="Arial" w:hAnsi="Arial" w:cs="Arial"/>
          <w:noProof/>
        </w:rPr>
        <w:t>26</w:t>
      </w:r>
      <w:r>
        <w:rPr>
          <w:rFonts w:ascii="Arial" w:hAnsi="Arial" w:cs="Arial"/>
          <w:noProof/>
        </w:rPr>
        <w:t>)</w:t>
      </w:r>
      <w:r>
        <w:rPr>
          <w:rFonts w:ascii="Arial" w:hAnsi="Arial" w:cs="Arial"/>
        </w:rPr>
        <w:t xml:space="preserve">. </w:t>
      </w:r>
    </w:p>
    <w:p w14:paraId="10D4B20C" w14:textId="77777777" w:rsidR="00204B98" w:rsidRDefault="00204B98" w:rsidP="005615F2">
      <w:pPr>
        <w:spacing w:line="480" w:lineRule="auto"/>
        <w:jc w:val="both"/>
        <w:rPr>
          <w:rFonts w:ascii="Arial" w:hAnsi="Arial" w:cs="Arial"/>
          <w:i/>
        </w:rPr>
      </w:pPr>
      <w:r>
        <w:rPr>
          <w:rFonts w:ascii="Arial" w:hAnsi="Arial" w:cs="Arial"/>
          <w:i/>
        </w:rPr>
        <w:t>Strengths and limitations</w:t>
      </w:r>
    </w:p>
    <w:p w14:paraId="4ABF2171" w14:textId="3A0C8E70" w:rsidR="00DC22FA" w:rsidRDefault="00204B98" w:rsidP="005615F2">
      <w:pPr>
        <w:spacing w:line="480" w:lineRule="auto"/>
        <w:jc w:val="both"/>
        <w:rPr>
          <w:rFonts w:ascii="Arial" w:hAnsi="Arial" w:cs="Arial"/>
        </w:rPr>
      </w:pPr>
      <w:r>
        <w:rPr>
          <w:rFonts w:ascii="Arial" w:hAnsi="Arial" w:cs="Arial"/>
        </w:rPr>
        <w:lastRenderedPageBreak/>
        <w:t xml:space="preserve">Whilst this was a UK study, the emergency department model exists across other EU/EEA countries, providing access to walk-in care, often free of charge to migrants who might otherwise be excluded or face barriers to accessing a range of other health service, including </w:t>
      </w:r>
      <w:proofErr w:type="gramStart"/>
      <w:r>
        <w:rPr>
          <w:rFonts w:ascii="Arial" w:hAnsi="Arial" w:cs="Arial"/>
        </w:rPr>
        <w:t>primary-care</w:t>
      </w:r>
      <w:proofErr w:type="gramEnd"/>
      <w:r>
        <w:rPr>
          <w:rFonts w:ascii="Arial" w:hAnsi="Arial" w:cs="Arial"/>
        </w:rPr>
        <w:t>.</w:t>
      </w:r>
      <w:r w:rsidR="006B34B6">
        <w:rPr>
          <w:rFonts w:ascii="Arial" w:hAnsi="Arial" w:cs="Arial"/>
        </w:rPr>
        <w:t xml:space="preserve"> </w:t>
      </w:r>
      <w:r>
        <w:rPr>
          <w:rFonts w:ascii="Arial" w:hAnsi="Arial" w:cs="Arial"/>
        </w:rPr>
        <w:t>The presentation of diverse migrant groups in these settings and the infrastructure are thus representative of systems currently in place in Europe, and the findings are likely to be generalisable to emergency departments in other high-migrant receiving countries, which in several European countries now represent a migrant’s only source of health care.</w:t>
      </w:r>
      <w:r w:rsidR="00DC22FA">
        <w:rPr>
          <w:rFonts w:ascii="Arial" w:hAnsi="Arial" w:cs="Arial"/>
        </w:rPr>
        <w:t xml:space="preserve"> </w:t>
      </w:r>
      <w:r w:rsidR="00DC22FA" w:rsidRPr="00EA1424">
        <w:rPr>
          <w:rFonts w:ascii="Arial" w:hAnsi="Arial" w:cs="Arial"/>
        </w:rPr>
        <w:t xml:space="preserve">We are aware that </w:t>
      </w:r>
      <w:r w:rsidR="00C80018" w:rsidRPr="00EA1424">
        <w:rPr>
          <w:rFonts w:ascii="Arial" w:hAnsi="Arial" w:cs="Arial"/>
        </w:rPr>
        <w:t>the number of participants in this study</w:t>
      </w:r>
      <w:r w:rsidR="00DC22FA" w:rsidRPr="00EA1424">
        <w:rPr>
          <w:rFonts w:ascii="Arial" w:hAnsi="Arial" w:cs="Arial"/>
        </w:rPr>
        <w:t xml:space="preserve"> is small and that selection bias could have been an issue in this study</w:t>
      </w:r>
      <w:r w:rsidR="0091204A" w:rsidRPr="00EA1424">
        <w:rPr>
          <w:rFonts w:ascii="Arial" w:hAnsi="Arial" w:cs="Arial"/>
        </w:rPr>
        <w:t>, though the sample was representative of the local population</w:t>
      </w:r>
      <w:r w:rsidR="00DC22FA" w:rsidRPr="00EA1424">
        <w:rPr>
          <w:rFonts w:ascii="Arial" w:hAnsi="Arial" w:cs="Arial"/>
        </w:rPr>
        <w:t xml:space="preserve">. However, lack of routine data collection at such services around migrant status </w:t>
      </w:r>
      <w:r w:rsidR="008D630B" w:rsidRPr="00EA1424">
        <w:rPr>
          <w:rFonts w:ascii="Arial" w:hAnsi="Arial" w:cs="Arial"/>
        </w:rPr>
        <w:t>meant</w:t>
      </w:r>
      <w:r w:rsidR="00DC22FA" w:rsidRPr="00EA1424">
        <w:rPr>
          <w:rFonts w:ascii="Arial" w:hAnsi="Arial" w:cs="Arial"/>
        </w:rPr>
        <w:t xml:space="preserve"> that it was not possible to calculate the number of migrants who did not consent to participate in this research, nor to ascertain the number of migrants presenting at this service during the study period. </w:t>
      </w:r>
      <w:r w:rsidR="00BC6CE7" w:rsidRPr="007513C1">
        <w:rPr>
          <w:rFonts w:ascii="Arial" w:hAnsi="Arial" w:cs="Arial"/>
        </w:rPr>
        <w:t>We did, however, successfully engage a broad range of migrants (43 different nationalities) to participate in this feasibility study, which well represents the diversity of migrants we currently see in London.</w:t>
      </w:r>
    </w:p>
    <w:p w14:paraId="2172D6E7" w14:textId="77777777" w:rsidR="00204B98" w:rsidRDefault="00204B98" w:rsidP="005615F2">
      <w:pPr>
        <w:spacing w:line="480" w:lineRule="auto"/>
        <w:jc w:val="both"/>
        <w:rPr>
          <w:rFonts w:ascii="Arial" w:hAnsi="Arial" w:cs="Arial"/>
        </w:rPr>
      </w:pPr>
      <w:r>
        <w:rPr>
          <w:rFonts w:ascii="Arial" w:hAnsi="Arial" w:cs="Arial"/>
        </w:rPr>
        <w:t xml:space="preserve">Logistic challenges may exist in the implementation of routine multi-disease testing in this setting, for example in relation to the pathway between testing and delivery of samples to relevant laboratories for testing, although these would be relatively easy to overcome once routine screening was established. Screening is also challenging, since recording migrant status is not routine in this setting, which may mean eligible patients are missed, suggesting systems may need to be implemented to sensitively request patient information on migrant status to target screening. Implementation of screening will need to be tailored to each country context, given variations in emergency department infrastructure and facilities across Europe.  There is a need for further research to examine the cost-effectiveness of screening in emergency departments. </w:t>
      </w:r>
    </w:p>
    <w:p w14:paraId="4DAB1024" w14:textId="77777777" w:rsidR="00204B98" w:rsidRPr="005A01FB" w:rsidRDefault="00204B98" w:rsidP="005615F2">
      <w:pPr>
        <w:spacing w:line="480" w:lineRule="auto"/>
        <w:jc w:val="both"/>
        <w:rPr>
          <w:rFonts w:ascii="Arial" w:hAnsi="Arial" w:cs="Arial"/>
          <w:i/>
        </w:rPr>
      </w:pPr>
      <w:r>
        <w:rPr>
          <w:rFonts w:ascii="Arial" w:hAnsi="Arial" w:cs="Arial"/>
          <w:i/>
        </w:rPr>
        <w:t>Conclusions</w:t>
      </w:r>
    </w:p>
    <w:p w14:paraId="36972612" w14:textId="2C228899" w:rsidR="00204B98" w:rsidRDefault="00204B98" w:rsidP="005615F2">
      <w:pPr>
        <w:spacing w:line="480" w:lineRule="auto"/>
        <w:jc w:val="both"/>
        <w:rPr>
          <w:rFonts w:ascii="Arial" w:hAnsi="Arial" w:cs="Arial"/>
        </w:rPr>
      </w:pPr>
      <w:r>
        <w:rPr>
          <w:rFonts w:ascii="Arial" w:hAnsi="Arial" w:cs="Arial"/>
        </w:rPr>
        <w:lastRenderedPageBreak/>
        <w:t xml:space="preserve">This innovative multi-disease screening model was feasible to do in an emergency department context and facilitated the detection and treatment of LTBI, but highlighted the complexity of delivering latent TB screening to migrant populations, with greater emphasis needed on linkage-to-care and ensuring successful treatment outcomes. We identified major gaps in current screening provision to new migrants for a diverse range of key infections in the UK, which is a key consideration for all high migrant-receiving EU/EEA countries. Most recruited migrants had never been previously screened for an infectious disease since migration, despite previous engagement with primary-care providers. The emergency setting appears to be a feasible site for opportunistic multi-disease screening, which </w:t>
      </w:r>
      <w:r w:rsidR="00BD4142">
        <w:rPr>
          <w:rFonts w:ascii="Arial" w:hAnsi="Arial" w:cs="Arial"/>
        </w:rPr>
        <w:t>merits being tested further</w:t>
      </w:r>
      <w:r>
        <w:rPr>
          <w:rFonts w:ascii="Arial" w:hAnsi="Arial" w:cs="Arial"/>
        </w:rPr>
        <w:t xml:space="preserve"> </w:t>
      </w:r>
      <w:r w:rsidR="00BD4142">
        <w:rPr>
          <w:rFonts w:ascii="Arial" w:hAnsi="Arial" w:cs="Arial"/>
        </w:rPr>
        <w:t>in larger-scale studies</w:t>
      </w:r>
      <w:r w:rsidR="006B34B6">
        <w:rPr>
          <w:rFonts w:ascii="Arial" w:hAnsi="Arial" w:cs="Arial"/>
        </w:rPr>
        <w:t xml:space="preserve"> in the emergency room, as well as in other settings such as primary care</w:t>
      </w:r>
      <w:r w:rsidR="00BD4142">
        <w:rPr>
          <w:rFonts w:ascii="Arial" w:hAnsi="Arial" w:cs="Arial"/>
        </w:rPr>
        <w:t xml:space="preserve">. </w:t>
      </w:r>
      <w:r w:rsidR="00240199">
        <w:rPr>
          <w:rFonts w:ascii="Arial" w:hAnsi="Arial" w:cs="Arial"/>
        </w:rPr>
        <w:t xml:space="preserve">These studies could also consider screening for other infections highlighted in </w:t>
      </w:r>
      <w:r w:rsidR="00763764">
        <w:rPr>
          <w:rFonts w:ascii="Arial" w:hAnsi="Arial" w:cs="Arial"/>
        </w:rPr>
        <w:t>current guidelines</w:t>
      </w:r>
      <w:r w:rsidR="00240199">
        <w:rPr>
          <w:rFonts w:ascii="Arial" w:hAnsi="Arial" w:cs="Arial"/>
        </w:rPr>
        <w:t xml:space="preserve"> [16], and include catch-up vaccination. </w:t>
      </w:r>
      <w:r w:rsidR="00BD4142">
        <w:rPr>
          <w:rFonts w:ascii="Arial" w:hAnsi="Arial" w:cs="Arial"/>
        </w:rPr>
        <w:t xml:space="preserve">New approaches to provision of preventive health care – including screening and vaccination – are needed to </w:t>
      </w:r>
      <w:r>
        <w:rPr>
          <w:rFonts w:ascii="Arial" w:hAnsi="Arial" w:cs="Arial"/>
        </w:rPr>
        <w:t>improve the health of migrant</w:t>
      </w:r>
      <w:r w:rsidR="00BD4142">
        <w:rPr>
          <w:rFonts w:ascii="Arial" w:hAnsi="Arial" w:cs="Arial"/>
        </w:rPr>
        <w:t>s and their wider communities</w:t>
      </w:r>
      <w:r>
        <w:rPr>
          <w:rFonts w:ascii="Arial" w:hAnsi="Arial" w:cs="Arial"/>
        </w:rPr>
        <w:t xml:space="preserve">, </w:t>
      </w:r>
      <w:r w:rsidR="00BD4142">
        <w:rPr>
          <w:rFonts w:ascii="Arial" w:hAnsi="Arial" w:cs="Arial"/>
        </w:rPr>
        <w:t>and to ensure EU/EEA countries meet regional</w:t>
      </w:r>
      <w:r>
        <w:rPr>
          <w:rFonts w:ascii="Arial" w:hAnsi="Arial" w:cs="Arial"/>
        </w:rPr>
        <w:t xml:space="preserve"> and global targets for the control and elimination of key infectious diseases. </w:t>
      </w:r>
    </w:p>
    <w:p w14:paraId="5F9C5714" w14:textId="77777777" w:rsidR="00204B98" w:rsidRDefault="00204B98" w:rsidP="005615F2">
      <w:pPr>
        <w:spacing w:line="480" w:lineRule="auto"/>
        <w:jc w:val="both"/>
        <w:rPr>
          <w:rFonts w:ascii="Arial" w:hAnsi="Arial" w:cs="Arial"/>
        </w:rPr>
      </w:pPr>
    </w:p>
    <w:p w14:paraId="0BC5929B" w14:textId="77777777" w:rsidR="00204B98" w:rsidRDefault="00204B98" w:rsidP="005615F2">
      <w:pPr>
        <w:spacing w:line="480" w:lineRule="auto"/>
        <w:jc w:val="both"/>
        <w:rPr>
          <w:rFonts w:ascii="Arial" w:hAnsi="Arial" w:cs="Arial"/>
          <w:b/>
        </w:rPr>
      </w:pPr>
      <w:r>
        <w:rPr>
          <w:rFonts w:ascii="Arial" w:hAnsi="Arial" w:cs="Arial"/>
          <w:b/>
        </w:rPr>
        <w:t>Acknowledgements</w:t>
      </w:r>
    </w:p>
    <w:p w14:paraId="2766B22F" w14:textId="2329EAE5" w:rsidR="001B761C" w:rsidRPr="001B761C" w:rsidRDefault="00204B98" w:rsidP="001B761C">
      <w:pPr>
        <w:spacing w:after="0" w:line="480" w:lineRule="auto"/>
        <w:jc w:val="both"/>
        <w:rPr>
          <w:rFonts w:ascii="Arial" w:eastAsia="Times New Roman" w:hAnsi="Arial" w:cs="Arial"/>
          <w:lang w:eastAsia="en-GB"/>
        </w:rPr>
      </w:pPr>
      <w:r w:rsidRPr="001B761C">
        <w:rPr>
          <w:rFonts w:ascii="Arial" w:hAnsi="Arial" w:cs="Arial"/>
        </w:rPr>
        <w:t>This work was funded by the UK National Institute for Health Research (NIHR) Biomedical Research Centre (BRC) at Imperial College London and the Imperial College Healthcare Charity. SH is funded by the NIHR</w:t>
      </w:r>
      <w:r w:rsidR="001B761C" w:rsidRPr="001B761C">
        <w:rPr>
          <w:rFonts w:ascii="Arial" w:hAnsi="Arial" w:cs="Arial"/>
        </w:rPr>
        <w:t xml:space="preserve"> (NIHR300072) and the Academy of Medical Sciences (SBF005\1111). </w:t>
      </w:r>
      <w:r w:rsidR="00967DBD" w:rsidRPr="001B761C">
        <w:rPr>
          <w:rFonts w:ascii="Arial" w:hAnsi="Arial" w:cs="Arial"/>
        </w:rPr>
        <w:t>SH</w:t>
      </w:r>
      <w:r w:rsidR="001B761C" w:rsidRPr="001B761C">
        <w:rPr>
          <w:rFonts w:ascii="Arial" w:hAnsi="Arial" w:cs="Arial"/>
        </w:rPr>
        <w:t xml:space="preserve"> and</w:t>
      </w:r>
      <w:r w:rsidR="00667A2A" w:rsidRPr="001B761C">
        <w:rPr>
          <w:rFonts w:ascii="Arial" w:hAnsi="Arial" w:cs="Arial"/>
        </w:rPr>
        <w:t xml:space="preserve"> LBN</w:t>
      </w:r>
      <w:r w:rsidR="001B761C" w:rsidRPr="001B761C">
        <w:rPr>
          <w:rFonts w:ascii="Arial" w:hAnsi="Arial" w:cs="Arial"/>
        </w:rPr>
        <w:t xml:space="preserve"> </w:t>
      </w:r>
      <w:r w:rsidR="00967DBD" w:rsidRPr="001B761C">
        <w:rPr>
          <w:rFonts w:ascii="Arial" w:hAnsi="Arial" w:cs="Arial"/>
        </w:rPr>
        <w:t>were</w:t>
      </w:r>
      <w:r w:rsidR="008D630B" w:rsidRPr="001B761C">
        <w:rPr>
          <w:rFonts w:ascii="Arial" w:hAnsi="Arial" w:cs="Arial"/>
        </w:rPr>
        <w:t xml:space="preserve"> supported by</w:t>
      </w:r>
      <w:r w:rsidRPr="001B761C">
        <w:rPr>
          <w:rFonts w:ascii="Arial" w:hAnsi="Arial" w:cs="Arial"/>
        </w:rPr>
        <w:t xml:space="preserve"> </w:t>
      </w:r>
      <w:r w:rsidR="008D630B" w:rsidRPr="001B761C">
        <w:rPr>
          <w:rFonts w:ascii="Arial" w:hAnsi="Arial" w:cs="Arial"/>
        </w:rPr>
        <w:t>T</w:t>
      </w:r>
      <w:r w:rsidRPr="001B761C">
        <w:rPr>
          <w:rFonts w:ascii="Arial" w:hAnsi="Arial" w:cs="Arial"/>
        </w:rPr>
        <w:t xml:space="preserve">he </w:t>
      </w:r>
      <w:proofErr w:type="spellStart"/>
      <w:r w:rsidRPr="001B761C">
        <w:rPr>
          <w:rFonts w:ascii="Arial" w:eastAsia="ScalaLancetPro" w:hAnsi="Arial" w:cs="Arial"/>
        </w:rPr>
        <w:t>Wellcome</w:t>
      </w:r>
      <w:proofErr w:type="spellEnd"/>
      <w:r w:rsidRPr="001B761C">
        <w:rPr>
          <w:rFonts w:ascii="Arial" w:eastAsia="ScalaLancetPro" w:hAnsi="Arial" w:cs="Arial"/>
        </w:rPr>
        <w:t xml:space="preserve"> Trust (209993/Z/17/Z), </w:t>
      </w:r>
      <w:r w:rsidR="00590B2E" w:rsidRPr="001B761C">
        <w:rPr>
          <w:rFonts w:ascii="Arial" w:eastAsia="ScalaLancetPro" w:hAnsi="Arial" w:cs="Arial"/>
        </w:rPr>
        <w:t xml:space="preserve">and </w:t>
      </w:r>
      <w:r w:rsidRPr="001B761C">
        <w:rPr>
          <w:rFonts w:ascii="Arial" w:eastAsia="ScalaLancetPro" w:hAnsi="Arial" w:cs="Arial"/>
        </w:rPr>
        <w:t xml:space="preserve">the European Society for Clinical Microbiology and Infectious Diseases (ESCMID) through an ESCMID Study Group for Infections in Travellers and Migrants (ESGITM) research grant.  </w:t>
      </w:r>
      <w:r w:rsidR="001B761C" w:rsidRPr="001B761C">
        <w:rPr>
          <w:rFonts w:ascii="Arial" w:eastAsia="ScalaLancetPro" w:hAnsi="Arial" w:cs="Arial"/>
        </w:rPr>
        <w:t xml:space="preserve">LBN is funded by the </w:t>
      </w:r>
      <w:r w:rsidR="001B761C" w:rsidRPr="001B761C">
        <w:rPr>
          <w:rFonts w:ascii="Arial" w:eastAsia="Times New Roman" w:hAnsi="Arial" w:cs="Arial"/>
          <w:color w:val="000000"/>
          <w:lang w:eastAsia="en-GB"/>
        </w:rPr>
        <w:t>Academy of Medical Sciences (SBF005\1047) and the </w:t>
      </w:r>
      <w:r w:rsidR="001B761C" w:rsidRPr="001B761C">
        <w:rPr>
          <w:rFonts w:ascii="Arial" w:eastAsia="Times New Roman" w:hAnsi="Arial" w:cs="Arial"/>
          <w:color w:val="3A3A3A"/>
          <w:shd w:val="clear" w:color="auto" w:fill="FFFFFF"/>
          <w:lang w:eastAsia="en-GB"/>
        </w:rPr>
        <w:t>MRC/AHRC/ESRC (MR/T046732/1).</w:t>
      </w:r>
    </w:p>
    <w:p w14:paraId="53ABFE92" w14:textId="77777777" w:rsidR="00204B98" w:rsidRPr="001B761C" w:rsidRDefault="00204B98" w:rsidP="005615F2">
      <w:pPr>
        <w:spacing w:after="0" w:line="480" w:lineRule="auto"/>
        <w:jc w:val="both"/>
        <w:rPr>
          <w:rFonts w:eastAsia="ScalaLancetPro" w:cs="Arial"/>
          <w:sz w:val="24"/>
          <w:szCs w:val="24"/>
        </w:rPr>
      </w:pPr>
    </w:p>
    <w:p w14:paraId="08521AA8" w14:textId="77777777" w:rsidR="00204B98" w:rsidRDefault="00204B98" w:rsidP="005615F2">
      <w:pPr>
        <w:spacing w:after="0" w:line="480" w:lineRule="auto"/>
        <w:jc w:val="both"/>
        <w:rPr>
          <w:rFonts w:ascii="Arial" w:eastAsia="ScalaLancetPro" w:hAnsi="Arial" w:cs="Arial"/>
        </w:rPr>
      </w:pPr>
      <w:r w:rsidRPr="00F47793">
        <w:rPr>
          <w:rFonts w:ascii="Arial" w:eastAsia="ScalaLancetPro" w:hAnsi="Arial" w:cs="Arial"/>
        </w:rPr>
        <w:lastRenderedPageBreak/>
        <w:t>We would like to acknowledge the support from our many collaborators on this project.  We would particularly like to thank Mark Busby for his support in implementing the study and all of the staff at St. Mary’s emergency department. We would also like to thank the individuals who participated in this research.</w:t>
      </w:r>
    </w:p>
    <w:p w14:paraId="50D55CEC" w14:textId="77777777" w:rsidR="00204B98" w:rsidRDefault="00204B98" w:rsidP="005615F2">
      <w:pPr>
        <w:spacing w:after="0" w:line="480" w:lineRule="auto"/>
        <w:jc w:val="both"/>
        <w:rPr>
          <w:rFonts w:ascii="Arial" w:hAnsi="Arial" w:cs="Arial"/>
          <w:b/>
        </w:rPr>
      </w:pPr>
    </w:p>
    <w:p w14:paraId="245AA4ED" w14:textId="77777777" w:rsidR="00204B98" w:rsidRPr="00B216C1" w:rsidRDefault="00204B98" w:rsidP="005615F2">
      <w:pPr>
        <w:spacing w:after="0" w:line="480" w:lineRule="auto"/>
        <w:jc w:val="both"/>
        <w:rPr>
          <w:rFonts w:ascii="Arial" w:hAnsi="Arial" w:cs="Arial"/>
          <w:b/>
        </w:rPr>
      </w:pPr>
      <w:r w:rsidRPr="00B216C1">
        <w:rPr>
          <w:rFonts w:ascii="Arial" w:hAnsi="Arial" w:cs="Arial"/>
          <w:b/>
        </w:rPr>
        <w:t>Ethical statement</w:t>
      </w:r>
    </w:p>
    <w:p w14:paraId="4475CDBF" w14:textId="77777777" w:rsidR="00204B98" w:rsidRPr="004F1AA8" w:rsidRDefault="00204B98" w:rsidP="005615F2">
      <w:pPr>
        <w:spacing w:after="0" w:line="480" w:lineRule="auto"/>
        <w:jc w:val="both"/>
        <w:rPr>
          <w:rFonts w:ascii="Arial" w:hAnsi="Arial" w:cs="Arial"/>
        </w:rPr>
      </w:pPr>
      <w:r w:rsidRPr="004F1AA8">
        <w:rPr>
          <w:rFonts w:ascii="Arial" w:hAnsi="Arial" w:cs="Arial"/>
        </w:rPr>
        <w:t xml:space="preserve">All authors report no competing interests. </w:t>
      </w:r>
    </w:p>
    <w:p w14:paraId="7662F452" w14:textId="77777777" w:rsidR="00204B98" w:rsidRPr="007C3426" w:rsidRDefault="00204B98" w:rsidP="005615F2">
      <w:pPr>
        <w:spacing w:line="480" w:lineRule="auto"/>
        <w:jc w:val="both"/>
        <w:rPr>
          <w:rFonts w:ascii="Arial" w:hAnsi="Arial" w:cs="Arial"/>
          <w:b/>
        </w:rPr>
      </w:pPr>
    </w:p>
    <w:p w14:paraId="4D43E91F" w14:textId="77777777" w:rsidR="00204B98" w:rsidRDefault="00204B98">
      <w:pPr>
        <w:rPr>
          <w:rFonts w:ascii="Arial" w:hAnsi="Arial" w:cs="Arial"/>
          <w:b/>
        </w:rPr>
      </w:pPr>
      <w:r>
        <w:rPr>
          <w:rFonts w:ascii="Arial" w:hAnsi="Arial" w:cs="Arial"/>
          <w:b/>
        </w:rPr>
        <w:br w:type="page"/>
      </w:r>
    </w:p>
    <w:p w14:paraId="41532380" w14:textId="77777777" w:rsidR="00204B98" w:rsidRPr="005E3CBA" w:rsidRDefault="00204B98">
      <w:pPr>
        <w:rPr>
          <w:rFonts w:ascii="Arial" w:hAnsi="Arial" w:cs="Arial"/>
          <w:b/>
        </w:rPr>
      </w:pPr>
      <w:r>
        <w:rPr>
          <w:rFonts w:ascii="Arial" w:hAnsi="Arial" w:cs="Arial"/>
          <w:b/>
        </w:rPr>
        <w:lastRenderedPageBreak/>
        <w:t>References</w:t>
      </w:r>
    </w:p>
    <w:p w14:paraId="2D85CC27" w14:textId="1C5CEB0C" w:rsidR="00204B98" w:rsidRPr="00E514F3" w:rsidRDefault="00204B98" w:rsidP="005615F2">
      <w:pPr>
        <w:pStyle w:val="EndNoteBibliography"/>
        <w:spacing w:after="0"/>
      </w:pPr>
      <w:r w:rsidRPr="00E514F3">
        <w:t>1.</w:t>
      </w:r>
      <w:r w:rsidRPr="00E514F3">
        <w:tab/>
        <w:t>Getahun H, Matteelli A, Abubakar I, Abdel Aziz M, Baddeley A, Barreira D, et al. Management of latent Mycobacterium tuberculosis infection: WHO guidelines for low tuberculosis burden countries. European Respiratory Journal</w:t>
      </w:r>
      <w:r>
        <w:t>.</w:t>
      </w:r>
      <w:r w:rsidRPr="00E514F3">
        <w:t xml:space="preserve"> 2015;46(6):1563-76.</w:t>
      </w:r>
    </w:p>
    <w:p w14:paraId="00F5C82B" w14:textId="77777777" w:rsidR="00204B98" w:rsidRPr="00E514F3" w:rsidRDefault="00204B98" w:rsidP="005615F2">
      <w:pPr>
        <w:pStyle w:val="EndNoteBibliography"/>
        <w:spacing w:after="0"/>
      </w:pPr>
      <w:r w:rsidRPr="00E514F3">
        <w:t>2.</w:t>
      </w:r>
      <w:r w:rsidRPr="00E514F3">
        <w:tab/>
        <w:t>Loutet MG, Burman M, Jayasekera N, Trathen D, Dart S, Kunst H, et al. National roll-out of latent tuberculosis testing and treatment for new migrants in England: a retrospective evaluation in a high-incidence area. European Respiratory Journal. 2018;51(1):1701226.</w:t>
      </w:r>
    </w:p>
    <w:p w14:paraId="700CBE7C" w14:textId="77777777" w:rsidR="00204B98" w:rsidRPr="00E514F3" w:rsidRDefault="00204B98" w:rsidP="005615F2">
      <w:pPr>
        <w:pStyle w:val="EndNoteBibliography"/>
        <w:spacing w:after="0"/>
      </w:pPr>
      <w:r w:rsidRPr="00E514F3">
        <w:t>3.</w:t>
      </w:r>
      <w:r w:rsidRPr="00E514F3">
        <w:tab/>
        <w:t xml:space="preserve">ECDC. Tuberculosis surveillance and monitoring in Europe 2017. </w:t>
      </w:r>
      <w:r>
        <w:t xml:space="preserve">Stockholm: ECDC; </w:t>
      </w:r>
      <w:r w:rsidRPr="00E514F3">
        <w:t>2017.</w:t>
      </w:r>
    </w:p>
    <w:p w14:paraId="33F482FA" w14:textId="4BC6D201" w:rsidR="00204B98" w:rsidRPr="00E514F3" w:rsidRDefault="00204B98" w:rsidP="005615F2">
      <w:pPr>
        <w:pStyle w:val="EndNoteBibliography"/>
        <w:spacing w:after="0"/>
      </w:pPr>
      <w:r w:rsidRPr="00E514F3">
        <w:t>4.</w:t>
      </w:r>
      <w:r w:rsidRPr="00E514F3">
        <w:tab/>
        <w:t xml:space="preserve">Hahné SJ, Veldhuijzen IK, Wiessing L, Lim T-A, Salminen M, van de Laar M. Infection with hepatitis B and C virus in Europe: a systematic review of prevalence and cost-effectiveness of screening. BMC </w:t>
      </w:r>
      <w:r w:rsidR="00667A2A">
        <w:t>I</w:t>
      </w:r>
      <w:r w:rsidRPr="00E514F3">
        <w:t xml:space="preserve">nfectious </w:t>
      </w:r>
      <w:r w:rsidR="00667A2A">
        <w:t>D</w:t>
      </w:r>
      <w:r w:rsidRPr="00E514F3">
        <w:t>iseases. 2013;13(1):181.</w:t>
      </w:r>
    </w:p>
    <w:p w14:paraId="46516D70" w14:textId="77777777" w:rsidR="00204B98" w:rsidRPr="00E514F3" w:rsidRDefault="00204B98" w:rsidP="005615F2">
      <w:pPr>
        <w:pStyle w:val="EndNoteBibliography"/>
        <w:spacing w:after="0"/>
      </w:pPr>
      <w:r w:rsidRPr="00E514F3">
        <w:t>5.</w:t>
      </w:r>
      <w:r w:rsidRPr="00E514F3">
        <w:tab/>
        <w:t>Veldhuijzen IK, Toy M, Hahné SJ, De Wit GA, Schalm SW, Robert A, et al. Screening and early treatment of migrants for chronic hepatitis B virus infection is cost-effective. Gastroenterology. 2010;138(2):522-30.</w:t>
      </w:r>
    </w:p>
    <w:p w14:paraId="3CE03981" w14:textId="77777777" w:rsidR="00204B98" w:rsidRPr="00E514F3" w:rsidRDefault="00204B98" w:rsidP="005615F2">
      <w:pPr>
        <w:pStyle w:val="EndNoteBibliography"/>
        <w:spacing w:after="0"/>
      </w:pPr>
      <w:r w:rsidRPr="00E514F3">
        <w:t>6.</w:t>
      </w:r>
      <w:r w:rsidRPr="00E514F3">
        <w:tab/>
        <w:t>Kruijshaar ME, Abubakar I, Stagg HR, Pedrazzoli D, Lipman M. Migration and tuberculosis in the UK: targeting screening for latent infection to those at greatest risk of disease. Thorax. 2013:thoraxjnl-2013-203254.</w:t>
      </w:r>
    </w:p>
    <w:p w14:paraId="010ADF36" w14:textId="77777777" w:rsidR="00204B98" w:rsidRPr="00E514F3" w:rsidRDefault="00204B98" w:rsidP="005615F2">
      <w:pPr>
        <w:pStyle w:val="EndNoteBibliography"/>
        <w:spacing w:after="0"/>
      </w:pPr>
      <w:r w:rsidRPr="00E514F3">
        <w:t>7.</w:t>
      </w:r>
      <w:r w:rsidRPr="00E514F3">
        <w:tab/>
        <w:t xml:space="preserve">ECDC. Thematic report: HIV and migrants. </w:t>
      </w:r>
      <w:r>
        <w:t xml:space="preserve">Stockholm: </w:t>
      </w:r>
      <w:r w:rsidRPr="00E514F3">
        <w:t>ECDC; 2017.</w:t>
      </w:r>
    </w:p>
    <w:p w14:paraId="1921C9D3" w14:textId="77777777" w:rsidR="00204B98" w:rsidRPr="00E514F3" w:rsidRDefault="00204B98" w:rsidP="005615F2">
      <w:pPr>
        <w:pStyle w:val="EndNoteBibliography"/>
        <w:spacing w:after="0"/>
      </w:pPr>
      <w:r w:rsidRPr="00E514F3">
        <w:t>8.</w:t>
      </w:r>
      <w:r w:rsidRPr="00E514F3">
        <w:tab/>
        <w:t>ECDC. Epidemiological assessment of hepatitis B and C among migrants in the EU/EEA. Stockholm: ECDC; 2016.</w:t>
      </w:r>
    </w:p>
    <w:p w14:paraId="404867C3" w14:textId="56147A7B" w:rsidR="00204B98" w:rsidRPr="00E514F3" w:rsidRDefault="00204B98" w:rsidP="005615F2">
      <w:pPr>
        <w:pStyle w:val="EndNoteBibliography"/>
        <w:spacing w:after="0"/>
      </w:pPr>
      <w:r w:rsidRPr="00E514F3">
        <w:t>9.</w:t>
      </w:r>
      <w:r w:rsidRPr="00E514F3">
        <w:tab/>
        <w:t>I</w:t>
      </w:r>
      <w:r>
        <w:t>nternational Organisation for Migration</w:t>
      </w:r>
      <w:r w:rsidRPr="00E514F3">
        <w:t xml:space="preserve">. International Migration Report 2018. </w:t>
      </w:r>
      <w:r>
        <w:t xml:space="preserve">New York: </w:t>
      </w:r>
      <w:r w:rsidRPr="00E514F3">
        <w:t>International Organization for Migration; 2018.</w:t>
      </w:r>
    </w:p>
    <w:p w14:paraId="34C18D74" w14:textId="77777777" w:rsidR="00204B98" w:rsidRPr="00E514F3" w:rsidRDefault="00204B98" w:rsidP="005615F2">
      <w:pPr>
        <w:pStyle w:val="EndNoteBibliography"/>
        <w:spacing w:after="0"/>
      </w:pPr>
      <w:r w:rsidRPr="00E514F3">
        <w:t>10.</w:t>
      </w:r>
      <w:r w:rsidRPr="00E514F3">
        <w:tab/>
        <w:t>Seedat F HS, Nellums LB, et al. How effective are approaches to migrant screening for infectious diseases in Europe? A systematic review. The Lancet Infectious Diseases. 2018;May 16.</w:t>
      </w:r>
    </w:p>
    <w:p w14:paraId="005C62A0" w14:textId="1019871B" w:rsidR="00204B98" w:rsidRPr="00E514F3" w:rsidRDefault="00204B98" w:rsidP="005615F2">
      <w:pPr>
        <w:pStyle w:val="EndNoteBibliography"/>
        <w:spacing w:after="0"/>
      </w:pPr>
      <w:r w:rsidRPr="00E514F3">
        <w:t>11.</w:t>
      </w:r>
      <w:r w:rsidRPr="00E514F3">
        <w:tab/>
        <w:t xml:space="preserve">Chernet A, Neumayr A, Hatz C, Kling K, Sydow V, Rentsch K, et al. Spectrum of infectious diseases among newly arrived Eritrean refugees in Switzerland: a cross-sectional study. International </w:t>
      </w:r>
      <w:r w:rsidR="00667A2A">
        <w:t>J</w:t>
      </w:r>
      <w:r w:rsidRPr="00E514F3">
        <w:t xml:space="preserve">ournal of </w:t>
      </w:r>
      <w:r w:rsidR="00667A2A">
        <w:t>P</w:t>
      </w:r>
      <w:r w:rsidRPr="00E514F3">
        <w:t xml:space="preserve">ublic </w:t>
      </w:r>
      <w:r w:rsidR="00667A2A">
        <w:t>H</w:t>
      </w:r>
      <w:r w:rsidRPr="00E514F3">
        <w:t>ealth. 2018;63(2):233-9.</w:t>
      </w:r>
    </w:p>
    <w:p w14:paraId="7340528A" w14:textId="3E60C20B" w:rsidR="00204B98" w:rsidRPr="00E514F3" w:rsidRDefault="00204B98" w:rsidP="005615F2">
      <w:pPr>
        <w:pStyle w:val="EndNoteBibliography"/>
        <w:spacing w:after="0"/>
      </w:pPr>
      <w:r w:rsidRPr="00E514F3">
        <w:t>12.</w:t>
      </w:r>
      <w:r w:rsidRPr="00E514F3">
        <w:tab/>
        <w:t>Hargreaves S, Seedat F, Car J, Escombe R, Hasan S, Eliahoo J, et al. Screening for latent TB, HIV, and hepatitis B/C in new migrants in a high prevalence area of London, UK: a cross-sectional study. BMC Infectious Diseases. 2014;14(1):657</w:t>
      </w:r>
      <w:r w:rsidR="00470365">
        <w:t>.</w:t>
      </w:r>
    </w:p>
    <w:p w14:paraId="05AB5DBE" w14:textId="77777777" w:rsidR="00204B98" w:rsidRPr="00E514F3" w:rsidRDefault="00204B98" w:rsidP="005615F2">
      <w:pPr>
        <w:pStyle w:val="EndNoteBibliography"/>
        <w:spacing w:after="0"/>
      </w:pPr>
      <w:r w:rsidRPr="00E514F3">
        <w:t>13.</w:t>
      </w:r>
      <w:r w:rsidRPr="00E514F3">
        <w:tab/>
        <w:t>Zuure FR, Bouman J, Martens M, Vanhommerig JW, Urbanus AT, Davidovich U, et al. Screening for hepatitis B and C in first‐generation Egyptian migrants living in the Netherlands. Liver International. 2013;33(5):727-38.</w:t>
      </w:r>
    </w:p>
    <w:p w14:paraId="1A37E937" w14:textId="2100F26B" w:rsidR="00204B98" w:rsidRPr="00E514F3" w:rsidRDefault="00204B98" w:rsidP="005615F2">
      <w:pPr>
        <w:pStyle w:val="EndNoteBibliography"/>
        <w:spacing w:after="0"/>
      </w:pPr>
      <w:r w:rsidRPr="00E514F3">
        <w:t>14.</w:t>
      </w:r>
      <w:r w:rsidRPr="00E514F3">
        <w:tab/>
        <w:t xml:space="preserve">Veldhuijzen IK, Wolter R, Rijckborst V, Mostert M, Voeten HA, Cheung Y, et al. Identification and treatment of chronic hepatitis B in Chinese migrants: Results of a project offering on-site testing in Rotterdam, The Netherlands. Journal of </w:t>
      </w:r>
      <w:r w:rsidR="00470365">
        <w:t>H</w:t>
      </w:r>
      <w:r w:rsidRPr="00E514F3">
        <w:t>epatology. 2012;57(6):1171-6.</w:t>
      </w:r>
    </w:p>
    <w:p w14:paraId="6DFA9661" w14:textId="77777777" w:rsidR="00204B98" w:rsidRPr="00E514F3" w:rsidRDefault="00204B98" w:rsidP="005615F2">
      <w:pPr>
        <w:pStyle w:val="EndNoteBibliography"/>
        <w:spacing w:after="0"/>
      </w:pPr>
      <w:r w:rsidRPr="00E514F3">
        <w:t>15.</w:t>
      </w:r>
      <w:r w:rsidRPr="00E514F3">
        <w:tab/>
        <w:t>Bil JP, Schrooders PA, Prins M, Kouw PM, Klomp JH, Scholing M, et al. Integrating hepatitis B, hepatitis C and HIV screening into tuberculosis entry screening for migrants in the Netherlands, 2013 to 2015. Eurosurveillance. 2018;23(11).</w:t>
      </w:r>
    </w:p>
    <w:p w14:paraId="4167F84E" w14:textId="77777777" w:rsidR="00204B98" w:rsidRPr="00E514F3" w:rsidRDefault="00204B98" w:rsidP="005615F2">
      <w:pPr>
        <w:pStyle w:val="EndNoteBibliography"/>
        <w:spacing w:after="0"/>
      </w:pPr>
      <w:r w:rsidRPr="00E514F3">
        <w:t>16.</w:t>
      </w:r>
      <w:r w:rsidRPr="00E514F3">
        <w:tab/>
        <w:t>ECDC. Public health guidance on screening and vaccination for infectious diseases in newly arrived migrants within the EU/EEA. Stockholm: ECDC; 2018.</w:t>
      </w:r>
    </w:p>
    <w:p w14:paraId="4CADA5EC" w14:textId="3C60C538" w:rsidR="00204B98" w:rsidRPr="00E514F3" w:rsidRDefault="00204B98" w:rsidP="005615F2">
      <w:pPr>
        <w:pStyle w:val="EndNoteBibliography"/>
        <w:spacing w:after="0"/>
      </w:pPr>
      <w:r w:rsidRPr="00E514F3">
        <w:t>17.</w:t>
      </w:r>
      <w:r w:rsidRPr="00E514F3">
        <w:tab/>
        <w:t xml:space="preserve">Pareek M, Greenaway C, Noori T, Munoz J, Zenner D. The impact of migration on tuberculosis epidemiology and control in high-income countries: a review. BMC </w:t>
      </w:r>
      <w:r w:rsidR="00470365">
        <w:t>M</w:t>
      </w:r>
      <w:r w:rsidRPr="00E514F3">
        <w:t>edicine. 2016;14(1):48.</w:t>
      </w:r>
    </w:p>
    <w:p w14:paraId="3CC3238E" w14:textId="77777777" w:rsidR="00204B98" w:rsidRPr="00E514F3" w:rsidRDefault="00204B98" w:rsidP="005615F2">
      <w:pPr>
        <w:pStyle w:val="EndNoteBibliography"/>
        <w:spacing w:after="0"/>
      </w:pPr>
      <w:r w:rsidRPr="00E514F3">
        <w:t>18.</w:t>
      </w:r>
      <w:r w:rsidRPr="00E514F3">
        <w:tab/>
        <w:t>Aldridge RW, Zenner D, White PJ, Williamson EJ, Muzyamba MC, Dhavan P, et al. Tuberculosis in migrants moving from high-incidence to low-incidence countries: a population-based cohort study of 519 955 migrants screened before entry to England, Wales, and Northern Ireland. The Lancet. 2016;388(10059):2510-8.</w:t>
      </w:r>
    </w:p>
    <w:p w14:paraId="2537C9BE" w14:textId="6B4048B4" w:rsidR="00204B98" w:rsidRPr="00E514F3" w:rsidRDefault="00204B98" w:rsidP="005615F2">
      <w:pPr>
        <w:pStyle w:val="EndNoteBibliography"/>
        <w:spacing w:after="0"/>
      </w:pPr>
      <w:r w:rsidRPr="00E514F3">
        <w:t>19.</w:t>
      </w:r>
      <w:r w:rsidRPr="00E514F3">
        <w:tab/>
        <w:t xml:space="preserve">Pareek M, Watson JP, Ormerod LP, Kon OM, Woltmann G, White PJ, et al. Screening of immigrants in the UK for imported latent tuberculosis: a multicentre cohort study and cost-effectiveness analysis. The Lancet </w:t>
      </w:r>
      <w:r w:rsidR="00470365">
        <w:t>I</w:t>
      </w:r>
      <w:r w:rsidRPr="00E514F3">
        <w:t xml:space="preserve">nfectious </w:t>
      </w:r>
      <w:r w:rsidR="00470365">
        <w:t>D</w:t>
      </w:r>
      <w:r w:rsidRPr="00E514F3">
        <w:t>iseases. 2011;11(6):435-44.</w:t>
      </w:r>
    </w:p>
    <w:p w14:paraId="6843389D" w14:textId="77777777" w:rsidR="00204B98" w:rsidRPr="00E514F3" w:rsidRDefault="00204B98" w:rsidP="005615F2">
      <w:pPr>
        <w:pStyle w:val="EndNoteBibliography"/>
        <w:spacing w:after="0"/>
      </w:pPr>
      <w:r w:rsidRPr="00E514F3">
        <w:lastRenderedPageBreak/>
        <w:t>20.</w:t>
      </w:r>
      <w:r w:rsidRPr="00E514F3">
        <w:tab/>
        <w:t>Panchal RK, Browne I, Monk P, Woltmann G, Haldar P. The effectiveness of primary care based risk stratification for targeted latent tuberculosis infection screening in recent immigrants to the UK: a retrospective cohort study. Thorax. 2014;69(4):354-62.</w:t>
      </w:r>
    </w:p>
    <w:p w14:paraId="75DFE0E2" w14:textId="6B10FEDA" w:rsidR="00204B98" w:rsidRPr="00E514F3" w:rsidRDefault="00204B98" w:rsidP="005615F2">
      <w:pPr>
        <w:pStyle w:val="EndNoteBibliography"/>
        <w:spacing w:after="0"/>
      </w:pPr>
      <w:r w:rsidRPr="00E514F3">
        <w:t>21.</w:t>
      </w:r>
      <w:r w:rsidRPr="00E514F3">
        <w:tab/>
        <w:t xml:space="preserve">Seedat F, Hargreaves S, Nellums LB, Ouyang J, Brown M, Friedland JS. How effective are approaches to migrant screening for infectious diseases in Europe? A systematic review. The Lancet </w:t>
      </w:r>
      <w:r w:rsidR="00470365">
        <w:t>I</w:t>
      </w:r>
      <w:r w:rsidRPr="00E514F3">
        <w:t xml:space="preserve">nfectious </w:t>
      </w:r>
      <w:r w:rsidR="00470365">
        <w:t>D</w:t>
      </w:r>
      <w:r w:rsidRPr="00E514F3">
        <w:t>iseases. 2018</w:t>
      </w:r>
      <w:r w:rsidR="00172788">
        <w:t>;</w:t>
      </w:r>
      <w:r w:rsidR="00172788" w:rsidRPr="0021458C">
        <w:rPr>
          <w:rFonts w:cs="Calibri"/>
          <w:sz w:val="23"/>
          <w:szCs w:val="23"/>
        </w:rPr>
        <w:t>18(9): PE259-E271.</w:t>
      </w:r>
    </w:p>
    <w:p w14:paraId="28C335FD" w14:textId="77777777" w:rsidR="00204B98" w:rsidRPr="00E514F3" w:rsidRDefault="00204B98" w:rsidP="005615F2">
      <w:pPr>
        <w:pStyle w:val="EndNoteBibliography"/>
        <w:spacing w:after="0"/>
      </w:pPr>
      <w:r w:rsidRPr="00E514F3">
        <w:t>22.</w:t>
      </w:r>
      <w:r w:rsidRPr="00E514F3">
        <w:tab/>
        <w:t xml:space="preserve">Public Health England. Latent TB Testing and Treatment for Migrants: A practical guide for commissioners and practitioners. </w:t>
      </w:r>
      <w:r w:rsidR="00470365">
        <w:t xml:space="preserve">London: </w:t>
      </w:r>
      <w:r w:rsidRPr="00E514F3">
        <w:t>Public Health England; 2015.</w:t>
      </w:r>
    </w:p>
    <w:p w14:paraId="63FAF65C" w14:textId="060DD694" w:rsidR="00204B98" w:rsidRPr="00E514F3" w:rsidRDefault="00204B98" w:rsidP="005615F2">
      <w:pPr>
        <w:pStyle w:val="EndNoteBibliography"/>
        <w:spacing w:after="0"/>
      </w:pPr>
      <w:r w:rsidRPr="00E514F3">
        <w:t>23.</w:t>
      </w:r>
      <w:r w:rsidRPr="00E514F3">
        <w:tab/>
        <w:t>P</w:t>
      </w:r>
      <w:r w:rsidR="00470365">
        <w:t xml:space="preserve">ublic </w:t>
      </w:r>
      <w:r w:rsidRPr="00E514F3">
        <w:t>H</w:t>
      </w:r>
      <w:r w:rsidR="00470365">
        <w:t xml:space="preserve">ealth </w:t>
      </w:r>
      <w:r w:rsidRPr="00E514F3">
        <w:t>E</w:t>
      </w:r>
      <w:r w:rsidR="00470365">
        <w:t>ngland</w:t>
      </w:r>
      <w:r w:rsidRPr="00E514F3">
        <w:t xml:space="preserve">. Collaborative Tuberculosis Strategy for England 2015 to 2020. </w:t>
      </w:r>
      <w:r w:rsidR="00470365">
        <w:t xml:space="preserve">London: </w:t>
      </w:r>
      <w:r w:rsidRPr="00E514F3">
        <w:t>Public Health England; 2015.</w:t>
      </w:r>
    </w:p>
    <w:p w14:paraId="2DCA2441" w14:textId="77777777" w:rsidR="00204B98" w:rsidRPr="00E514F3" w:rsidRDefault="00204B98" w:rsidP="005615F2">
      <w:pPr>
        <w:pStyle w:val="EndNoteBibliography"/>
        <w:spacing w:after="0"/>
      </w:pPr>
      <w:r w:rsidRPr="00E514F3">
        <w:t>24.</w:t>
      </w:r>
      <w:r w:rsidRPr="00E514F3">
        <w:tab/>
        <w:t>Kunst H, Burman M, Arnesen T, Fiebig L, Hergens M, Kalkouni O, et al. Tuberculosis and latent tuberculous infection screening of migrants in Europe: comparative analysis of policies, surveillance systems and results. The International Journal of Tuberculosis and Lung Disease. 2017;21(8):840-51.</w:t>
      </w:r>
    </w:p>
    <w:p w14:paraId="3EDD9C9E" w14:textId="0019F6F4" w:rsidR="00204B98" w:rsidRPr="00E514F3" w:rsidRDefault="00204B98" w:rsidP="005615F2">
      <w:pPr>
        <w:pStyle w:val="EndNoteBibliography"/>
        <w:spacing w:after="0"/>
      </w:pPr>
      <w:r w:rsidRPr="00E514F3">
        <w:t>25.</w:t>
      </w:r>
      <w:r w:rsidRPr="00E514F3">
        <w:tab/>
        <w:t>Aldridge RM, Jakubowski B</w:t>
      </w:r>
      <w:r w:rsidR="00FC5219">
        <w:t>,</w:t>
      </w:r>
      <w:r w:rsidRPr="00E514F3">
        <w:t xml:space="preserve"> Pereira L</w:t>
      </w:r>
      <w:r w:rsidR="00FC5219">
        <w:t>,</w:t>
      </w:r>
      <w:r w:rsidRPr="00E514F3">
        <w:t xml:space="preserve"> Fille F</w:t>
      </w:r>
      <w:r w:rsidR="00FC5219">
        <w:t>,</w:t>
      </w:r>
      <w:r w:rsidRPr="00E514F3">
        <w:t xml:space="preserve"> Noret I. Falling through the Cracks: The Failure of Universal Healthcare Coverage in Europe, European Network to Reduce Vulnerabilities in Health Observatory Report. </w:t>
      </w:r>
      <w:r w:rsidR="00470365">
        <w:t xml:space="preserve">London: Doctors of the World, </w:t>
      </w:r>
      <w:r w:rsidRPr="00E514F3">
        <w:t>2017.</w:t>
      </w:r>
    </w:p>
    <w:p w14:paraId="56CE2C6B" w14:textId="77777777" w:rsidR="00204B98" w:rsidRPr="00E514F3" w:rsidRDefault="00204B98" w:rsidP="005615F2">
      <w:pPr>
        <w:pStyle w:val="EndNoteBibliography"/>
        <w:spacing w:after="0"/>
      </w:pPr>
      <w:r w:rsidRPr="00E514F3">
        <w:t>26.</w:t>
      </w:r>
      <w:r w:rsidRPr="00E514F3">
        <w:tab/>
        <w:t>Evlampidou I, Hickman M, Irish C, Young N, Oliver I, Gillett S, et al. Low hepatitis B testing among migrants: a cross-sectional study in a UK city. Br J Gen Pract. 2016;66(647):e382-e91.</w:t>
      </w:r>
    </w:p>
    <w:p w14:paraId="3E8AE89A" w14:textId="7F2396F3" w:rsidR="00204B98" w:rsidRPr="00E514F3" w:rsidRDefault="00204B98" w:rsidP="005615F2">
      <w:pPr>
        <w:pStyle w:val="EndNoteBibliography"/>
        <w:spacing w:after="0"/>
      </w:pPr>
      <w:r w:rsidRPr="00E514F3">
        <w:t>27.</w:t>
      </w:r>
      <w:r w:rsidRPr="00E514F3">
        <w:tab/>
        <w:t>Anderson L, Tamne S, Watson J, Cohen T, Mitnick C, Brown T, et al. Treatment outcome of multi-drug resistant tuberculosis in the United Kingdom: retrospective-prospective cohort study from 2004 to 2007. Euro</w:t>
      </w:r>
      <w:r w:rsidR="00667A2A">
        <w:t>s</w:t>
      </w:r>
      <w:r w:rsidRPr="00E514F3">
        <w:t>urveill</w:t>
      </w:r>
      <w:r w:rsidR="00667A2A">
        <w:t>ance</w:t>
      </w:r>
      <w:r w:rsidRPr="00E514F3">
        <w:t>. 2013;18(40):1028-35.</w:t>
      </w:r>
    </w:p>
    <w:p w14:paraId="720A2CB7" w14:textId="52E5686E" w:rsidR="00204B98" w:rsidRPr="00E514F3" w:rsidRDefault="00204B98" w:rsidP="005615F2">
      <w:pPr>
        <w:pStyle w:val="EndNoteBibliography"/>
        <w:spacing w:after="0"/>
      </w:pPr>
      <w:r w:rsidRPr="00E514F3">
        <w:t>28.</w:t>
      </w:r>
      <w:r w:rsidRPr="00E514F3">
        <w:tab/>
        <w:t>Bettache N, Schwartzman K, Cnossen S, Sandoe A, Assayag D, Menzies D, et al. Effectiveness of post-arrival latent tuberculosis screening programs in the foreign born: a systematic review and meta-analysis.  Tuberculosis education and surveillance: Am Thoracic Soc</w:t>
      </w:r>
      <w:r w:rsidR="00470365">
        <w:t>.</w:t>
      </w:r>
      <w:r w:rsidRPr="00E514F3">
        <w:t xml:space="preserve"> 2012</w:t>
      </w:r>
      <w:r w:rsidR="00470365">
        <w:t xml:space="preserve"> (</w:t>
      </w:r>
      <w:r w:rsidRPr="00E514F3">
        <w:t>A3325-A</w:t>
      </w:r>
      <w:r w:rsidR="00470365">
        <w:t>)</w:t>
      </w:r>
      <w:r w:rsidRPr="00E514F3">
        <w:t>.</w:t>
      </w:r>
    </w:p>
    <w:p w14:paraId="0B626158" w14:textId="77777777" w:rsidR="00204B98" w:rsidRPr="00E514F3" w:rsidRDefault="00204B98" w:rsidP="005615F2">
      <w:pPr>
        <w:pStyle w:val="EndNoteBibliography"/>
        <w:spacing w:after="0"/>
      </w:pPr>
      <w:r w:rsidRPr="00E514F3">
        <w:t>29.</w:t>
      </w:r>
      <w:r w:rsidRPr="00E514F3">
        <w:tab/>
        <w:t>Young KH, Ehman M, Reves R, Peterson Maddox B, Khan A, Chorba TL. Tuberculosis contact investigations—United States, 2003–2012. MMWR Morb Mortal Wkly Rep. 2016;64(50-51):1369-74.</w:t>
      </w:r>
    </w:p>
    <w:p w14:paraId="583D1FFE" w14:textId="5E1E1333" w:rsidR="00204B98" w:rsidRPr="00E514F3" w:rsidRDefault="00204B98" w:rsidP="005615F2">
      <w:pPr>
        <w:pStyle w:val="EndNoteBibliography"/>
        <w:spacing w:after="0"/>
      </w:pPr>
      <w:r w:rsidRPr="00E514F3">
        <w:t>30.</w:t>
      </w:r>
      <w:r w:rsidRPr="00E514F3">
        <w:tab/>
        <w:t xml:space="preserve">Coppola N, Alessio L, Gualdieri L, Pisaturo M, Sagnelli C, Minichini C, et al. Hepatitis B virus infection in undocumented immigrants and refugees in Southern Italy: demographic, virological, and clinical features. Infectious </w:t>
      </w:r>
      <w:r w:rsidR="00470365">
        <w:t>D</w:t>
      </w:r>
      <w:r w:rsidRPr="00E514F3">
        <w:t xml:space="preserve">iseases of </w:t>
      </w:r>
      <w:r w:rsidR="00470365">
        <w:t>P</w:t>
      </w:r>
      <w:r w:rsidRPr="00E514F3">
        <w:t>overty. 2017;6(1):33.</w:t>
      </w:r>
    </w:p>
    <w:p w14:paraId="3C0147DD" w14:textId="45825AB0" w:rsidR="00204B98" w:rsidRPr="00E514F3" w:rsidRDefault="00204B98" w:rsidP="005615F2">
      <w:pPr>
        <w:pStyle w:val="EndNoteBibliography"/>
        <w:spacing w:after="0"/>
      </w:pPr>
      <w:r w:rsidRPr="00E514F3">
        <w:t>31.</w:t>
      </w:r>
      <w:r w:rsidRPr="00E514F3">
        <w:tab/>
        <w:t xml:space="preserve">Mandalakas AM, Menzies D. Is screening immigrants for latent tuberculosis cost-effective? The Lancet </w:t>
      </w:r>
      <w:r w:rsidR="00470365">
        <w:t>I</w:t>
      </w:r>
      <w:r w:rsidRPr="00E514F3">
        <w:t xml:space="preserve">nfectious </w:t>
      </w:r>
      <w:r w:rsidR="00470365">
        <w:t>D</w:t>
      </w:r>
      <w:r w:rsidRPr="00E514F3">
        <w:t>iseases. 2011;11(6):418-9.</w:t>
      </w:r>
    </w:p>
    <w:p w14:paraId="182EB50A" w14:textId="406EA5AE" w:rsidR="00204B98" w:rsidRPr="00E514F3" w:rsidRDefault="00204B98" w:rsidP="005615F2">
      <w:pPr>
        <w:pStyle w:val="EndNoteBibliography"/>
        <w:spacing w:after="0"/>
      </w:pPr>
      <w:r w:rsidRPr="00E514F3">
        <w:t>32.</w:t>
      </w:r>
      <w:r w:rsidRPr="00E514F3">
        <w:tab/>
        <w:t>Greenaway C, Pareek M, Chakra C-NA, Walji M, Makarenko I, Alabdulkarim B, et al. The effectiveness and cost-effectiveness of screening for latent tuberculosis among migrants in the EU/EEA: a systematic review. Euro</w:t>
      </w:r>
      <w:r w:rsidR="00667A2A">
        <w:t>s</w:t>
      </w:r>
      <w:r w:rsidRPr="00E514F3">
        <w:t>urveill</w:t>
      </w:r>
      <w:r w:rsidR="00667A2A">
        <w:t>ance</w:t>
      </w:r>
      <w:r w:rsidRPr="00E514F3">
        <w:t>. 2018;23(14).</w:t>
      </w:r>
    </w:p>
    <w:p w14:paraId="52E40C9C" w14:textId="77777777" w:rsidR="00204B98" w:rsidRPr="00E514F3" w:rsidRDefault="00204B98" w:rsidP="005615F2">
      <w:pPr>
        <w:pStyle w:val="EndNoteBibliography"/>
        <w:spacing w:after="0"/>
      </w:pPr>
      <w:r w:rsidRPr="00E514F3">
        <w:t>33.</w:t>
      </w:r>
      <w:r w:rsidRPr="00E514F3">
        <w:tab/>
        <w:t>Hargreaves S, Nellums L, Friedland JS. Time to rethink approaches to migrant health screening. The Lancet. 2016;388(10059):2456-7.</w:t>
      </w:r>
    </w:p>
    <w:p w14:paraId="11C49D8F" w14:textId="77777777" w:rsidR="00204B98" w:rsidRPr="00E514F3" w:rsidRDefault="00204B98" w:rsidP="005615F2">
      <w:pPr>
        <w:pStyle w:val="EndNoteBibliography"/>
        <w:spacing w:after="0"/>
      </w:pPr>
      <w:r w:rsidRPr="00E514F3">
        <w:t>34.</w:t>
      </w:r>
      <w:r w:rsidRPr="00E514F3">
        <w:tab/>
        <w:t>ECDC. Tuberculosis surveillance and monitoring in Europe 2016. Stockholm: European Centre for Disease Prevention and Control/WHO Regional Office for Europe; 2016.</w:t>
      </w:r>
    </w:p>
    <w:p w14:paraId="3EDD251B" w14:textId="77777777" w:rsidR="00204B98" w:rsidRPr="00E514F3" w:rsidRDefault="00204B98" w:rsidP="005615F2">
      <w:pPr>
        <w:pStyle w:val="EndNoteBibliography"/>
        <w:spacing w:after="0"/>
      </w:pPr>
      <w:r w:rsidRPr="00E514F3">
        <w:t>35.</w:t>
      </w:r>
      <w:r w:rsidRPr="00E514F3">
        <w:tab/>
        <w:t>Dasgupta K, Schwartzman K, Marchand R, Tennenbaum TN, Brassard P, Menzies D. Comparison of cost-effectiveness of tuberculosis screening of close contacts and foreign-born populations. American Journal of Respiratory and Critical Care Medicine. 2000;162(6):2079-86.</w:t>
      </w:r>
    </w:p>
    <w:p w14:paraId="44E55274" w14:textId="77777777" w:rsidR="00204B98" w:rsidRPr="00E514F3" w:rsidRDefault="00204B98" w:rsidP="005615F2">
      <w:pPr>
        <w:pStyle w:val="EndNoteBibliography"/>
        <w:spacing w:after="0"/>
      </w:pPr>
      <w:r w:rsidRPr="00E514F3">
        <w:t>36.</w:t>
      </w:r>
      <w:r w:rsidRPr="00E514F3">
        <w:tab/>
        <w:t>Usdin M, Dedicoat M, Gajraj R, Harrison P, Kaur H, Duffield K, et al. Latent tuberculous screening of recent migrants attending language classes: a cohort study and cost analysis. The International Journal of Tuberculosis and Lung Disease. 2017;21(2):175-80.</w:t>
      </w:r>
    </w:p>
    <w:p w14:paraId="2C98F738" w14:textId="0C8D327E" w:rsidR="00204B98" w:rsidRPr="00E514F3" w:rsidRDefault="00204B98" w:rsidP="005615F2">
      <w:pPr>
        <w:pStyle w:val="EndNoteBibliography"/>
        <w:spacing w:after="0"/>
      </w:pPr>
      <w:r w:rsidRPr="00E514F3">
        <w:t>37.</w:t>
      </w:r>
      <w:r w:rsidRPr="00E514F3">
        <w:tab/>
        <w:t xml:space="preserve">HIV testing: increasing updatke among people who may have undiagnosed HIV. </w:t>
      </w:r>
      <w:r w:rsidR="00470365">
        <w:t xml:space="preserve">London: </w:t>
      </w:r>
      <w:r w:rsidRPr="00E514F3">
        <w:t xml:space="preserve">National Institute for Health and Care Excellence; 2016 </w:t>
      </w:r>
      <w:r w:rsidR="00470365">
        <w:t>(</w:t>
      </w:r>
      <w:r w:rsidRPr="00E514F3">
        <w:t>NICE guideline NG60</w:t>
      </w:r>
      <w:r w:rsidR="00470365">
        <w:t>)</w:t>
      </w:r>
      <w:r w:rsidRPr="00E514F3">
        <w:t>.</w:t>
      </w:r>
    </w:p>
    <w:p w14:paraId="0350F956" w14:textId="0D066554" w:rsidR="00204B98" w:rsidRPr="00E514F3" w:rsidRDefault="00204B98" w:rsidP="005615F2">
      <w:pPr>
        <w:pStyle w:val="EndNoteBibliography"/>
        <w:spacing w:after="0"/>
      </w:pPr>
      <w:r w:rsidRPr="00E514F3">
        <w:t>38.</w:t>
      </w:r>
      <w:r w:rsidRPr="00E514F3">
        <w:tab/>
        <w:t>Pareek M,</w:t>
      </w:r>
      <w:r w:rsidR="00E57DB2">
        <w:t xml:space="preserve"> Eborall HC, Wobi F, Ellis KS, Kontopantelis E, Zhang F,</w:t>
      </w:r>
      <w:r w:rsidRPr="00E514F3">
        <w:t xml:space="preserve"> et al Community-based testing of migrants for infectious diseases (COMBAT-ID): impact, acceptability and cost-effectiveness of identifying infectious diseases among migrants in primary care: protocol for an interrupted time-</w:t>
      </w:r>
      <w:r w:rsidRPr="00E514F3">
        <w:lastRenderedPageBreak/>
        <w:t>series, qualitative and health economic analysis. BMJ Open. 2018;9:e029188. doi: 10.1136/bmjopen-2019-029188.</w:t>
      </w:r>
    </w:p>
    <w:p w14:paraId="547A117D" w14:textId="496A0E8C" w:rsidR="00204B98" w:rsidRPr="00E514F3" w:rsidRDefault="00204B98" w:rsidP="005615F2">
      <w:pPr>
        <w:pStyle w:val="EndNoteBibliography"/>
        <w:spacing w:after="0"/>
      </w:pPr>
      <w:r w:rsidRPr="00E514F3">
        <w:t>39.</w:t>
      </w:r>
      <w:r w:rsidRPr="00E514F3">
        <w:tab/>
        <w:t>O</w:t>
      </w:r>
      <w:r w:rsidR="00470365">
        <w:t xml:space="preserve">rganisation for </w:t>
      </w:r>
      <w:r w:rsidRPr="00E514F3">
        <w:t>N</w:t>
      </w:r>
      <w:r w:rsidR="00470365">
        <w:t xml:space="preserve">ational </w:t>
      </w:r>
      <w:r w:rsidRPr="00E514F3">
        <w:t>S</w:t>
      </w:r>
      <w:r w:rsidR="00470365">
        <w:t>tatistics</w:t>
      </w:r>
      <w:r w:rsidRPr="00E514F3">
        <w:t xml:space="preserve">. London Borough Profiles. </w:t>
      </w:r>
      <w:r w:rsidR="00470365">
        <w:t>London: ONS,</w:t>
      </w:r>
      <w:r w:rsidRPr="00E514F3">
        <w:t xml:space="preserve"> 2011.</w:t>
      </w:r>
    </w:p>
    <w:p w14:paraId="69FDB98F" w14:textId="5FA419C4" w:rsidR="00204B98" w:rsidRPr="00E514F3" w:rsidRDefault="00204B98" w:rsidP="005615F2">
      <w:pPr>
        <w:pStyle w:val="EndNoteBibliography"/>
        <w:spacing w:after="0"/>
      </w:pPr>
      <w:r w:rsidRPr="00E514F3">
        <w:t>40.</w:t>
      </w:r>
      <w:r w:rsidRPr="00E514F3">
        <w:tab/>
        <w:t xml:space="preserve">Johnston C, Liddle J. The Mental Capacity Act 2005: a new framework for healthcare decision making. Journal of </w:t>
      </w:r>
      <w:r w:rsidR="00470365">
        <w:t>M</w:t>
      </w:r>
      <w:r w:rsidRPr="00E514F3">
        <w:t xml:space="preserve">edical </w:t>
      </w:r>
      <w:r w:rsidR="00470365">
        <w:t>E</w:t>
      </w:r>
      <w:r w:rsidRPr="00E514F3">
        <w:t>thics. 2007;33(2):94-7.</w:t>
      </w:r>
    </w:p>
    <w:p w14:paraId="45C488ED" w14:textId="357D577C" w:rsidR="00204B98" w:rsidRPr="00E514F3" w:rsidRDefault="00204B98" w:rsidP="005615F2">
      <w:pPr>
        <w:pStyle w:val="EndNoteBibliography"/>
        <w:spacing w:after="0"/>
      </w:pPr>
      <w:r w:rsidRPr="00E514F3">
        <w:t>41.</w:t>
      </w:r>
      <w:r w:rsidRPr="00E514F3">
        <w:tab/>
        <w:t>Jones RM. Mental Capacity Act Manual</w:t>
      </w:r>
      <w:r w:rsidR="00470365">
        <w:t xml:space="preserve">. London: </w:t>
      </w:r>
      <w:r w:rsidRPr="00E514F3">
        <w:t>Sweet &amp; Maxwell; 2005.</w:t>
      </w:r>
    </w:p>
    <w:p w14:paraId="1FC5CE1B" w14:textId="77777777" w:rsidR="00204B98" w:rsidRPr="00E514F3" w:rsidRDefault="00204B98" w:rsidP="005615F2">
      <w:pPr>
        <w:pStyle w:val="EndNoteBibliography"/>
        <w:spacing w:after="0"/>
      </w:pPr>
      <w:r w:rsidRPr="00E514F3">
        <w:t>42.</w:t>
      </w:r>
      <w:r w:rsidRPr="00E514F3">
        <w:tab/>
        <w:t>Stata. Stata Base Reference Manual, Release 10. Stata Press; 2007.</w:t>
      </w:r>
    </w:p>
    <w:p w14:paraId="0280ABC4" w14:textId="0FB210BD" w:rsidR="00204B98" w:rsidRPr="007513C1" w:rsidRDefault="00204B98" w:rsidP="007513C1">
      <w:pPr>
        <w:spacing w:after="0" w:line="240" w:lineRule="auto"/>
        <w:rPr>
          <w:sz w:val="24"/>
          <w:szCs w:val="24"/>
        </w:rPr>
      </w:pPr>
      <w:r w:rsidRPr="00E514F3">
        <w:t>43.</w:t>
      </w:r>
      <w:r w:rsidRPr="00E514F3">
        <w:tab/>
      </w:r>
      <w:proofErr w:type="spellStart"/>
      <w:r w:rsidRPr="00E514F3">
        <w:t>Rennert</w:t>
      </w:r>
      <w:proofErr w:type="spellEnd"/>
      <w:r w:rsidRPr="00E514F3">
        <w:t xml:space="preserve">-May E, Hansen E, Zadeh T, </w:t>
      </w:r>
      <w:proofErr w:type="spellStart"/>
      <w:r w:rsidRPr="00E514F3">
        <w:t>Krinke</w:t>
      </w:r>
      <w:proofErr w:type="spellEnd"/>
      <w:r w:rsidRPr="00E514F3">
        <w:t xml:space="preserve"> V, Houston S, Cooper R. A Step toward Tuberculosis Elimination in a Low-Incidence Country: Successful Diagnosis and Treatment of Latent Tuberculosis Infection in a Refugee Clinic. Canadian Respiratory Journal. 2016</w:t>
      </w:r>
      <w:r w:rsidR="00414DED">
        <w:t xml:space="preserve"> (</w:t>
      </w:r>
      <w:proofErr w:type="spellStart"/>
      <w:r w:rsidR="00414DED">
        <w:rPr>
          <w:rStyle w:val="doi"/>
          <w:rFonts w:ascii="Arial" w:hAnsi="Arial" w:cs="Arial"/>
          <w:color w:val="000000"/>
          <w:sz w:val="20"/>
          <w:szCs w:val="20"/>
        </w:rPr>
        <w:t>doi</w:t>
      </w:r>
      <w:proofErr w:type="spellEnd"/>
      <w:r w:rsidR="00414DED">
        <w:rPr>
          <w:rStyle w:val="doi"/>
          <w:rFonts w:ascii="Arial" w:hAnsi="Arial" w:cs="Arial"/>
          <w:color w:val="000000"/>
          <w:sz w:val="20"/>
          <w:szCs w:val="20"/>
        </w:rPr>
        <w:t>: </w:t>
      </w:r>
      <w:hyperlink r:id="rId7" w:tgtFrame="pmc_ext" w:history="1">
        <w:r w:rsidR="00414DED">
          <w:rPr>
            <w:rStyle w:val="Hyperlink"/>
            <w:rFonts w:ascii="Arial" w:hAnsi="Arial" w:cs="Arial"/>
            <w:color w:val="642A8F"/>
            <w:sz w:val="20"/>
            <w:szCs w:val="20"/>
          </w:rPr>
          <w:t>10.1155/2016/7980869</w:t>
        </w:r>
      </w:hyperlink>
      <w:r w:rsidR="00414DED">
        <w:rPr>
          <w:rStyle w:val="doi"/>
          <w:rFonts w:ascii="Arial" w:hAnsi="Arial" w:cs="Arial"/>
          <w:color w:val="000000"/>
          <w:sz w:val="20"/>
          <w:szCs w:val="20"/>
        </w:rPr>
        <w:t>)</w:t>
      </w:r>
    </w:p>
    <w:p w14:paraId="1D4A3C65" w14:textId="607C3766" w:rsidR="00204B98" w:rsidRPr="00E514F3" w:rsidRDefault="00204B98" w:rsidP="005615F2">
      <w:pPr>
        <w:pStyle w:val="EndNoteBibliography"/>
        <w:spacing w:after="0"/>
      </w:pPr>
      <w:r w:rsidRPr="00E514F3">
        <w:t>44.</w:t>
      </w:r>
      <w:r w:rsidRPr="00E514F3">
        <w:tab/>
        <w:t xml:space="preserve">Zammarchi L, Casadei G, Strohmeyer M, Bartalesi F, Liendo C, Matteelli A, et al. A scoping review of cost-effectiveness of screening and treatment for latent tuberculosis infection in migrants from high-incidence countries. BMC </w:t>
      </w:r>
      <w:r w:rsidR="00414DED">
        <w:t>H</w:t>
      </w:r>
      <w:r w:rsidRPr="00E514F3">
        <w:t xml:space="preserve">ealth </w:t>
      </w:r>
      <w:r w:rsidR="00414DED">
        <w:t>S</w:t>
      </w:r>
      <w:r w:rsidRPr="00E514F3">
        <w:t xml:space="preserve">ervices </w:t>
      </w:r>
      <w:r w:rsidR="00414DED">
        <w:t>R</w:t>
      </w:r>
      <w:r w:rsidRPr="00E514F3">
        <w:t>esearch. 2015;15(1):1.</w:t>
      </w:r>
    </w:p>
    <w:p w14:paraId="43FBBF64" w14:textId="77777777" w:rsidR="00204B98" w:rsidRPr="00E514F3" w:rsidRDefault="00204B98" w:rsidP="005615F2">
      <w:pPr>
        <w:pStyle w:val="EndNoteBibliography"/>
        <w:spacing w:after="0"/>
      </w:pPr>
      <w:r w:rsidRPr="00E514F3">
        <w:t>45.</w:t>
      </w:r>
      <w:r w:rsidRPr="00E514F3">
        <w:tab/>
        <w:t>Campbell J, Marra F. Screening high-risk populations for Latent Tuberculosis: a systematic review of cost-utility analyses. Value in Health. 2015;18(3):A46-A7.</w:t>
      </w:r>
    </w:p>
    <w:p w14:paraId="2BEA41DC" w14:textId="18662AC9" w:rsidR="00204B98" w:rsidRPr="00E514F3" w:rsidRDefault="00204B98" w:rsidP="005615F2">
      <w:pPr>
        <w:pStyle w:val="EndNoteBibliography"/>
        <w:spacing w:after="0"/>
      </w:pPr>
      <w:r w:rsidRPr="00E514F3">
        <w:t>46.</w:t>
      </w:r>
      <w:r w:rsidRPr="00E514F3">
        <w:tab/>
        <w:t xml:space="preserve">Pareek M, Greenaway C, Noori T, Munoz J, Zenner D. The impact of migration on tuberculosis epidemiology and control in high-income countries: a review. BMC </w:t>
      </w:r>
      <w:r w:rsidR="00414DED">
        <w:t>M</w:t>
      </w:r>
      <w:r w:rsidRPr="00E514F3">
        <w:t>edicine. 2016;14(1):1.</w:t>
      </w:r>
    </w:p>
    <w:p w14:paraId="54ED694A" w14:textId="2284159F" w:rsidR="00204B98" w:rsidRPr="007513C1" w:rsidRDefault="00204B98" w:rsidP="007513C1">
      <w:pPr>
        <w:spacing w:after="0" w:line="240" w:lineRule="auto"/>
        <w:rPr>
          <w:rFonts w:ascii="Times New Roman" w:eastAsia="Times New Roman" w:hAnsi="Times New Roman" w:cs="Times New Roman"/>
          <w:sz w:val="24"/>
          <w:szCs w:val="24"/>
          <w:lang w:eastAsia="en-GB"/>
        </w:rPr>
      </w:pPr>
      <w:r w:rsidRPr="00E514F3">
        <w:t>47.</w:t>
      </w:r>
      <w:r w:rsidRPr="00E514F3">
        <w:tab/>
        <w:t xml:space="preserve">Seedat F, Hargreaves S, Friedland JS. Engaging New Migrants in Infectious Disease Screening: A Qualitative Semi-Structured Interview Study of UK Migrant Community Health-Care Leads. </w:t>
      </w:r>
      <w:proofErr w:type="spellStart"/>
      <w:r w:rsidR="00667A2A">
        <w:t>PLoS</w:t>
      </w:r>
      <w:proofErr w:type="spellEnd"/>
      <w:r w:rsidR="00667A2A">
        <w:t xml:space="preserve"> One </w:t>
      </w:r>
      <w:r w:rsidRPr="00E514F3">
        <w:t>2014</w:t>
      </w:r>
      <w:r w:rsidR="00C7076A" w:rsidRPr="00C7076A">
        <w:rPr>
          <w:rFonts w:ascii="Arial" w:eastAsia="Times New Roman" w:hAnsi="Arial" w:cs="Arial"/>
          <w:color w:val="545454"/>
          <w:sz w:val="21"/>
          <w:szCs w:val="21"/>
          <w:shd w:val="clear" w:color="auto" w:fill="FFFFFF"/>
          <w:lang w:eastAsia="en-GB"/>
        </w:rPr>
        <w:t>;9(10):e108261.</w:t>
      </w:r>
    </w:p>
    <w:p w14:paraId="32ED29F4" w14:textId="403E3BDE" w:rsidR="00204B98" w:rsidRPr="00E514F3" w:rsidRDefault="00204B98" w:rsidP="005615F2">
      <w:pPr>
        <w:pStyle w:val="EndNoteBibliography"/>
        <w:spacing w:after="0"/>
      </w:pPr>
      <w:r w:rsidRPr="00E514F3">
        <w:t>48.</w:t>
      </w:r>
      <w:r w:rsidRPr="00E514F3">
        <w:tab/>
        <w:t>P</w:t>
      </w:r>
      <w:r w:rsidR="00C7076A">
        <w:t>ublic Health England</w:t>
      </w:r>
      <w:r w:rsidRPr="00E514F3">
        <w:t xml:space="preserve">. Vaccination of individuals with uncertain or incomplete immunisation status. </w:t>
      </w:r>
      <w:r w:rsidR="00C7076A">
        <w:t xml:space="preserve">London: </w:t>
      </w:r>
      <w:r w:rsidRPr="00E514F3">
        <w:t>P</w:t>
      </w:r>
      <w:r w:rsidR="00C7076A">
        <w:t xml:space="preserve">ublic </w:t>
      </w:r>
      <w:r w:rsidRPr="00E514F3">
        <w:t>H</w:t>
      </w:r>
      <w:r w:rsidR="00C7076A">
        <w:t xml:space="preserve">ealth </w:t>
      </w:r>
      <w:r w:rsidRPr="00E514F3">
        <w:t>E</w:t>
      </w:r>
      <w:r w:rsidR="00C7076A">
        <w:t>ngland</w:t>
      </w:r>
      <w:r w:rsidRPr="00E514F3">
        <w:t>; 2017.</w:t>
      </w:r>
    </w:p>
    <w:p w14:paraId="4F6F48F6" w14:textId="77777777" w:rsidR="00204B98" w:rsidRPr="00E514F3" w:rsidRDefault="00204B98" w:rsidP="005615F2">
      <w:pPr>
        <w:pStyle w:val="EndNoteBibliography"/>
        <w:spacing w:after="0"/>
      </w:pPr>
      <w:r w:rsidRPr="00E514F3">
        <w:t>49.</w:t>
      </w:r>
      <w:r w:rsidRPr="00E514F3">
        <w:tab/>
        <w:t>Hargreaves S, Nellums L, Friedland J, Goldberg J, PMurwill P, Jones L. Extending migrant charging into emergency services. British Medical Journal. 2016;352(i685).</w:t>
      </w:r>
    </w:p>
    <w:p w14:paraId="7B4EDE9A" w14:textId="3C001E2D" w:rsidR="00204B98" w:rsidRPr="00E514F3" w:rsidRDefault="00204B98" w:rsidP="005615F2">
      <w:pPr>
        <w:pStyle w:val="EndNoteBibliography"/>
        <w:spacing w:after="0"/>
      </w:pPr>
      <w:r w:rsidRPr="00E514F3">
        <w:t>50.</w:t>
      </w:r>
      <w:r w:rsidRPr="00E514F3">
        <w:tab/>
      </w:r>
      <w:r w:rsidR="00C7076A">
        <w:t>Doctors of the World.</w:t>
      </w:r>
      <w:r w:rsidRPr="00E514F3">
        <w:t xml:space="preserve"> Legal report on access to healthcare in 12 countries. Doctors of the World – Médecins du monde International Network</w:t>
      </w:r>
      <w:r w:rsidR="00C7076A">
        <w:t>. London, Doctors of the World.</w:t>
      </w:r>
    </w:p>
    <w:p w14:paraId="1BBEC6F7" w14:textId="77777777" w:rsidR="00204B98" w:rsidRPr="00E514F3" w:rsidRDefault="00204B98" w:rsidP="005615F2">
      <w:pPr>
        <w:pStyle w:val="EndNoteBibliography"/>
        <w:spacing w:after="0"/>
      </w:pPr>
      <w:r w:rsidRPr="00E514F3">
        <w:t>51.</w:t>
      </w:r>
      <w:r w:rsidRPr="00E514F3">
        <w:tab/>
        <w:t>Norredam M, Krasnik A, Moller Sorensen T, Keiding N, Joost Michaelsen J, Sonne Nielsen A. Emergency room utilization in Copenhagen: a comparison of immigrant groups and Danish-born residents. Scandinavian Journal of Public Health. 2004;32(1):53-9.</w:t>
      </w:r>
    </w:p>
    <w:p w14:paraId="00E39F84" w14:textId="77777777" w:rsidR="00204B98" w:rsidRPr="00E514F3" w:rsidRDefault="00204B98" w:rsidP="005615F2">
      <w:pPr>
        <w:pStyle w:val="EndNoteBibliography"/>
        <w:spacing w:after="0"/>
      </w:pPr>
      <w:r w:rsidRPr="00E514F3">
        <w:t>52.</w:t>
      </w:r>
      <w:r w:rsidRPr="00E514F3">
        <w:tab/>
        <w:t>Ward P, Huddy J, Hargreaves S, Touquet R, Hurley J, Fothergill J. Primary care in London: an evaluation of general practitioners working in an inner city accident and emergency department. Emergency Medicine Journal. 1996;13(1):11-5.</w:t>
      </w:r>
    </w:p>
    <w:p w14:paraId="376B3DC1" w14:textId="77777777" w:rsidR="00204B98" w:rsidRPr="00E514F3" w:rsidRDefault="00204B98" w:rsidP="005615F2">
      <w:pPr>
        <w:pStyle w:val="EndNoteBibliography"/>
        <w:spacing w:after="0"/>
      </w:pPr>
      <w:r w:rsidRPr="00E514F3">
        <w:t>53.</w:t>
      </w:r>
      <w:r w:rsidRPr="00E514F3">
        <w:tab/>
        <w:t>Rajpar SF, Smith MA, Cooke MW. Study of choice between accident and emergency departments and general practice centres for out of hours primary care problems. Emergency Medicine Journal. 2000;17(1):18-21.</w:t>
      </w:r>
    </w:p>
    <w:p w14:paraId="282CF4CD" w14:textId="6B927AF6" w:rsidR="00204B98" w:rsidRPr="00E514F3" w:rsidRDefault="00204B98" w:rsidP="005615F2">
      <w:pPr>
        <w:pStyle w:val="EndNoteBibliography"/>
        <w:spacing w:after="0"/>
      </w:pPr>
      <w:r w:rsidRPr="00E514F3">
        <w:t>54.</w:t>
      </w:r>
      <w:r w:rsidRPr="00E514F3">
        <w:tab/>
        <w:t>Karki T, et al. Screening for infectious diseases among newly arrived migants in EU/EEA countries - varying practices but consensus on the utility of screening. Int J Environ Res Public Health. 2014;11(10):11004-14.</w:t>
      </w:r>
    </w:p>
    <w:p w14:paraId="5FB819B0" w14:textId="6D842EAB" w:rsidR="00204B98" w:rsidRPr="00E514F3" w:rsidRDefault="00204B98" w:rsidP="005615F2">
      <w:pPr>
        <w:pStyle w:val="EndNoteBibliography"/>
        <w:spacing w:after="0"/>
      </w:pPr>
      <w:r w:rsidRPr="00E514F3">
        <w:t>55.</w:t>
      </w:r>
      <w:r w:rsidRPr="00E514F3">
        <w:tab/>
        <w:t>Tiittala P</w:t>
      </w:r>
      <w:r w:rsidR="00C7076A">
        <w:t>, et al</w:t>
      </w:r>
      <w:r w:rsidRPr="00E514F3">
        <w:t>. Public health response to large influx of asylum seekers: implementation and timing of infectious disease screening. BMC Pub</w:t>
      </w:r>
      <w:r w:rsidR="00A71FA2">
        <w:t>lic</w:t>
      </w:r>
      <w:r w:rsidRPr="00E514F3">
        <w:t xml:space="preserve"> Health. 2018;18:1139.</w:t>
      </w:r>
    </w:p>
    <w:p w14:paraId="34BE5E23" w14:textId="02FF4758" w:rsidR="00204B98" w:rsidRPr="00E514F3" w:rsidRDefault="00204B98" w:rsidP="005615F2">
      <w:pPr>
        <w:pStyle w:val="EndNoteBibliography"/>
        <w:spacing w:after="0"/>
      </w:pPr>
      <w:r w:rsidRPr="00E514F3">
        <w:t>56.</w:t>
      </w:r>
      <w:r w:rsidRPr="00E514F3">
        <w:tab/>
        <w:t xml:space="preserve">Stover J, Bollinger L, Izazola JA, Loures L, DeLay P, Ghys PD, et al. What is required to end the AIDS epidemic as a public health threat by 2030? The cost and impact of the Fast-Track Approach. PloS </w:t>
      </w:r>
      <w:r w:rsidR="00C7076A">
        <w:t>O</w:t>
      </w:r>
      <w:r w:rsidRPr="00E514F3">
        <w:t>ne. 2016;11(5):e0154893.</w:t>
      </w:r>
    </w:p>
    <w:p w14:paraId="062E3F75" w14:textId="166099C4" w:rsidR="00204B98" w:rsidRPr="00E514F3" w:rsidRDefault="00204B98" w:rsidP="005615F2">
      <w:pPr>
        <w:pStyle w:val="EndNoteBibliography"/>
        <w:spacing w:after="0"/>
      </w:pPr>
      <w:r w:rsidRPr="00E514F3">
        <w:t>57.</w:t>
      </w:r>
      <w:r w:rsidRPr="00E514F3">
        <w:tab/>
        <w:t xml:space="preserve">NICE. Hepatitis B and C testing: people at risk of infection: Public health guideline [PH43]. </w:t>
      </w:r>
      <w:r w:rsidR="00C7076A">
        <w:t xml:space="preserve">London: </w:t>
      </w:r>
      <w:r w:rsidRPr="00E514F3">
        <w:t>National Institute for Health and Care Excellence; 2013</w:t>
      </w:r>
      <w:r w:rsidR="00C7076A">
        <w:t>.</w:t>
      </w:r>
    </w:p>
    <w:p w14:paraId="37451DB5" w14:textId="77777777" w:rsidR="00204B98" w:rsidRPr="00E514F3" w:rsidRDefault="00204B98" w:rsidP="005615F2">
      <w:pPr>
        <w:pStyle w:val="EndNoteBibliography"/>
        <w:spacing w:after="0"/>
      </w:pPr>
      <w:r w:rsidRPr="00E514F3">
        <w:t>58.</w:t>
      </w:r>
      <w:r w:rsidRPr="00E514F3">
        <w:tab/>
        <w:t>P</w:t>
      </w:r>
      <w:r w:rsidR="00C7076A">
        <w:t xml:space="preserve">ublic </w:t>
      </w:r>
      <w:r w:rsidRPr="00E514F3">
        <w:t>H</w:t>
      </w:r>
      <w:r w:rsidR="00C7076A">
        <w:t xml:space="preserve">ealth </w:t>
      </w:r>
      <w:r w:rsidRPr="00E514F3">
        <w:t>E</w:t>
      </w:r>
      <w:r w:rsidR="00C7076A">
        <w:t>ngland</w:t>
      </w:r>
      <w:r w:rsidRPr="00E514F3">
        <w:t xml:space="preserve">. HIV testing in England: 2016 report. </w:t>
      </w:r>
      <w:r w:rsidR="00C7076A">
        <w:t xml:space="preserve">London: </w:t>
      </w:r>
      <w:r w:rsidRPr="00E514F3">
        <w:t>PHE; 2016.</w:t>
      </w:r>
    </w:p>
    <w:p w14:paraId="7191770D" w14:textId="77777777" w:rsidR="00204B98" w:rsidRPr="00E514F3" w:rsidRDefault="00204B98" w:rsidP="005615F2">
      <w:pPr>
        <w:pStyle w:val="EndNoteBibliography"/>
        <w:spacing w:after="0"/>
      </w:pPr>
      <w:r w:rsidRPr="00E514F3">
        <w:t>59.</w:t>
      </w:r>
      <w:r w:rsidRPr="00E514F3">
        <w:tab/>
        <w:t>P</w:t>
      </w:r>
      <w:r w:rsidR="00C7076A">
        <w:t xml:space="preserve">ublic </w:t>
      </w:r>
      <w:r w:rsidRPr="00E514F3">
        <w:t>H</w:t>
      </w:r>
      <w:r w:rsidR="00C7076A">
        <w:t xml:space="preserve">ealth </w:t>
      </w:r>
      <w:r w:rsidRPr="00E514F3">
        <w:t>E</w:t>
      </w:r>
      <w:r w:rsidR="00C7076A">
        <w:t>ngland</w:t>
      </w:r>
      <w:r w:rsidRPr="00E514F3">
        <w:t xml:space="preserve">. Guidance - HIV: testing. </w:t>
      </w:r>
      <w:r w:rsidR="00C7076A">
        <w:t xml:space="preserve">London: </w:t>
      </w:r>
      <w:r w:rsidRPr="00E514F3">
        <w:t>PHE; 2017.</w:t>
      </w:r>
    </w:p>
    <w:p w14:paraId="7F8A9B0D" w14:textId="77777777" w:rsidR="00204B98" w:rsidRDefault="00204B98">
      <w:pPr>
        <w:rPr>
          <w:rFonts w:ascii="Arial" w:hAnsi="Arial" w:cs="Arial"/>
          <w:i/>
        </w:rPr>
      </w:pPr>
    </w:p>
    <w:p w14:paraId="036B496C" w14:textId="77777777" w:rsidR="00204B98" w:rsidRPr="007F42D2" w:rsidRDefault="00204B98">
      <w:pPr>
        <w:rPr>
          <w:rFonts w:ascii="Arial" w:hAnsi="Arial" w:cs="Arial"/>
        </w:rPr>
      </w:pPr>
    </w:p>
    <w:p w14:paraId="45EC65E9" w14:textId="77777777" w:rsidR="00673476" w:rsidRDefault="00673476"/>
    <w:sectPr w:rsidR="00673476" w:rsidSect="007513C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21F5" w14:textId="77777777" w:rsidR="00782122" w:rsidRDefault="00782122" w:rsidP="005F49DD">
      <w:pPr>
        <w:spacing w:after="0" w:line="240" w:lineRule="auto"/>
      </w:pPr>
      <w:r>
        <w:separator/>
      </w:r>
    </w:p>
  </w:endnote>
  <w:endnote w:type="continuationSeparator" w:id="0">
    <w:p w14:paraId="33D74912" w14:textId="77777777" w:rsidR="00782122" w:rsidRDefault="00782122" w:rsidP="005F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calaLancetPro">
    <w:altName w:val="MS Gothic"/>
    <w:panose1 w:val="020B0604020202020204"/>
    <w:charset w:val="80"/>
    <w:family w:val="auto"/>
    <w:pitch w:val="default"/>
    <w:sig w:usb0="00002A87" w:usb1="08070000" w:usb2="00000010" w:usb3="00000000" w:csb0="0002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470148"/>
      <w:docPartObj>
        <w:docPartGallery w:val="Page Numbers (Bottom of Page)"/>
        <w:docPartUnique/>
      </w:docPartObj>
    </w:sdtPr>
    <w:sdtEndPr>
      <w:rPr>
        <w:rStyle w:val="PageNumber"/>
      </w:rPr>
    </w:sdtEndPr>
    <w:sdtContent>
      <w:p w14:paraId="13A64D2E" w14:textId="77777777" w:rsidR="00B560B9" w:rsidRDefault="00B560B9" w:rsidP="00561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B9262" w14:textId="77777777" w:rsidR="00B560B9" w:rsidRDefault="00B5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613410"/>
      <w:docPartObj>
        <w:docPartGallery w:val="Page Numbers (Bottom of Page)"/>
        <w:docPartUnique/>
      </w:docPartObj>
    </w:sdtPr>
    <w:sdtEndPr>
      <w:rPr>
        <w:rStyle w:val="PageNumber"/>
      </w:rPr>
    </w:sdtEndPr>
    <w:sdtContent>
      <w:p w14:paraId="353099F6" w14:textId="77777777" w:rsidR="00B560B9" w:rsidRDefault="00B560B9" w:rsidP="00561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48F5487" w14:textId="77777777" w:rsidR="00B560B9" w:rsidRDefault="00B560B9">
    <w:pPr>
      <w:pStyle w:val="Footer"/>
      <w:jc w:val="center"/>
    </w:pPr>
  </w:p>
  <w:p w14:paraId="29AA7C13" w14:textId="77777777" w:rsidR="00B560B9" w:rsidRDefault="00B5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9FCC" w14:textId="77777777" w:rsidR="00782122" w:rsidRDefault="00782122" w:rsidP="005F49DD">
      <w:pPr>
        <w:spacing w:after="0" w:line="240" w:lineRule="auto"/>
      </w:pPr>
      <w:r>
        <w:separator/>
      </w:r>
    </w:p>
  </w:footnote>
  <w:footnote w:type="continuationSeparator" w:id="0">
    <w:p w14:paraId="549B840E" w14:textId="77777777" w:rsidR="00782122" w:rsidRDefault="00782122" w:rsidP="005F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2355D"/>
    <w:multiLevelType w:val="hybridMultilevel"/>
    <w:tmpl w:val="CCC8D494"/>
    <w:lvl w:ilvl="0" w:tplc="C3A4E4F2">
      <w:start w:val="1"/>
      <w:numFmt w:val="bullet"/>
      <w:lvlText w:val=""/>
      <w:lvlJc w:val="left"/>
      <w:pPr>
        <w:tabs>
          <w:tab w:val="num" w:pos="720"/>
        </w:tabs>
        <w:ind w:left="720" w:hanging="360"/>
      </w:pPr>
      <w:rPr>
        <w:rFonts w:ascii="Wingdings" w:hAnsi="Wingdings" w:hint="default"/>
      </w:rPr>
    </w:lvl>
    <w:lvl w:ilvl="1" w:tplc="C5B2EA8E" w:tentative="1">
      <w:start w:val="1"/>
      <w:numFmt w:val="bullet"/>
      <w:lvlText w:val=""/>
      <w:lvlJc w:val="left"/>
      <w:pPr>
        <w:tabs>
          <w:tab w:val="num" w:pos="1440"/>
        </w:tabs>
        <w:ind w:left="1440" w:hanging="360"/>
      </w:pPr>
      <w:rPr>
        <w:rFonts w:ascii="Wingdings" w:hAnsi="Wingdings" w:hint="default"/>
      </w:rPr>
    </w:lvl>
    <w:lvl w:ilvl="2" w:tplc="C62883F8" w:tentative="1">
      <w:start w:val="1"/>
      <w:numFmt w:val="bullet"/>
      <w:lvlText w:val=""/>
      <w:lvlJc w:val="left"/>
      <w:pPr>
        <w:tabs>
          <w:tab w:val="num" w:pos="2160"/>
        </w:tabs>
        <w:ind w:left="2160" w:hanging="360"/>
      </w:pPr>
      <w:rPr>
        <w:rFonts w:ascii="Wingdings" w:hAnsi="Wingdings" w:hint="default"/>
      </w:rPr>
    </w:lvl>
    <w:lvl w:ilvl="3" w:tplc="2300361E" w:tentative="1">
      <w:start w:val="1"/>
      <w:numFmt w:val="bullet"/>
      <w:lvlText w:val=""/>
      <w:lvlJc w:val="left"/>
      <w:pPr>
        <w:tabs>
          <w:tab w:val="num" w:pos="2880"/>
        </w:tabs>
        <w:ind w:left="2880" w:hanging="360"/>
      </w:pPr>
      <w:rPr>
        <w:rFonts w:ascii="Wingdings" w:hAnsi="Wingdings" w:hint="default"/>
      </w:rPr>
    </w:lvl>
    <w:lvl w:ilvl="4" w:tplc="74B835FC" w:tentative="1">
      <w:start w:val="1"/>
      <w:numFmt w:val="bullet"/>
      <w:lvlText w:val=""/>
      <w:lvlJc w:val="left"/>
      <w:pPr>
        <w:tabs>
          <w:tab w:val="num" w:pos="3600"/>
        </w:tabs>
        <w:ind w:left="3600" w:hanging="360"/>
      </w:pPr>
      <w:rPr>
        <w:rFonts w:ascii="Wingdings" w:hAnsi="Wingdings" w:hint="default"/>
      </w:rPr>
    </w:lvl>
    <w:lvl w:ilvl="5" w:tplc="5D18BEC4" w:tentative="1">
      <w:start w:val="1"/>
      <w:numFmt w:val="bullet"/>
      <w:lvlText w:val=""/>
      <w:lvlJc w:val="left"/>
      <w:pPr>
        <w:tabs>
          <w:tab w:val="num" w:pos="4320"/>
        </w:tabs>
        <w:ind w:left="4320" w:hanging="360"/>
      </w:pPr>
      <w:rPr>
        <w:rFonts w:ascii="Wingdings" w:hAnsi="Wingdings" w:hint="default"/>
      </w:rPr>
    </w:lvl>
    <w:lvl w:ilvl="6" w:tplc="0A6AF630" w:tentative="1">
      <w:start w:val="1"/>
      <w:numFmt w:val="bullet"/>
      <w:lvlText w:val=""/>
      <w:lvlJc w:val="left"/>
      <w:pPr>
        <w:tabs>
          <w:tab w:val="num" w:pos="5040"/>
        </w:tabs>
        <w:ind w:left="5040" w:hanging="360"/>
      </w:pPr>
      <w:rPr>
        <w:rFonts w:ascii="Wingdings" w:hAnsi="Wingdings" w:hint="default"/>
      </w:rPr>
    </w:lvl>
    <w:lvl w:ilvl="7" w:tplc="3BD85124" w:tentative="1">
      <w:start w:val="1"/>
      <w:numFmt w:val="bullet"/>
      <w:lvlText w:val=""/>
      <w:lvlJc w:val="left"/>
      <w:pPr>
        <w:tabs>
          <w:tab w:val="num" w:pos="5760"/>
        </w:tabs>
        <w:ind w:left="5760" w:hanging="360"/>
      </w:pPr>
      <w:rPr>
        <w:rFonts w:ascii="Wingdings" w:hAnsi="Wingdings" w:hint="default"/>
      </w:rPr>
    </w:lvl>
    <w:lvl w:ilvl="8" w:tplc="67CA376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04B98"/>
    <w:rsid w:val="0001259C"/>
    <w:rsid w:val="00016C6F"/>
    <w:rsid w:val="00020819"/>
    <w:rsid w:val="00031013"/>
    <w:rsid w:val="00052928"/>
    <w:rsid w:val="00064B04"/>
    <w:rsid w:val="00085E6C"/>
    <w:rsid w:val="000C431D"/>
    <w:rsid w:val="000C4540"/>
    <w:rsid w:val="000D5F73"/>
    <w:rsid w:val="000E32F5"/>
    <w:rsid w:val="001009F6"/>
    <w:rsid w:val="00115E6A"/>
    <w:rsid w:val="0012593A"/>
    <w:rsid w:val="00126CD8"/>
    <w:rsid w:val="001650E6"/>
    <w:rsid w:val="00172788"/>
    <w:rsid w:val="0019582E"/>
    <w:rsid w:val="001B761C"/>
    <w:rsid w:val="001C010B"/>
    <w:rsid w:val="00204B98"/>
    <w:rsid w:val="002101B5"/>
    <w:rsid w:val="00226C53"/>
    <w:rsid w:val="002308DF"/>
    <w:rsid w:val="00240199"/>
    <w:rsid w:val="00255A69"/>
    <w:rsid w:val="00257912"/>
    <w:rsid w:val="002639B9"/>
    <w:rsid w:val="0028140A"/>
    <w:rsid w:val="002847DE"/>
    <w:rsid w:val="002A244E"/>
    <w:rsid w:val="002A47F5"/>
    <w:rsid w:val="002C3350"/>
    <w:rsid w:val="002E1E6C"/>
    <w:rsid w:val="00317E52"/>
    <w:rsid w:val="00375C7F"/>
    <w:rsid w:val="00376DFA"/>
    <w:rsid w:val="003C309B"/>
    <w:rsid w:val="003C4E53"/>
    <w:rsid w:val="003C65C2"/>
    <w:rsid w:val="003E5977"/>
    <w:rsid w:val="00401029"/>
    <w:rsid w:val="0040683F"/>
    <w:rsid w:val="00410E0B"/>
    <w:rsid w:val="00412A77"/>
    <w:rsid w:val="00414DED"/>
    <w:rsid w:val="00470365"/>
    <w:rsid w:val="00472137"/>
    <w:rsid w:val="004A1A81"/>
    <w:rsid w:val="004A2834"/>
    <w:rsid w:val="004B3F99"/>
    <w:rsid w:val="004B7DFE"/>
    <w:rsid w:val="004C3D10"/>
    <w:rsid w:val="004D4972"/>
    <w:rsid w:val="004D60D8"/>
    <w:rsid w:val="00524685"/>
    <w:rsid w:val="00525CA9"/>
    <w:rsid w:val="00527E46"/>
    <w:rsid w:val="005615F2"/>
    <w:rsid w:val="00590396"/>
    <w:rsid w:val="00590B2E"/>
    <w:rsid w:val="005B490D"/>
    <w:rsid w:val="005D1CF3"/>
    <w:rsid w:val="005D7DF5"/>
    <w:rsid w:val="005F49DD"/>
    <w:rsid w:val="006114E0"/>
    <w:rsid w:val="006172D8"/>
    <w:rsid w:val="006336D8"/>
    <w:rsid w:val="00643B68"/>
    <w:rsid w:val="00660C5D"/>
    <w:rsid w:val="00667A2A"/>
    <w:rsid w:val="00673476"/>
    <w:rsid w:val="006B34B6"/>
    <w:rsid w:val="006E5760"/>
    <w:rsid w:val="006F0929"/>
    <w:rsid w:val="006F352C"/>
    <w:rsid w:val="00721ECF"/>
    <w:rsid w:val="007336CF"/>
    <w:rsid w:val="007458A9"/>
    <w:rsid w:val="00745A68"/>
    <w:rsid w:val="00750C99"/>
    <w:rsid w:val="007513C1"/>
    <w:rsid w:val="00755732"/>
    <w:rsid w:val="00763764"/>
    <w:rsid w:val="00764AD5"/>
    <w:rsid w:val="00776CD7"/>
    <w:rsid w:val="00781A12"/>
    <w:rsid w:val="00782122"/>
    <w:rsid w:val="007D5266"/>
    <w:rsid w:val="00801216"/>
    <w:rsid w:val="00815503"/>
    <w:rsid w:val="00827B94"/>
    <w:rsid w:val="00860D10"/>
    <w:rsid w:val="00893576"/>
    <w:rsid w:val="00895679"/>
    <w:rsid w:val="008A0991"/>
    <w:rsid w:val="008A780A"/>
    <w:rsid w:val="008B4CC1"/>
    <w:rsid w:val="008D52A0"/>
    <w:rsid w:val="008D630B"/>
    <w:rsid w:val="008E1223"/>
    <w:rsid w:val="008E7ABE"/>
    <w:rsid w:val="008F4748"/>
    <w:rsid w:val="008F598B"/>
    <w:rsid w:val="0091204A"/>
    <w:rsid w:val="009177E9"/>
    <w:rsid w:val="00925060"/>
    <w:rsid w:val="009328EC"/>
    <w:rsid w:val="0094726F"/>
    <w:rsid w:val="0095667D"/>
    <w:rsid w:val="00967DBD"/>
    <w:rsid w:val="009D1D6D"/>
    <w:rsid w:val="009F5DEF"/>
    <w:rsid w:val="00A04374"/>
    <w:rsid w:val="00A44BE1"/>
    <w:rsid w:val="00A45F39"/>
    <w:rsid w:val="00A55EBF"/>
    <w:rsid w:val="00A61EB9"/>
    <w:rsid w:val="00A71FA2"/>
    <w:rsid w:val="00A76481"/>
    <w:rsid w:val="00A83CAB"/>
    <w:rsid w:val="00A95D53"/>
    <w:rsid w:val="00AB1596"/>
    <w:rsid w:val="00AB4B78"/>
    <w:rsid w:val="00AD5656"/>
    <w:rsid w:val="00B03851"/>
    <w:rsid w:val="00B23205"/>
    <w:rsid w:val="00B2717C"/>
    <w:rsid w:val="00B36A82"/>
    <w:rsid w:val="00B40920"/>
    <w:rsid w:val="00B41EE8"/>
    <w:rsid w:val="00B560B9"/>
    <w:rsid w:val="00B81206"/>
    <w:rsid w:val="00B92FA6"/>
    <w:rsid w:val="00BB6EC3"/>
    <w:rsid w:val="00BC4709"/>
    <w:rsid w:val="00BC66F6"/>
    <w:rsid w:val="00BC6CE7"/>
    <w:rsid w:val="00BD3421"/>
    <w:rsid w:val="00BD4142"/>
    <w:rsid w:val="00BE54D8"/>
    <w:rsid w:val="00C01281"/>
    <w:rsid w:val="00C26F4F"/>
    <w:rsid w:val="00C3178C"/>
    <w:rsid w:val="00C3748B"/>
    <w:rsid w:val="00C50558"/>
    <w:rsid w:val="00C53204"/>
    <w:rsid w:val="00C61261"/>
    <w:rsid w:val="00C615B5"/>
    <w:rsid w:val="00C7076A"/>
    <w:rsid w:val="00C80018"/>
    <w:rsid w:val="00C87311"/>
    <w:rsid w:val="00CA54B6"/>
    <w:rsid w:val="00CF2C11"/>
    <w:rsid w:val="00D105F6"/>
    <w:rsid w:val="00D35476"/>
    <w:rsid w:val="00D461B7"/>
    <w:rsid w:val="00D57030"/>
    <w:rsid w:val="00D86327"/>
    <w:rsid w:val="00DA417C"/>
    <w:rsid w:val="00DC22FA"/>
    <w:rsid w:val="00DC3CE6"/>
    <w:rsid w:val="00DD2105"/>
    <w:rsid w:val="00DD250E"/>
    <w:rsid w:val="00E11608"/>
    <w:rsid w:val="00E21483"/>
    <w:rsid w:val="00E34058"/>
    <w:rsid w:val="00E36B0F"/>
    <w:rsid w:val="00E57DB2"/>
    <w:rsid w:val="00E93CBF"/>
    <w:rsid w:val="00EA1424"/>
    <w:rsid w:val="00EB11B3"/>
    <w:rsid w:val="00EB79B1"/>
    <w:rsid w:val="00ED635A"/>
    <w:rsid w:val="00EF19A3"/>
    <w:rsid w:val="00EF74BF"/>
    <w:rsid w:val="00F3413D"/>
    <w:rsid w:val="00F46159"/>
    <w:rsid w:val="00F864A3"/>
    <w:rsid w:val="00F91FB8"/>
    <w:rsid w:val="00F945D4"/>
    <w:rsid w:val="00FB1302"/>
    <w:rsid w:val="00FB2CB1"/>
    <w:rsid w:val="00FC5219"/>
    <w:rsid w:val="00FD69DC"/>
    <w:rsid w:val="00FE1FC4"/>
    <w:rsid w:val="00FE6C24"/>
    <w:rsid w:val="00FF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93CB"/>
  <w14:defaultImageDpi w14:val="32767"/>
  <w15:chartTrackingRefBased/>
  <w15:docId w15:val="{80451630-2601-8044-8908-546DC115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B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4B98"/>
    <w:rPr>
      <w:color w:val="0563C1" w:themeColor="hyperlink"/>
      <w:u w:val="single"/>
    </w:rPr>
  </w:style>
  <w:style w:type="paragraph" w:customStyle="1" w:styleId="EndNoteBibliographyTitle">
    <w:name w:val="EndNote Bibliography Title"/>
    <w:basedOn w:val="Normal"/>
    <w:link w:val="EndNoteBibliographyTitleChar"/>
    <w:rsid w:val="00204B9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04B98"/>
    <w:rPr>
      <w:rFonts w:ascii="Calibri" w:hAnsi="Calibri"/>
      <w:noProof/>
      <w:sz w:val="22"/>
      <w:szCs w:val="22"/>
      <w:lang w:val="en-US"/>
    </w:rPr>
  </w:style>
  <w:style w:type="paragraph" w:customStyle="1" w:styleId="EndNoteBibliography">
    <w:name w:val="EndNote Bibliography"/>
    <w:basedOn w:val="Normal"/>
    <w:link w:val="EndNoteBibliographyChar"/>
    <w:rsid w:val="00204B9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04B98"/>
    <w:rPr>
      <w:rFonts w:ascii="Calibri" w:hAnsi="Calibri"/>
      <w:noProof/>
      <w:sz w:val="22"/>
      <w:szCs w:val="22"/>
      <w:lang w:val="en-US"/>
    </w:rPr>
  </w:style>
  <w:style w:type="paragraph" w:styleId="EndnoteText">
    <w:name w:val="endnote text"/>
    <w:basedOn w:val="Normal"/>
    <w:link w:val="EndnoteTextChar"/>
    <w:uiPriority w:val="99"/>
    <w:semiHidden/>
    <w:unhideWhenUsed/>
    <w:rsid w:val="00204B98"/>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semiHidden/>
    <w:rsid w:val="00204B98"/>
    <w:rPr>
      <w:rFonts w:eastAsiaTheme="minorEastAsia"/>
      <w:lang w:val="en-US"/>
    </w:rPr>
  </w:style>
  <w:style w:type="character" w:styleId="EndnoteReference">
    <w:name w:val="endnote reference"/>
    <w:basedOn w:val="DefaultParagraphFont"/>
    <w:uiPriority w:val="99"/>
    <w:semiHidden/>
    <w:unhideWhenUsed/>
    <w:rsid w:val="00204B98"/>
    <w:rPr>
      <w:vertAlign w:val="superscript"/>
    </w:rPr>
  </w:style>
  <w:style w:type="paragraph" w:styleId="Header">
    <w:name w:val="header"/>
    <w:basedOn w:val="Normal"/>
    <w:link w:val="HeaderChar"/>
    <w:uiPriority w:val="99"/>
    <w:unhideWhenUsed/>
    <w:rsid w:val="00204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98"/>
    <w:rPr>
      <w:sz w:val="22"/>
      <w:szCs w:val="22"/>
    </w:rPr>
  </w:style>
  <w:style w:type="paragraph" w:styleId="Footer">
    <w:name w:val="footer"/>
    <w:basedOn w:val="Normal"/>
    <w:link w:val="FooterChar"/>
    <w:uiPriority w:val="99"/>
    <w:unhideWhenUsed/>
    <w:rsid w:val="00204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98"/>
    <w:rPr>
      <w:sz w:val="22"/>
      <w:szCs w:val="22"/>
    </w:rPr>
  </w:style>
  <w:style w:type="table" w:styleId="TableGrid">
    <w:name w:val="Table Grid"/>
    <w:basedOn w:val="TableNormal"/>
    <w:uiPriority w:val="39"/>
    <w:rsid w:val="00204B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B98"/>
    <w:pPr>
      <w:ind w:left="720"/>
      <w:contextualSpacing/>
    </w:pPr>
  </w:style>
  <w:style w:type="paragraph" w:styleId="Caption">
    <w:name w:val="caption"/>
    <w:basedOn w:val="Normal"/>
    <w:next w:val="Normal"/>
    <w:uiPriority w:val="35"/>
    <w:unhideWhenUsed/>
    <w:qFormat/>
    <w:rsid w:val="00204B9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04B98"/>
    <w:rPr>
      <w:sz w:val="16"/>
      <w:szCs w:val="16"/>
    </w:rPr>
  </w:style>
  <w:style w:type="paragraph" w:styleId="CommentText">
    <w:name w:val="annotation text"/>
    <w:basedOn w:val="Normal"/>
    <w:link w:val="CommentTextChar"/>
    <w:uiPriority w:val="99"/>
    <w:semiHidden/>
    <w:unhideWhenUsed/>
    <w:rsid w:val="00204B98"/>
    <w:pPr>
      <w:spacing w:line="240" w:lineRule="auto"/>
    </w:pPr>
    <w:rPr>
      <w:sz w:val="20"/>
      <w:szCs w:val="20"/>
    </w:rPr>
  </w:style>
  <w:style w:type="character" w:customStyle="1" w:styleId="CommentTextChar">
    <w:name w:val="Comment Text Char"/>
    <w:basedOn w:val="DefaultParagraphFont"/>
    <w:link w:val="CommentText"/>
    <w:uiPriority w:val="99"/>
    <w:semiHidden/>
    <w:rsid w:val="00204B98"/>
    <w:rPr>
      <w:sz w:val="20"/>
      <w:szCs w:val="20"/>
    </w:rPr>
  </w:style>
  <w:style w:type="paragraph" w:styleId="CommentSubject">
    <w:name w:val="annotation subject"/>
    <w:basedOn w:val="CommentText"/>
    <w:next w:val="CommentText"/>
    <w:link w:val="CommentSubjectChar"/>
    <w:uiPriority w:val="99"/>
    <w:semiHidden/>
    <w:unhideWhenUsed/>
    <w:rsid w:val="00204B98"/>
    <w:rPr>
      <w:b/>
      <w:bCs/>
    </w:rPr>
  </w:style>
  <w:style w:type="character" w:customStyle="1" w:styleId="CommentSubjectChar">
    <w:name w:val="Comment Subject Char"/>
    <w:basedOn w:val="CommentTextChar"/>
    <w:link w:val="CommentSubject"/>
    <w:uiPriority w:val="99"/>
    <w:semiHidden/>
    <w:rsid w:val="00204B98"/>
    <w:rPr>
      <w:b/>
      <w:bCs/>
      <w:sz w:val="20"/>
      <w:szCs w:val="20"/>
    </w:rPr>
  </w:style>
  <w:style w:type="paragraph" w:styleId="BalloonText">
    <w:name w:val="Balloon Text"/>
    <w:basedOn w:val="Normal"/>
    <w:link w:val="BalloonTextChar"/>
    <w:uiPriority w:val="99"/>
    <w:semiHidden/>
    <w:unhideWhenUsed/>
    <w:rsid w:val="00204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4B98"/>
    <w:rPr>
      <w:color w:val="605E5C"/>
      <w:shd w:val="clear" w:color="auto" w:fill="E1DFDD"/>
    </w:rPr>
  </w:style>
  <w:style w:type="character" w:styleId="PageNumber">
    <w:name w:val="page number"/>
    <w:basedOn w:val="DefaultParagraphFont"/>
    <w:uiPriority w:val="99"/>
    <w:semiHidden/>
    <w:unhideWhenUsed/>
    <w:rsid w:val="00204B98"/>
  </w:style>
  <w:style w:type="character" w:styleId="LineNumber">
    <w:name w:val="line number"/>
    <w:basedOn w:val="DefaultParagraphFont"/>
    <w:uiPriority w:val="99"/>
    <w:semiHidden/>
    <w:unhideWhenUsed/>
    <w:rsid w:val="00204B98"/>
  </w:style>
  <w:style w:type="character" w:customStyle="1" w:styleId="UnresolvedMention2">
    <w:name w:val="Unresolved Mention2"/>
    <w:basedOn w:val="DefaultParagraphFont"/>
    <w:uiPriority w:val="99"/>
    <w:semiHidden/>
    <w:unhideWhenUsed/>
    <w:rsid w:val="00204B98"/>
    <w:rPr>
      <w:color w:val="605E5C"/>
      <w:shd w:val="clear" w:color="auto" w:fill="E1DFDD"/>
    </w:rPr>
  </w:style>
  <w:style w:type="paragraph" w:styleId="NormalWeb">
    <w:name w:val="Normal (Web)"/>
    <w:basedOn w:val="Normal"/>
    <w:uiPriority w:val="99"/>
    <w:unhideWhenUsed/>
    <w:rsid w:val="00204B9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04B98"/>
    <w:rPr>
      <w:sz w:val="22"/>
      <w:szCs w:val="22"/>
    </w:rPr>
  </w:style>
  <w:style w:type="character" w:customStyle="1" w:styleId="apple-converted-space">
    <w:name w:val="apple-converted-space"/>
    <w:basedOn w:val="DefaultParagraphFont"/>
    <w:rsid w:val="00414DED"/>
  </w:style>
  <w:style w:type="character" w:customStyle="1" w:styleId="doi">
    <w:name w:val="doi"/>
    <w:basedOn w:val="DefaultParagraphFont"/>
    <w:rsid w:val="00414DED"/>
  </w:style>
  <w:style w:type="character" w:styleId="Emphasis">
    <w:name w:val="Emphasis"/>
    <w:basedOn w:val="DefaultParagraphFont"/>
    <w:uiPriority w:val="20"/>
    <w:qFormat/>
    <w:rsid w:val="00C7076A"/>
    <w:rPr>
      <w:i/>
      <w:iCs/>
    </w:rPr>
  </w:style>
  <w:style w:type="paragraph" w:customStyle="1" w:styleId="EC-Para">
    <w:name w:val="EC-Para"/>
    <w:link w:val="EC-ParaCharChar"/>
    <w:qFormat/>
    <w:rsid w:val="005F49DD"/>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5F49DD"/>
    <w:rPr>
      <w:rFonts w:ascii="Tahoma" w:eastAsia="Batang" w:hAnsi="Tahoma" w:cs="Times New Roman"/>
      <w:color w:val="000000"/>
      <w:kern w:val="22"/>
      <w:sz w:val="18"/>
      <w:szCs w:val="18"/>
      <w:lang w:eastAsia="ko-KR"/>
    </w:rPr>
  </w:style>
  <w:style w:type="paragraph" w:customStyle="1" w:styleId="EC-Title-8">
    <w:name w:val="EC-Title-8"/>
    <w:basedOn w:val="EC-Para"/>
    <w:link w:val="EC-Title-8Char"/>
    <w:autoRedefine/>
    <w:qFormat/>
    <w:rsid w:val="005F49DD"/>
    <w:pPr>
      <w:kinsoku w:val="0"/>
      <w:spacing w:after="0" w:line="240" w:lineRule="auto"/>
      <w:outlineLvl w:val="4"/>
    </w:pPr>
    <w:rPr>
      <w:rFonts w:asciiTheme="minorHAnsi" w:eastAsia="Tahoma" w:hAnsiTheme="minorHAnsi" w:cstheme="minorHAnsi"/>
      <w:b/>
      <w:bCs/>
      <w:color w:val="auto"/>
      <w:kern w:val="16"/>
      <w:sz w:val="22"/>
      <w:lang w:eastAsia="en-US"/>
    </w:rPr>
  </w:style>
  <w:style w:type="character" w:customStyle="1" w:styleId="EC-Title-8Char">
    <w:name w:val="EC-Title-8 Char"/>
    <w:link w:val="EC-Title-8"/>
    <w:rsid w:val="005F49DD"/>
    <w:rPr>
      <w:rFonts w:eastAsia="Tahoma" w:cstheme="minorHAnsi"/>
      <w:b/>
      <w:bCs/>
      <w:kern w:val="16"/>
      <w:sz w:val="22"/>
      <w:szCs w:val="18"/>
    </w:rPr>
  </w:style>
  <w:style w:type="paragraph" w:styleId="FootnoteText">
    <w:name w:val="footnote text"/>
    <w:basedOn w:val="Normal"/>
    <w:link w:val="FootnoteTextChar"/>
    <w:uiPriority w:val="99"/>
    <w:unhideWhenUsed/>
    <w:rsid w:val="005F49DD"/>
    <w:pPr>
      <w:spacing w:after="0" w:line="240" w:lineRule="auto"/>
    </w:pPr>
    <w:rPr>
      <w:rFonts w:ascii="Tahoma" w:eastAsia="Batang" w:hAnsi="Tahoma" w:cs="Times New Roman"/>
      <w:sz w:val="20"/>
      <w:szCs w:val="20"/>
      <w:lang w:val="da-DK" w:eastAsia="ko-KR"/>
    </w:rPr>
  </w:style>
  <w:style w:type="character" w:customStyle="1" w:styleId="FootnoteTextChar">
    <w:name w:val="Footnote Text Char"/>
    <w:basedOn w:val="DefaultParagraphFont"/>
    <w:link w:val="FootnoteText"/>
    <w:uiPriority w:val="99"/>
    <w:rsid w:val="005F49DD"/>
    <w:rPr>
      <w:rFonts w:ascii="Tahoma" w:eastAsia="Batang" w:hAnsi="Tahoma" w:cs="Times New Roman"/>
      <w:sz w:val="20"/>
      <w:szCs w:val="20"/>
      <w:lang w:val="da-DK" w:eastAsia="ko-KR"/>
    </w:rPr>
  </w:style>
  <w:style w:type="character" w:styleId="FootnoteReference">
    <w:name w:val="footnote reference"/>
    <w:basedOn w:val="DefaultParagraphFont"/>
    <w:uiPriority w:val="99"/>
    <w:unhideWhenUsed/>
    <w:rsid w:val="005F49DD"/>
    <w:rPr>
      <w:rFonts w:cs="Times New Roman"/>
      <w:vertAlign w:val="superscript"/>
    </w:rPr>
  </w:style>
  <w:style w:type="table" w:customStyle="1" w:styleId="TableGrid5">
    <w:name w:val="Table Grid5"/>
    <w:basedOn w:val="TableNormal"/>
    <w:next w:val="TableGrid"/>
    <w:uiPriority w:val="59"/>
    <w:rsid w:val="005F49DD"/>
    <w:rPr>
      <w:rFonts w:ascii="Tahoma" w:eastAsia="Batang" w:hAnsi="Tahom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7588">
      <w:bodyDiv w:val="1"/>
      <w:marLeft w:val="0"/>
      <w:marRight w:val="0"/>
      <w:marTop w:val="0"/>
      <w:marBottom w:val="0"/>
      <w:divBdr>
        <w:top w:val="none" w:sz="0" w:space="0" w:color="auto"/>
        <w:left w:val="none" w:sz="0" w:space="0" w:color="auto"/>
        <w:bottom w:val="none" w:sz="0" w:space="0" w:color="auto"/>
        <w:right w:val="none" w:sz="0" w:space="0" w:color="auto"/>
      </w:divBdr>
    </w:div>
    <w:div w:id="1953972443">
      <w:bodyDiv w:val="1"/>
      <w:marLeft w:val="0"/>
      <w:marRight w:val="0"/>
      <w:marTop w:val="0"/>
      <w:marBottom w:val="0"/>
      <w:divBdr>
        <w:top w:val="none" w:sz="0" w:space="0" w:color="auto"/>
        <w:left w:val="none" w:sz="0" w:space="0" w:color="auto"/>
        <w:bottom w:val="none" w:sz="0" w:space="0" w:color="auto"/>
        <w:right w:val="none" w:sz="0" w:space="0" w:color="auto"/>
      </w:divBdr>
    </w:div>
    <w:div w:id="1986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155%2F2016%2F7980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Sally</dc:creator>
  <cp:keywords/>
  <dc:description/>
  <cp:lastModifiedBy>Hargreaves, Sally</cp:lastModifiedBy>
  <cp:revision>5</cp:revision>
  <dcterms:created xsi:type="dcterms:W3CDTF">2020-02-28T10:34:00Z</dcterms:created>
  <dcterms:modified xsi:type="dcterms:W3CDTF">2020-02-28T12:01:00Z</dcterms:modified>
</cp:coreProperties>
</file>