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B038" w14:textId="16530197" w:rsidR="00F82CF3" w:rsidRPr="004438E4" w:rsidRDefault="00D34D3B">
      <w:pPr>
        <w:rPr>
          <w:b/>
        </w:rPr>
      </w:pPr>
      <w:r>
        <w:rPr>
          <w:b/>
        </w:rPr>
        <w:t>A novel desmin</w:t>
      </w:r>
      <w:r w:rsidR="00E43C8A">
        <w:rPr>
          <w:b/>
        </w:rPr>
        <w:t xml:space="preserve"> gene variant as a</w:t>
      </w:r>
      <w:r w:rsidR="006D2557">
        <w:rPr>
          <w:b/>
        </w:rPr>
        <w:t>n important</w:t>
      </w:r>
      <w:r w:rsidR="00E43C8A">
        <w:rPr>
          <w:b/>
        </w:rPr>
        <w:t xml:space="preserve"> cause of biventricular </w:t>
      </w:r>
      <w:r>
        <w:rPr>
          <w:b/>
        </w:rPr>
        <w:t>a</w:t>
      </w:r>
      <w:r w:rsidR="00E43C8A">
        <w:rPr>
          <w:b/>
        </w:rPr>
        <w:t xml:space="preserve">rrhythmogenic </w:t>
      </w:r>
      <w:r>
        <w:rPr>
          <w:b/>
        </w:rPr>
        <w:t>c</w:t>
      </w:r>
      <w:r w:rsidR="00E43C8A">
        <w:rPr>
          <w:b/>
        </w:rPr>
        <w:t xml:space="preserve">ardiomyopathy </w:t>
      </w:r>
    </w:p>
    <w:p w14:paraId="67323B4B" w14:textId="77777777" w:rsidR="00045810" w:rsidRDefault="00045810"/>
    <w:p w14:paraId="0D199C1E" w14:textId="1D505103" w:rsidR="00045810" w:rsidRDefault="00045810">
      <w:r>
        <w:t xml:space="preserve">Alexandros Protonotarios, </w:t>
      </w:r>
      <w:r w:rsidR="00E43C8A">
        <w:t xml:space="preserve">Ellie Quinn, </w:t>
      </w:r>
      <w:r w:rsidR="00006EDB" w:rsidRPr="00006EDB">
        <w:t xml:space="preserve">Chrysoula </w:t>
      </w:r>
      <w:proofErr w:type="spellStart"/>
      <w:r w:rsidR="00006EDB" w:rsidRPr="00006EDB">
        <w:t>Dalageorgou</w:t>
      </w:r>
      <w:proofErr w:type="spellEnd"/>
      <w:r w:rsidR="00006EDB" w:rsidRPr="00006EDB">
        <w:t xml:space="preserve">, Marta </w:t>
      </w:r>
      <w:proofErr w:type="spellStart"/>
      <w:r w:rsidR="00006EDB" w:rsidRPr="00006EDB">
        <w:t>Futema</w:t>
      </w:r>
      <w:proofErr w:type="spellEnd"/>
      <w:r w:rsidR="00006EDB">
        <w:t xml:space="preserve">, </w:t>
      </w:r>
      <w:r w:rsidR="00E43C8A">
        <w:t>Mohammed Akhtar</w:t>
      </w:r>
      <w:r>
        <w:t xml:space="preserve">, </w:t>
      </w:r>
      <w:r w:rsidR="006D2557">
        <w:t xml:space="preserve">Angeliki Asimaki, Michael Ashworth, </w:t>
      </w:r>
      <w:r>
        <w:t>Konstantinos Savvatis, Petros Syrris, Perry Elliott</w:t>
      </w:r>
      <w:r w:rsidR="00E43C8A">
        <w:t>, Luis</w:t>
      </w:r>
      <w:r w:rsidR="00FA26D7">
        <w:t xml:space="preserve"> R</w:t>
      </w:r>
      <w:r w:rsidR="00E43C8A">
        <w:t xml:space="preserve"> Lopes</w:t>
      </w:r>
    </w:p>
    <w:p w14:paraId="2A86E5A5" w14:textId="77777777" w:rsidR="00045810" w:rsidRDefault="00045810"/>
    <w:p w14:paraId="1424AE01" w14:textId="392299FB" w:rsidR="00045810" w:rsidRDefault="00045810">
      <w:bookmarkStart w:id="0" w:name="_GoBack"/>
      <w:r w:rsidRPr="00525980">
        <w:rPr>
          <w:b/>
        </w:rPr>
        <w:t>Introduction</w:t>
      </w:r>
      <w:r>
        <w:t xml:space="preserve">: </w:t>
      </w:r>
      <w:r w:rsidR="00E43C8A">
        <w:t xml:space="preserve">Arrhythmogenic Cardiomyopathy </w:t>
      </w:r>
      <w:r w:rsidR="006D2557">
        <w:t xml:space="preserve">(AC) is typically caused by mutations in the desmosomal genes, however non-desmosomal genes have been increasingly implicated. Desmin gene </w:t>
      </w:r>
      <w:r w:rsidR="00CC028B">
        <w:rPr>
          <w:i/>
        </w:rPr>
        <w:t>(</w:t>
      </w:r>
      <w:r w:rsidR="00CC028B" w:rsidRPr="00007767">
        <w:rPr>
          <w:i/>
        </w:rPr>
        <w:t>DES</w:t>
      </w:r>
      <w:r w:rsidR="00CC028B">
        <w:t xml:space="preserve">) </w:t>
      </w:r>
      <w:r w:rsidR="006D2557">
        <w:t>mutations have been previously reported in AC</w:t>
      </w:r>
      <w:r w:rsidR="00D34D3B">
        <w:t>,</w:t>
      </w:r>
      <w:r w:rsidR="006D2557">
        <w:t xml:space="preserve"> but in many </w:t>
      </w:r>
      <w:proofErr w:type="gramStart"/>
      <w:r w:rsidR="006D2557">
        <w:t>cases</w:t>
      </w:r>
      <w:proofErr w:type="gramEnd"/>
      <w:r w:rsidR="006D2557">
        <w:t xml:space="preserve"> there are insufficient data to support their pathogenicity.</w:t>
      </w:r>
    </w:p>
    <w:p w14:paraId="5E3425A4" w14:textId="2C075D46" w:rsidR="00045810" w:rsidRDefault="00045810">
      <w:r w:rsidRPr="00525980">
        <w:rPr>
          <w:b/>
        </w:rPr>
        <w:t>Purpose</w:t>
      </w:r>
      <w:r>
        <w:t>:</w:t>
      </w:r>
      <w:r w:rsidR="002472EA">
        <w:t xml:space="preserve"> We </w:t>
      </w:r>
      <w:r w:rsidR="00B90F16">
        <w:t>assessed</w:t>
      </w:r>
      <w:r w:rsidR="006D2557">
        <w:t xml:space="preserve"> </w:t>
      </w:r>
      <w:r w:rsidR="003858D7">
        <w:t>our</w:t>
      </w:r>
      <w:r w:rsidR="006D2557">
        <w:t xml:space="preserve"> AC cohort for </w:t>
      </w:r>
      <w:r w:rsidR="006D2557" w:rsidRPr="00007767">
        <w:rPr>
          <w:i/>
        </w:rPr>
        <w:t>DES</w:t>
      </w:r>
      <w:r w:rsidR="006D2557">
        <w:t xml:space="preserve"> gene mutations and describe the </w:t>
      </w:r>
      <w:r w:rsidR="00B90F16">
        <w:t xml:space="preserve">clinical </w:t>
      </w:r>
      <w:r w:rsidR="006D2557">
        <w:t xml:space="preserve">phenotype associated with a recurring variant </w:t>
      </w:r>
      <w:r w:rsidR="00ED2E3A">
        <w:t xml:space="preserve">present in </w:t>
      </w:r>
      <w:r w:rsidR="006D2557">
        <w:t>3 unrelated families.</w:t>
      </w:r>
    </w:p>
    <w:p w14:paraId="1194F726" w14:textId="2FE08F76" w:rsidR="00045810" w:rsidRDefault="00045810">
      <w:r w:rsidRPr="00525980">
        <w:rPr>
          <w:b/>
        </w:rPr>
        <w:t>Methods</w:t>
      </w:r>
      <w:r>
        <w:t>:</w:t>
      </w:r>
      <w:r w:rsidR="002472EA">
        <w:t xml:space="preserve"> </w:t>
      </w:r>
      <w:r w:rsidR="00E55215">
        <w:t xml:space="preserve">Genetic testing was performed </w:t>
      </w:r>
      <w:r w:rsidR="00FA22CF">
        <w:t>using</w:t>
      </w:r>
      <w:r w:rsidR="00E55215">
        <w:t xml:space="preserve"> </w:t>
      </w:r>
      <w:r w:rsidR="00ED2E3A">
        <w:t>n</w:t>
      </w:r>
      <w:r w:rsidR="00E55215">
        <w:t>ext-</w:t>
      </w:r>
      <w:r w:rsidR="00ED2E3A">
        <w:t>g</w:t>
      </w:r>
      <w:r w:rsidR="00E55215">
        <w:t>eneration sequencing for 4</w:t>
      </w:r>
      <w:r w:rsidR="00006EDB">
        <w:t>1</w:t>
      </w:r>
      <w:r w:rsidR="00E55215">
        <w:t xml:space="preserve"> genes</w:t>
      </w:r>
      <w:r w:rsidR="00FA22CF">
        <w:t xml:space="preserve"> in a total of 13</w:t>
      </w:r>
      <w:r w:rsidR="00ED2E56">
        <w:t>8</w:t>
      </w:r>
      <w:r w:rsidR="00FA22CF">
        <w:t xml:space="preserve"> AC probands with a definite diagnosis of AC based on the revised 2010 Task Force diagnostic criteria</w:t>
      </w:r>
      <w:r w:rsidR="00E55215">
        <w:t xml:space="preserve">. </w:t>
      </w:r>
      <w:r w:rsidR="00FA22CF">
        <w:t xml:space="preserve">All </w:t>
      </w:r>
      <w:r w:rsidR="00ED2E3A">
        <w:t>candidate</w:t>
      </w:r>
      <w:r w:rsidR="00FA22CF">
        <w:t xml:space="preserve"> variants were confirmed using Sanger sequencing. Clinical and genetic</w:t>
      </w:r>
      <w:r w:rsidR="00B90F16">
        <w:t xml:space="preserve"> cascade</w:t>
      </w:r>
      <w:r w:rsidR="00FA22CF">
        <w:t xml:space="preserve"> screening were expanded to the first-degree relatives of the probands. Retained tissue from deceased individuals was used for genetic testing. All </w:t>
      </w:r>
      <w:r w:rsidR="00011CAA">
        <w:t xml:space="preserve">living </w:t>
      </w:r>
      <w:r w:rsidR="00FA22CF">
        <w:t xml:space="preserve">mutation carriers underwent clinical assessment including physical examination, 12-lead ECG, </w:t>
      </w:r>
      <w:r w:rsidR="00011CAA">
        <w:t xml:space="preserve">signal-averaged ECG, </w:t>
      </w:r>
      <w:r w:rsidR="00FA22CF">
        <w:t>echocardiography, cardia</w:t>
      </w:r>
      <w:r w:rsidR="00011CAA">
        <w:t xml:space="preserve">c magnetic resonance </w:t>
      </w:r>
      <w:r w:rsidR="003467FE">
        <w:t xml:space="preserve">imaging (MRI) </w:t>
      </w:r>
      <w:r w:rsidR="00011CAA">
        <w:t>and 24h Holter-monitoring.</w:t>
      </w:r>
    </w:p>
    <w:p w14:paraId="22BE0A7D" w14:textId="7CE0B6D0" w:rsidR="00E43C8A" w:rsidRDefault="00045810">
      <w:r w:rsidRPr="00E83EA4">
        <w:rPr>
          <w:b/>
        </w:rPr>
        <w:t>Results</w:t>
      </w:r>
      <w:r>
        <w:t>:</w:t>
      </w:r>
      <w:r w:rsidR="00525980">
        <w:t xml:space="preserve"> </w:t>
      </w:r>
      <w:r w:rsidR="00117969">
        <w:t xml:space="preserve">Two </w:t>
      </w:r>
      <w:r w:rsidR="00117969" w:rsidRPr="00CC028B">
        <w:rPr>
          <w:i/>
        </w:rPr>
        <w:t>DES</w:t>
      </w:r>
      <w:r w:rsidR="00117969">
        <w:t xml:space="preserve"> gene variants, </w:t>
      </w:r>
      <w:r w:rsidR="00117969" w:rsidRPr="00117969">
        <w:t>p.Ser298Leu</w:t>
      </w:r>
      <w:r w:rsidR="00117969">
        <w:t xml:space="preserve"> (n=1) and p.Leu115Ile (n=3), were identified in 4 out of the 138 probands (3%). The former coexisted with a pathogenic DSP gene mutation and has not been further evaluated. The latter </w:t>
      </w:r>
      <w:r w:rsidR="00B90F16">
        <w:t xml:space="preserve">is a novel </w:t>
      </w:r>
      <w:r w:rsidR="00117969">
        <w:t>variant</w:t>
      </w:r>
      <w:r w:rsidR="00B90F16">
        <w:t>, absent in control databases (</w:t>
      </w:r>
      <w:proofErr w:type="spellStart"/>
      <w:r w:rsidR="00B90F16">
        <w:t>gnomAD</w:t>
      </w:r>
      <w:proofErr w:type="spellEnd"/>
      <w:r w:rsidR="00B90F16">
        <w:t>)</w:t>
      </w:r>
      <w:r w:rsidR="00117969">
        <w:t xml:space="preserve"> </w:t>
      </w:r>
      <w:r w:rsidR="00B90F16">
        <w:t xml:space="preserve">and </w:t>
      </w:r>
      <w:r w:rsidR="00117969">
        <w:t>was the only variant present in 3 unrelated families</w:t>
      </w:r>
      <w:r w:rsidR="00644C1C">
        <w:t xml:space="preserve"> (see figure)</w:t>
      </w:r>
      <w:r w:rsidR="00117969">
        <w:t xml:space="preserve">. </w:t>
      </w:r>
      <w:r w:rsidR="00644C1C">
        <w:t xml:space="preserve">One carrier required heart transplant (A-II-1), two died suddenly (A-III-1, B-II-1) and one died of non-cardiac causes (B-I-2). Detailed clinical information </w:t>
      </w:r>
      <w:r w:rsidR="008765A3">
        <w:t>was</w:t>
      </w:r>
      <w:r w:rsidR="00644C1C">
        <w:t xml:space="preserve"> present in 8 mutation carriers</w:t>
      </w:r>
      <w:r w:rsidR="008765A3">
        <w:t xml:space="preserve"> (2 male, age 45</w:t>
      </w:r>
      <w:r w:rsidR="00407F80" w:rsidRPr="00407F80">
        <w:t xml:space="preserve"> ± </w:t>
      </w:r>
      <w:r w:rsidR="00407F80">
        <w:t>19 years)</w:t>
      </w:r>
      <w:r w:rsidR="00644C1C">
        <w:t xml:space="preserve">. </w:t>
      </w:r>
      <w:r w:rsidR="008765A3">
        <w:t xml:space="preserve">Seven (88%) </w:t>
      </w:r>
      <w:r w:rsidR="00B90F16">
        <w:t>had</w:t>
      </w:r>
      <w:r w:rsidR="008765A3">
        <w:t xml:space="preserve"> a definite diagnosis and one </w:t>
      </w:r>
      <w:r w:rsidR="00B90F16">
        <w:t xml:space="preserve">had a </w:t>
      </w:r>
      <w:r w:rsidR="008765A3">
        <w:t xml:space="preserve">borderline diagnosis of AC. </w:t>
      </w:r>
      <w:r w:rsidR="00644C1C">
        <w:t xml:space="preserve">All cases </w:t>
      </w:r>
      <w:r w:rsidR="008765A3">
        <w:t xml:space="preserve">(100%) </w:t>
      </w:r>
      <w:r w:rsidR="00644C1C">
        <w:t xml:space="preserve">had right ventricular </w:t>
      </w:r>
      <w:r w:rsidR="008765A3">
        <w:t xml:space="preserve">(RV) </w:t>
      </w:r>
      <w:r w:rsidR="00644C1C">
        <w:t>wall motion abnormalities, 6</w:t>
      </w:r>
      <w:r w:rsidR="008765A3">
        <w:t xml:space="preserve"> (75%)</w:t>
      </w:r>
      <w:r w:rsidR="00644C1C">
        <w:t xml:space="preserve"> had </w:t>
      </w:r>
      <w:r w:rsidR="00B90F16">
        <w:t xml:space="preserve">a </w:t>
      </w:r>
      <w:r w:rsidR="00644C1C">
        <w:t>dilated RV</w:t>
      </w:r>
      <w:r w:rsidR="008765A3">
        <w:t xml:space="preserve">, 6 (75%) </w:t>
      </w:r>
      <w:r w:rsidR="00ED2E3A">
        <w:t xml:space="preserve">a </w:t>
      </w:r>
      <w:r w:rsidR="008765A3">
        <w:t>dilated</w:t>
      </w:r>
      <w:r w:rsidR="00CC028B">
        <w:t xml:space="preserve"> </w:t>
      </w:r>
      <w:r w:rsidR="008765A3">
        <w:t xml:space="preserve">LV and 6 (75%) </w:t>
      </w:r>
      <w:r w:rsidR="00B90F16">
        <w:t xml:space="preserve">had </w:t>
      </w:r>
      <w:r w:rsidR="008765A3">
        <w:t>LV dysfunction</w:t>
      </w:r>
      <w:r w:rsidR="00B90F16">
        <w:t xml:space="preserve"> (</w:t>
      </w:r>
      <w:r w:rsidR="008765A3">
        <w:t>mild in 5 and severe in 1</w:t>
      </w:r>
      <w:r w:rsidR="00B90F16">
        <w:t>)</w:t>
      </w:r>
      <w:r w:rsidR="008765A3">
        <w:t xml:space="preserve">. LV late gadolinium enhancement (LGE) was present in all 6 </w:t>
      </w:r>
      <w:r w:rsidR="00B90F16">
        <w:t>carriers</w:t>
      </w:r>
      <w:r w:rsidR="008765A3">
        <w:t xml:space="preserve"> that had a cardiac MRI</w:t>
      </w:r>
      <w:r w:rsidR="00407F80">
        <w:t xml:space="preserve"> </w:t>
      </w:r>
      <w:r w:rsidR="00ED2E3A">
        <w:t>with</w:t>
      </w:r>
      <w:r w:rsidR="00407F80">
        <w:t xml:space="preserve"> a circumferential sub-epicardial distribution</w:t>
      </w:r>
      <w:r w:rsidR="00053E93">
        <w:t xml:space="preserve"> (see figure, case A-III-2)</w:t>
      </w:r>
      <w:r w:rsidR="008765A3">
        <w:t>. Non-sustained ventricular tachycardia (VT) was present in 7 (88%) and sustained VT in 2 cases (25%). The ventricular ectopic burden per 24h ranged from 4</w:t>
      </w:r>
      <w:r w:rsidR="00B04928">
        <w:t>26</w:t>
      </w:r>
      <w:r w:rsidR="008765A3">
        <w:t xml:space="preserve"> to 10583 with a </w:t>
      </w:r>
      <w:r w:rsidR="00CC028B">
        <w:t>median value</w:t>
      </w:r>
      <w:r w:rsidR="008765A3">
        <w:t xml:space="preserve"> of </w:t>
      </w:r>
      <w:r w:rsidR="00255340">
        <w:t>820</w:t>
      </w:r>
      <w:r w:rsidR="008765A3">
        <w:t xml:space="preserve">. </w:t>
      </w:r>
    </w:p>
    <w:p w14:paraId="1ADA15DE" w14:textId="52E969C0" w:rsidR="00045810" w:rsidRDefault="00045810">
      <w:r w:rsidRPr="0082616A">
        <w:rPr>
          <w:b/>
        </w:rPr>
        <w:t>Conclusion</w:t>
      </w:r>
      <w:r>
        <w:t>:</w:t>
      </w:r>
      <w:r w:rsidR="006A1AD8">
        <w:t xml:space="preserve"> </w:t>
      </w:r>
      <w:r w:rsidR="00865235">
        <w:t xml:space="preserve">Variants of the </w:t>
      </w:r>
      <w:r w:rsidR="00865235" w:rsidRPr="00CC028B">
        <w:rPr>
          <w:i/>
        </w:rPr>
        <w:t xml:space="preserve">DES </w:t>
      </w:r>
      <w:r w:rsidR="00865235">
        <w:t xml:space="preserve">gene are rare causes of AC.  </w:t>
      </w:r>
      <w:r w:rsidR="00006EDB">
        <w:t xml:space="preserve">The novel </w:t>
      </w:r>
      <w:proofErr w:type="gramStart"/>
      <w:r w:rsidR="00006EDB">
        <w:t>p</w:t>
      </w:r>
      <w:r w:rsidR="00865235">
        <w:t>.Leu</w:t>
      </w:r>
      <w:proofErr w:type="gramEnd"/>
      <w:r w:rsidR="00865235">
        <w:t xml:space="preserve">115Ile </w:t>
      </w:r>
      <w:r w:rsidR="00006EDB">
        <w:t xml:space="preserve">variant </w:t>
      </w:r>
      <w:r w:rsidR="00865235">
        <w:t xml:space="preserve">seems to be prevalent in </w:t>
      </w:r>
      <w:r w:rsidR="00A261A1">
        <w:t xml:space="preserve">a </w:t>
      </w:r>
      <w:r w:rsidR="00ED2E3A">
        <w:t xml:space="preserve">large </w:t>
      </w:r>
      <w:r w:rsidR="00A261A1">
        <w:t>UK-based cohort</w:t>
      </w:r>
      <w:r w:rsidR="00865235">
        <w:t xml:space="preserve"> and it causes a biventricular form of AC</w:t>
      </w:r>
      <w:r w:rsidR="00EE5761">
        <w:t>, with a characteristic scar pattern on MRI</w:t>
      </w:r>
      <w:r w:rsidR="00764C5E">
        <w:t xml:space="preserve"> and severe outcome</w:t>
      </w:r>
      <w:r w:rsidR="003467FE">
        <w:t>s</w:t>
      </w:r>
      <w:r w:rsidR="00865235">
        <w:t xml:space="preserve">. </w:t>
      </w:r>
    </w:p>
    <w:bookmarkEnd w:id="0"/>
    <w:p w14:paraId="13472A15" w14:textId="2C2615DC" w:rsidR="00407F80" w:rsidRDefault="00407F80"/>
    <w:p w14:paraId="4C217588" w14:textId="5AF8D395" w:rsidR="00407F80" w:rsidRDefault="00053E93">
      <w:r>
        <w:rPr>
          <w:noProof/>
          <w:lang w:eastAsia="en-GB"/>
        </w:rPr>
        <w:lastRenderedPageBreak/>
        <w:drawing>
          <wp:inline distT="0" distB="0" distL="0" distR="0" wp14:anchorId="16D9EEAC" wp14:editId="27DBBFEC">
            <wp:extent cx="5560541" cy="31800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111" cy="32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F80" w:rsidSect="009707F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810"/>
    <w:rsid w:val="00006EDB"/>
    <w:rsid w:val="00007767"/>
    <w:rsid w:val="00011CAA"/>
    <w:rsid w:val="00016EEB"/>
    <w:rsid w:val="0002445F"/>
    <w:rsid w:val="000258D0"/>
    <w:rsid w:val="0003095D"/>
    <w:rsid w:val="00045810"/>
    <w:rsid w:val="00045FD2"/>
    <w:rsid w:val="00053E93"/>
    <w:rsid w:val="00056186"/>
    <w:rsid w:val="0006147F"/>
    <w:rsid w:val="000878DD"/>
    <w:rsid w:val="00087DB8"/>
    <w:rsid w:val="000A126D"/>
    <w:rsid w:val="000B2389"/>
    <w:rsid w:val="000B4554"/>
    <w:rsid w:val="000C1C8E"/>
    <w:rsid w:val="000C60A4"/>
    <w:rsid w:val="000D14BC"/>
    <w:rsid w:val="000E0FF1"/>
    <w:rsid w:val="000E56C2"/>
    <w:rsid w:val="000F2C3D"/>
    <w:rsid w:val="000F6649"/>
    <w:rsid w:val="00104531"/>
    <w:rsid w:val="00113DBF"/>
    <w:rsid w:val="001175BB"/>
    <w:rsid w:val="00117969"/>
    <w:rsid w:val="00117ECF"/>
    <w:rsid w:val="00123B6F"/>
    <w:rsid w:val="00125BA5"/>
    <w:rsid w:val="00134DC5"/>
    <w:rsid w:val="001425BE"/>
    <w:rsid w:val="00150B0F"/>
    <w:rsid w:val="001521C5"/>
    <w:rsid w:val="001641F2"/>
    <w:rsid w:val="00175F15"/>
    <w:rsid w:val="00190B89"/>
    <w:rsid w:val="00192C6D"/>
    <w:rsid w:val="001A4AA6"/>
    <w:rsid w:val="001B2D60"/>
    <w:rsid w:val="001B634E"/>
    <w:rsid w:val="001C30C0"/>
    <w:rsid w:val="001D6D10"/>
    <w:rsid w:val="001D7E3F"/>
    <w:rsid w:val="001E4C44"/>
    <w:rsid w:val="001E7BFE"/>
    <w:rsid w:val="001F625D"/>
    <w:rsid w:val="002035D2"/>
    <w:rsid w:val="00215A79"/>
    <w:rsid w:val="00216449"/>
    <w:rsid w:val="00221D1A"/>
    <w:rsid w:val="002472EA"/>
    <w:rsid w:val="00250D74"/>
    <w:rsid w:val="00255340"/>
    <w:rsid w:val="00266126"/>
    <w:rsid w:val="00273A39"/>
    <w:rsid w:val="00286193"/>
    <w:rsid w:val="002B304F"/>
    <w:rsid w:val="002B752F"/>
    <w:rsid w:val="002C3726"/>
    <w:rsid w:val="002E2D4E"/>
    <w:rsid w:val="0030128B"/>
    <w:rsid w:val="00302742"/>
    <w:rsid w:val="00310F61"/>
    <w:rsid w:val="00330945"/>
    <w:rsid w:val="00331695"/>
    <w:rsid w:val="00345253"/>
    <w:rsid w:val="003467FE"/>
    <w:rsid w:val="00355BE4"/>
    <w:rsid w:val="003601AB"/>
    <w:rsid w:val="00380747"/>
    <w:rsid w:val="0038570C"/>
    <w:rsid w:val="003858D7"/>
    <w:rsid w:val="003927B2"/>
    <w:rsid w:val="00392DB9"/>
    <w:rsid w:val="003B272B"/>
    <w:rsid w:val="003D5970"/>
    <w:rsid w:val="003E1A40"/>
    <w:rsid w:val="00407F80"/>
    <w:rsid w:val="00424B10"/>
    <w:rsid w:val="00424D23"/>
    <w:rsid w:val="00434BF0"/>
    <w:rsid w:val="004438E4"/>
    <w:rsid w:val="00447FF6"/>
    <w:rsid w:val="00451B8D"/>
    <w:rsid w:val="00461DA5"/>
    <w:rsid w:val="004640D7"/>
    <w:rsid w:val="0046639F"/>
    <w:rsid w:val="00487443"/>
    <w:rsid w:val="004A598C"/>
    <w:rsid w:val="004B3FD8"/>
    <w:rsid w:val="004D2069"/>
    <w:rsid w:val="004D74B7"/>
    <w:rsid w:val="004E6BB3"/>
    <w:rsid w:val="004F7798"/>
    <w:rsid w:val="00510411"/>
    <w:rsid w:val="0051696D"/>
    <w:rsid w:val="00525980"/>
    <w:rsid w:val="00530540"/>
    <w:rsid w:val="00574160"/>
    <w:rsid w:val="005844BE"/>
    <w:rsid w:val="00596E00"/>
    <w:rsid w:val="005B1474"/>
    <w:rsid w:val="005B1BCE"/>
    <w:rsid w:val="005D0492"/>
    <w:rsid w:val="005F06A7"/>
    <w:rsid w:val="00605773"/>
    <w:rsid w:val="006233C1"/>
    <w:rsid w:val="0063113F"/>
    <w:rsid w:val="00644C1C"/>
    <w:rsid w:val="006676CA"/>
    <w:rsid w:val="00672838"/>
    <w:rsid w:val="00687C89"/>
    <w:rsid w:val="0069031C"/>
    <w:rsid w:val="00691B52"/>
    <w:rsid w:val="00694879"/>
    <w:rsid w:val="006A1AD8"/>
    <w:rsid w:val="006B0ADB"/>
    <w:rsid w:val="006D2557"/>
    <w:rsid w:val="006D7D56"/>
    <w:rsid w:val="00711CB3"/>
    <w:rsid w:val="00712B2E"/>
    <w:rsid w:val="00714BFA"/>
    <w:rsid w:val="00725DA1"/>
    <w:rsid w:val="00731B9E"/>
    <w:rsid w:val="00744C37"/>
    <w:rsid w:val="0076293B"/>
    <w:rsid w:val="00764C5E"/>
    <w:rsid w:val="00782559"/>
    <w:rsid w:val="00782DA5"/>
    <w:rsid w:val="007A5D74"/>
    <w:rsid w:val="007B4C3A"/>
    <w:rsid w:val="007D1BD7"/>
    <w:rsid w:val="007E2FAA"/>
    <w:rsid w:val="007E4FDD"/>
    <w:rsid w:val="008166E9"/>
    <w:rsid w:val="0082616A"/>
    <w:rsid w:val="008302A3"/>
    <w:rsid w:val="00841913"/>
    <w:rsid w:val="008420F4"/>
    <w:rsid w:val="008438E8"/>
    <w:rsid w:val="0086224D"/>
    <w:rsid w:val="00865235"/>
    <w:rsid w:val="008729DD"/>
    <w:rsid w:val="008765A3"/>
    <w:rsid w:val="008A591A"/>
    <w:rsid w:val="008E0640"/>
    <w:rsid w:val="008E3A5E"/>
    <w:rsid w:val="008E4162"/>
    <w:rsid w:val="008E703D"/>
    <w:rsid w:val="008F1044"/>
    <w:rsid w:val="008F2181"/>
    <w:rsid w:val="00905922"/>
    <w:rsid w:val="00920EA4"/>
    <w:rsid w:val="009249D1"/>
    <w:rsid w:val="00930D8B"/>
    <w:rsid w:val="009377C9"/>
    <w:rsid w:val="009635FB"/>
    <w:rsid w:val="00963AB8"/>
    <w:rsid w:val="009707F3"/>
    <w:rsid w:val="0099507E"/>
    <w:rsid w:val="009C2490"/>
    <w:rsid w:val="009E1DE9"/>
    <w:rsid w:val="00A03FBD"/>
    <w:rsid w:val="00A261A1"/>
    <w:rsid w:val="00A42BCF"/>
    <w:rsid w:val="00A62A7A"/>
    <w:rsid w:val="00A96DBE"/>
    <w:rsid w:val="00AB3775"/>
    <w:rsid w:val="00AB3BEC"/>
    <w:rsid w:val="00AD0781"/>
    <w:rsid w:val="00B04928"/>
    <w:rsid w:val="00B1656C"/>
    <w:rsid w:val="00B2504B"/>
    <w:rsid w:val="00B33697"/>
    <w:rsid w:val="00B345E7"/>
    <w:rsid w:val="00B37D79"/>
    <w:rsid w:val="00B76B52"/>
    <w:rsid w:val="00B90F16"/>
    <w:rsid w:val="00BE558C"/>
    <w:rsid w:val="00BF6D50"/>
    <w:rsid w:val="00C04D30"/>
    <w:rsid w:val="00C07861"/>
    <w:rsid w:val="00C43740"/>
    <w:rsid w:val="00C65F47"/>
    <w:rsid w:val="00C70294"/>
    <w:rsid w:val="00CC028B"/>
    <w:rsid w:val="00CE0A3F"/>
    <w:rsid w:val="00D32253"/>
    <w:rsid w:val="00D34D3B"/>
    <w:rsid w:val="00D34E1A"/>
    <w:rsid w:val="00D40C84"/>
    <w:rsid w:val="00D41807"/>
    <w:rsid w:val="00D4207A"/>
    <w:rsid w:val="00D57CC5"/>
    <w:rsid w:val="00D6444F"/>
    <w:rsid w:val="00D7049E"/>
    <w:rsid w:val="00D863D0"/>
    <w:rsid w:val="00D947F1"/>
    <w:rsid w:val="00DB41BF"/>
    <w:rsid w:val="00DC194B"/>
    <w:rsid w:val="00DC6DB2"/>
    <w:rsid w:val="00DD3E71"/>
    <w:rsid w:val="00DD7600"/>
    <w:rsid w:val="00DF01C9"/>
    <w:rsid w:val="00DF0915"/>
    <w:rsid w:val="00E02C66"/>
    <w:rsid w:val="00E051E0"/>
    <w:rsid w:val="00E107B3"/>
    <w:rsid w:val="00E218A3"/>
    <w:rsid w:val="00E34D7D"/>
    <w:rsid w:val="00E43C8A"/>
    <w:rsid w:val="00E55215"/>
    <w:rsid w:val="00E73206"/>
    <w:rsid w:val="00E74F2E"/>
    <w:rsid w:val="00E83EA4"/>
    <w:rsid w:val="00EB7F82"/>
    <w:rsid w:val="00EB7FAD"/>
    <w:rsid w:val="00EC3762"/>
    <w:rsid w:val="00EC49C7"/>
    <w:rsid w:val="00ED2E3A"/>
    <w:rsid w:val="00ED2E56"/>
    <w:rsid w:val="00EE5761"/>
    <w:rsid w:val="00F05604"/>
    <w:rsid w:val="00F06409"/>
    <w:rsid w:val="00F12648"/>
    <w:rsid w:val="00F34703"/>
    <w:rsid w:val="00F40392"/>
    <w:rsid w:val="00F509AA"/>
    <w:rsid w:val="00F7202C"/>
    <w:rsid w:val="00F75101"/>
    <w:rsid w:val="00FA14AE"/>
    <w:rsid w:val="00FA22CF"/>
    <w:rsid w:val="00FA26D7"/>
    <w:rsid w:val="00FB298F"/>
    <w:rsid w:val="00FC4E6D"/>
    <w:rsid w:val="00FD098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8E9B"/>
  <w14:defaultImageDpi w14:val="32767"/>
  <w15:docId w15:val="{0C475155-9FFF-9B45-99E1-FBFDC15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F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8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Protonotarios, Alexandros</dc:creator>
  <cp:lastModifiedBy>Protonotarios, Alexandros</cp:lastModifiedBy>
  <cp:revision>5</cp:revision>
  <dcterms:created xsi:type="dcterms:W3CDTF">2019-02-14T13:06:00Z</dcterms:created>
  <dcterms:modified xsi:type="dcterms:W3CDTF">2019-02-14T17:43:00Z</dcterms:modified>
</cp:coreProperties>
</file>