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0D75D" w14:textId="6514518C" w:rsidR="00362E9F" w:rsidRPr="00D74DC0" w:rsidRDefault="00B3395D">
      <w:r w:rsidRPr="005426B1">
        <w:t xml:space="preserve">We thank </w:t>
      </w:r>
      <w:r w:rsidR="008E52EB">
        <w:t xml:space="preserve"> B</w:t>
      </w:r>
      <w:r w:rsidR="00124D12">
        <w:t>en</w:t>
      </w:r>
      <w:r w:rsidR="007D5349">
        <w:t>jamin Teh</w:t>
      </w:r>
      <w:r w:rsidRPr="005426B1">
        <w:t xml:space="preserve"> </w:t>
      </w:r>
      <w:r w:rsidR="00124D12">
        <w:t>,</w:t>
      </w:r>
      <w:r w:rsidR="007D5349">
        <w:t xml:space="preserve"> Werner C</w:t>
      </w:r>
      <w:r w:rsidRPr="005426B1">
        <w:t xml:space="preserve"> Albrich</w:t>
      </w:r>
      <w:r w:rsidR="008E52EB">
        <w:t xml:space="preserve"> and respective colleagues</w:t>
      </w:r>
      <w:r w:rsidRPr="005426B1">
        <w:t xml:space="preserve"> for their </w:t>
      </w:r>
      <w:r w:rsidR="007F5006">
        <w:t>comments</w:t>
      </w:r>
      <w:r w:rsidRPr="005426B1">
        <w:t xml:space="preserve">. This </w:t>
      </w:r>
      <w:r>
        <w:t>randomised multi-centre placebo-</w:t>
      </w:r>
      <w:r w:rsidRPr="005426B1">
        <w:t>control</w:t>
      </w:r>
      <w:r>
        <w:t>led</w:t>
      </w:r>
      <w:r w:rsidR="00DE49F1">
        <w:t xml:space="preserve"> trial</w:t>
      </w:r>
      <w:r w:rsidRPr="005426B1">
        <w:t xml:space="preserve"> found levofloxacin reduced fever or death at 12 weeks </w:t>
      </w:r>
      <w:r>
        <w:t>and</w:t>
      </w:r>
      <w:r w:rsidR="00DE49F1">
        <w:t xml:space="preserve"> also</w:t>
      </w:r>
      <w:r w:rsidRPr="005426B1">
        <w:t xml:space="preserve"> reduced deaths by 64%</w:t>
      </w:r>
      <w:r w:rsidR="00A36591">
        <w:rPr>
          <w:vertAlign w:val="superscript"/>
        </w:rPr>
        <w:t>1</w:t>
      </w:r>
      <w:r w:rsidRPr="005426B1">
        <w:t xml:space="preserve">. </w:t>
      </w:r>
      <w:r w:rsidR="00DE49F1">
        <w:t xml:space="preserve">This </w:t>
      </w:r>
      <w:r w:rsidR="001A714F">
        <w:t>survival benefit</w:t>
      </w:r>
      <w:r w:rsidR="00DE49F1">
        <w:t xml:space="preserve"> was not maintained at 12 months, but</w:t>
      </w:r>
      <w:r w:rsidR="001A714F">
        <w:t xml:space="preserve"> </w:t>
      </w:r>
      <w:r w:rsidR="00F5207A">
        <w:t xml:space="preserve">this </w:t>
      </w:r>
      <w:r w:rsidR="003245AA">
        <w:t>may be obscured by</w:t>
      </w:r>
      <w:r w:rsidR="001A714F">
        <w:t xml:space="preserve"> later events</w:t>
      </w:r>
      <w:r w:rsidR="008E52EB">
        <w:t>.</w:t>
      </w:r>
      <w:r w:rsidR="004A3FD0">
        <w:t xml:space="preserve"> </w:t>
      </w:r>
      <w:r w:rsidR="003245AA">
        <w:t>Alternatively</w:t>
      </w:r>
      <w:r w:rsidR="002E6CB2">
        <w:t>,</w:t>
      </w:r>
      <w:r w:rsidR="003245AA">
        <w:t xml:space="preserve"> it could be that </w:t>
      </w:r>
      <w:r w:rsidR="00DE6F68">
        <w:t>prophyla</w:t>
      </w:r>
      <w:r w:rsidR="00BD7828">
        <w:t>xis</w:t>
      </w:r>
      <w:r w:rsidR="003245AA">
        <w:t xml:space="preserve"> was stopped too</w:t>
      </w:r>
      <w:r w:rsidR="00710260">
        <w:t xml:space="preserve"> early</w:t>
      </w:r>
      <w:r w:rsidR="003245AA">
        <w:t>.</w:t>
      </w:r>
      <w:r w:rsidR="00DA76A0">
        <w:t xml:space="preserve"> </w:t>
      </w:r>
      <w:r w:rsidR="00B940F8">
        <w:t xml:space="preserve">The early divergence of the Kaplan-Meier curves </w:t>
      </w:r>
      <w:r w:rsidR="00CB7073">
        <w:t>is</w:t>
      </w:r>
      <w:r w:rsidR="00B940F8">
        <w:t xml:space="preserve"> compatible with the known</w:t>
      </w:r>
      <w:r w:rsidR="009F67AA">
        <w:t xml:space="preserve"> infectious</w:t>
      </w:r>
      <w:r w:rsidR="00B940F8">
        <w:t xml:space="preserve"> risk being highest at the start of treatment</w:t>
      </w:r>
      <w:r w:rsidR="00A36591">
        <w:rPr>
          <w:vertAlign w:val="superscript"/>
        </w:rPr>
        <w:t>2</w:t>
      </w:r>
      <w:r w:rsidR="009E165E">
        <w:t>.</w:t>
      </w:r>
    </w:p>
    <w:p w14:paraId="3FC3104F" w14:textId="23439DF1" w:rsidR="00C67835" w:rsidRDefault="00AF0101">
      <w:r>
        <w:t>The difference in deaths with active myeloma in 29/40 levofloxacin versus 15/39 placebo patients should be treated with caution as the attribution of cause of death can be inaccurate in 41% of cases</w:t>
      </w:r>
      <w:r>
        <w:rPr>
          <w:vertAlign w:val="superscript"/>
        </w:rPr>
        <w:t>3</w:t>
      </w:r>
      <w:r w:rsidR="003245AA">
        <w:t>:</w:t>
      </w:r>
      <w:r w:rsidR="00CB7073">
        <w:t xml:space="preserve"> Consequently w</w:t>
      </w:r>
      <w:r w:rsidR="002D104E">
        <w:t>e</w:t>
      </w:r>
      <w:r w:rsidR="002F4E7C">
        <w:t xml:space="preserve"> </w:t>
      </w:r>
      <w:r w:rsidR="001A714F">
        <w:t>read</w:t>
      </w:r>
      <w:r w:rsidR="002F4E7C">
        <w:t xml:space="preserve"> no</w:t>
      </w:r>
      <w:r w:rsidR="003E6B85">
        <w:t xml:space="preserve"> further</w:t>
      </w:r>
      <w:r w:rsidR="001A714F">
        <w:t xml:space="preserve"> into these data</w:t>
      </w:r>
      <w:r w:rsidR="003E6B85">
        <w:t xml:space="preserve"> </w:t>
      </w:r>
      <w:r w:rsidR="002D104E">
        <w:t>especially as overall</w:t>
      </w:r>
      <w:r w:rsidR="00C67835">
        <w:t xml:space="preserve"> survival of both groups was</w:t>
      </w:r>
      <w:r w:rsidR="002D104E">
        <w:t xml:space="preserve"> similar at 12 months. </w:t>
      </w:r>
      <w:r w:rsidR="00FE461A">
        <w:t>D</w:t>
      </w:r>
      <w:r w:rsidR="00C67835">
        <w:t>ata on</w:t>
      </w:r>
      <w:r w:rsidR="007C64AC">
        <w:t xml:space="preserve"> how </w:t>
      </w:r>
      <w:r w:rsidR="00C67835">
        <w:t xml:space="preserve"> antibiotics</w:t>
      </w:r>
      <w:r w:rsidR="00B37FC7">
        <w:t xml:space="preserve"> </w:t>
      </w:r>
      <w:r w:rsidR="007C64AC">
        <w:t>affect the</w:t>
      </w:r>
      <w:r w:rsidR="00B37FC7">
        <w:t xml:space="preserve"> microbiome</w:t>
      </w:r>
      <w:r w:rsidR="00C67835">
        <w:t xml:space="preserve"> during cancer treatment is conflicting with reports of enhanced and reduc</w:t>
      </w:r>
      <w:r w:rsidR="00EE67F3">
        <w:t>ed efficacy</w:t>
      </w:r>
      <w:r w:rsidR="00EE67F3">
        <w:rPr>
          <w:vertAlign w:val="superscript"/>
        </w:rPr>
        <w:t>4</w:t>
      </w:r>
      <w:r w:rsidR="00C67835">
        <w:t>.</w:t>
      </w:r>
      <w:r w:rsidR="00A233C0">
        <w:t xml:space="preserve"> Firm conclusions on the influence of the microbiome await prospective randomised</w:t>
      </w:r>
      <w:r w:rsidR="002F4E7C">
        <w:t xml:space="preserve"> </w:t>
      </w:r>
      <w:r w:rsidR="00A233C0">
        <w:t>trials.</w:t>
      </w:r>
    </w:p>
    <w:p w14:paraId="3955748D" w14:textId="6AC8042E" w:rsidR="00A233C0" w:rsidRDefault="007902D0" w:rsidP="00CF6A72">
      <w:r>
        <w:t>T</w:t>
      </w:r>
      <w:r w:rsidR="00A233C0">
        <w:t xml:space="preserve">he FDA alert on fluoroquinolones </w:t>
      </w:r>
      <w:r w:rsidR="00DA1327">
        <w:t>outlines risks of toxicity</w:t>
      </w:r>
      <w:r w:rsidR="00A233C0">
        <w:t xml:space="preserve">, </w:t>
      </w:r>
      <w:r w:rsidR="00DE6F68">
        <w:t xml:space="preserve">although </w:t>
      </w:r>
      <w:r w:rsidR="009666F9">
        <w:t xml:space="preserve"> </w:t>
      </w:r>
      <w:r w:rsidR="00A233C0">
        <w:t>the data on w</w:t>
      </w:r>
      <w:r w:rsidR="005244B1">
        <w:t>hich the re</w:t>
      </w:r>
      <w:r w:rsidR="00B37FC7">
        <w:t>port is based is from</w:t>
      </w:r>
      <w:r w:rsidR="00A233C0">
        <w:t xml:space="preserve"> retrospective surveillance with little information on the denominator.</w:t>
      </w:r>
      <w:r w:rsidR="00CF6A72">
        <w:t xml:space="preserve"> </w:t>
      </w:r>
      <w:r w:rsidR="009D2B6E">
        <w:t>T</w:t>
      </w:r>
      <w:r w:rsidR="008E52EB">
        <w:t>he FDA</w:t>
      </w:r>
      <w:r w:rsidR="00CF6A72" w:rsidRPr="00CF6A72">
        <w:t xml:space="preserve"> recommend</w:t>
      </w:r>
      <w:r w:rsidR="008E52EB">
        <w:t>s</w:t>
      </w:r>
      <w:r w:rsidR="00CF6A72" w:rsidRPr="00CF6A72">
        <w:t xml:space="preserve"> quinolones should be used where benefits outweigh risks. It is large randomised studies such as </w:t>
      </w:r>
      <w:r w:rsidR="009F2A84">
        <w:t>TEAMM</w:t>
      </w:r>
      <w:r w:rsidR="009F2A84" w:rsidRPr="00CF6A72">
        <w:t xml:space="preserve"> </w:t>
      </w:r>
      <w:r w:rsidR="00CF6A72" w:rsidRPr="00CF6A72">
        <w:t xml:space="preserve">that can </w:t>
      </w:r>
      <w:r w:rsidR="009F2A84">
        <w:t>provide the evidence</w:t>
      </w:r>
      <w:r w:rsidR="00CF6A72" w:rsidRPr="00CF6A72">
        <w:t xml:space="preserve"> </w:t>
      </w:r>
      <w:r w:rsidR="009F2A84">
        <w:t>to integrate concerns about</w:t>
      </w:r>
      <w:r w:rsidR="00CF6A72" w:rsidRPr="00CF6A72">
        <w:t xml:space="preserve"> the risks of levofloxaci</w:t>
      </w:r>
      <w:r w:rsidR="009F2A84">
        <w:t>n and the prevention of infections and deaths</w:t>
      </w:r>
      <w:r w:rsidR="00CF6A72" w:rsidRPr="00CF6A72">
        <w:fldChar w:fldCharType="begin">
          <w:fldData xml:space="preserve">PEVuZE5vdGU+PENpdGU+PEF1dGhvcj5DdWxsZW48L0F1dGhvcj48WWVhcj4yMDA1PC9ZZWFyPjxS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</w:fldData>
        </w:fldChar>
      </w:r>
      <w:r w:rsidR="00CF6A72" w:rsidRPr="00CF6A72">
        <w:instrText xml:space="preserve"> ADDIN EN.CITE </w:instrText>
      </w:r>
      <w:r w:rsidR="00CF6A72" w:rsidRPr="00CF6A72">
        <w:fldChar w:fldCharType="begin">
          <w:fldData xml:space="preserve">PEVuZE5vdGU+PENpdGU+PEF1dGhvcj5DdWxsZW48L0F1dGhvcj48WWVhcj4yMDA1PC9ZZWFyPjxS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</w:fldData>
        </w:fldChar>
      </w:r>
      <w:r w:rsidR="00CF6A72" w:rsidRPr="00CF6A72">
        <w:instrText xml:space="preserve"> ADDIN EN.CITE.DATA </w:instrText>
      </w:r>
      <w:r w:rsidR="00CF6A72" w:rsidRPr="00CF6A72">
        <w:fldChar w:fldCharType="end"/>
      </w:r>
      <w:r w:rsidR="00CF6A72" w:rsidRPr="00CF6A72">
        <w:fldChar w:fldCharType="separate"/>
      </w:r>
      <w:r w:rsidR="00CF6A72" w:rsidRPr="00CF6A72">
        <w:t>[5]</w:t>
      </w:r>
      <w:r w:rsidR="00CF6A72" w:rsidRPr="00CF6A72">
        <w:fldChar w:fldCharType="end"/>
      </w:r>
      <w:r w:rsidR="00CF6A72" w:rsidRPr="00CF6A72">
        <w:t>.</w:t>
      </w:r>
    </w:p>
    <w:p w14:paraId="1E651480" w14:textId="62666495" w:rsidR="00791703" w:rsidRDefault="00DA1327">
      <w:pPr>
        <w:rPr>
          <w:rFonts w:cs="Cambria"/>
        </w:rPr>
      </w:pPr>
      <w:r>
        <w:t>C</w:t>
      </w:r>
      <w:r w:rsidR="00B940F8">
        <w:t>oncern</w:t>
      </w:r>
      <w:r>
        <w:t>s</w:t>
      </w:r>
      <w:r w:rsidR="00B940F8">
        <w:t xml:space="preserve"> about </w:t>
      </w:r>
      <w:r>
        <w:t>overuse of</w:t>
      </w:r>
      <w:r w:rsidR="00B940F8">
        <w:t xml:space="preserve"> antibiotics</w:t>
      </w:r>
      <w:r w:rsidR="00A36591">
        <w:t xml:space="preserve"> and risk of emergence of resistance </w:t>
      </w:r>
      <w:r>
        <w:t>w</w:t>
      </w:r>
      <w:r w:rsidR="009D2B6E">
        <w:t>ere</w:t>
      </w:r>
      <w:r>
        <w:t xml:space="preserve"> not confirmed in this</w:t>
      </w:r>
      <w:r w:rsidR="00A36591">
        <w:t xml:space="preserve"> study.</w:t>
      </w:r>
      <w:r w:rsidR="00B940F8">
        <w:t xml:space="preserve"> </w:t>
      </w:r>
      <w:r w:rsidR="00CA2C25">
        <w:t>Not only was there no i</w:t>
      </w:r>
      <w:r w:rsidR="00415B78">
        <w:t>ncrease in carriage of resistant organisms, but</w:t>
      </w:r>
      <w:r w:rsidR="00415B78">
        <w:rPr>
          <w:rFonts w:cs="Cambria"/>
        </w:rPr>
        <w:t xml:space="preserve"> c</w:t>
      </w:r>
      <w:r w:rsidR="00EE67F3">
        <w:rPr>
          <w:rFonts w:cs="Cambria"/>
        </w:rPr>
        <w:t>oncerns about resistance</w:t>
      </w:r>
      <w:r w:rsidR="00CA2C25">
        <w:rPr>
          <w:rFonts w:cs="Cambria"/>
        </w:rPr>
        <w:t xml:space="preserve"> in invasive</w:t>
      </w:r>
      <w:r w:rsidR="00D74DC0">
        <w:rPr>
          <w:rFonts w:cs="Cambria"/>
        </w:rPr>
        <w:t xml:space="preserve"> organisms</w:t>
      </w:r>
      <w:r w:rsidR="00EE67F3">
        <w:rPr>
          <w:rFonts w:cs="Cambria"/>
        </w:rPr>
        <w:t xml:space="preserve"> need</w:t>
      </w:r>
      <w:r w:rsidR="00D74DC0">
        <w:rPr>
          <w:rFonts w:cs="Cambria"/>
        </w:rPr>
        <w:t>s</w:t>
      </w:r>
      <w:r w:rsidR="00EE67F3">
        <w:rPr>
          <w:rFonts w:cs="Cambria"/>
        </w:rPr>
        <w:t xml:space="preserve"> to be taken</w:t>
      </w:r>
      <w:r w:rsidR="00E22D77">
        <w:rPr>
          <w:rFonts w:cs="Cambria"/>
        </w:rPr>
        <w:t xml:space="preserve"> within th</w:t>
      </w:r>
      <w:r w:rsidR="00CB7073">
        <w:rPr>
          <w:rFonts w:cs="Cambria"/>
        </w:rPr>
        <w:t xml:space="preserve">e context of </w:t>
      </w:r>
      <w:r w:rsidR="00D74DC0">
        <w:rPr>
          <w:rFonts w:cs="Cambria"/>
        </w:rPr>
        <w:t xml:space="preserve"> total </w:t>
      </w:r>
      <w:r w:rsidR="00415B78">
        <w:rPr>
          <w:rFonts w:cs="Cambria"/>
        </w:rPr>
        <w:t xml:space="preserve">reductions in invasive </w:t>
      </w:r>
      <w:r w:rsidR="00CB7073">
        <w:rPr>
          <w:rFonts w:cs="Cambria"/>
        </w:rPr>
        <w:t xml:space="preserve"> </w:t>
      </w:r>
      <w:r w:rsidR="00415B78">
        <w:rPr>
          <w:rFonts w:cs="Cambria"/>
        </w:rPr>
        <w:t xml:space="preserve">Gram </w:t>
      </w:r>
      <w:r w:rsidR="00E22D77">
        <w:rPr>
          <w:rFonts w:cs="Cambria"/>
        </w:rPr>
        <w:t>negative i</w:t>
      </w:r>
      <w:r w:rsidR="00CB7073">
        <w:rPr>
          <w:rFonts w:cs="Cambria"/>
        </w:rPr>
        <w:t>solates</w:t>
      </w:r>
      <w:r w:rsidR="00EE67F3">
        <w:rPr>
          <w:rFonts w:cs="Cambria"/>
        </w:rPr>
        <w:t xml:space="preserve"> in our study</w:t>
      </w:r>
      <w:r w:rsidR="00492351">
        <w:rPr>
          <w:rFonts w:cs="Cambria"/>
        </w:rPr>
        <w:t xml:space="preserve"> (6 for levofloxacin versus</w:t>
      </w:r>
      <w:r w:rsidR="00E22D77">
        <w:rPr>
          <w:rFonts w:cs="Cambria"/>
        </w:rPr>
        <w:t xml:space="preserve"> 27 for placebo p</w:t>
      </w:r>
      <w:r w:rsidR="00014FB0">
        <w:rPr>
          <w:rFonts w:cs="Cambria"/>
        </w:rPr>
        <w:t>&lt;0.01)</w:t>
      </w:r>
      <w:r w:rsidR="00D74DC0">
        <w:rPr>
          <w:rFonts w:cs="Cambria"/>
        </w:rPr>
        <w:t>:</w:t>
      </w:r>
      <w:r w:rsidR="00014FB0">
        <w:rPr>
          <w:rFonts w:cs="Cambria"/>
        </w:rPr>
        <w:t xml:space="preserve"> </w:t>
      </w:r>
      <w:r w:rsidR="00D74DC0">
        <w:rPr>
          <w:rFonts w:cs="Cambria"/>
        </w:rPr>
        <w:t>I</w:t>
      </w:r>
      <w:r w:rsidR="00A076EB">
        <w:rPr>
          <w:rFonts w:cs="Cambria"/>
        </w:rPr>
        <w:t xml:space="preserve">n this context we detected 3/489 </w:t>
      </w:r>
      <w:r w:rsidR="00B367AA">
        <w:rPr>
          <w:rFonts w:cs="Cambria"/>
        </w:rPr>
        <w:t>invasive fluoroquinolone-resistant</w:t>
      </w:r>
      <w:r w:rsidR="00A36591">
        <w:rPr>
          <w:rFonts w:cs="Cambria"/>
        </w:rPr>
        <w:t xml:space="preserve"> </w:t>
      </w:r>
      <w:r w:rsidR="00B367AA">
        <w:rPr>
          <w:rFonts w:cs="Cambria"/>
        </w:rPr>
        <w:t xml:space="preserve">isolates in the levofloxacin group </w:t>
      </w:r>
      <w:r w:rsidR="00A36591">
        <w:rPr>
          <w:rFonts w:cs="Cambria"/>
        </w:rPr>
        <w:t>v</w:t>
      </w:r>
      <w:r w:rsidR="00492351">
        <w:rPr>
          <w:rFonts w:cs="Cambria"/>
        </w:rPr>
        <w:t>ersu</w:t>
      </w:r>
      <w:r w:rsidR="00A36591">
        <w:rPr>
          <w:rFonts w:cs="Cambria"/>
        </w:rPr>
        <w:t>s 1/</w:t>
      </w:r>
      <w:r w:rsidR="00A076EB">
        <w:rPr>
          <w:rFonts w:cs="Cambria"/>
        </w:rPr>
        <w:t xml:space="preserve">488 </w:t>
      </w:r>
      <w:r w:rsidR="00B367AA">
        <w:rPr>
          <w:rFonts w:cs="Cambria"/>
        </w:rPr>
        <w:t>for placebo</w:t>
      </w:r>
      <w:r w:rsidR="00D74DC0">
        <w:rPr>
          <w:rFonts w:cs="Cambria"/>
        </w:rPr>
        <w:t xml:space="preserve"> which</w:t>
      </w:r>
      <w:r w:rsidR="00E22D77">
        <w:rPr>
          <w:rFonts w:cs="Cambria"/>
        </w:rPr>
        <w:t xml:space="preserve"> does not indicate </w:t>
      </w:r>
      <w:r w:rsidR="00E22D77" w:rsidRPr="00D74DC0">
        <w:rPr>
          <w:rFonts w:cs="Cambria"/>
          <w:iCs/>
        </w:rPr>
        <w:t>emergence</w:t>
      </w:r>
      <w:r w:rsidR="00E22D77">
        <w:rPr>
          <w:rFonts w:cs="Cambria"/>
        </w:rPr>
        <w:t xml:space="preserve"> of resistance.</w:t>
      </w:r>
    </w:p>
    <w:p w14:paraId="2E3B01E9" w14:textId="1A9840D3" w:rsidR="00B367AA" w:rsidRDefault="00DA1327" w:rsidP="00B367AA">
      <w:r>
        <w:t>Co-trimoxazole has a higher incidence of side effects and higher subsequent resistance than fluoroquinolones</w:t>
      </w:r>
      <w:r>
        <w:rPr>
          <w:vertAlign w:val="superscript"/>
        </w:rPr>
        <w:t>5</w:t>
      </w:r>
      <w:r w:rsidR="009D2B6E">
        <w:t xml:space="preserve">. </w:t>
      </w:r>
      <w:r w:rsidR="00E20811">
        <w:t>663</w:t>
      </w:r>
      <w:r w:rsidR="009D2B6E">
        <w:t xml:space="preserve"> patients </w:t>
      </w:r>
      <w:r w:rsidR="00E20811">
        <w:t>did not take</w:t>
      </w:r>
      <w:r w:rsidR="009D2B6E">
        <w:t xml:space="preserve"> Co-trimoxazole as non-randomised prophylaxis against</w:t>
      </w:r>
      <w:r w:rsidR="007902D0">
        <w:t xml:space="preserve"> </w:t>
      </w:r>
      <w:r w:rsidR="007902D0" w:rsidRPr="00E25C55">
        <w:rPr>
          <w:i/>
        </w:rPr>
        <w:t>pneumocystis</w:t>
      </w:r>
      <w:r w:rsidR="009D2B6E">
        <w:t xml:space="preserve"> and with only 2 </w:t>
      </w:r>
      <w:r w:rsidR="00E20811">
        <w:t>patients</w:t>
      </w:r>
      <w:r w:rsidR="009D2B6E">
        <w:t xml:space="preserve"> developing</w:t>
      </w:r>
      <w:r w:rsidR="00E20811">
        <w:t xml:space="preserve"> </w:t>
      </w:r>
      <w:r w:rsidR="00E20811" w:rsidRPr="00E25C55">
        <w:rPr>
          <w:i/>
        </w:rPr>
        <w:t>pneumocystis</w:t>
      </w:r>
      <w:r w:rsidR="00E20811">
        <w:t xml:space="preserve"> </w:t>
      </w:r>
      <w:r w:rsidR="007902D0">
        <w:t>we</w:t>
      </w:r>
      <w:r w:rsidR="00B367AA">
        <w:t xml:space="preserve"> suggest that routine use of co-trimoxazole may be </w:t>
      </w:r>
      <w:r w:rsidR="007902D0">
        <w:t>unnecessary</w:t>
      </w:r>
      <w:r w:rsidR="00D74DC0">
        <w:t>.</w:t>
      </w:r>
    </w:p>
    <w:p w14:paraId="15FDD445" w14:textId="18E623F6" w:rsidR="00B367AA" w:rsidRDefault="00BD7828" w:rsidP="00B367AA">
      <w:pPr>
        <w:rPr>
          <w:rFonts w:cs="Cambria"/>
        </w:rPr>
      </w:pPr>
      <w:r>
        <w:t>I</w:t>
      </w:r>
      <w:r w:rsidR="00B367AA">
        <w:t xml:space="preserve">mportant questions </w:t>
      </w:r>
      <w:r>
        <w:t xml:space="preserve">remain </w:t>
      </w:r>
      <w:r w:rsidR="00B367AA">
        <w:t xml:space="preserve">concerning the </w:t>
      </w:r>
      <w:r w:rsidR="0058053E">
        <w:t>use of</w:t>
      </w:r>
      <w:r w:rsidR="00B367AA">
        <w:t xml:space="preserve"> prophylaxis in myeloma including the </w:t>
      </w:r>
      <w:r w:rsidR="00EA2AB2">
        <w:t>optim</w:t>
      </w:r>
      <w:r w:rsidR="003B00D4">
        <w:t>al</w:t>
      </w:r>
      <w:r w:rsidR="00EA2AB2">
        <w:t xml:space="preserve"> </w:t>
      </w:r>
      <w:r w:rsidR="00B367AA">
        <w:t>duration of prophylaxis, effect on bacterial resistance and</w:t>
      </w:r>
      <w:r w:rsidR="00D74DC0">
        <w:t xml:space="preserve"> the</w:t>
      </w:r>
      <w:r w:rsidR="00B367AA">
        <w:t xml:space="preserve"> microbiome. However, these questions must be answered with further large randomised studies and speculations from observational studies should be guarded. </w:t>
      </w:r>
      <w:r w:rsidR="00686323">
        <w:t>Currently</w:t>
      </w:r>
      <w:r w:rsidR="00B367AA">
        <w:t xml:space="preserve"> we </w:t>
      </w:r>
      <w:r w:rsidR="006021CD">
        <w:t>show</w:t>
      </w:r>
      <w:r w:rsidR="00D74DC0">
        <w:t xml:space="preserve"> a</w:t>
      </w:r>
      <w:r w:rsidR="00B367AA">
        <w:t xml:space="preserve"> </w:t>
      </w:r>
      <w:r w:rsidR="00B255DC">
        <w:t xml:space="preserve">benefit for </w:t>
      </w:r>
      <w:r w:rsidR="00B367AA">
        <w:t>survival</w:t>
      </w:r>
      <w:r w:rsidR="00D74DC0">
        <w:t xml:space="preserve"> and reduced </w:t>
      </w:r>
      <w:r w:rsidR="007D5349">
        <w:t>febrile episode</w:t>
      </w:r>
      <w:r w:rsidR="00B255DC">
        <w:t>s</w:t>
      </w:r>
      <w:r w:rsidR="00B367AA">
        <w:t xml:space="preserve"> from levofloxaicn prophylaxis with little toxicity and no increase in carriage of resistant organisms</w:t>
      </w:r>
      <w:r w:rsidR="00D74DC0">
        <w:t>.</w:t>
      </w:r>
      <w:r w:rsidR="00B367AA">
        <w:t xml:space="preserve"> </w:t>
      </w:r>
      <w:r w:rsidR="00D74DC0">
        <w:t>P</w:t>
      </w:r>
      <w:r w:rsidR="006021CD">
        <w:t xml:space="preserve">rophylaxis </w:t>
      </w:r>
      <w:r w:rsidR="00B367AA">
        <w:t xml:space="preserve">should be </w:t>
      </w:r>
      <w:r w:rsidR="00B255DC">
        <w:t>considered during the early treatment of newly diagnosed myeloma, with due consideration for risks and benefits</w:t>
      </w:r>
      <w:r w:rsidR="00686323">
        <w:t xml:space="preserve"> in the individual</w:t>
      </w:r>
      <w:r w:rsidR="00B255DC">
        <w:t xml:space="preserve">.  </w:t>
      </w:r>
    </w:p>
    <w:p w14:paraId="666B7A90" w14:textId="1B4B7C1F" w:rsidR="009666F9" w:rsidRDefault="009666F9"/>
    <w:p w14:paraId="39E583C2" w14:textId="6C4D1627" w:rsidR="009666F9" w:rsidRDefault="009666F9">
      <w:r>
        <w:t xml:space="preserve">Word count </w:t>
      </w:r>
      <w:r w:rsidR="00314A0F">
        <w:t>–</w:t>
      </w:r>
      <w:r>
        <w:t xml:space="preserve"> </w:t>
      </w:r>
      <w:r w:rsidR="00314A0F">
        <w:t xml:space="preserve"> 4</w:t>
      </w:r>
      <w:r w:rsidR="0014446D">
        <w:t>49</w:t>
      </w:r>
    </w:p>
    <w:p w14:paraId="1B506DDB" w14:textId="77777777" w:rsidR="004725C6" w:rsidRDefault="004725C6">
      <w:r>
        <w:t>References</w:t>
      </w:r>
    </w:p>
    <w:p w14:paraId="77932A52" w14:textId="77777777" w:rsidR="00A36591" w:rsidRPr="00A36591" w:rsidRDefault="00A36591" w:rsidP="00A36591">
      <w:pPr>
        <w:pStyle w:val="EndNoteBibliography"/>
        <w:numPr>
          <w:ilvl w:val="0"/>
          <w:numId w:val="2"/>
        </w:numPr>
        <w:rPr>
          <w:rFonts w:asciiTheme="minorHAnsi" w:hAnsiTheme="minorHAnsi"/>
          <w:i/>
          <w:noProof/>
          <w:sz w:val="22"/>
          <w:szCs w:val="22"/>
        </w:rPr>
      </w:pPr>
      <w:r w:rsidRPr="00A36591">
        <w:rPr>
          <w:rFonts w:asciiTheme="minorHAnsi" w:hAnsiTheme="minorHAnsi"/>
          <w:noProof/>
          <w:sz w:val="22"/>
          <w:szCs w:val="22"/>
        </w:rPr>
        <w:lastRenderedPageBreak/>
        <w:t xml:space="preserve">Drayson MT, Bowcock S, Planche T, Iqbal G, Pratt G, Yong K, et al. Levofloxacin prophylaxis in patients with newly diagnosed myeloma (TEAMM): a multicentre, double-blind, placebo-controlled, randomised, phase 3 trial. </w:t>
      </w:r>
      <w:r w:rsidRPr="00A36591">
        <w:rPr>
          <w:rFonts w:asciiTheme="minorHAnsi" w:hAnsiTheme="minorHAnsi"/>
          <w:i/>
          <w:noProof/>
          <w:sz w:val="22"/>
          <w:szCs w:val="22"/>
        </w:rPr>
        <w:t>Lancet Oncol. 2019;20:1760-72.</w:t>
      </w:r>
    </w:p>
    <w:p w14:paraId="63CB7BBB" w14:textId="77777777" w:rsidR="00F608CD" w:rsidRPr="00A36591" w:rsidRDefault="00F608CD" w:rsidP="00F608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  <w:r w:rsidRPr="00A36591">
        <w:rPr>
          <w:rFonts w:eastAsia="ScalaLancetPro" w:cs="ScalaLancetPro"/>
        </w:rPr>
        <w:t xml:space="preserve">Augustson BM, Begum G, Dunn JA, et al. Early mortality after diagnosis of multiple myeloma: analysis of patients entered onto the United Kingdom Medical Research Council trials between 1980 and 2002—Medical Research Council Adult Leukaemia Working Party. </w:t>
      </w:r>
      <w:r w:rsidRPr="00A36591">
        <w:rPr>
          <w:rFonts w:eastAsia="ScalaLancetPro" w:cs="ScalaLancetPro-Italic"/>
          <w:i/>
          <w:iCs/>
        </w:rPr>
        <w:t xml:space="preserve">J Clin Oncol </w:t>
      </w:r>
      <w:r w:rsidRPr="00A36591">
        <w:rPr>
          <w:rFonts w:eastAsia="ScalaLancetPro" w:cs="ScalaLancetPro"/>
        </w:rPr>
        <w:t xml:space="preserve">2005; </w:t>
      </w:r>
      <w:r w:rsidRPr="00A36591">
        <w:rPr>
          <w:rFonts w:eastAsia="ScalaLancetPro" w:cs="ScalaLancetPro-Bold"/>
          <w:b/>
          <w:bCs/>
        </w:rPr>
        <w:t xml:space="preserve">23: </w:t>
      </w:r>
      <w:r w:rsidRPr="00A36591">
        <w:rPr>
          <w:rFonts w:eastAsia="ScalaLancetPro" w:cs="ScalaLancetPro"/>
        </w:rPr>
        <w:t>9219–26.</w:t>
      </w:r>
    </w:p>
    <w:p w14:paraId="10569D29" w14:textId="77777777" w:rsidR="004725C6" w:rsidRPr="00F608CD" w:rsidRDefault="004725C6" w:rsidP="00F608CD">
      <w:pPr>
        <w:pStyle w:val="ListParagraph"/>
        <w:numPr>
          <w:ilvl w:val="0"/>
          <w:numId w:val="2"/>
        </w:numPr>
        <w:spacing w:after="0" w:line="360" w:lineRule="atLeast"/>
        <w:rPr>
          <w:rFonts w:eastAsia="Times New Roman" w:cs="Times New Roman"/>
          <w:i/>
          <w:iCs/>
          <w:lang w:eastAsia="en-GB"/>
        </w:rPr>
      </w:pPr>
      <w:r w:rsidRPr="00A36591">
        <w:rPr>
          <w:rFonts w:eastAsia="Times New Roman" w:cs="Times New Roman"/>
          <w:lang w:eastAsia="en-GB"/>
        </w:rPr>
        <w:t>Smith Sehdev AE and Hutchins</w:t>
      </w:r>
      <w:r w:rsidRPr="00F608CD">
        <w:rPr>
          <w:rFonts w:eastAsia="Times New Roman" w:cs="Times New Roman"/>
          <w:lang w:eastAsia="en-GB"/>
        </w:rPr>
        <w:t xml:space="preserve"> GM. </w:t>
      </w:r>
      <w:hyperlink r:id="rId5" w:history="1">
        <w:r w:rsidRPr="00F608CD">
          <w:rPr>
            <w:rFonts w:eastAsia="Times New Roman" w:cs="Times New Roman"/>
            <w:lang w:eastAsia="en-GB"/>
          </w:rPr>
          <w:t>Problems with proper completion and accuracy of the cause-of-death statement.</w:t>
        </w:r>
      </w:hyperlink>
      <w:r w:rsidRPr="00F608CD">
        <w:rPr>
          <w:rFonts w:eastAsia="Times New Roman" w:cs="Times New Roman"/>
          <w:lang w:eastAsia="en-GB"/>
        </w:rPr>
        <w:t xml:space="preserve"> </w:t>
      </w:r>
      <w:r w:rsidRPr="00F608CD">
        <w:rPr>
          <w:rFonts w:eastAsia="Times New Roman" w:cs="Times New Roman"/>
          <w:i/>
          <w:iCs/>
          <w:lang w:eastAsia="en-GB"/>
        </w:rPr>
        <w:t>Archives of Internal Medicine. 2010; 161(2): 277-84</w:t>
      </w:r>
    </w:p>
    <w:p w14:paraId="65D7FAC5" w14:textId="77777777" w:rsidR="004725C6" w:rsidRPr="00F608CD" w:rsidRDefault="004725C6" w:rsidP="00F608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CF6A72">
        <w:rPr>
          <w:rFonts w:cs="Cambria"/>
          <w:lang w:val="fr-FR"/>
        </w:rPr>
        <w:t xml:space="preserve">Gori S, Inno A, Belluomini L, et al. </w:t>
      </w:r>
      <w:r w:rsidRPr="00F608CD">
        <w:rPr>
          <w:rFonts w:cs="Cambria"/>
        </w:rPr>
        <w:t xml:space="preserve">Gut microbiota and cancer: How gut microbiota modulates activity, efficacy and toxicity of antitumoral therapy. </w:t>
      </w:r>
      <w:r w:rsidRPr="00F608CD">
        <w:rPr>
          <w:rFonts w:cs="Cambria,Italic"/>
          <w:i/>
          <w:iCs/>
        </w:rPr>
        <w:t xml:space="preserve">Crit Rev Oncol Hematol </w:t>
      </w:r>
      <w:r w:rsidRPr="00F608CD">
        <w:rPr>
          <w:rFonts w:cs="Cambria"/>
        </w:rPr>
        <w:t xml:space="preserve">2019; </w:t>
      </w:r>
      <w:r w:rsidRPr="00F608CD">
        <w:rPr>
          <w:rFonts w:cs="Cambria,Bold"/>
          <w:b/>
          <w:bCs/>
        </w:rPr>
        <w:t>143</w:t>
      </w:r>
      <w:r w:rsidRPr="00F608CD">
        <w:rPr>
          <w:rFonts w:cs="Cambria"/>
        </w:rPr>
        <w:t>: 139-47</w:t>
      </w:r>
    </w:p>
    <w:p w14:paraId="29BC3F58" w14:textId="6457BA32" w:rsidR="00E25C55" w:rsidRPr="00FD1123" w:rsidRDefault="007C14BE" w:rsidP="00F608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CF6A72">
        <w:rPr>
          <w:rFonts w:eastAsia="ScalaLancetPro" w:cs="ScalaLancetPro"/>
          <w:lang w:val="fr-FR"/>
        </w:rPr>
        <w:t xml:space="preserve">Gafter-Gvili A, Fraser A, Paul M, et al. </w:t>
      </w:r>
      <w:r w:rsidRPr="00F608CD">
        <w:rPr>
          <w:rFonts w:eastAsia="ScalaLancetPro" w:cs="ScalaLancetPro"/>
        </w:rPr>
        <w:t xml:space="preserve">Antibiotic prophylaxis for bacterial infections in afebrile neutropenic patients following chemotherapy. </w:t>
      </w:r>
      <w:r w:rsidRPr="00F608CD">
        <w:rPr>
          <w:rFonts w:eastAsia="ScalaLancetPro" w:cs="ScalaLancetPro-Italic"/>
          <w:i/>
          <w:iCs/>
        </w:rPr>
        <w:t xml:space="preserve">Cochrane Database Syst Rev </w:t>
      </w:r>
      <w:r w:rsidRPr="00F608CD">
        <w:rPr>
          <w:rFonts w:eastAsia="ScalaLancetPro" w:cs="ScalaLancetPro"/>
        </w:rPr>
        <w:t xml:space="preserve">2012; </w:t>
      </w:r>
      <w:r w:rsidRPr="00F608CD">
        <w:rPr>
          <w:rFonts w:eastAsia="ScalaLancetPro" w:cs="ScalaLancetPro-Bold"/>
          <w:b/>
          <w:bCs/>
        </w:rPr>
        <w:t xml:space="preserve">1: </w:t>
      </w:r>
      <w:r w:rsidRPr="00F608CD">
        <w:rPr>
          <w:rFonts w:eastAsia="ScalaLancetPro" w:cs="ScalaLancetPro"/>
        </w:rPr>
        <w:t>CD004386.</w:t>
      </w:r>
    </w:p>
    <w:p w14:paraId="538E4EF7" w14:textId="77777777" w:rsidR="00FD1123" w:rsidRDefault="00FD1123" w:rsidP="00FD1123">
      <w:pPr>
        <w:autoSpaceDE w:val="0"/>
        <w:autoSpaceDN w:val="0"/>
        <w:adjustRightInd w:val="0"/>
        <w:spacing w:after="0" w:line="240" w:lineRule="auto"/>
      </w:pPr>
    </w:p>
    <w:p w14:paraId="3F2B7C0A" w14:textId="77777777" w:rsidR="00FD1123" w:rsidRDefault="00FD1123" w:rsidP="00FD1123">
      <w:pPr>
        <w:autoSpaceDE w:val="0"/>
        <w:autoSpaceDN w:val="0"/>
        <w:adjustRightInd w:val="0"/>
        <w:spacing w:after="0" w:line="240" w:lineRule="auto"/>
      </w:pPr>
    </w:p>
    <w:p w14:paraId="148EFCE3" w14:textId="47C8A9CD" w:rsidR="00FD1123" w:rsidRDefault="00FD1123" w:rsidP="00FD1123">
      <w:pPr>
        <w:autoSpaceDE w:val="0"/>
        <w:autoSpaceDN w:val="0"/>
        <w:adjustRightInd w:val="0"/>
        <w:spacing w:after="0" w:line="240" w:lineRule="auto"/>
      </w:pPr>
      <w:r>
        <w:t>Authors:</w:t>
      </w:r>
    </w:p>
    <w:p w14:paraId="78270240" w14:textId="0B8E4DDC" w:rsidR="00FD1123" w:rsidRDefault="00FD1123" w:rsidP="00FD1123">
      <w:pPr>
        <w:autoSpaceDE w:val="0"/>
        <w:autoSpaceDN w:val="0"/>
        <w:adjustRightInd w:val="0"/>
        <w:spacing w:after="0" w:line="240" w:lineRule="auto"/>
      </w:pPr>
    </w:p>
    <w:p w14:paraId="6D4DA718" w14:textId="27EC58C7" w:rsidR="00FD1123" w:rsidRPr="007C14BE" w:rsidRDefault="00FD1123" w:rsidP="00FD1123">
      <w:pPr>
        <w:autoSpaceDE w:val="0"/>
        <w:autoSpaceDN w:val="0"/>
        <w:adjustRightInd w:val="0"/>
        <w:spacing w:after="0" w:line="240" w:lineRule="auto"/>
      </w:pPr>
      <w:r w:rsidRPr="00FD1123">
        <w:t>Mark T Drayson, Stella Bowcock, Tim Planche, Guln</w:t>
      </w:r>
      <w:r>
        <w:t xml:space="preserve">az Iqbal, Guy Pratt, Kwee Yong and </w:t>
      </w:r>
      <w:bookmarkStart w:id="0" w:name="_GoBack"/>
      <w:bookmarkEnd w:id="0"/>
      <w:r w:rsidRPr="00FD1123">
        <w:t>Janet A Dunn</w:t>
      </w:r>
    </w:p>
    <w:sectPr w:rsidR="00FD1123" w:rsidRPr="007C1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18FAB6" w16cid:durableId="21BCA4C2"/>
  <w16cid:commentId w16cid:paraId="1144A4B8" w16cid:durableId="21BCA4E1"/>
  <w16cid:commentId w16cid:paraId="27A62D68" w16cid:durableId="21BCA9A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calaLancetPro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alaLancet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alaLancet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,Italic">
    <w:altName w:val="Cambria"/>
    <w:panose1 w:val="00000000000000000000"/>
    <w:charset w:val="00"/>
    <w:family w:val="roman"/>
    <w:notTrueType/>
    <w:pitch w:val="default"/>
  </w:font>
  <w:font w:name="Cambria,Bol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00CBB"/>
    <w:multiLevelType w:val="hybridMultilevel"/>
    <w:tmpl w:val="B4BE5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20C29"/>
    <w:multiLevelType w:val="hybridMultilevel"/>
    <w:tmpl w:val="76CE4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FR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F5"/>
    <w:rsid w:val="00014FB0"/>
    <w:rsid w:val="00057BDA"/>
    <w:rsid w:val="00124D12"/>
    <w:rsid w:val="0014446D"/>
    <w:rsid w:val="001A714F"/>
    <w:rsid w:val="00266088"/>
    <w:rsid w:val="002C370E"/>
    <w:rsid w:val="002D104E"/>
    <w:rsid w:val="002E6CB2"/>
    <w:rsid w:val="002F03C0"/>
    <w:rsid w:val="002F4E7C"/>
    <w:rsid w:val="00314A0F"/>
    <w:rsid w:val="003245AA"/>
    <w:rsid w:val="00325CD1"/>
    <w:rsid w:val="00362E9F"/>
    <w:rsid w:val="003B00D4"/>
    <w:rsid w:val="003B4C00"/>
    <w:rsid w:val="003B6B0D"/>
    <w:rsid w:val="003E6B85"/>
    <w:rsid w:val="003F09CD"/>
    <w:rsid w:val="00415B78"/>
    <w:rsid w:val="004725C6"/>
    <w:rsid w:val="00492351"/>
    <w:rsid w:val="004A3FD0"/>
    <w:rsid w:val="005244B1"/>
    <w:rsid w:val="0058053E"/>
    <w:rsid w:val="0058461F"/>
    <w:rsid w:val="005E0AAE"/>
    <w:rsid w:val="006021CD"/>
    <w:rsid w:val="00686323"/>
    <w:rsid w:val="006E0EF7"/>
    <w:rsid w:val="00710260"/>
    <w:rsid w:val="007902D0"/>
    <w:rsid w:val="00791703"/>
    <w:rsid w:val="007A3CB1"/>
    <w:rsid w:val="007C14BE"/>
    <w:rsid w:val="007C64AC"/>
    <w:rsid w:val="007D5349"/>
    <w:rsid w:val="007F086C"/>
    <w:rsid w:val="007F5006"/>
    <w:rsid w:val="00820395"/>
    <w:rsid w:val="00854613"/>
    <w:rsid w:val="00875226"/>
    <w:rsid w:val="008B55A7"/>
    <w:rsid w:val="008E3CED"/>
    <w:rsid w:val="008E52EB"/>
    <w:rsid w:val="008F17DC"/>
    <w:rsid w:val="009666F9"/>
    <w:rsid w:val="009D2B6E"/>
    <w:rsid w:val="009E0840"/>
    <w:rsid w:val="009E165E"/>
    <w:rsid w:val="009F2A84"/>
    <w:rsid w:val="009F67AA"/>
    <w:rsid w:val="00A05CAA"/>
    <w:rsid w:val="00A076EB"/>
    <w:rsid w:val="00A233C0"/>
    <w:rsid w:val="00A36591"/>
    <w:rsid w:val="00AD44B5"/>
    <w:rsid w:val="00AF0101"/>
    <w:rsid w:val="00B255DC"/>
    <w:rsid w:val="00B3395D"/>
    <w:rsid w:val="00B367AA"/>
    <w:rsid w:val="00B37FC7"/>
    <w:rsid w:val="00B81362"/>
    <w:rsid w:val="00B940F8"/>
    <w:rsid w:val="00BB582A"/>
    <w:rsid w:val="00BD7828"/>
    <w:rsid w:val="00BF0D43"/>
    <w:rsid w:val="00C11857"/>
    <w:rsid w:val="00C67835"/>
    <w:rsid w:val="00CA2C25"/>
    <w:rsid w:val="00CB0691"/>
    <w:rsid w:val="00CB7073"/>
    <w:rsid w:val="00CD48F5"/>
    <w:rsid w:val="00CF6A72"/>
    <w:rsid w:val="00D306DE"/>
    <w:rsid w:val="00D3333B"/>
    <w:rsid w:val="00D74DC0"/>
    <w:rsid w:val="00D942D6"/>
    <w:rsid w:val="00DA1327"/>
    <w:rsid w:val="00DA76A0"/>
    <w:rsid w:val="00DE49F1"/>
    <w:rsid w:val="00DE6F68"/>
    <w:rsid w:val="00E16FED"/>
    <w:rsid w:val="00E20811"/>
    <w:rsid w:val="00E22D77"/>
    <w:rsid w:val="00E25C55"/>
    <w:rsid w:val="00E26745"/>
    <w:rsid w:val="00EA2AB2"/>
    <w:rsid w:val="00EB4AFC"/>
    <w:rsid w:val="00EE180F"/>
    <w:rsid w:val="00EE67F3"/>
    <w:rsid w:val="00F151DA"/>
    <w:rsid w:val="00F5207A"/>
    <w:rsid w:val="00F608CD"/>
    <w:rsid w:val="00F770B5"/>
    <w:rsid w:val="00F86D51"/>
    <w:rsid w:val="00FC48CA"/>
    <w:rsid w:val="00FD1123"/>
    <w:rsid w:val="00F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20F32"/>
  <w15:docId w15:val="{BC810DDA-F1EB-254E-803D-6ED9BD12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2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5C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725C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725C6"/>
    <w:rPr>
      <w:color w:val="0000FF"/>
      <w:u w:val="single"/>
    </w:rPr>
  </w:style>
  <w:style w:type="character" w:customStyle="1" w:styleId="titles-source">
    <w:name w:val="titles-source"/>
    <w:basedOn w:val="DefaultParagraphFont"/>
    <w:rsid w:val="004725C6"/>
  </w:style>
  <w:style w:type="paragraph" w:customStyle="1" w:styleId="EndNoteBibliography">
    <w:name w:val="EndNote Bibliography"/>
    <w:basedOn w:val="Normal"/>
    <w:link w:val="EndNoteBibliographyChar"/>
    <w:rsid w:val="00A36591"/>
    <w:pPr>
      <w:spacing w:after="0" w:line="240" w:lineRule="auto"/>
    </w:pPr>
    <w:rPr>
      <w:rFonts w:ascii="Calibri" w:hAnsi="Calibri" w:cs="Calibri"/>
      <w:sz w:val="24"/>
      <w:szCs w:val="24"/>
      <w:lang w:val="en-US" w:bidi="he-IL"/>
    </w:rPr>
  </w:style>
  <w:style w:type="character" w:customStyle="1" w:styleId="EndNoteBibliographyChar">
    <w:name w:val="EndNote Bibliography Char"/>
    <w:basedOn w:val="DefaultParagraphFont"/>
    <w:link w:val="EndNoteBibliography"/>
    <w:rsid w:val="00A36591"/>
    <w:rPr>
      <w:rFonts w:ascii="Calibri" w:hAnsi="Calibri" w:cs="Calibri"/>
      <w:sz w:val="24"/>
      <w:szCs w:val="24"/>
      <w:lang w:val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A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A7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6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A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5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https://ovidsp.dc1.ovid.com/sp-4.04.0a/ovidweb.cgi?&amp;S=EEKEFPEDJLACPOPEKPBKKEGJFICPAA00&amp;Complete+Reference=S.sh.47%7c4%7c1&amp;Counter5=SS_view_found_complete%7c11176744%7cppez%7cmedline%7cmedc3&amp;Counter5Data=11176744%7cppez%7cmedline%7cmedc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Shee</dc:creator>
  <cp:lastModifiedBy>Mark Drayson (Clinical Immunology Service)</cp:lastModifiedBy>
  <cp:revision>3</cp:revision>
  <dcterms:created xsi:type="dcterms:W3CDTF">2020-01-07T14:50:00Z</dcterms:created>
  <dcterms:modified xsi:type="dcterms:W3CDTF">2020-01-07T14:53:00Z</dcterms:modified>
</cp:coreProperties>
</file>