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4787A" w14:textId="03BA76FB" w:rsidR="3DECE0A1" w:rsidRPr="00144C4C" w:rsidRDefault="00651A1E" w:rsidP="3DECE0A1">
      <w:r w:rsidRPr="00651A1E">
        <w:rPr>
          <w:rStyle w:val="Heading1Char"/>
          <w:sz w:val="32"/>
          <w:szCs w:val="32"/>
        </w:rPr>
        <w:t>Predictors of anti-TNF treatment failure: a prospective multi-centre study of biologic naïve patients with active luminal Crohn's disease</w:t>
      </w:r>
      <w:r w:rsidR="07D52E96" w:rsidRPr="00144C4C">
        <w:rPr>
          <w:rStyle w:val="Heading1Char"/>
          <w:sz w:val="32"/>
          <w:szCs w:val="32"/>
        </w:rPr>
        <w:t xml:space="preserve"> </w:t>
      </w:r>
    </w:p>
    <w:p w14:paraId="62008394" w14:textId="2AB3E7DE" w:rsidR="3DECE0A1" w:rsidRPr="00144C4C" w:rsidRDefault="07D52E96" w:rsidP="3DECE0A1">
      <w:r w:rsidRPr="00144C4C">
        <w:t>Nicholas A Kennedy,</w:t>
      </w:r>
      <w:r w:rsidRPr="00144C4C">
        <w:rPr>
          <w:vertAlign w:val="superscript"/>
        </w:rPr>
        <w:t>1,2</w:t>
      </w:r>
      <w:r w:rsidR="00597F07">
        <w:rPr>
          <w:vertAlign w:val="superscript"/>
        </w:rPr>
        <w:t>,3</w:t>
      </w:r>
      <w:r w:rsidRPr="00144C4C">
        <w:rPr>
          <w:vertAlign w:val="superscript"/>
        </w:rPr>
        <w:t xml:space="preserve"> </w:t>
      </w:r>
      <w:r w:rsidRPr="00144C4C">
        <w:t>MBBS; Graham A Heap,</w:t>
      </w:r>
      <w:r w:rsidRPr="00144C4C">
        <w:rPr>
          <w:vertAlign w:val="superscript"/>
        </w:rPr>
        <w:t>1</w:t>
      </w:r>
      <w:r w:rsidRPr="00144C4C">
        <w:t xml:space="preserve"> PhD; Harry D Green,</w:t>
      </w:r>
      <w:r w:rsidR="00597F07">
        <w:rPr>
          <w:vertAlign w:val="superscript"/>
        </w:rPr>
        <w:t>4</w:t>
      </w:r>
      <w:r w:rsidRPr="00144C4C">
        <w:t xml:space="preserve"> PhD; Benjamin Hamilton,</w:t>
      </w:r>
      <w:r w:rsidRPr="00144C4C">
        <w:rPr>
          <w:vertAlign w:val="superscript"/>
        </w:rPr>
        <w:t>1</w:t>
      </w:r>
      <w:r w:rsidR="00597F07" w:rsidRPr="00597F07">
        <w:t xml:space="preserve"> </w:t>
      </w:r>
      <w:r w:rsidRPr="00144C4C">
        <w:t>MBBS; Claire Bewshea,</w:t>
      </w:r>
      <w:r w:rsidRPr="00144C4C">
        <w:rPr>
          <w:vertAlign w:val="superscript"/>
        </w:rPr>
        <w:t>2</w:t>
      </w:r>
      <w:r w:rsidR="00597F07" w:rsidRPr="00597F07">
        <w:t xml:space="preserve"> </w:t>
      </w:r>
      <w:r w:rsidRPr="00144C4C">
        <w:t>MSc;   Gareth J Walker,</w:t>
      </w:r>
      <w:r w:rsidRPr="00144C4C">
        <w:rPr>
          <w:vertAlign w:val="superscript"/>
        </w:rPr>
        <w:t>1,2</w:t>
      </w:r>
      <w:r w:rsidRPr="00144C4C">
        <w:t xml:space="preserve"> MBBS ; Amanda Thomas,</w:t>
      </w:r>
      <w:r w:rsidRPr="00144C4C">
        <w:rPr>
          <w:vertAlign w:val="superscript"/>
        </w:rPr>
        <w:t xml:space="preserve">1,2 </w:t>
      </w:r>
      <w:r w:rsidRPr="00144C4C">
        <w:t>MBBS; Rachel Nice,</w:t>
      </w:r>
      <w:r w:rsidR="00597F07">
        <w:rPr>
          <w:vertAlign w:val="superscript"/>
        </w:rPr>
        <w:t>5</w:t>
      </w:r>
      <w:r w:rsidRPr="00144C4C">
        <w:t xml:space="preserve"> MSc;  Mandy  H Perry,</w:t>
      </w:r>
      <w:r w:rsidR="00597F07">
        <w:rPr>
          <w:vertAlign w:val="superscript"/>
        </w:rPr>
        <w:t>5</w:t>
      </w:r>
      <w:r w:rsidRPr="00144C4C">
        <w:rPr>
          <w:vertAlign w:val="superscript"/>
        </w:rPr>
        <w:t xml:space="preserve"> </w:t>
      </w:r>
      <w:r w:rsidRPr="00144C4C">
        <w:t>PhD;   Sonia Bouri,</w:t>
      </w:r>
      <w:r w:rsidR="00597F07">
        <w:rPr>
          <w:vertAlign w:val="superscript"/>
        </w:rPr>
        <w:t>6</w:t>
      </w:r>
      <w:r w:rsidR="00597F07">
        <w:t xml:space="preserve"> </w:t>
      </w:r>
      <w:r w:rsidRPr="00597F07">
        <w:t>MBBS</w:t>
      </w:r>
      <w:r w:rsidRPr="00144C4C">
        <w:t>;  Neil Chanchlani,</w:t>
      </w:r>
      <w:r w:rsidRPr="00597F07">
        <w:rPr>
          <w:vertAlign w:val="superscript"/>
        </w:rPr>
        <w:t>2</w:t>
      </w:r>
      <w:r w:rsidR="00597F07">
        <w:t xml:space="preserve"> </w:t>
      </w:r>
      <w:r w:rsidRPr="00597F07">
        <w:t>MBChB</w:t>
      </w:r>
      <w:r w:rsidRPr="00144C4C">
        <w:t>;  Neel M Heerasing,</w:t>
      </w:r>
      <w:r w:rsidRPr="00597F07">
        <w:rPr>
          <w:vertAlign w:val="superscript"/>
        </w:rPr>
        <w:t>1</w:t>
      </w:r>
      <w:r w:rsidR="00597F07">
        <w:t xml:space="preserve"> </w:t>
      </w:r>
      <w:r w:rsidRPr="00597F07">
        <w:t>MBBS</w:t>
      </w:r>
      <w:r w:rsidRPr="00144C4C">
        <w:t>; Peter Hendy,</w:t>
      </w:r>
      <w:r w:rsidRPr="00144C4C">
        <w:rPr>
          <w:vertAlign w:val="superscript"/>
        </w:rPr>
        <w:t>1</w:t>
      </w:r>
      <w:r w:rsidRPr="00144C4C">
        <w:t xml:space="preserve"> MBBS;  Simeng Lin,</w:t>
      </w:r>
      <w:r w:rsidRPr="00144C4C">
        <w:rPr>
          <w:vertAlign w:val="superscript"/>
        </w:rPr>
        <w:t>2</w:t>
      </w:r>
      <w:r w:rsidRPr="00144C4C">
        <w:t xml:space="preserve"> MBChB;  Daniel R Gaya,</w:t>
      </w:r>
      <w:r w:rsidR="00597F07">
        <w:rPr>
          <w:vertAlign w:val="superscript"/>
        </w:rPr>
        <w:t>7</w:t>
      </w:r>
      <w:r w:rsidR="00597F07" w:rsidRPr="00144C4C">
        <w:t xml:space="preserve"> </w:t>
      </w:r>
      <w:r w:rsidRPr="00144C4C">
        <w:t>DM ;  JR Fraser Cummings,</w:t>
      </w:r>
      <w:r w:rsidR="00597F07">
        <w:rPr>
          <w:vertAlign w:val="superscript"/>
        </w:rPr>
        <w:t>8</w:t>
      </w:r>
      <w:r w:rsidRPr="00144C4C">
        <w:rPr>
          <w:vertAlign w:val="superscript"/>
        </w:rPr>
        <w:t>,</w:t>
      </w:r>
      <w:r w:rsidR="00597F07">
        <w:rPr>
          <w:vertAlign w:val="superscript"/>
        </w:rPr>
        <w:t>9</w:t>
      </w:r>
      <w:r w:rsidR="00597F07" w:rsidRPr="00597F07">
        <w:t xml:space="preserve"> </w:t>
      </w:r>
      <w:r w:rsidRPr="00144C4C">
        <w:t>DPhil; Charlie W Lees,</w:t>
      </w:r>
      <w:r w:rsidR="00597F07">
        <w:rPr>
          <w:vertAlign w:val="superscript"/>
        </w:rPr>
        <w:t>3, 10</w:t>
      </w:r>
      <w:r w:rsidRPr="00144C4C">
        <w:t xml:space="preserve"> PhD;  Ailsa L Hart,</w:t>
      </w:r>
      <w:r w:rsidR="00597F07">
        <w:rPr>
          <w:vertAlign w:val="superscript"/>
        </w:rPr>
        <w:t>6</w:t>
      </w:r>
      <w:r w:rsidR="00597F07" w:rsidRPr="00597F07">
        <w:t xml:space="preserve"> </w:t>
      </w:r>
      <w:r w:rsidRPr="00144C4C">
        <w:t>PhD;   Miles Parkes,</w:t>
      </w:r>
      <w:r w:rsidRPr="00144C4C">
        <w:rPr>
          <w:vertAlign w:val="superscript"/>
        </w:rPr>
        <w:t>1</w:t>
      </w:r>
      <w:r w:rsidR="00597F07">
        <w:rPr>
          <w:vertAlign w:val="superscript"/>
        </w:rPr>
        <w:t>1</w:t>
      </w:r>
      <w:r w:rsidR="00597F07" w:rsidRPr="00597F07">
        <w:t xml:space="preserve"> </w:t>
      </w:r>
      <w:r w:rsidRPr="00144C4C">
        <w:t>DM;  Shaji Sebastian,</w:t>
      </w:r>
      <w:r w:rsidRPr="00144C4C">
        <w:rPr>
          <w:vertAlign w:val="superscript"/>
        </w:rPr>
        <w:t>1</w:t>
      </w:r>
      <w:r w:rsidR="00597F07">
        <w:rPr>
          <w:vertAlign w:val="superscript"/>
        </w:rPr>
        <w:t>2</w:t>
      </w:r>
      <w:r w:rsidR="00597F07" w:rsidRPr="00597F07">
        <w:t xml:space="preserve"> </w:t>
      </w:r>
      <w:r w:rsidRPr="00144C4C">
        <w:t>MD;  John C Mansfield,</w:t>
      </w:r>
      <w:r w:rsidRPr="00144C4C">
        <w:rPr>
          <w:vertAlign w:val="superscript"/>
        </w:rPr>
        <w:t>1</w:t>
      </w:r>
      <w:r w:rsidR="00597F07">
        <w:rPr>
          <w:vertAlign w:val="superscript"/>
        </w:rPr>
        <w:t>3</w:t>
      </w:r>
      <w:r w:rsidR="00597F07" w:rsidRPr="00597F07">
        <w:t xml:space="preserve"> </w:t>
      </w:r>
      <w:r w:rsidRPr="00144C4C">
        <w:t>MD; Peter M Irving,</w:t>
      </w:r>
      <w:r w:rsidRPr="00144C4C">
        <w:rPr>
          <w:vertAlign w:val="superscript"/>
        </w:rPr>
        <w:t>1</w:t>
      </w:r>
      <w:r w:rsidR="00597F07">
        <w:rPr>
          <w:vertAlign w:val="superscript"/>
        </w:rPr>
        <w:t>4</w:t>
      </w:r>
      <w:r w:rsidR="00597F07" w:rsidRPr="00597F07">
        <w:t xml:space="preserve"> </w:t>
      </w:r>
      <w:r w:rsidRPr="00144C4C">
        <w:t>MD; James Lindsay,</w:t>
      </w:r>
      <w:r w:rsidRPr="00144C4C">
        <w:rPr>
          <w:vertAlign w:val="superscript"/>
        </w:rPr>
        <w:t>1</w:t>
      </w:r>
      <w:r w:rsidR="00597F07">
        <w:rPr>
          <w:vertAlign w:val="superscript"/>
        </w:rPr>
        <w:t>5</w:t>
      </w:r>
      <w:r w:rsidRPr="00144C4C">
        <w:rPr>
          <w:vertAlign w:val="superscript"/>
        </w:rPr>
        <w:t xml:space="preserve"> </w:t>
      </w:r>
      <w:r w:rsidRPr="00144C4C">
        <w:t>PhD; Richard K Russell,</w:t>
      </w:r>
      <w:r w:rsidRPr="00144C4C">
        <w:rPr>
          <w:vertAlign w:val="superscript"/>
        </w:rPr>
        <w:t>1</w:t>
      </w:r>
      <w:r w:rsidR="00597F07">
        <w:rPr>
          <w:vertAlign w:val="superscript"/>
        </w:rPr>
        <w:t>6</w:t>
      </w:r>
      <w:r w:rsidRPr="00144C4C">
        <w:t xml:space="preserve"> PhD; Timothy McDonald,</w:t>
      </w:r>
      <w:r w:rsidR="00597F07">
        <w:rPr>
          <w:vertAlign w:val="superscript"/>
        </w:rPr>
        <w:t>5</w:t>
      </w:r>
      <w:r w:rsidRPr="00144C4C">
        <w:rPr>
          <w:vertAlign w:val="superscript"/>
        </w:rPr>
        <w:t xml:space="preserve"> </w:t>
      </w:r>
      <w:r w:rsidRPr="00144C4C">
        <w:t>PhD; Dermot McGovern,</w:t>
      </w:r>
      <w:r w:rsidRPr="00144C4C">
        <w:rPr>
          <w:vertAlign w:val="superscript"/>
        </w:rPr>
        <w:t>1</w:t>
      </w:r>
      <w:r w:rsidR="00597F07">
        <w:rPr>
          <w:vertAlign w:val="superscript"/>
        </w:rPr>
        <w:t>7</w:t>
      </w:r>
      <w:r w:rsidRPr="00144C4C">
        <w:t xml:space="preserve"> DPhil;* James R Goodhand,</w:t>
      </w:r>
      <w:r w:rsidRPr="00144C4C">
        <w:rPr>
          <w:vertAlign w:val="superscript"/>
        </w:rPr>
        <w:t xml:space="preserve">1,2 </w:t>
      </w:r>
      <w:r w:rsidRPr="00144C4C">
        <w:t>MBBS; Tariq Ahmad,</w:t>
      </w:r>
      <w:r w:rsidRPr="00144C4C">
        <w:rPr>
          <w:vertAlign w:val="superscript"/>
        </w:rPr>
        <w:t>1,2</w:t>
      </w:r>
      <w:r w:rsidR="00597F07" w:rsidRPr="00597F07">
        <w:t xml:space="preserve"> </w:t>
      </w:r>
      <w:r w:rsidRPr="00144C4C">
        <w:t>DPhil</w:t>
      </w:r>
      <w:r w:rsidR="00597F07">
        <w:t>,</w:t>
      </w:r>
      <w:r w:rsidRPr="00144C4C">
        <w:t xml:space="preserve"> </w:t>
      </w:r>
      <w:r w:rsidR="00597F07">
        <w:t xml:space="preserve">UK </w:t>
      </w:r>
      <w:r w:rsidR="00597F07" w:rsidRPr="00144C4C">
        <w:t>IBD Pharmacogenetics study group</w:t>
      </w:r>
    </w:p>
    <w:p w14:paraId="34D0AF3C" w14:textId="7DC60F33" w:rsidR="3DECE0A1" w:rsidRPr="00144C4C" w:rsidRDefault="07D52E96" w:rsidP="07D52E96">
      <w:pPr>
        <w:spacing w:line="240" w:lineRule="auto"/>
        <w:rPr>
          <w:rFonts w:ascii="Calibri" w:eastAsia="Times New Roman" w:hAnsi="Calibri" w:cs="Times New Roman"/>
        </w:rPr>
      </w:pPr>
      <w:r w:rsidRPr="00144C4C">
        <w:t>1.Department of Gastroenterology, Royal Devon and Exeter Hospital NHS Foundation Trust, Exeter.</w:t>
      </w:r>
    </w:p>
    <w:p w14:paraId="158F9614" w14:textId="4EBB61F2" w:rsidR="3DECE0A1" w:rsidRDefault="07D52E96" w:rsidP="3DECE0A1">
      <w:pPr>
        <w:spacing w:line="240" w:lineRule="auto"/>
      </w:pPr>
      <w:r w:rsidRPr="00144C4C">
        <w:t>2. Exeter IBD Pharmacogenetics Research Group, University of Exeter.</w:t>
      </w:r>
    </w:p>
    <w:p w14:paraId="43FD031A" w14:textId="30DF42C8" w:rsidR="00597F07" w:rsidRPr="00144C4C" w:rsidRDefault="00597F07" w:rsidP="3DECE0A1">
      <w:pPr>
        <w:spacing w:line="240" w:lineRule="auto"/>
      </w:pPr>
      <w:r>
        <w:t>3. Institute of Genetic and Molecular Medicine, University of Edinburgh.</w:t>
      </w:r>
    </w:p>
    <w:p w14:paraId="63BE0375" w14:textId="52D307D7" w:rsidR="3DECE0A1" w:rsidRPr="00144C4C" w:rsidRDefault="00597F07" w:rsidP="07D52E96">
      <w:pPr>
        <w:spacing w:line="240" w:lineRule="auto"/>
        <w:rPr>
          <w:rFonts w:ascii="Calibri" w:eastAsia="Times New Roman" w:hAnsi="Calibri" w:cs="Times New Roman"/>
        </w:rPr>
      </w:pPr>
      <w:r>
        <w:rPr>
          <w:rFonts w:ascii="Calibri" w:eastAsia="Times New Roman" w:hAnsi="Calibri" w:cs="Times New Roman"/>
        </w:rPr>
        <w:t>4</w:t>
      </w:r>
      <w:r w:rsidR="07D52E96" w:rsidRPr="00144C4C">
        <w:rPr>
          <w:rFonts w:ascii="Calibri" w:eastAsia="Times New Roman" w:hAnsi="Calibri" w:cs="Times New Roman"/>
        </w:rPr>
        <w:t>.Genetics of Complex Traits, University of Exeter Medical School, Exeter. </w:t>
      </w:r>
    </w:p>
    <w:p w14:paraId="4884BE89" w14:textId="04E094EE" w:rsidR="3DECE0A1" w:rsidRPr="00144C4C" w:rsidRDefault="00597F07" w:rsidP="3DECE0A1">
      <w:pPr>
        <w:spacing w:line="240" w:lineRule="auto"/>
      </w:pPr>
      <w:r>
        <w:t>5</w:t>
      </w:r>
      <w:r w:rsidR="07D52E96" w:rsidRPr="00144C4C">
        <w:t>.Department of Blood Science, Royal Devon and Exeter Hospital NHS Foundation Trust, Exeter. </w:t>
      </w:r>
    </w:p>
    <w:p w14:paraId="4992E48C" w14:textId="36BE2F6D" w:rsidR="3DECE0A1" w:rsidRPr="00144C4C" w:rsidRDefault="00597F07" w:rsidP="3DECE0A1">
      <w:pPr>
        <w:spacing w:line="240" w:lineRule="auto"/>
      </w:pPr>
      <w:r>
        <w:t>6</w:t>
      </w:r>
      <w:r w:rsidR="07D52E96" w:rsidRPr="00144C4C">
        <w:t>. Department of Gastroenterology, St Mark's Hospital, London North West Healthcare NHS Trust, Harrow.</w:t>
      </w:r>
    </w:p>
    <w:p w14:paraId="0FF96335" w14:textId="392E2E95" w:rsidR="3DECE0A1" w:rsidRPr="00144C4C" w:rsidRDefault="00597F07" w:rsidP="3DECE0A1">
      <w:pPr>
        <w:spacing w:line="240" w:lineRule="auto"/>
      </w:pPr>
      <w:r>
        <w:t>7</w:t>
      </w:r>
      <w:r w:rsidR="07D52E96" w:rsidRPr="00144C4C">
        <w:t xml:space="preserve">. Department of Gastroenterology, Glasgow Royal Infirmary, NHS Greater Glasgow and Clyde, Glasgow. </w:t>
      </w:r>
    </w:p>
    <w:p w14:paraId="1D618AA7" w14:textId="3BBDD6A2" w:rsidR="3DECE0A1" w:rsidRPr="00144C4C" w:rsidRDefault="00597F07" w:rsidP="3DECE0A1">
      <w:pPr>
        <w:spacing w:line="240" w:lineRule="auto"/>
      </w:pPr>
      <w:r>
        <w:t>8</w:t>
      </w:r>
      <w:r w:rsidR="07D52E96" w:rsidRPr="00144C4C">
        <w:t>. Department of Gastroenterology, University Hospital Southampton NHS Foundation Trust, Southampton.</w:t>
      </w:r>
    </w:p>
    <w:p w14:paraId="29D0EE2C" w14:textId="7CDFC9C8" w:rsidR="3DECE0A1" w:rsidRPr="00144C4C" w:rsidRDefault="00597F07" w:rsidP="3DECE0A1">
      <w:pPr>
        <w:spacing w:line="240" w:lineRule="auto"/>
      </w:pPr>
      <w:r>
        <w:t>9</w:t>
      </w:r>
      <w:r w:rsidR="07D52E96" w:rsidRPr="00144C4C">
        <w:t xml:space="preserve">. Faculty of Experimental Medicine, University of Southampton, Southampton.  </w:t>
      </w:r>
    </w:p>
    <w:p w14:paraId="09A78471" w14:textId="304D020E" w:rsidR="3DECE0A1" w:rsidRPr="00144C4C" w:rsidRDefault="00597F07" w:rsidP="3DECE0A1">
      <w:pPr>
        <w:spacing w:line="240" w:lineRule="auto"/>
      </w:pPr>
      <w:r>
        <w:t>10</w:t>
      </w:r>
      <w:r w:rsidR="07D52E96" w:rsidRPr="00144C4C">
        <w:t>. Department of Gastroenterology, Western General Hospital, NHS Lothian, Edinburgh.</w:t>
      </w:r>
    </w:p>
    <w:p w14:paraId="65D996A4" w14:textId="1554AB6E" w:rsidR="3DECE0A1" w:rsidRPr="00144C4C" w:rsidRDefault="07D52E96" w:rsidP="3DECE0A1">
      <w:pPr>
        <w:spacing w:line="240" w:lineRule="auto"/>
      </w:pPr>
      <w:r w:rsidRPr="00144C4C">
        <w:t>1</w:t>
      </w:r>
      <w:r w:rsidR="00597F07">
        <w:t>1</w:t>
      </w:r>
      <w:r w:rsidRPr="00144C4C">
        <w:t>. Department of Gastroenterology, Addenbrooke's Hospital, Cambridge University Hospitals NHS Foundation Trust, Cambridge.</w:t>
      </w:r>
    </w:p>
    <w:p w14:paraId="6E2910AD" w14:textId="6C41545B" w:rsidR="3DECE0A1" w:rsidRPr="00144C4C" w:rsidRDefault="07D52E96" w:rsidP="3DECE0A1">
      <w:pPr>
        <w:spacing w:line="240" w:lineRule="auto"/>
      </w:pPr>
      <w:r w:rsidRPr="00144C4C">
        <w:t>1</w:t>
      </w:r>
      <w:r w:rsidR="00597F07">
        <w:t>2</w:t>
      </w:r>
      <w:r w:rsidRPr="00144C4C">
        <w:t xml:space="preserve">.Gastroenterology and Hepatology, Hull and East Yorkshire Hospitals NHS Trust, Hull. </w:t>
      </w:r>
    </w:p>
    <w:p w14:paraId="10EAE389" w14:textId="214E0625" w:rsidR="3DECE0A1" w:rsidRPr="00144C4C" w:rsidRDefault="07D52E96" w:rsidP="3DECE0A1">
      <w:pPr>
        <w:spacing w:line="240" w:lineRule="auto"/>
      </w:pPr>
      <w:r w:rsidRPr="00144C4C">
        <w:t>1</w:t>
      </w:r>
      <w:r w:rsidR="00597F07">
        <w:t>3</w:t>
      </w:r>
      <w:r w:rsidRPr="00144C4C">
        <w:t>. Department of Gastroenterology, Newcastle Upon Tyne Hospitals NHS Foundation Trust, Newcastle upon Tyne. </w:t>
      </w:r>
    </w:p>
    <w:p w14:paraId="5E9C1C3C" w14:textId="494E8040" w:rsidR="3DECE0A1" w:rsidRPr="00144C4C" w:rsidRDefault="07D52E96" w:rsidP="3DECE0A1">
      <w:pPr>
        <w:spacing w:line="240" w:lineRule="auto"/>
      </w:pPr>
      <w:r w:rsidRPr="00144C4C">
        <w:t>1</w:t>
      </w:r>
      <w:r w:rsidR="00597F07">
        <w:t>4</w:t>
      </w:r>
      <w:r w:rsidRPr="00144C4C">
        <w:t>. Department of Gastroenterology, Guy’s and St Thomas’ NHS Foundation Trust, London.</w:t>
      </w:r>
    </w:p>
    <w:p w14:paraId="6F1F8E9D" w14:textId="639AE3AD" w:rsidR="3DECE0A1" w:rsidRPr="00144C4C" w:rsidRDefault="07D52E96" w:rsidP="3DECE0A1">
      <w:pPr>
        <w:spacing w:line="240" w:lineRule="auto"/>
      </w:pPr>
      <w:r w:rsidRPr="00144C4C">
        <w:t>1</w:t>
      </w:r>
      <w:r w:rsidR="00597F07">
        <w:t>5</w:t>
      </w:r>
      <w:r w:rsidRPr="00144C4C">
        <w:t>. Department of Gastroenterology, The Royal London Hospital, Barts Health NHS Trust, London.</w:t>
      </w:r>
    </w:p>
    <w:p w14:paraId="5855E4A9" w14:textId="481D482D" w:rsidR="3DECE0A1" w:rsidRPr="00144C4C" w:rsidRDefault="07D52E96" w:rsidP="3DECE0A1">
      <w:pPr>
        <w:spacing w:line="240" w:lineRule="auto"/>
      </w:pPr>
      <w:r w:rsidRPr="00144C4C">
        <w:t>1</w:t>
      </w:r>
      <w:r w:rsidR="00597F07">
        <w:t>6</w:t>
      </w:r>
      <w:r w:rsidRPr="00144C4C">
        <w:t xml:space="preserve">.  Department of Paediatric Gastroenterology, Royal Hospital for Children, NHS Greater Glasgow and Clyde, Glasgow. </w:t>
      </w:r>
    </w:p>
    <w:p w14:paraId="1752E113" w14:textId="2666C881" w:rsidR="3DECE0A1" w:rsidRPr="00144C4C" w:rsidRDefault="07D52E96" w:rsidP="3DECE0A1">
      <w:pPr>
        <w:spacing w:line="240" w:lineRule="auto"/>
      </w:pPr>
      <w:r w:rsidRPr="00144C4C">
        <w:t>1</w:t>
      </w:r>
      <w:r w:rsidR="00597F07">
        <w:t>7</w:t>
      </w:r>
      <w:r w:rsidRPr="00144C4C">
        <w:t xml:space="preserve">. F. Widjaja Foundation Inflammatory Bowel and Immunobiology Research Institute, Cedars-Sinai Medical Center, Los Angeles.  USA  </w:t>
      </w:r>
    </w:p>
    <w:p w14:paraId="245C3BC0" w14:textId="2732C271" w:rsidR="3DECE0A1" w:rsidRPr="00144C4C" w:rsidRDefault="07D52E96" w:rsidP="3DECE0A1">
      <w:pPr>
        <w:spacing w:line="240" w:lineRule="auto"/>
      </w:pPr>
      <w:r w:rsidRPr="00144C4C">
        <w:lastRenderedPageBreak/>
        <w:t>*</w:t>
      </w:r>
      <w:r w:rsidR="00A21034">
        <w:t>Supplementary appendix</w:t>
      </w:r>
      <w:r w:rsidRPr="00144C4C">
        <w:t xml:space="preserve"> </w:t>
      </w:r>
    </w:p>
    <w:p w14:paraId="04AC587D" w14:textId="77777777" w:rsidR="00F96D2B" w:rsidRPr="00144C4C" w:rsidRDefault="07D52E96" w:rsidP="07D52E96">
      <w:pPr>
        <w:rPr>
          <w:b/>
          <w:bCs/>
        </w:rPr>
      </w:pPr>
      <w:r w:rsidRPr="00144C4C">
        <w:rPr>
          <w:b/>
          <w:bCs/>
        </w:rPr>
        <w:t>Address for correspondence</w:t>
      </w:r>
    </w:p>
    <w:p w14:paraId="62CB77D1" w14:textId="32E607FA" w:rsidR="00F96D2B" w:rsidRPr="00144C4C" w:rsidRDefault="07D52E96" w:rsidP="00F96D2B">
      <w:r w:rsidRPr="00144C4C">
        <w:t xml:space="preserve">Dr Tariq Ahmad D. Phil FRCP </w:t>
      </w:r>
    </w:p>
    <w:p w14:paraId="513AD7DC" w14:textId="6C17371A" w:rsidR="5E8EA32B" w:rsidRPr="00144C4C" w:rsidRDefault="07D52E96">
      <w:r w:rsidRPr="00144C4C">
        <w:t>Exeter IBD and Pharmacogenetics Research Group, RILD building, Barrack Road, Exeter, EX2 5DW. Direct Dial: + 44 (0) 1392 406218</w:t>
      </w:r>
    </w:p>
    <w:p w14:paraId="635F587C" w14:textId="611F0D03" w:rsidR="5E8EA32B" w:rsidRPr="00144C4C" w:rsidRDefault="352A128A">
      <w:r>
        <w:t xml:space="preserve">Email: </w:t>
      </w:r>
      <w:r w:rsidRPr="0017599E">
        <w:rPr>
          <w:rFonts w:cs="Times New Roman"/>
        </w:rPr>
        <w:t>tariq.ahmad1@nhs.net</w:t>
      </w:r>
    </w:p>
    <w:p w14:paraId="17234402" w14:textId="520E6B32" w:rsidR="40A0307D" w:rsidRPr="00144C4C" w:rsidRDefault="07D52E96" w:rsidP="40A0307D">
      <w:r w:rsidRPr="00144C4C">
        <w:t xml:space="preserve">The protocol can be found at </w:t>
      </w:r>
      <w:r w:rsidRPr="0017599E">
        <w:rPr>
          <w:rFonts w:ascii="Calibri" w:eastAsia="Calibri" w:hAnsi="Calibri" w:cs="Calibri"/>
        </w:rPr>
        <w:t>https://www.ibdresearch.co.uk/pants/</w:t>
      </w:r>
      <w:r w:rsidRPr="00144C4C">
        <w:rPr>
          <w:rFonts w:ascii="Calibri" w:eastAsia="Calibri" w:hAnsi="Calibri" w:cs="Calibri"/>
        </w:rPr>
        <w:t xml:space="preserve"> </w:t>
      </w:r>
    </w:p>
    <w:p w14:paraId="35E4BB2D" w14:textId="0DE7B1B5" w:rsidR="008015B5" w:rsidRPr="00144C4C" w:rsidRDefault="07D52E96" w:rsidP="0B3F0D65">
      <w:r w:rsidRPr="00144C4C">
        <w:t>ClinicalTrials.gov Identifier: NCT03088449</w:t>
      </w:r>
    </w:p>
    <w:p w14:paraId="00054CE5" w14:textId="5C7D4CBE" w:rsidR="3E3C05E1" w:rsidRPr="00144C4C" w:rsidRDefault="3E3C05E1">
      <w:r w:rsidRPr="00144C4C">
        <w:br w:type="page"/>
      </w:r>
    </w:p>
    <w:p w14:paraId="4E200E4B" w14:textId="71154905" w:rsidR="6BE3B0F6" w:rsidRPr="00144C4C" w:rsidRDefault="07D52E96" w:rsidP="07D52E96">
      <w:pPr>
        <w:spacing w:beforeAutospacing="1" w:afterAutospacing="1" w:line="240" w:lineRule="auto"/>
        <w:rPr>
          <w:rFonts w:ascii="Calibri" w:eastAsia="Calibri" w:hAnsi="Calibri" w:cs="Calibri"/>
          <w:b/>
          <w:bCs/>
          <w:sz w:val="24"/>
          <w:szCs w:val="24"/>
        </w:rPr>
      </w:pPr>
      <w:r w:rsidRPr="00144C4C">
        <w:rPr>
          <w:rStyle w:val="Heading1Char"/>
        </w:rPr>
        <w:lastRenderedPageBreak/>
        <w:t>Abstract</w:t>
      </w:r>
    </w:p>
    <w:p w14:paraId="34EB5F46" w14:textId="74A58F6E" w:rsidR="4B48A42F" w:rsidRPr="00144C4C" w:rsidRDefault="07D52E96" w:rsidP="07D52E96">
      <w:pPr>
        <w:rPr>
          <w:rFonts w:ascii="Calibri" w:eastAsia="Calibri" w:hAnsi="Calibri" w:cs="Calibri"/>
        </w:rPr>
      </w:pPr>
      <w:r w:rsidRPr="00144C4C">
        <w:rPr>
          <w:rFonts w:ascii="Calibri" w:eastAsia="Calibri" w:hAnsi="Calibri" w:cs="Calibri"/>
          <w:b/>
          <w:bCs/>
          <w:color w:val="4F80BD"/>
        </w:rPr>
        <w:t>Background</w:t>
      </w:r>
      <w:r w:rsidRPr="00144C4C">
        <w:rPr>
          <w:rFonts w:ascii="Calibri" w:eastAsia="Calibri" w:hAnsi="Calibri" w:cs="Calibri"/>
        </w:rPr>
        <w:t xml:space="preserve"> </w:t>
      </w:r>
    </w:p>
    <w:p w14:paraId="7C08C326" w14:textId="6FE67D51" w:rsidR="4B48A42F" w:rsidRPr="00144C4C" w:rsidRDefault="07D52E96" w:rsidP="07D52E96">
      <w:pPr>
        <w:rPr>
          <w:rFonts w:ascii="Calibri" w:eastAsia="Calibri" w:hAnsi="Calibri" w:cs="Calibri"/>
        </w:rPr>
      </w:pPr>
      <w:r w:rsidRPr="00144C4C">
        <w:rPr>
          <w:rFonts w:ascii="Calibri" w:eastAsia="Calibri" w:hAnsi="Calibri" w:cs="Calibri"/>
        </w:rPr>
        <w:t>Anti-tumour necrosis factor (TNF) drugs have revolutionised Crohn’s disease management but treatment failure is common. We sought clinical and pharmacokinetic factors that predict and mitigate primary non-response at week 14, non-remission at week 54, and adverse events leading to drug withdrawal.</w:t>
      </w:r>
    </w:p>
    <w:p w14:paraId="0BC70C0A" w14:textId="3105DA55" w:rsidR="6BE3B0F6" w:rsidRPr="00144C4C" w:rsidRDefault="07D52E96" w:rsidP="07D52E96">
      <w:pPr>
        <w:rPr>
          <w:rFonts w:ascii="Calibri" w:eastAsia="Calibri" w:hAnsi="Calibri" w:cs="Calibri"/>
        </w:rPr>
      </w:pPr>
      <w:r w:rsidRPr="00144C4C">
        <w:rPr>
          <w:rFonts w:ascii="Calibri" w:eastAsia="Calibri" w:hAnsi="Calibri" w:cs="Calibri"/>
          <w:b/>
          <w:bCs/>
          <w:color w:val="4F80BD"/>
        </w:rPr>
        <w:t>Methods </w:t>
      </w:r>
    </w:p>
    <w:p w14:paraId="73899D69" w14:textId="755DD858" w:rsidR="6BE3B0F6" w:rsidRPr="00144C4C" w:rsidRDefault="1DC2CDC1" w:rsidP="1DC2CDC1">
      <w:pPr>
        <w:rPr>
          <w:rFonts w:ascii="Calibri" w:eastAsia="Calibri" w:hAnsi="Calibri" w:cs="Calibri"/>
        </w:rPr>
      </w:pPr>
      <w:r w:rsidRPr="1DC2CDC1">
        <w:rPr>
          <w:rFonts w:ascii="Calibri" w:eastAsia="Calibri" w:hAnsi="Calibri" w:cs="Calibri"/>
        </w:rPr>
        <w:t xml:space="preserve">The personalised anti-TNF therapy in Crohn’s Study (PANTS) is a prospective observational UK-wide study in 1610 biologic naïve patients with active luminal Crohn’s </w:t>
      </w:r>
      <w:r w:rsidR="193ECC53" w:rsidRPr="193ECC53">
        <w:rPr>
          <w:rFonts w:ascii="Calibri" w:eastAsia="Calibri" w:hAnsi="Calibri" w:cs="Calibri"/>
        </w:rPr>
        <w:t>disease</w:t>
      </w:r>
      <w:r w:rsidRPr="1DC2CDC1">
        <w:rPr>
          <w:rFonts w:ascii="Calibri" w:eastAsia="Calibri" w:hAnsi="Calibri" w:cs="Calibri"/>
        </w:rPr>
        <w:t xml:space="preserve"> (955 infliximab [753 Remicade; 202 biosimilar CT-P13] and 655 adalimumab).     </w:t>
      </w:r>
    </w:p>
    <w:p w14:paraId="3632632D" w14:textId="6CA46590" w:rsidR="6A0AE41F" w:rsidRPr="00144C4C" w:rsidRDefault="07D52E96" w:rsidP="07D52E96">
      <w:pPr>
        <w:rPr>
          <w:rFonts w:ascii="Calibri" w:eastAsia="Calibri" w:hAnsi="Calibri" w:cs="Calibri"/>
        </w:rPr>
      </w:pPr>
      <w:r w:rsidRPr="00144C4C">
        <w:rPr>
          <w:rFonts w:ascii="Calibri" w:eastAsia="Calibri" w:hAnsi="Calibri" w:cs="Calibri"/>
          <w:b/>
          <w:bCs/>
          <w:color w:val="4F80BD"/>
        </w:rPr>
        <w:t>Findings</w:t>
      </w:r>
    </w:p>
    <w:p w14:paraId="339B3A9A" w14:textId="2BB19149" w:rsidR="6A0AE41F" w:rsidRPr="00144C4C" w:rsidRDefault="07D52E96" w:rsidP="07D52E96">
      <w:pPr>
        <w:rPr>
          <w:rFonts w:ascii="Calibri" w:eastAsia="Calibri" w:hAnsi="Calibri" w:cs="Calibri"/>
        </w:rPr>
      </w:pPr>
      <w:r w:rsidRPr="00144C4C">
        <w:rPr>
          <w:rFonts w:ascii="Calibri" w:eastAsia="Calibri" w:hAnsi="Calibri" w:cs="Calibri"/>
        </w:rPr>
        <w:t xml:space="preserve">Primary non-response (PNR) occurred in 23·8% (95% CI 21·4%-26·2%), non-remission in 63·1% (95% CI 60·3%-65·8%), and adverse events curtailed treatment in 7·8% (95% CI 6·6%-9·2%) patients. The only independent risk factor for PNR was low drug level. The optimal week 14 drug levels associated with remission at weeks 14 and 54 were 7 mg/L and 12 mg/L for infliximab and adalimumab, respectively. Continuing standard dosing regimens after PNR was rarely helpful: only 12·4% </w:t>
      </w:r>
      <w:r w:rsidR="005E44F7">
        <w:rPr>
          <w:rFonts w:ascii="Calibri" w:eastAsia="Calibri" w:hAnsi="Calibri" w:cs="Calibri"/>
        </w:rPr>
        <w:t xml:space="preserve">patients </w:t>
      </w:r>
      <w:r w:rsidRPr="00144C4C">
        <w:rPr>
          <w:rFonts w:ascii="Calibri" w:eastAsia="Calibri" w:hAnsi="Calibri" w:cs="Calibri"/>
        </w:rPr>
        <w:t xml:space="preserve">(14/113; 95% CI 6·9%-19·9%) entered remission by week 54.  Obesity, smoking, low albumin levels, higher baseline markers of disease activity, and development of anti-drug antibodies were associated with low drug levels, which mediated week 54 non-remission. Immunogenicity rates at week 54 were 62·8% (95% CI 59·0-66·3%) for infliximab and 28·5% (95% CI 24·0-32·7%) for adalimumab. For both drugs, sub-optimal week 14 drug levels were the main determinant of immunogenicity; whilst subsequent anti-drug antibody formation was the principle factor accounting for low drug levels. Combination thiopurine or methotrexate therapy mitigated this risk with similar effect sizes for both anti-TNF drugs </w:t>
      </w:r>
      <w:r w:rsidRPr="00144C4C">
        <w:t>and for infliximab led to lower week 54 non-remission rates.</w:t>
      </w:r>
    </w:p>
    <w:p w14:paraId="0CE27E37" w14:textId="61BAF4B4" w:rsidR="6BE3B0F6" w:rsidRPr="00144C4C" w:rsidRDefault="07D52E96" w:rsidP="07D52E96">
      <w:pPr>
        <w:rPr>
          <w:rFonts w:ascii="Calibri" w:eastAsia="Calibri" w:hAnsi="Calibri" w:cs="Calibri"/>
          <w:b/>
          <w:bCs/>
          <w:color w:val="4F80BD"/>
        </w:rPr>
      </w:pPr>
      <w:r w:rsidRPr="00144C4C">
        <w:rPr>
          <w:rFonts w:ascii="Calibri" w:eastAsia="Calibri" w:hAnsi="Calibri" w:cs="Calibri"/>
          <w:b/>
          <w:bCs/>
          <w:color w:val="4F80BD"/>
        </w:rPr>
        <w:t xml:space="preserve">Interpretation  </w:t>
      </w:r>
    </w:p>
    <w:p w14:paraId="1C60BA05" w14:textId="55BB2F1C" w:rsidR="4B48A42F" w:rsidRPr="00144C4C" w:rsidRDefault="07D52E96" w:rsidP="07D52E96">
      <w:pPr>
        <w:rPr>
          <w:rFonts w:ascii="Calibri" w:eastAsia="Calibri" w:hAnsi="Calibri" w:cs="Calibri"/>
        </w:rPr>
      </w:pPr>
      <w:r w:rsidRPr="00144C4C">
        <w:rPr>
          <w:rFonts w:ascii="Calibri" w:eastAsia="Calibri" w:hAnsi="Calibri" w:cs="Calibri"/>
        </w:rPr>
        <w:t>Anti-TNF treatment failure is common and associated with low drug levels, partly mediated by immunogenicity. Clinical trials are required to investigate whether personalised induction regimens and treatment-to-target dose intensification improve outcomes.</w:t>
      </w:r>
    </w:p>
    <w:p w14:paraId="476EE522" w14:textId="7711E57F" w:rsidR="6BE3B0F6" w:rsidRPr="00144C4C" w:rsidRDefault="07D52E96" w:rsidP="07D52E96">
      <w:pPr>
        <w:spacing w:beforeAutospacing="1" w:afterAutospacing="1" w:line="240" w:lineRule="auto"/>
        <w:rPr>
          <w:rFonts w:ascii="Calibri" w:eastAsia="Calibri" w:hAnsi="Calibri" w:cs="Calibri"/>
        </w:rPr>
      </w:pPr>
      <w:r w:rsidRPr="00144C4C">
        <w:rPr>
          <w:rFonts w:ascii="Calibri" w:eastAsia="Calibri" w:hAnsi="Calibri" w:cs="Calibri"/>
          <w:b/>
          <w:bCs/>
          <w:color w:val="4F80BD"/>
        </w:rPr>
        <w:t>Funding</w:t>
      </w:r>
      <w:r w:rsidRPr="00144C4C">
        <w:rPr>
          <w:rFonts w:ascii="Calibri" w:eastAsia="Calibri" w:hAnsi="Calibri" w:cs="Calibri"/>
        </w:rPr>
        <w:t> </w:t>
      </w:r>
    </w:p>
    <w:p w14:paraId="6703AEE1" w14:textId="7DF79F05" w:rsidR="6BE3B0F6" w:rsidRPr="00144C4C" w:rsidRDefault="07D52E96" w:rsidP="004E574E">
      <w:r w:rsidRPr="00144C4C">
        <w:rPr>
          <w:rFonts w:ascii="Calibri" w:eastAsia="Calibri" w:hAnsi="Calibri" w:cs="Calibri"/>
        </w:rPr>
        <w:t xml:space="preserve">Charities: CORE, CCUK, C3. Unrestricted grants: Abbvie, Merck Sharp &amp; Dohme, NAPP, Pfizer, Celltrion. </w:t>
      </w:r>
      <w:r w:rsidR="48C91E6D" w:rsidRPr="00144C4C">
        <w:br w:type="page"/>
      </w:r>
    </w:p>
    <w:p w14:paraId="027856B6" w14:textId="1A34668C" w:rsidR="6BE3B0F6" w:rsidRPr="00144C4C" w:rsidRDefault="07D52E96" w:rsidP="07D52E96">
      <w:pPr>
        <w:rPr>
          <w:rFonts w:ascii="Calibri" w:eastAsia="Calibri" w:hAnsi="Calibri" w:cs="Calibri"/>
          <w:b/>
          <w:bCs/>
          <w:sz w:val="24"/>
          <w:szCs w:val="24"/>
        </w:rPr>
      </w:pPr>
      <w:r w:rsidRPr="00144C4C">
        <w:rPr>
          <w:rStyle w:val="Heading2Char"/>
        </w:rPr>
        <w:lastRenderedPageBreak/>
        <w:t>Evidence before this study</w:t>
      </w:r>
    </w:p>
    <w:p w14:paraId="03B30238" w14:textId="2C82124F" w:rsidR="6BE3B0F6" w:rsidRPr="00144C4C" w:rsidRDefault="07D52E96" w:rsidP="07D52E96">
      <w:pPr>
        <w:rPr>
          <w:rFonts w:ascii="Calibri" w:eastAsia="Calibri" w:hAnsi="Calibri" w:cs="Calibri"/>
        </w:rPr>
      </w:pPr>
      <w:r w:rsidRPr="00144C4C">
        <w:t xml:space="preserve">We searched PubMed from Jan 1, 1974, to Sept 18, 2018, with the terms “Crohn's disease” AND “antitumor necrosis factor” or “anti-tumor necrosis factor” or “infliximab” or “adalimumab” or “anti TNF” or “anti-TNF” or “anti-tumour necrosis factor” AND “clinical response” or efficacy or “primary non-response" or “immunogenicity.” We cross-checked the reference lists of review articles and landmark studies. </w:t>
      </w:r>
    </w:p>
    <w:p w14:paraId="0E9B6EC6" w14:textId="421983A5" w:rsidR="6BE3B0F6" w:rsidRPr="00144C4C" w:rsidRDefault="07D52E96" w:rsidP="07D52E96">
      <w:pPr>
        <w:rPr>
          <w:rFonts w:ascii="Calibri" w:eastAsia="Calibri" w:hAnsi="Calibri" w:cs="Calibri"/>
        </w:rPr>
      </w:pPr>
      <w:r w:rsidRPr="00144C4C">
        <w:t xml:space="preserve">We identified 11 previous systematic reviews, five with meta-analyses: 127 original articles reported factors associated with treatment failure. These studies were mostly retrospective or cross-sectional in design (n=85), conducted in adults (n=110), subject to tertiary centre bias (n=64), restricted to the use of infliximab (n=85), and/or too small to permit predictive multivariable analyses </w:t>
      </w:r>
      <w:r w:rsidRPr="00144C4C">
        <w:rPr>
          <w:rFonts w:ascii="Calibri" w:eastAsia="Calibri" w:hAnsi="Calibri" w:cs="Calibri"/>
        </w:rPr>
        <w:t>(n=75)</w:t>
      </w:r>
      <w:r w:rsidRPr="00144C4C">
        <w:t xml:space="preserve">. In summary, multiple patient, disease, and pharmacokinetic factors, including anti-TNF drug and anti-drug antibody levels, have been implicated in anti-TNF treatment failure, but their relative effects and interactions have not been fully explored and target drug levels have not been validated. </w:t>
      </w:r>
    </w:p>
    <w:p w14:paraId="427083C8" w14:textId="7CB4CE3E" w:rsidR="6BE3B0F6" w:rsidRPr="00144C4C" w:rsidRDefault="07D52E96" w:rsidP="07D52E96">
      <w:pPr>
        <w:rPr>
          <w:rFonts w:ascii="Calibri" w:eastAsia="Calibri" w:hAnsi="Calibri" w:cs="Calibri"/>
          <w:b/>
          <w:bCs/>
          <w:sz w:val="24"/>
          <w:szCs w:val="24"/>
        </w:rPr>
      </w:pPr>
      <w:r w:rsidRPr="00144C4C">
        <w:rPr>
          <w:rStyle w:val="Heading2Char"/>
        </w:rPr>
        <w:t>Added value of this study</w:t>
      </w:r>
    </w:p>
    <w:p w14:paraId="4E88EFC3" w14:textId="70870B60" w:rsidR="48DA32FC" w:rsidRPr="00144C4C" w:rsidRDefault="07D52E96">
      <w:r w:rsidRPr="00144C4C">
        <w:t xml:space="preserve">In the PANTS study, 1610 patients with active luminal Crohn’s disease treated with infliximab (originator [Remicade] and biosimilar [CT-P13]) or adalimumab were recruited from </w:t>
      </w:r>
      <w:r w:rsidRPr="00144C4C">
        <w:rPr>
          <w:rFonts w:ascii="Calibri" w:eastAsia="Calibri" w:hAnsi="Calibri" w:cs="Calibri"/>
        </w:rPr>
        <w:t>120 UK hospitals, reflecting ‘real-life’ practice in specialist and non-specialist IBD centres.</w:t>
      </w:r>
    </w:p>
    <w:p w14:paraId="527F38F4" w14:textId="4530B572" w:rsidR="49B8ED1E" w:rsidRPr="00144C4C" w:rsidRDefault="07D52E96" w:rsidP="07D52E96">
      <w:r w:rsidRPr="00144C4C">
        <w:t xml:space="preserve">Consistent with the registration studies, about one-quarter of patients’ experienced primary non-response, one-third of initial responders lost response, and only one-third were in remission at week 54. Treatment failure, safety, and rates of immunogenicity of infliximab originator were no different to biosimilar. </w:t>
      </w:r>
    </w:p>
    <w:p w14:paraId="0646CC7E" w14:textId="5861BF6E" w:rsidR="006E4418" w:rsidRPr="00144C4C" w:rsidRDefault="07D52E96" w:rsidP="07D52E96">
      <w:pPr>
        <w:rPr>
          <w:rFonts w:ascii="Calibri" w:eastAsia="Calibri" w:hAnsi="Calibri" w:cs="Calibri"/>
        </w:rPr>
      </w:pPr>
      <w:r w:rsidRPr="00144C4C">
        <w:t xml:space="preserve">Effects of clinical variables influencing treatment failure were largely mediated through drug level and/or immunogenicity. The optimal week 14 drug levels associated with remission after induction and at week 54 were 7 mg/L and 12 mg/L for infliximab and adalimumab, respectively. </w:t>
      </w:r>
      <w:r w:rsidRPr="00144C4C">
        <w:rPr>
          <w:rFonts w:ascii="Calibri" w:eastAsia="Calibri" w:hAnsi="Calibri" w:cs="Calibri"/>
        </w:rPr>
        <w:t xml:space="preserve">Continuing standard dosing regimens after PNR was rarely helpful: only 12·4% </w:t>
      </w:r>
      <w:r w:rsidR="005E44F7">
        <w:rPr>
          <w:rFonts w:ascii="Calibri" w:eastAsia="Calibri" w:hAnsi="Calibri" w:cs="Calibri"/>
        </w:rPr>
        <w:t xml:space="preserve">patients </w:t>
      </w:r>
      <w:r w:rsidRPr="00144C4C">
        <w:rPr>
          <w:rFonts w:ascii="Calibri" w:eastAsia="Calibri" w:hAnsi="Calibri" w:cs="Calibri"/>
        </w:rPr>
        <w:t xml:space="preserve">entered remission by week 54. </w:t>
      </w:r>
    </w:p>
    <w:p w14:paraId="6A99761C" w14:textId="0B1CD56C" w:rsidR="00FC4CB8" w:rsidRPr="00144C4C" w:rsidRDefault="07D52E96" w:rsidP="49B8ED1E">
      <w:r w:rsidRPr="00144C4C">
        <w:t>We observed a negative bi-directional relationship between drug level and immunogenicity, – that is low drug levels at week 14 were the main risk factor for immunogenicity by week 54 and conversely immunogenicity through drug clearance was the main cause of low drug levels by week 54</w:t>
      </w:r>
      <w:r w:rsidR="00C67FCE">
        <w:t>.</w:t>
      </w:r>
      <w:r w:rsidRPr="00144C4C">
        <w:t xml:space="preserve"> Immunogenicity was twice as common in infliximab-treated than adalimumab-treated patients and combination therapy with a thiopurine or methotrexate mitigated this risk.</w:t>
      </w:r>
    </w:p>
    <w:p w14:paraId="3287C1EB" w14:textId="15441BE8" w:rsidR="6BE3B0F6" w:rsidRPr="00144C4C" w:rsidRDefault="07D52E96" w:rsidP="07D52E96">
      <w:pPr>
        <w:rPr>
          <w:rFonts w:ascii="Calibri" w:eastAsia="Calibri" w:hAnsi="Calibri" w:cs="Calibri"/>
          <w:sz w:val="24"/>
          <w:szCs w:val="24"/>
        </w:rPr>
      </w:pPr>
      <w:r w:rsidRPr="00144C4C">
        <w:rPr>
          <w:rStyle w:val="Heading2Char"/>
        </w:rPr>
        <w:t>Implications of the available evidence</w:t>
      </w:r>
    </w:p>
    <w:p w14:paraId="4CA74463" w14:textId="02BCC578" w:rsidR="06A7E037" w:rsidRPr="004B5E8C" w:rsidRDefault="07D52E96" w:rsidP="6A0AE41F">
      <w:r w:rsidRPr="004B5E8C">
        <w:t>Anti-TNF treatment failure is associated with sub-optimal drug levels suggesting that there is a window of opportunity to improve outcomes. Dose intensification during induction of at-risk individuals (</w:t>
      </w:r>
      <w:r w:rsidRPr="004B5E8C">
        <w:rPr>
          <w:rFonts w:eastAsia="Cambria" w:cs="Cambria"/>
        </w:rPr>
        <w:t>obese patients, smokers and patients with more active disease) and</w:t>
      </w:r>
      <w:r w:rsidRPr="004B5E8C">
        <w:t xml:space="preserve"> iterative dose adjustment, aiming for higher target drug levels than is currently recommended, may improve the durability and effectiveness of anti-TNF treatment. Reassuringly, treatment failure, safety, and </w:t>
      </w:r>
      <w:r w:rsidRPr="004B5E8C">
        <w:lastRenderedPageBreak/>
        <w:t>immunogenicity rates of infliximab biosimilar are no different to infliximab originator and therefore remove some of the cost constraints of dose intensification. Thiopurines or methotrexate should be used in all infliximab-treated patients but could be avoided in some patients treated with adalimumab, such as those who do not carry the HLA-DQA1*05 allele associated with immunogenicity (</w:t>
      </w:r>
      <w:r w:rsidR="00AD1F0B" w:rsidRPr="004B5E8C">
        <w:t>paper currently under review</w:t>
      </w:r>
      <w:r w:rsidRPr="004B5E8C">
        <w:t>).</w:t>
      </w:r>
      <w:r w:rsidR="386AB0E5" w:rsidRPr="00C404FA">
        <w:br w:type="page"/>
      </w:r>
    </w:p>
    <w:p w14:paraId="45123637" w14:textId="6E1339D6" w:rsidR="005C1B35" w:rsidRPr="00144C4C" w:rsidRDefault="07D52E96" w:rsidP="00B56D7F">
      <w:pPr>
        <w:pStyle w:val="Heading1"/>
      </w:pPr>
      <w:r w:rsidRPr="00144C4C">
        <w:lastRenderedPageBreak/>
        <w:t>Background</w:t>
      </w:r>
    </w:p>
    <w:p w14:paraId="12F13AD6" w14:textId="6DAF4ABC" w:rsidR="00E91174" w:rsidRPr="00144C4C" w:rsidRDefault="1498402E" w:rsidP="6BE3B0F6">
      <w:r w:rsidRPr="00144C4C">
        <w:t xml:space="preserve">The anti-TNF monoclonal antibodies, infliximab and adalimumab, are effective treatments for </w:t>
      </w:r>
      <w:r w:rsidR="635C1F1C" w:rsidRPr="00144C4C">
        <w:t>patients with</w:t>
      </w:r>
      <w:r w:rsidRPr="00144C4C">
        <w:t xml:space="preserve"> Crohn’s disease</w:t>
      </w:r>
      <w:r w:rsidR="7432905F" w:rsidRPr="00144C4C">
        <w:t xml:space="preserve"> </w:t>
      </w:r>
      <w:r w:rsidR="58649EBF" w:rsidRPr="00144C4C">
        <w:t xml:space="preserve">refractory to </w:t>
      </w:r>
      <w:r w:rsidR="635C1F1C" w:rsidRPr="00144C4C">
        <w:t xml:space="preserve">conventional </w:t>
      </w:r>
      <w:r w:rsidR="58649EBF" w:rsidRPr="00144C4C">
        <w:t xml:space="preserve">therapies. </w:t>
      </w:r>
      <w:r w:rsidR="00F820D4" w:rsidRPr="00144C4C">
        <w:t>S</w:t>
      </w:r>
      <w:r w:rsidRPr="00144C4C">
        <w:t>uccessful treatment leads to mucosal healing, reduced hospitali</w:t>
      </w:r>
      <w:r w:rsidR="00380A9F" w:rsidRPr="00144C4C">
        <w:t>z</w:t>
      </w:r>
      <w:r w:rsidRPr="00144C4C">
        <w:t>ations and surgeries, and improve</w:t>
      </w:r>
      <w:r w:rsidR="00F820D4" w:rsidRPr="00144C4C">
        <w:t>ments in</w:t>
      </w:r>
      <w:r w:rsidRPr="00144C4C">
        <w:t xml:space="preserve"> quality of life</w:t>
      </w:r>
      <w:r w:rsidR="003253E9" w:rsidRPr="00144C4C">
        <w:t>.</w:t>
      </w:r>
      <w:r w:rsidR="00E91174" w:rsidRPr="00144C4C">
        <w:rPr>
          <w:noProof/>
          <w:vertAlign w:val="superscript"/>
        </w:rPr>
        <w:t>1–5</w:t>
      </w:r>
      <w:r w:rsidR="0091210C" w:rsidRPr="00144C4C">
        <w:t xml:space="preserve"> </w:t>
      </w:r>
    </w:p>
    <w:p w14:paraId="6EC0B55D" w14:textId="56249B39" w:rsidR="00CC3887" w:rsidRPr="00144C4C" w:rsidRDefault="45DBA74A" w:rsidP="07D52E96">
      <w:pPr>
        <w:rPr>
          <w:rFonts w:ascii="Calibri" w:eastAsia="Calibri" w:hAnsi="Calibri" w:cs="Calibri"/>
          <w:sz w:val="24"/>
          <w:szCs w:val="24"/>
          <w:highlight w:val="yellow"/>
        </w:rPr>
      </w:pPr>
      <w:r w:rsidRPr="00144C4C">
        <w:t>Unfortunately, anti-TNF treatment failure is common</w:t>
      </w:r>
      <w:r w:rsidR="4341DC92" w:rsidRPr="00144C4C">
        <w:t>:</w:t>
      </w:r>
      <w:r w:rsidRPr="00144C4C">
        <w:t xml:space="preserve"> 10-40% of patients fail to respond to induction therapy (primary non-response, PNR)</w:t>
      </w:r>
      <w:r w:rsidR="003253E9" w:rsidRPr="00144C4C">
        <w:t>,</w:t>
      </w:r>
      <w:r w:rsidR="00E91174" w:rsidRPr="00144C4C">
        <w:rPr>
          <w:rFonts w:ascii="Calibri" w:eastAsia="Calibri" w:hAnsi="Calibri" w:cs="Calibri"/>
          <w:noProof/>
          <w:vertAlign w:val="superscript"/>
        </w:rPr>
        <w:t>6–</w:t>
      </w:r>
      <w:bookmarkStart w:id="0" w:name="_GoBack"/>
      <w:bookmarkEnd w:id="0"/>
      <w:r w:rsidR="00E91174" w:rsidRPr="00144C4C">
        <w:rPr>
          <w:rFonts w:ascii="Calibri" w:eastAsia="Calibri" w:hAnsi="Calibri" w:cs="Calibri"/>
          <w:noProof/>
          <w:vertAlign w:val="superscript"/>
        </w:rPr>
        <w:t>8</w:t>
      </w:r>
      <w:r w:rsidR="4C1B04DE" w:rsidRPr="00144C4C">
        <w:t xml:space="preserve"> </w:t>
      </w:r>
      <w:r w:rsidRPr="00144C4C">
        <w:t>24-46% of patients suffer secondary loss of response in the first year of treatment</w:t>
      </w:r>
      <w:r w:rsidR="003253E9" w:rsidRPr="00144C4C">
        <w:t>,</w:t>
      </w:r>
      <w:r w:rsidR="00E91174" w:rsidRPr="00144C4C">
        <w:rPr>
          <w:noProof/>
          <w:vertAlign w:val="superscript"/>
        </w:rPr>
        <w:t>9</w:t>
      </w:r>
      <w:r w:rsidR="00E620E9" w:rsidRPr="00144C4C">
        <w:t xml:space="preserve"> </w:t>
      </w:r>
      <w:r w:rsidRPr="00144C4C">
        <w:t>and approximately 10% suffer an adverse drug reaction that curtails treatment</w:t>
      </w:r>
      <w:r w:rsidR="003253E9" w:rsidRPr="00144C4C">
        <w:t>.</w:t>
      </w:r>
      <w:r w:rsidR="00E91174" w:rsidRPr="00144C4C">
        <w:rPr>
          <w:noProof/>
          <w:vertAlign w:val="superscript"/>
        </w:rPr>
        <w:t>10</w:t>
      </w:r>
      <w:r w:rsidR="00E620E9" w:rsidRPr="00144C4C">
        <w:t xml:space="preserve"> </w:t>
      </w:r>
    </w:p>
    <w:p w14:paraId="150E75A4" w14:textId="503F0E17" w:rsidR="00CC3887" w:rsidRPr="00144C4C" w:rsidRDefault="49B8ED1E" w:rsidP="07D52E96">
      <w:pPr>
        <w:rPr>
          <w:rFonts w:eastAsia="Calibri" w:cs="Calibri"/>
          <w:highlight w:val="red"/>
        </w:rPr>
      </w:pPr>
      <w:r w:rsidRPr="00144C4C">
        <w:rPr>
          <w:rFonts w:eastAsia="Calibri" w:cs="Calibri"/>
        </w:rPr>
        <w:t>Multiple patient, disease, and drug related factors have been implicated in anti-TNF treatment failure</w:t>
      </w:r>
      <w:r w:rsidR="00D86D88" w:rsidRPr="00144C4C">
        <w:rPr>
          <w:rFonts w:eastAsia="Calibri" w:cs="Calibri"/>
          <w:noProof/>
          <w:vertAlign w:val="superscript"/>
        </w:rPr>
        <w:t>11</w:t>
      </w:r>
      <w:r w:rsidRPr="00144C4C">
        <w:rPr>
          <w:rFonts w:eastAsia="Calibri" w:cs="Calibri"/>
        </w:rPr>
        <w:t xml:space="preserve"> but their relative effects, interactions, and impact on drug and anti-drug antibody levels have not been explored in an adequa</w:t>
      </w:r>
      <w:r w:rsidR="00D86D88" w:rsidRPr="00144C4C">
        <w:rPr>
          <w:rFonts w:eastAsia="Calibri" w:cs="Calibri"/>
        </w:rPr>
        <w:t>tely powered prospective study.</w:t>
      </w:r>
    </w:p>
    <w:p w14:paraId="6AB8F8BF" w14:textId="54AEF09E" w:rsidR="00CC3887" w:rsidRPr="00144C4C" w:rsidRDefault="5764F97D" w:rsidP="07D52E96">
      <w:pPr>
        <w:rPr>
          <w:rFonts w:eastAsia="Cambria" w:cs="Cambria"/>
          <w:strike/>
        </w:rPr>
      </w:pPr>
      <w:r w:rsidRPr="5764F97D">
        <w:rPr>
          <w:rFonts w:eastAsia="Calibri" w:cs="Calibri"/>
        </w:rPr>
        <w:t xml:space="preserve">Early identification of patients at-risk of treatment failure may help direct monitoring, early dose optimisation, and use of mitigating strategies to </w:t>
      </w:r>
      <w:r w:rsidRPr="5764F97D">
        <w:rPr>
          <w:rFonts w:eastAsia="Cambria" w:cs="Cambria"/>
        </w:rPr>
        <w:t>allow these drugs to be used in a safer, more cost-effective manner.</w:t>
      </w:r>
    </w:p>
    <w:p w14:paraId="05C674AA" w14:textId="76FCFB48" w:rsidR="5764F97D" w:rsidRPr="002010E7" w:rsidRDefault="5764F97D" w:rsidP="5764F97D">
      <w:pPr>
        <w:rPr>
          <w:rFonts w:ascii="Calibri" w:hAnsi="Calibri"/>
          <w:highlight w:val="yellow"/>
        </w:rPr>
      </w:pPr>
      <w:r w:rsidRPr="5764F97D">
        <w:rPr>
          <w:rFonts w:ascii="Calibri" w:eastAsia="Calibri" w:hAnsi="Calibri" w:cs="Calibri"/>
        </w:rPr>
        <w:t xml:space="preserve">The overarching aims of The </w:t>
      </w:r>
      <w:r>
        <w:t>Personalised Anti-TNF Therapy in Crohn’s Disease study (</w:t>
      </w:r>
      <w:r w:rsidRPr="5764F97D">
        <w:rPr>
          <w:rFonts w:ascii="Calibri" w:eastAsia="Calibri" w:hAnsi="Calibri" w:cs="Calibri"/>
        </w:rPr>
        <w:t xml:space="preserve">PANTS) study were to </w:t>
      </w:r>
      <w:r>
        <w:t>build a biorepository to i</w:t>
      </w:r>
      <w:r w:rsidRPr="5764F97D">
        <w:rPr>
          <w:rFonts w:ascii="Calibri" w:eastAsia="Calibri" w:hAnsi="Calibri" w:cs="Calibri"/>
        </w:rPr>
        <w:t>nv</w:t>
      </w:r>
      <w:r w:rsidR="00FC14D7">
        <w:rPr>
          <w:rFonts w:ascii="Calibri" w:eastAsia="Calibri" w:hAnsi="Calibri" w:cs="Calibri"/>
        </w:rPr>
        <w:t>estigate the genetic and other -</w:t>
      </w:r>
      <w:r w:rsidRPr="5764F97D">
        <w:rPr>
          <w:rFonts w:ascii="Calibri" w:eastAsia="Calibri" w:hAnsi="Calibri" w:cs="Calibri"/>
        </w:rPr>
        <w:t>omic factors associated with anti-TNF treatment failure in patients with active luminal Crohn’s disease. Here, we report</w:t>
      </w:r>
      <w:r w:rsidRPr="002010E7">
        <w:rPr>
          <w:rFonts w:ascii="Calibri" w:hAnsi="Calibri"/>
        </w:rPr>
        <w:t xml:space="preserve"> the clinical and pharmacokinetic factors that </w:t>
      </w:r>
      <w:r>
        <w:t xml:space="preserve">predict and mitigate anti-TNF treatment failure in the first year of treatment. </w:t>
      </w:r>
    </w:p>
    <w:p w14:paraId="7A0497CC" w14:textId="798D230C" w:rsidR="00345F56" w:rsidRPr="00144C4C" w:rsidRDefault="5764F97D" w:rsidP="000D2903">
      <w:pPr>
        <w:pStyle w:val="Heading1"/>
      </w:pPr>
      <w:r>
        <w:t>Methods</w:t>
      </w:r>
    </w:p>
    <w:p w14:paraId="235F1C83" w14:textId="338C6E9F" w:rsidR="00BF6CEE" w:rsidRPr="000D2903" w:rsidRDefault="5764F97D" w:rsidP="000D2903">
      <w:pPr>
        <w:pStyle w:val="Heading2"/>
      </w:pPr>
      <w:r>
        <w:t xml:space="preserve">Study </w:t>
      </w:r>
      <w:r w:rsidRPr="002010E7">
        <w:t>design</w:t>
      </w:r>
      <w:r>
        <w:t xml:space="preserve"> and participants</w:t>
      </w:r>
    </w:p>
    <w:p w14:paraId="1C86A506" w14:textId="6240F2C3" w:rsidR="003451B0" w:rsidRPr="00144C4C" w:rsidRDefault="5764F97D" w:rsidP="5764F97D">
      <w:pPr>
        <w:rPr>
          <w:rFonts w:ascii="Calibri" w:eastAsia="Calibri" w:hAnsi="Calibri" w:cs="Calibri"/>
        </w:rPr>
      </w:pPr>
      <w:r>
        <w:t xml:space="preserve">PANTS is a UK-wide, multicentre, prospective observational cohort reporting the treatment failure rates of the anti-TNF drugs infliximab (originator, Remicade [Merck </w:t>
      </w:r>
      <w:r w:rsidRPr="5764F97D">
        <w:rPr>
          <w:rFonts w:ascii="Calibri" w:eastAsia="Calibri" w:hAnsi="Calibri" w:cs="Calibri"/>
        </w:rPr>
        <w:t>Sharp &amp; Dohme</w:t>
      </w:r>
      <w:r>
        <w:t xml:space="preserve">, UK] and biosimilar, CT-P13 [Celltrion, South Korea]) and adalimumab (Humira [Abbvie, USA]) in anti-TNF-naïve patients with active luminal Crohn’s disease. </w:t>
      </w:r>
    </w:p>
    <w:p w14:paraId="39AED5FD" w14:textId="2980B73A" w:rsidR="00635A0C" w:rsidRPr="00144C4C" w:rsidRDefault="00635A0C" w:rsidP="5764F97D">
      <w:pPr>
        <w:rPr>
          <w:strike/>
          <w:color w:val="000000" w:themeColor="text1"/>
        </w:rPr>
      </w:pPr>
      <w:r w:rsidRPr="00144C4C">
        <w:t>Pa</w:t>
      </w:r>
      <w:r w:rsidR="00F14548" w:rsidRPr="00144C4C">
        <w:t>tients were recruited</w:t>
      </w:r>
      <w:r w:rsidR="5163AC87" w:rsidRPr="00144C4C">
        <w:t xml:space="preserve"> at the time of first anti-TNF exposure </w:t>
      </w:r>
      <w:r w:rsidR="00F14548" w:rsidRPr="00144C4C">
        <w:t xml:space="preserve">from </w:t>
      </w:r>
      <w:r w:rsidR="009E4748" w:rsidRPr="00144C4C">
        <w:t xml:space="preserve">120 </w:t>
      </w:r>
      <w:r w:rsidRPr="00144C4C">
        <w:t>NHS t</w:t>
      </w:r>
      <w:r w:rsidR="00F14548" w:rsidRPr="00144C4C">
        <w:t xml:space="preserve">rusts </w:t>
      </w:r>
      <w:r w:rsidR="0083256B" w:rsidRPr="00144C4C">
        <w:t>across the United Kingdom</w:t>
      </w:r>
      <w:r w:rsidRPr="00144C4C">
        <w:t xml:space="preserve"> </w:t>
      </w:r>
      <w:r w:rsidR="00B649D8" w:rsidRPr="00144C4C">
        <w:t>(</w:t>
      </w:r>
      <w:r w:rsidR="00B479DC" w:rsidRPr="00144C4C">
        <w:t>a</w:t>
      </w:r>
      <w:r w:rsidR="00B649D8" w:rsidRPr="00144C4C">
        <w:t xml:space="preserve">ppendix, pp </w:t>
      </w:r>
      <w:r w:rsidR="001008C5">
        <w:t>3-10</w:t>
      </w:r>
      <w:r w:rsidR="00B649D8" w:rsidRPr="00144C4C">
        <w:t xml:space="preserve">) </w:t>
      </w:r>
      <w:r w:rsidRPr="00144C4C">
        <w:t>between</w:t>
      </w:r>
      <w:r w:rsidRPr="00144C4C">
        <w:rPr>
          <w:color w:val="000000"/>
          <w:shd w:val="clear" w:color="auto" w:fill="FFFFFF"/>
        </w:rPr>
        <w:t xml:space="preserve"> February 201</w:t>
      </w:r>
      <w:r w:rsidR="00F14548" w:rsidRPr="00144C4C">
        <w:rPr>
          <w:color w:val="000000"/>
          <w:shd w:val="clear" w:color="auto" w:fill="FFFFFF"/>
        </w:rPr>
        <w:t>3 and June 2016</w:t>
      </w:r>
      <w:r w:rsidR="4BD2EFF6" w:rsidRPr="00144C4C">
        <w:rPr>
          <w:color w:val="000000"/>
          <w:shd w:val="clear" w:color="auto" w:fill="FFFFFF"/>
        </w:rPr>
        <w:t>.</w:t>
      </w:r>
      <w:r w:rsidR="00F14548" w:rsidRPr="00144C4C">
        <w:rPr>
          <w:color w:val="000000"/>
          <w:shd w:val="clear" w:color="auto" w:fill="FFFFFF"/>
        </w:rPr>
        <w:t xml:space="preserve"> Patients were </w:t>
      </w:r>
      <w:r w:rsidR="00B649D8" w:rsidRPr="00144C4C">
        <w:rPr>
          <w:color w:val="000000"/>
          <w:shd w:val="clear" w:color="auto" w:fill="FFFFFF"/>
        </w:rPr>
        <w:t>studied</w:t>
      </w:r>
      <w:r w:rsidR="00DA4CCC" w:rsidRPr="00144C4C">
        <w:rPr>
          <w:color w:val="000000"/>
          <w:shd w:val="clear" w:color="auto" w:fill="FFFFFF"/>
        </w:rPr>
        <w:t xml:space="preserve"> for </w:t>
      </w:r>
      <w:r w:rsidR="00B649D8" w:rsidRPr="00144C4C">
        <w:rPr>
          <w:color w:val="000000"/>
          <w:shd w:val="clear" w:color="auto" w:fill="FFFFFF"/>
        </w:rPr>
        <w:t>12 months or until drug withdrawal</w:t>
      </w:r>
      <w:r w:rsidR="7FA8F1B6" w:rsidRPr="00144C4C">
        <w:rPr>
          <w:color w:val="000000"/>
          <w:shd w:val="clear" w:color="auto" w:fill="FFFFFF"/>
        </w:rPr>
        <w:t xml:space="preserve">. </w:t>
      </w:r>
    </w:p>
    <w:p w14:paraId="145C165E" w14:textId="67D2E6B1" w:rsidR="00635A0C" w:rsidRPr="00144C4C" w:rsidRDefault="07D52E96" w:rsidP="44264277">
      <w:r w:rsidRPr="00144C4C">
        <w:rPr>
          <w:color w:val="000000" w:themeColor="text1"/>
        </w:rPr>
        <w:t>Patients were screened for inclusion at time of decision to treat with an anti-TNF drug</w:t>
      </w:r>
      <w:r w:rsidR="008D6B2F">
        <w:rPr>
          <w:color w:val="000000" w:themeColor="text1"/>
        </w:rPr>
        <w:t>, and no more than four weeks prior to starting the drug</w:t>
      </w:r>
      <w:r w:rsidRPr="00144C4C">
        <w:rPr>
          <w:color w:val="000000" w:themeColor="text1"/>
        </w:rPr>
        <w:t>. The eligibility criteria were:</w:t>
      </w:r>
    </w:p>
    <w:p w14:paraId="7B156D7C" w14:textId="152C378A" w:rsidR="00635A0C" w:rsidRPr="00144C4C" w:rsidRDefault="07D52E96" w:rsidP="00974BDD">
      <w:pPr>
        <w:pStyle w:val="ListParagraph"/>
        <w:numPr>
          <w:ilvl w:val="0"/>
          <w:numId w:val="7"/>
        </w:numPr>
      </w:pPr>
      <w:r w:rsidRPr="00144C4C">
        <w:t>Aged ≥6 years.</w:t>
      </w:r>
    </w:p>
    <w:p w14:paraId="7EECE42F" w14:textId="0EB6D92B" w:rsidR="00D2295A" w:rsidRPr="00144C4C" w:rsidRDefault="07D52E96" w:rsidP="00974BDD">
      <w:pPr>
        <w:pStyle w:val="ListParagraph"/>
        <w:numPr>
          <w:ilvl w:val="0"/>
          <w:numId w:val="7"/>
        </w:numPr>
      </w:pPr>
      <w:r w:rsidRPr="00144C4C">
        <w:t>Crohn's disease involving the colon and/or small intestine.</w:t>
      </w:r>
    </w:p>
    <w:p w14:paraId="718BF6D9" w14:textId="3FF76655" w:rsidR="7ABD0DBC" w:rsidRPr="00144C4C" w:rsidRDefault="07D52E96" w:rsidP="00974BDD">
      <w:pPr>
        <w:pStyle w:val="ListParagraph"/>
        <w:numPr>
          <w:ilvl w:val="0"/>
          <w:numId w:val="7"/>
        </w:numPr>
      </w:pPr>
      <w:r w:rsidRPr="00144C4C">
        <w:t>Active luminal disease supported by C-reactive protein (CRP) &gt;3 mg/L in 90 days prior to first dose and/or faecal calprotectin &gt;50 µg/g between 90 days prior and 28 days after first dose.</w:t>
      </w:r>
    </w:p>
    <w:p w14:paraId="6E1CEDFB" w14:textId="021B65C5" w:rsidR="00635A0C" w:rsidRPr="00144C4C" w:rsidRDefault="5764F97D" w:rsidP="44264277">
      <w:r>
        <w:lastRenderedPageBreak/>
        <w:t xml:space="preserve">Exclusion criteria included prior exposure to, or contraindications for the use of, anti-TNF therapy. </w:t>
      </w:r>
    </w:p>
    <w:p w14:paraId="6D8DE707" w14:textId="67AB914D" w:rsidR="5764F97D" w:rsidRDefault="00012486" w:rsidP="5764F97D">
      <w:pPr>
        <w:pStyle w:val="Heading2"/>
      </w:pPr>
      <w:r>
        <w:rPr>
          <w:rStyle w:val="Strong"/>
          <w:b/>
          <w:bCs/>
        </w:rPr>
        <w:t>Procedures</w:t>
      </w:r>
    </w:p>
    <w:p w14:paraId="1592517A" w14:textId="04135F7E" w:rsidR="5764F97D" w:rsidRDefault="5764F97D">
      <w:r>
        <w:t>The choice of anti-TNF was at the discretion of the treating physician and prescribed according to the licensed dosing schedule.</w:t>
      </w:r>
    </w:p>
    <w:p w14:paraId="1E730A7C" w14:textId="3F5AA96E" w:rsidR="5764F97D" w:rsidRDefault="5764F97D" w:rsidP="5764F97D">
      <w:pPr>
        <w:rPr>
          <w:color w:val="7030A0"/>
        </w:rPr>
      </w:pPr>
      <w:r>
        <w:t xml:space="preserve">Study visits were scheduled at first dose (week 0), post-induction (week 14), and at weeks 30 and 54. Additional visits were planned for infliximab-treated patients at each infusion and for both groups at treatment failure or exit. </w:t>
      </w:r>
      <w:r w:rsidRPr="5764F97D">
        <w:rPr>
          <w:rFonts w:eastAsia="Times New Roman"/>
          <w:lang w:val="en-US"/>
        </w:rPr>
        <w:t xml:space="preserve">In cases where the visit did not exactly occur on the day delineated by the protocol, the following windows of eligibility were specified: week 0 (week </w:t>
      </w:r>
      <w:r w:rsidR="004B5E8C">
        <w:rPr>
          <w:rFonts w:eastAsia="Times New Roman"/>
          <w:lang w:val="en-US"/>
        </w:rPr>
        <w:t>-</w:t>
      </w:r>
      <w:r w:rsidRPr="5764F97D">
        <w:rPr>
          <w:rFonts w:eastAsia="Times New Roman"/>
          <w:lang w:val="en-US"/>
        </w:rPr>
        <w:t>4 to 0), week 14 (week 10 to 20), week 30 (week 22 to 38), and week 54 (week 42 to 66) (appendix pp 1</w:t>
      </w:r>
      <w:r w:rsidR="004B5E8C">
        <w:rPr>
          <w:rFonts w:eastAsia="Times New Roman"/>
          <w:lang w:val="en-US"/>
        </w:rPr>
        <w:t>2-13</w:t>
      </w:r>
      <w:r w:rsidRPr="5764F97D">
        <w:rPr>
          <w:rFonts w:eastAsia="Times New Roman"/>
          <w:lang w:val="en-US"/>
        </w:rPr>
        <w:t>).</w:t>
      </w:r>
    </w:p>
    <w:p w14:paraId="3C9F5431" w14:textId="60391E86" w:rsidR="5764F97D" w:rsidRDefault="5764F97D" w:rsidP="5764F97D">
      <w:pPr>
        <w:pStyle w:val="Heading3"/>
        <w:rPr>
          <w:sz w:val="28"/>
          <w:szCs w:val="28"/>
        </w:rPr>
      </w:pPr>
      <w:r>
        <w:t>Clinical variables</w:t>
      </w:r>
    </w:p>
    <w:p w14:paraId="62A5DBD3" w14:textId="451AA7F6" w:rsidR="5764F97D" w:rsidRDefault="352A128A" w:rsidP="352A128A">
      <w:pPr>
        <w:shd w:val="clear" w:color="auto" w:fill="FFFFFF" w:themeFill="background1"/>
        <w:rPr>
          <w:i/>
          <w:iCs/>
        </w:rPr>
      </w:pPr>
      <w:r>
        <w:t>At baseline, sites recorded demographic data, smoking status, age at diagnosis, disease duration, Montreal Classification,</w:t>
      </w:r>
      <w:r w:rsidRPr="352A128A">
        <w:rPr>
          <w:noProof/>
          <w:vertAlign w:val="superscript"/>
        </w:rPr>
        <w:t>15</w:t>
      </w:r>
      <w:r>
        <w:t xml:space="preserve"> prior medical and drug history, and previous Crohn’s disease-related surgeries. At every visit, disease activity score, weight, current therapy, and adverse events were recorded. </w:t>
      </w:r>
    </w:p>
    <w:p w14:paraId="6E242FC5" w14:textId="616894AA" w:rsidR="5764F97D" w:rsidRDefault="5764F97D" w:rsidP="5764F97D">
      <w:pPr>
        <w:pStyle w:val="Heading3"/>
      </w:pPr>
      <w:r>
        <w:t>Laboratory variables</w:t>
      </w:r>
    </w:p>
    <w:p w14:paraId="6CEC2607" w14:textId="2FFD3830" w:rsidR="5764F97D" w:rsidRDefault="5764F97D" w:rsidP="5764F97D">
      <w:r>
        <w:t xml:space="preserve">Blood and stool samples were processed through the central laboratory </w:t>
      </w:r>
      <w:r w:rsidRPr="5764F97D">
        <w:rPr>
          <w:color w:val="000000" w:themeColor="text1"/>
        </w:rPr>
        <w:t>at the Royal Devon &amp; Exeter NHS Foundation Trust (</w:t>
      </w:r>
      <w:r w:rsidRPr="0017599E">
        <w:t>https://www.exeterlaboratory.com/</w:t>
      </w:r>
      <w:r w:rsidRPr="5764F97D">
        <w:rPr>
          <w:color w:val="000000" w:themeColor="text1"/>
        </w:rPr>
        <w:t>).</w:t>
      </w:r>
      <w:r>
        <w:t xml:space="preserve"> Drug and total anti-drug antibody concentration were measured with IDKmonitor</w:t>
      </w:r>
      <w:r w:rsidRPr="5764F97D">
        <w:rPr>
          <w:rFonts w:ascii="Helvetica" w:eastAsia="Helvetica" w:hAnsi="Helvetica" w:cs="Helvetica"/>
          <w:b/>
          <w:bCs/>
          <w:color w:val="333333"/>
          <w:sz w:val="18"/>
          <w:szCs w:val="18"/>
        </w:rPr>
        <w:t>®</w:t>
      </w:r>
      <w:r w:rsidRPr="002010E7">
        <w:t xml:space="preserve"> ELISA assays </w:t>
      </w:r>
      <w:r w:rsidRPr="5764F97D">
        <w:rPr>
          <w:rFonts w:ascii="Calibri" w:eastAsia="Calibri" w:hAnsi="Calibri" w:cs="Calibri"/>
        </w:rPr>
        <w:t xml:space="preserve">(Immundiagnostik AG, Bensheim, Germany) performed on the Dynex DS2 ELISA robot (Dynex technologies, Worthing, UK) (appendix p </w:t>
      </w:r>
      <w:r w:rsidR="004B5E8C">
        <w:rPr>
          <w:rFonts w:ascii="Calibri" w:eastAsia="Calibri" w:hAnsi="Calibri" w:cs="Calibri"/>
        </w:rPr>
        <w:t>11</w:t>
      </w:r>
      <w:r w:rsidRPr="5764F97D">
        <w:rPr>
          <w:rFonts w:ascii="Calibri" w:eastAsia="Calibri" w:hAnsi="Calibri" w:cs="Calibri"/>
        </w:rPr>
        <w:t xml:space="preserve">). For all infliximab-treated patients we measured trough drug levels, excluding levels taken at other time points. For adalimumab-treated patients, we asked research sites to take blood samples as near as possible to trough whilst minimising inconvenience to patients. </w:t>
      </w:r>
    </w:p>
    <w:p w14:paraId="164CB8CA" w14:textId="5D7DFFA5" w:rsidR="5764F97D" w:rsidRDefault="5764F97D" w:rsidP="5764F97D">
      <w:r w:rsidRPr="002010E7">
        <w:t>W</w:t>
      </w:r>
      <w:r w:rsidRPr="5764F97D">
        <w:rPr>
          <w:rFonts w:ascii="Calibri" w:eastAsia="Calibri" w:hAnsi="Calibri" w:cs="Calibri"/>
        </w:rPr>
        <w:t xml:space="preserve">e chose a drug tolerant anti-drug antibody assay which allowed us to identify all patients with immunogenicity regardless of circulating drug level. </w:t>
      </w:r>
      <w:r>
        <w:t>We defined immunogenicity by an anti-drug antibody titre ≥10 AU/ml, based on the 99</w:t>
      </w:r>
      <w:r w:rsidRPr="5764F97D">
        <w:rPr>
          <w:vertAlign w:val="superscript"/>
        </w:rPr>
        <w:t>th</w:t>
      </w:r>
      <w:r>
        <w:t xml:space="preserve"> centile of drug-naïve controls and stratified this by the presence or absence of detectable drug (&lt;0·8 mg/L). Investigators were blinded to these data until week 54.</w:t>
      </w:r>
    </w:p>
    <w:p w14:paraId="50152E71" w14:textId="2C315B25" w:rsidR="00635A0C" w:rsidRPr="00144C4C" w:rsidRDefault="07D52E96" w:rsidP="44264277">
      <w:pPr>
        <w:pStyle w:val="Heading2"/>
      </w:pPr>
      <w:r w:rsidRPr="00144C4C">
        <w:rPr>
          <w:rStyle w:val="Strong"/>
          <w:b/>
          <w:bCs/>
        </w:rPr>
        <w:t>Outcomes</w:t>
      </w:r>
    </w:p>
    <w:p w14:paraId="0C522F15" w14:textId="180E25DB" w:rsidR="00B1745A" w:rsidRPr="00144C4C" w:rsidRDefault="1DBE0580" w:rsidP="07D52E96">
      <w:pPr>
        <w:rPr>
          <w:rFonts w:eastAsia="Calibri"/>
        </w:rPr>
      </w:pPr>
      <w:r w:rsidRPr="00144C4C">
        <w:rPr>
          <w:rFonts w:eastAsia="Calibri"/>
        </w:rPr>
        <w:t>Treatment failure endpoints were primary non-response at week 1</w:t>
      </w:r>
      <w:r w:rsidR="00DC04C3" w:rsidRPr="00144C4C">
        <w:rPr>
          <w:rFonts w:eastAsia="Calibri"/>
        </w:rPr>
        <w:t xml:space="preserve">4, non-remission at week 54 and </w:t>
      </w:r>
      <w:r w:rsidRPr="00144C4C">
        <w:rPr>
          <w:rFonts w:eastAsia="Calibri"/>
        </w:rPr>
        <w:t xml:space="preserve">adverse events leading to drug withdrawal. </w:t>
      </w:r>
      <w:r w:rsidR="00D2295A" w:rsidRPr="00144C4C">
        <w:t xml:space="preserve">We used </w:t>
      </w:r>
      <w:r w:rsidR="0E68B873" w:rsidRPr="00144C4C">
        <w:t xml:space="preserve">composite end-points defined using symptom scores </w:t>
      </w:r>
      <w:r w:rsidR="00D2295A" w:rsidRPr="00144C4C">
        <w:t>(</w:t>
      </w:r>
      <w:r w:rsidR="0E68B873" w:rsidRPr="00144C4C">
        <w:t xml:space="preserve">Harvey Bradshaw Index </w:t>
      </w:r>
      <w:r w:rsidR="00D2295A" w:rsidRPr="00144C4C">
        <w:t>[</w:t>
      </w:r>
      <w:r w:rsidR="0E68B873" w:rsidRPr="00144C4C">
        <w:t>HBI</w:t>
      </w:r>
      <w:r w:rsidR="00D2295A" w:rsidRPr="00144C4C">
        <w:t>]</w:t>
      </w:r>
      <w:r w:rsidR="0E68B873" w:rsidRPr="00144C4C">
        <w:t xml:space="preserve"> in adults</w:t>
      </w:r>
      <w:r w:rsidR="00D86D88" w:rsidRPr="00144C4C">
        <w:rPr>
          <w:noProof/>
          <w:vertAlign w:val="superscript"/>
        </w:rPr>
        <w:t>12</w:t>
      </w:r>
      <w:r w:rsidR="0E68B873" w:rsidRPr="00144C4C">
        <w:t xml:space="preserve"> and the </w:t>
      </w:r>
      <w:r w:rsidR="001938FC">
        <w:t xml:space="preserve">HBI or </w:t>
      </w:r>
      <w:r w:rsidR="0E68B873" w:rsidRPr="00144C4C">
        <w:t xml:space="preserve">Short Paediatric Crohn’s Disease Activity Index </w:t>
      </w:r>
      <w:r w:rsidR="00D2295A" w:rsidRPr="00144C4C">
        <w:t>[</w:t>
      </w:r>
      <w:r w:rsidR="0E68B873" w:rsidRPr="00144C4C">
        <w:t>sPCDAI</w:t>
      </w:r>
      <w:r w:rsidR="00D2295A" w:rsidRPr="00144C4C">
        <w:t>]</w:t>
      </w:r>
      <w:r w:rsidR="0E68B873" w:rsidRPr="00144C4C">
        <w:t xml:space="preserve"> in children</w:t>
      </w:r>
      <w:r w:rsidR="3B6805C4" w:rsidRPr="00144C4C">
        <w:t>),</w:t>
      </w:r>
      <w:r w:rsidR="00D86D88" w:rsidRPr="00144C4C">
        <w:rPr>
          <w:noProof/>
          <w:vertAlign w:val="superscript"/>
        </w:rPr>
        <w:t>13</w:t>
      </w:r>
      <w:r w:rsidR="0E68B873" w:rsidRPr="00144C4C">
        <w:t xml:space="preserve"> corticosteroid use</w:t>
      </w:r>
      <w:r w:rsidR="27951595" w:rsidRPr="00144C4C">
        <w:t>,</w:t>
      </w:r>
      <w:r w:rsidR="0E68B873" w:rsidRPr="00144C4C">
        <w:t xml:space="preserve"> and CRP (appendix</w:t>
      </w:r>
      <w:r w:rsidR="001008C5">
        <w:t xml:space="preserve"> p</w:t>
      </w:r>
      <w:r w:rsidR="00DC04C3" w:rsidRPr="00144C4C">
        <w:t xml:space="preserve"> 1</w:t>
      </w:r>
      <w:r w:rsidR="004B5E8C">
        <w:t>4</w:t>
      </w:r>
      <w:r w:rsidR="0E68B873" w:rsidRPr="00144C4C">
        <w:t>)</w:t>
      </w:r>
      <w:r w:rsidR="005B2AB9" w:rsidRPr="00144C4C">
        <w:t>.</w:t>
      </w:r>
      <w:r w:rsidR="0E68B873" w:rsidRPr="00144C4C">
        <w:t xml:space="preserve"> </w:t>
      </w:r>
    </w:p>
    <w:p w14:paraId="6685557A" w14:textId="3E61FAE2" w:rsidR="00D529C8" w:rsidRDefault="07D52E96" w:rsidP="07D52E96">
      <w:r w:rsidRPr="00144C4C">
        <w:rPr>
          <w:i/>
          <w:iCs/>
        </w:rPr>
        <w:t>Primary non-response (PNR)</w:t>
      </w:r>
      <w:r w:rsidR="00BE13F1">
        <w:t>:</w:t>
      </w:r>
      <w:r w:rsidRPr="00144C4C">
        <w:t xml:space="preserve"> exit prior to week 14 for treatment failure (including resectional IBD surgery) or corticosteroid use at week 14 (new prescriptions or failure to taper).  Patients who exhibited both a failure of CRP to fall to ≤3 mg/L or by 50% from baseline (week 0) and failure of HBI to fall to ≤4 or by 3 points were also classified as PNR. For children, a failure of sPCDAI to fall to </w:t>
      </w:r>
      <w:r w:rsidRPr="002010E7">
        <w:rPr>
          <w:u w:val="single"/>
        </w:rPr>
        <w:t>&lt;</w:t>
      </w:r>
      <w:r w:rsidRPr="00144C4C">
        <w:t>15 or by more than 12·5 points was used.</w:t>
      </w:r>
    </w:p>
    <w:p w14:paraId="5B585E49" w14:textId="6EDED4C8" w:rsidR="00144C4C" w:rsidRDefault="00144C4C" w:rsidP="00144C4C">
      <w:pPr>
        <w:rPr>
          <w:lang w:val="en-US"/>
        </w:rPr>
      </w:pPr>
      <w:r w:rsidRPr="000C36BE">
        <w:rPr>
          <w:bCs/>
          <w:i/>
          <w:lang w:val="en-US"/>
        </w:rPr>
        <w:lastRenderedPageBreak/>
        <w:t>Grey zone</w:t>
      </w:r>
      <w:r w:rsidRPr="2EDC34F0">
        <w:rPr>
          <w:lang w:val="en-US"/>
        </w:rPr>
        <w:t xml:space="preserve"> (intermediate </w:t>
      </w:r>
      <w:r w:rsidR="00AD6A67">
        <w:rPr>
          <w:lang w:val="en-US"/>
        </w:rPr>
        <w:t xml:space="preserve">between PNR and </w:t>
      </w:r>
      <w:r w:rsidRPr="2EDC34F0">
        <w:rPr>
          <w:lang w:val="en-US"/>
        </w:rPr>
        <w:t xml:space="preserve">response): </w:t>
      </w:r>
      <w:r w:rsidR="00BE13F1">
        <w:rPr>
          <w:lang w:val="en-US"/>
        </w:rPr>
        <w:t>CRP falls to ≤</w:t>
      </w:r>
      <w:r w:rsidRPr="2EDC34F0">
        <w:rPr>
          <w:lang w:val="en-US"/>
        </w:rPr>
        <w:t>3mg/L or by 50% from base</w:t>
      </w:r>
      <w:r w:rsidR="00BE13F1">
        <w:rPr>
          <w:lang w:val="en-US"/>
        </w:rPr>
        <w:t>line (Week 0) or HBI falls to ≤</w:t>
      </w:r>
      <w:r w:rsidRPr="2EDC34F0">
        <w:rPr>
          <w:lang w:val="en-US"/>
        </w:rPr>
        <w:t>4 or by 3 points from baseline (but not both).</w:t>
      </w:r>
    </w:p>
    <w:p w14:paraId="68260377" w14:textId="485C9306" w:rsidR="00144C4C" w:rsidRDefault="00144C4C" w:rsidP="00144C4C">
      <w:r w:rsidRPr="000C36BE">
        <w:rPr>
          <w:bCs/>
          <w:i/>
          <w:lang w:val="en-US"/>
        </w:rPr>
        <w:t>Response</w:t>
      </w:r>
      <w:r w:rsidR="00AD6A67">
        <w:t xml:space="preserve">: </w:t>
      </w:r>
      <w:r w:rsidR="00BE13F1">
        <w:t>both CRP falls to ≤</w:t>
      </w:r>
      <w:r>
        <w:t>3mg/L or by 50% from basel</w:t>
      </w:r>
      <w:r w:rsidR="00BE13F1">
        <w:t>ine (Week 0) and HBI falls to ≤</w:t>
      </w:r>
      <w:r>
        <w:t>4 or by 3 points from baseline.</w:t>
      </w:r>
    </w:p>
    <w:p w14:paraId="439DCB13" w14:textId="432100CD" w:rsidR="00144C4C" w:rsidRPr="00144C4C" w:rsidRDefault="00144C4C" w:rsidP="07D52E96">
      <w:r w:rsidRPr="000C36BE">
        <w:rPr>
          <w:bCs/>
          <w:i/>
        </w:rPr>
        <w:t>Remission</w:t>
      </w:r>
      <w:r w:rsidR="00AD6A67">
        <w:t xml:space="preserve">: </w:t>
      </w:r>
      <w:r w:rsidR="00C41A8C">
        <w:t>CRP of ≤3 mg/L and HBI of ≤4 points (sPCDAI ≤</w:t>
      </w:r>
      <w:r>
        <w:t>15)</w:t>
      </w:r>
      <w:r w:rsidR="00F55E77">
        <w:t xml:space="preserve">, </w:t>
      </w:r>
      <w:r>
        <w:t>no ongoing steroid therapy</w:t>
      </w:r>
      <w:r w:rsidR="00F55E77">
        <w:t>,</w:t>
      </w:r>
      <w:r>
        <w:t xml:space="preserve"> and no exit for treatment failure.</w:t>
      </w:r>
    </w:p>
    <w:p w14:paraId="1A86ED3C" w14:textId="16372996" w:rsidR="00D529C8" w:rsidRPr="00144C4C" w:rsidRDefault="0BEFDB46" w:rsidP="07D52E96">
      <w:pPr>
        <w:rPr>
          <w:rFonts w:eastAsiaTheme="minorBidi"/>
        </w:rPr>
      </w:pPr>
      <w:r w:rsidRPr="00144C4C">
        <w:rPr>
          <w:rFonts w:eastAsiaTheme="minorBidi"/>
          <w:i/>
          <w:iCs/>
        </w:rPr>
        <w:t>Loss of response</w:t>
      </w:r>
      <w:r w:rsidRPr="00144C4C">
        <w:rPr>
          <w:rFonts w:eastAsiaTheme="minorBidi"/>
        </w:rPr>
        <w:t xml:space="preserve"> </w:t>
      </w:r>
      <w:r w:rsidRPr="00144C4C">
        <w:rPr>
          <w:rFonts w:eastAsiaTheme="minorBidi"/>
          <w:i/>
          <w:iCs/>
        </w:rPr>
        <w:t>(LOR)</w:t>
      </w:r>
      <w:r w:rsidRPr="00144C4C">
        <w:rPr>
          <w:rFonts w:eastAsiaTheme="minorBidi"/>
        </w:rPr>
        <w:t xml:space="preserve"> was defined </w:t>
      </w:r>
      <w:r w:rsidR="001F139E" w:rsidRPr="00144C4C">
        <w:rPr>
          <w:rFonts w:eastAsiaTheme="minorBidi"/>
        </w:rPr>
        <w:t xml:space="preserve">in patients who did not have PNR </w:t>
      </w:r>
      <w:r w:rsidRPr="00144C4C">
        <w:rPr>
          <w:rFonts w:eastAsiaTheme="minorBidi"/>
        </w:rPr>
        <w:t xml:space="preserve">as symptomatic IBD activity </w:t>
      </w:r>
      <w:r w:rsidR="007B6618" w:rsidRPr="00144C4C">
        <w:rPr>
          <w:rFonts w:eastAsiaTheme="minorBidi"/>
        </w:rPr>
        <w:t>that</w:t>
      </w:r>
      <w:r w:rsidRPr="00144C4C">
        <w:rPr>
          <w:rFonts w:eastAsiaTheme="minorBidi"/>
        </w:rPr>
        <w:t xml:space="preserve"> warrant</w:t>
      </w:r>
      <w:r w:rsidR="007B6618" w:rsidRPr="00144C4C">
        <w:rPr>
          <w:rFonts w:eastAsiaTheme="minorBidi"/>
        </w:rPr>
        <w:t>ed</w:t>
      </w:r>
      <w:r w:rsidRPr="00144C4C">
        <w:rPr>
          <w:rFonts w:eastAsiaTheme="minorBidi"/>
        </w:rPr>
        <w:t xml:space="preserve"> an escalation of steroid, immunomodulatory or anti-TNF therapy, resectional surgery, or exit from stu</w:t>
      </w:r>
      <w:r w:rsidR="003253E9" w:rsidRPr="00144C4C">
        <w:rPr>
          <w:rFonts w:eastAsiaTheme="minorBidi"/>
          <w:color w:val="000000" w:themeColor="text1"/>
        </w:rPr>
        <w:t>dy due to treatment failure.</w:t>
      </w:r>
      <w:r w:rsidR="00E91174" w:rsidRPr="00144C4C">
        <w:rPr>
          <w:rFonts w:eastAsiaTheme="minorBidi"/>
          <w:noProof/>
          <w:vertAlign w:val="superscript"/>
        </w:rPr>
        <w:t>9</w:t>
      </w:r>
      <w:r w:rsidR="00E620E9" w:rsidRPr="00144C4C">
        <w:rPr>
          <w:rFonts w:eastAsiaTheme="minorBidi"/>
        </w:rPr>
        <w:t xml:space="preserve"> </w:t>
      </w:r>
      <w:r w:rsidR="001F139E" w:rsidRPr="00144C4C">
        <w:rPr>
          <w:rFonts w:eastAsiaTheme="minorBidi"/>
        </w:rPr>
        <w:t>T</w:t>
      </w:r>
      <w:r w:rsidRPr="00144C4C">
        <w:rPr>
          <w:rFonts w:eastAsiaTheme="minorBidi"/>
        </w:rPr>
        <w:t>iming of LOR was defined as the time of treatment escalation, drug withdrawal, or surgery.</w:t>
      </w:r>
    </w:p>
    <w:p w14:paraId="08A8E2F6" w14:textId="56DA5107" w:rsidR="00D529C8" w:rsidRPr="00144C4C" w:rsidRDefault="07D52E96" w:rsidP="07D52E96">
      <w:pPr>
        <w:rPr>
          <w:rFonts w:eastAsiaTheme="minorBidi"/>
        </w:rPr>
      </w:pPr>
      <w:r w:rsidRPr="00144C4C">
        <w:rPr>
          <w:rFonts w:eastAsiaTheme="minorBidi"/>
          <w:i/>
          <w:iCs/>
        </w:rPr>
        <w:t>Non-Remission</w:t>
      </w:r>
      <w:r w:rsidRPr="00144C4C">
        <w:rPr>
          <w:rFonts w:eastAsiaTheme="minorBidi"/>
        </w:rPr>
        <w:t xml:space="preserve"> was assessed at week 54 and defined as CRP of &gt;3mg/L or HBI of &gt;4 points (sPCDAI &gt;15), ongoing steroid therapy, or exit for treatment failure. </w:t>
      </w:r>
    </w:p>
    <w:p w14:paraId="39EA4AD2" w14:textId="75A73C42" w:rsidR="00E06310" w:rsidRDefault="07D52E96" w:rsidP="07D52E96">
      <w:r w:rsidRPr="00144C4C">
        <w:rPr>
          <w:i/>
          <w:iCs/>
        </w:rPr>
        <w:t>Exit:</w:t>
      </w:r>
      <w:r w:rsidRPr="00144C4C">
        <w:t xml:space="preserve"> Patients exited the study when they stopped anti-TNF therapy or had an intestinal resection. Patients who exited the study for treatment failure were deemed to be in non-remission for subsequent time points. Patients who exited the study for loss to follow-up, withdrawal of consent, or elective withdrawal of drug, including for pregnancy, were censored at the time of study exit and excluded from the denominator for subsequent analyses.</w:t>
      </w:r>
    </w:p>
    <w:p w14:paraId="0C1F46AA" w14:textId="02922CC2" w:rsidR="00144C4C" w:rsidRPr="00144C4C" w:rsidRDefault="00144C4C" w:rsidP="07D52E96">
      <w:pPr>
        <w:rPr>
          <w:color w:val="C00000"/>
        </w:rPr>
      </w:pPr>
      <w:r>
        <w:t>We defined steroid therapy for the purposes of non-remission and PNR as any systemic therapy, either oral or intravenous (including use of steroids for other conditions), but not including single pre-infusion dosing with hydrocortisone.</w:t>
      </w:r>
    </w:p>
    <w:p w14:paraId="5217A140" w14:textId="77777777" w:rsidR="00D529C8" w:rsidRPr="00144C4C" w:rsidRDefault="5764F97D" w:rsidP="5764F97D">
      <w:pPr>
        <w:pStyle w:val="Heading2"/>
        <w:rPr>
          <w:rStyle w:val="Strong"/>
          <w:b/>
          <w:bCs/>
        </w:rPr>
      </w:pPr>
      <w:r w:rsidRPr="002010E7">
        <w:rPr>
          <w:rStyle w:val="Strong"/>
          <w:b/>
          <w:sz w:val="22"/>
        </w:rPr>
        <w:t>Adverse events</w:t>
      </w:r>
    </w:p>
    <w:p w14:paraId="0C07F593" w14:textId="0F5AF26E" w:rsidR="00C327F3" w:rsidRPr="00144C4C" w:rsidRDefault="07D52E96" w:rsidP="0B3F0D65">
      <w:r w:rsidRPr="00144C4C">
        <w:t xml:space="preserve">Adverse events (AEs) were coded centrally according to the Medical Dictionary for Regulatory Activities (MedDRA) version 20·1. MedDRA is the international medical terminology developed under the auspices of the International Conference on Harmonisation of Technical Requirements for Registration of Pharmaceuticals for Human Use (ICH). </w:t>
      </w:r>
    </w:p>
    <w:p w14:paraId="70D20CE9" w14:textId="7F828B87" w:rsidR="254B0E1D" w:rsidRPr="00144C4C" w:rsidRDefault="1732F955" w:rsidP="44264277">
      <w:r w:rsidRPr="00144C4C">
        <w:t>Serious AEs included those that required hospitalization, were life-threatening, or resulted in persistent/permanent or significant disability/incapacity</w:t>
      </w:r>
      <w:r w:rsidR="388BADFA" w:rsidRPr="00144C4C">
        <w:t>.</w:t>
      </w:r>
      <w:r w:rsidRPr="00144C4C">
        <w:t xml:space="preserve"> Causality was graded according to the Good Clinical Practice framework guidelines as ‘not related’, ‘unlikely’, ‘possibly’, ‘probably’, or ‘definitely’ by the local research sites</w:t>
      </w:r>
      <w:r w:rsidR="388BADFA" w:rsidRPr="00144C4C">
        <w:t>.</w:t>
      </w:r>
      <w:r w:rsidR="00D86D88" w:rsidRPr="00144C4C">
        <w:rPr>
          <w:noProof/>
          <w:vertAlign w:val="superscript"/>
        </w:rPr>
        <w:t>14</w:t>
      </w:r>
      <w:r w:rsidRPr="00144C4C">
        <w:t xml:space="preserve"> </w:t>
      </w:r>
    </w:p>
    <w:p w14:paraId="3A9A7A99" w14:textId="7F77CCDB" w:rsidR="254B0E1D" w:rsidRPr="00144C4C" w:rsidRDefault="5764F97D" w:rsidP="5764F97D">
      <w:pPr>
        <w:pStyle w:val="Heading2"/>
        <w:rPr>
          <w:szCs w:val="28"/>
        </w:rPr>
      </w:pPr>
      <w:r w:rsidRPr="5764F97D">
        <w:rPr>
          <w:szCs w:val="28"/>
        </w:rPr>
        <w:t>Statistical analysis</w:t>
      </w:r>
      <w:bookmarkStart w:id="1" w:name="_Toc525313652"/>
      <w:bookmarkStart w:id="2" w:name="_Toc527018589"/>
      <w:bookmarkEnd w:id="1"/>
      <w:bookmarkEnd w:id="2"/>
    </w:p>
    <w:p w14:paraId="08A259CC" w14:textId="7D6198A6" w:rsidR="00635A0C" w:rsidRPr="00144C4C" w:rsidRDefault="5764F97D" w:rsidP="44264277">
      <w:pPr>
        <w:pStyle w:val="Heading2"/>
      </w:pPr>
      <w:r w:rsidRPr="002010E7">
        <w:rPr>
          <w:sz w:val="22"/>
        </w:rPr>
        <w:t xml:space="preserve">Study size </w:t>
      </w:r>
    </w:p>
    <w:p w14:paraId="02F3C59A" w14:textId="7702329C" w:rsidR="00180BF9" w:rsidRPr="00144C4C" w:rsidRDefault="1DC2CDC1" w:rsidP="1DC2CDC1">
      <w:pPr>
        <w:rPr>
          <w:rFonts w:ascii="Calibri" w:eastAsia="Calibri" w:hAnsi="Calibri" w:cs="Calibri"/>
          <w:lang w:val="en-US"/>
        </w:rPr>
      </w:pPr>
      <w:r w:rsidRPr="002507B9">
        <w:rPr>
          <w:rFonts w:ascii="Calibri" w:eastAsia="Calibri" w:hAnsi="Calibri" w:cs="Calibri"/>
        </w:rPr>
        <w:t>At cohort inception, sample size was based on identifying a genetic predictor of PNR. Assuming a PNR rate of 0·2 and a perfectly-tagged risk allele of 25% frequency, we calculated the need to recruit 240 non-responders and 960 responders to yield 99% and 33% power to detect genome wide significant association (P&lt;5×10</w:t>
      </w:r>
      <w:r w:rsidRPr="002507B9">
        <w:rPr>
          <w:rFonts w:ascii="Calibri" w:eastAsia="Calibri" w:hAnsi="Calibri" w:cs="Calibri"/>
          <w:vertAlign w:val="superscript"/>
          <w:lang w:val="en-US"/>
        </w:rPr>
        <w:t>-8</w:t>
      </w:r>
      <w:r w:rsidRPr="002507B9">
        <w:rPr>
          <w:rFonts w:ascii="Calibri" w:eastAsia="Calibri" w:hAnsi="Calibri" w:cs="Calibri"/>
        </w:rPr>
        <w:t>) for relative r</w:t>
      </w:r>
      <w:r w:rsidR="00E437CE" w:rsidRPr="002507B9">
        <w:rPr>
          <w:rFonts w:ascii="Calibri" w:eastAsia="Calibri" w:hAnsi="Calibri" w:cs="Calibri"/>
        </w:rPr>
        <w:t>isks of 2 and 1·5 respectively.</w:t>
      </w:r>
      <w:r w:rsidRPr="002507B9">
        <w:rPr>
          <w:rFonts w:ascii="Calibri" w:eastAsia="Calibri" w:hAnsi="Calibri" w:cs="Calibri"/>
          <w:lang w:val="en-US"/>
        </w:rPr>
        <w:t xml:space="preserve"> We anticipated an attrition rate of 20% of patients and so our recruitment target was 1600 patients.</w:t>
      </w:r>
      <w:r w:rsidRPr="1DC2CDC1">
        <w:rPr>
          <w:rFonts w:ascii="Calibri" w:eastAsia="Calibri" w:hAnsi="Calibri" w:cs="Calibri"/>
          <w:lang w:val="en-US"/>
        </w:rPr>
        <w:t xml:space="preserve"> </w:t>
      </w:r>
    </w:p>
    <w:p w14:paraId="1E9CDE07" w14:textId="64575F2C" w:rsidR="00180BF9" w:rsidRPr="00144C4C" w:rsidRDefault="00747F2C" w:rsidP="1DC2CDC1">
      <w:pPr>
        <w:rPr>
          <w:color w:val="00B050"/>
        </w:rPr>
      </w:pPr>
      <w:r>
        <w:rPr>
          <w:rFonts w:ascii="Calibri" w:eastAsia="Calibri" w:hAnsi="Calibri" w:cs="Calibri"/>
        </w:rPr>
        <w:lastRenderedPageBreak/>
        <w:t>Secondly</w:t>
      </w:r>
      <w:r w:rsidR="69BCB8D3" w:rsidRPr="1DC2CDC1">
        <w:rPr>
          <w:rFonts w:ascii="Calibri" w:eastAsia="Calibri" w:hAnsi="Calibri" w:cs="Calibri"/>
        </w:rPr>
        <w:t>, in February 2015, the infliximab biosimilar, CT-P13,</w:t>
      </w:r>
      <w:r w:rsidR="7C28A209" w:rsidRPr="1DC2CDC1">
        <w:rPr>
          <w:rFonts w:ascii="Calibri" w:eastAsia="Calibri" w:hAnsi="Calibri" w:cs="Calibri"/>
        </w:rPr>
        <w:t xml:space="preserve"> </w:t>
      </w:r>
      <w:r w:rsidR="69BCB8D3" w:rsidRPr="1DC2CDC1">
        <w:rPr>
          <w:rFonts w:ascii="Calibri" w:eastAsia="Calibri" w:hAnsi="Calibri" w:cs="Calibri"/>
        </w:rPr>
        <w:t>became available in the UK</w:t>
      </w:r>
      <w:r w:rsidR="30530B38" w:rsidRPr="1DC2CDC1">
        <w:rPr>
          <w:rFonts w:ascii="Calibri" w:eastAsia="Calibri" w:hAnsi="Calibri" w:cs="Calibri"/>
        </w:rPr>
        <w:t>.</w:t>
      </w:r>
      <w:r w:rsidR="69BCB8D3" w:rsidRPr="1DC2CDC1">
        <w:rPr>
          <w:rFonts w:ascii="Calibri" w:eastAsia="Calibri" w:hAnsi="Calibri" w:cs="Calibri"/>
        </w:rPr>
        <w:t xml:space="preserve"> </w:t>
      </w:r>
      <w:r w:rsidR="006F4A84" w:rsidRPr="1DC2CDC1">
        <w:rPr>
          <w:rFonts w:ascii="Calibri" w:eastAsia="Calibri" w:hAnsi="Calibri" w:cs="Calibri"/>
        </w:rPr>
        <w:t xml:space="preserve">We calculated that a sample size of 180 CT-P13-treated patients would permit a comparison of non-inferiority of CT-P13 and Remicade based on power of 80%, our observed PNR rate of 25%, </w:t>
      </w:r>
      <w:r w:rsidR="003B6959" w:rsidRPr="1DC2CDC1">
        <w:rPr>
          <w:rFonts w:ascii="Calibri" w:eastAsia="Calibri" w:hAnsi="Calibri" w:cs="Calibri"/>
        </w:rPr>
        <w:t xml:space="preserve">non-inferiority margin of 10%, </w:t>
      </w:r>
      <w:r w:rsidR="006F4A84" w:rsidRPr="1DC2CDC1">
        <w:rPr>
          <w:rFonts w:ascii="Calibri" w:eastAsia="Calibri" w:hAnsi="Calibri" w:cs="Calibri"/>
        </w:rPr>
        <w:t>attrition rate of 20%, and a ratio of CT-P13 to Remicade-treated patients of 1:4</w:t>
      </w:r>
      <w:r w:rsidR="30530B38" w:rsidRPr="1DC2CDC1">
        <w:rPr>
          <w:rFonts w:ascii="Calibri" w:eastAsia="Calibri" w:hAnsi="Calibri" w:cs="Calibri"/>
        </w:rPr>
        <w:t>.</w:t>
      </w:r>
      <w:r w:rsidR="00E437CE" w:rsidRPr="00E437CE">
        <w:rPr>
          <w:noProof/>
          <w:vertAlign w:val="superscript"/>
        </w:rPr>
        <w:t>15</w:t>
      </w:r>
      <w:r w:rsidR="00C327F3" w:rsidRPr="1DC2CDC1">
        <w:rPr>
          <w:rFonts w:ascii="Calibri" w:eastAsia="Calibri" w:hAnsi="Calibri" w:cs="Calibri"/>
        </w:rPr>
        <w:t xml:space="preserve">  </w:t>
      </w:r>
    </w:p>
    <w:p w14:paraId="00ED571F" w14:textId="3687239B" w:rsidR="5764F97D" w:rsidRPr="002010E7" w:rsidRDefault="5764F97D" w:rsidP="5764F97D">
      <w:pPr>
        <w:pStyle w:val="Heading2"/>
      </w:pPr>
      <w:r w:rsidRPr="002010E7">
        <w:rPr>
          <w:sz w:val="22"/>
        </w:rPr>
        <w:t>Patients excluded from effectiveness analyses</w:t>
      </w:r>
    </w:p>
    <w:p w14:paraId="07759714" w14:textId="59B7DD84" w:rsidR="5764F97D" w:rsidRDefault="4F239F1E" w:rsidP="5764F97D">
      <w:r w:rsidRPr="4F239F1E">
        <w:rPr>
          <w:rFonts w:eastAsia="Times New Roman"/>
          <w:lang w:val="en-US"/>
        </w:rPr>
        <w:t>Following central monitoring, we identified three groups of patients who we subsequently excluded from the effectiveness analyses:  1. patients with stomas in whom the HBI and sPCDAI are not validated; 2. patients that were recruited into the study with normal pre-screening and visit 1 calprotectin and CRP levels; 3. patients where the only indication for anti-TNF was perianal disease. Because these patients had received drug, we included them in our immunogenicity and safety analyses.</w:t>
      </w:r>
    </w:p>
    <w:p w14:paraId="288C83D8" w14:textId="2423AFEB" w:rsidR="5764F97D" w:rsidRPr="002507B9" w:rsidRDefault="00AA085A" w:rsidP="5764F97D">
      <w:pPr>
        <w:rPr>
          <w:sz w:val="28"/>
          <w:szCs w:val="28"/>
        </w:rPr>
      </w:pPr>
      <w:r w:rsidRPr="5764F97D">
        <w:rPr>
          <w:b/>
          <w:bCs/>
          <w:color w:val="4F81BD" w:themeColor="accent1"/>
        </w:rPr>
        <w:t>Statistical methods</w:t>
      </w:r>
      <w:r>
        <w:br/>
      </w:r>
      <w:r w:rsidRPr="002507B9">
        <w:t>Because of differences in drug formulation, route of delivery, dosing interval, and potential for inducing immune response, infliximab and adalimumab treatment outcomes were analysed separately.</w:t>
      </w:r>
      <w:r w:rsidRPr="002507B9">
        <w:rPr>
          <w:noProof/>
          <w:vertAlign w:val="superscript"/>
        </w:rPr>
        <w:t>16</w:t>
      </w:r>
      <w:r w:rsidR="5764F97D" w:rsidRPr="002507B9">
        <w:rPr>
          <w:rFonts w:ascii="Calibri" w:eastAsia="Calibri" w:hAnsi="Calibri" w:cs="Calibri"/>
        </w:rPr>
        <w:t xml:space="preserve"> </w:t>
      </w:r>
    </w:p>
    <w:p w14:paraId="51A56AAA" w14:textId="621A4236" w:rsidR="5764F97D" w:rsidRPr="002010E7" w:rsidRDefault="4F239F1E" w:rsidP="5764F97D">
      <w:pPr>
        <w:rPr>
          <w:rFonts w:ascii="Calibri" w:hAnsi="Calibri"/>
          <w:color w:val="FF0000"/>
          <w:highlight w:val="yellow"/>
        </w:rPr>
      </w:pPr>
      <w:r>
        <w:t xml:space="preserve">Outcomes were assigned using an algorithm written in R 3·5·1 (R Foundation for Statistical Computing, Vienna, Austria). All analyses were two tailed and p-values &lt;0·05 were considered significant. </w:t>
      </w:r>
      <w:r w:rsidRPr="4F239F1E">
        <w:rPr>
          <w:rFonts w:ascii="Calibri" w:eastAsia="Calibri" w:hAnsi="Calibri" w:cs="Calibri"/>
          <w:color w:val="FF0000"/>
        </w:rPr>
        <w:t xml:space="preserve"> </w:t>
      </w:r>
    </w:p>
    <w:p w14:paraId="7676D276" w14:textId="30AE04A8" w:rsidR="4F239F1E" w:rsidRDefault="4F239F1E" w:rsidP="4F239F1E">
      <w:r w:rsidRPr="002507B9">
        <w:rPr>
          <w:rFonts w:ascii="Calibri" w:eastAsia="Calibri" w:hAnsi="Calibri" w:cs="Calibri"/>
          <w:lang w:val="en-US"/>
        </w:rPr>
        <w:t>Patients who exited the study for treatment failure were deemed to be in non-remission for every subsequent time point. Patients that exited the study for loss to follow-up, patient withdrawal of consent or elective withdrawal or drug by physician, including for pregnancy, were censored at the time of study exit and were excluded from the denominator for subsequent analyzes.</w:t>
      </w:r>
    </w:p>
    <w:p w14:paraId="42DA51AF" w14:textId="5E03DC23" w:rsidR="00A256F6" w:rsidRDefault="07D52E96" w:rsidP="07D52E96">
      <w:r w:rsidRPr="00144C4C">
        <w:t>We performed univariable analyses using Fisher’s exact and Mann-Whitney U tests to identify differences in baseline characteristics between infliximab- and adalimumab-treated patients, and to determine categorical and continuous factors associated with predefined outcomes. Multivariable logistic regression analyses were used to confirm which factors were independently associated with treatment failure</w:t>
      </w:r>
      <w:r w:rsidR="004E7AE0">
        <w:t>. We included</w:t>
      </w:r>
      <w:r w:rsidR="00B01EDE">
        <w:t xml:space="preserve"> variables with univariable p&lt;0·</w:t>
      </w:r>
      <w:r w:rsidR="004E7AE0">
        <w:t>05 in the model</w:t>
      </w:r>
      <w:r w:rsidRPr="00144C4C">
        <w:t xml:space="preserve"> and </w:t>
      </w:r>
      <w:r w:rsidR="004E7AE0">
        <w:t xml:space="preserve">used </w:t>
      </w:r>
      <w:r w:rsidR="00E56270" w:rsidRPr="068AF546">
        <w:t xml:space="preserve">Akaike Information Criterion (AIC) </w:t>
      </w:r>
      <w:r w:rsidR="004E7AE0">
        <w:t xml:space="preserve">and backward </w:t>
      </w:r>
      <w:r w:rsidR="00D92F9F">
        <w:t xml:space="preserve">stepwise </w:t>
      </w:r>
      <w:r w:rsidR="00E56270" w:rsidRPr="068AF546">
        <w:t>variable selection</w:t>
      </w:r>
      <w:r w:rsidR="00E56270" w:rsidRPr="0034338B">
        <w:rPr>
          <w:lang w:val="en-US"/>
        </w:rPr>
        <w:t>.</w:t>
      </w:r>
      <w:r w:rsidR="00E56270">
        <w:rPr>
          <w:lang w:val="en-US"/>
        </w:rPr>
        <w:t xml:space="preserve"> </w:t>
      </w:r>
      <w:r w:rsidR="00E56270" w:rsidRPr="068AF546">
        <w:t xml:space="preserve">We also built predictive models, using forwards and backwards stepwise model selection starting from the null model, </w:t>
      </w:r>
      <w:r w:rsidR="00E56270">
        <w:t>again using AIC.</w:t>
      </w:r>
      <w:r w:rsidR="00E56270" w:rsidRPr="068AF546">
        <w:t xml:space="preserve"> We used leave-one-out cross validation to test the mode</w:t>
      </w:r>
      <w:r w:rsidR="00E56270">
        <w:t>l, firstly to ensure the model wa</w:t>
      </w:r>
      <w:r w:rsidR="00E56270" w:rsidRPr="068AF546">
        <w:t>s not overfit</w:t>
      </w:r>
      <w:r w:rsidR="00E56270">
        <w:t>ted</w:t>
      </w:r>
      <w:r w:rsidR="00E56270" w:rsidRPr="068AF546">
        <w:t xml:space="preserve"> and secondly to estimate the diagnostic accuracy of the model. For prediction testing, a probability threshold was determined by maximising the sum of sensitivity and specificity.</w:t>
      </w:r>
    </w:p>
    <w:p w14:paraId="025788F1" w14:textId="63176FA9" w:rsidR="004961E3" w:rsidRPr="00144C4C" w:rsidRDefault="0020384E" w:rsidP="416866D7">
      <w:r w:rsidRPr="0020384E">
        <w:t>We expl</w:t>
      </w:r>
      <w:r>
        <w:t>ored a</w:t>
      </w:r>
      <w:r w:rsidRPr="0020384E">
        <w:t>sso</w:t>
      </w:r>
      <w:r>
        <w:t xml:space="preserve">ciations with drug concentration using linear regression, using the same variable selection methods </w:t>
      </w:r>
      <w:r w:rsidR="00A7428F">
        <w:t xml:space="preserve">as those </w:t>
      </w:r>
      <w:r>
        <w:t xml:space="preserve">detailed above for </w:t>
      </w:r>
      <w:r w:rsidR="00A7428F">
        <w:t>logistic regression</w:t>
      </w:r>
      <w:r>
        <w:t>.</w:t>
      </w:r>
      <w:r w:rsidR="07D52E96" w:rsidRPr="00144C4C">
        <w:t>Rates of immunogenicity and LOR were estimated using the Kaplan-Meier method, and comparative analyses were performed using univariable and multivariable Cox proportional hazards regression. For immunogenicity, patients were censored after their last drug and antibody measurement or at week 54. For LOR, patients were censored if they exited for reasons other than treatment failure or at week 54.</w:t>
      </w:r>
    </w:p>
    <w:p w14:paraId="018D8F28" w14:textId="6B3F1D0D" w:rsidR="00345F56" w:rsidRDefault="07D52E96" w:rsidP="416866D7">
      <w:r w:rsidRPr="00144C4C">
        <w:lastRenderedPageBreak/>
        <w:t>Optimal thresholds for drug levels were determined graphically by plotting outcome against intervals of drug level and looking for the threshold beyond which further increases were not associated with improvement in outcome.</w:t>
      </w:r>
    </w:p>
    <w:p w14:paraId="52E34D9E" w14:textId="5AA8DBC4" w:rsidR="00BA05E5" w:rsidRPr="00144C4C" w:rsidRDefault="00C404FA" w:rsidP="416866D7">
      <w:r>
        <w:t xml:space="preserve">Non-inferiority for biosimilar infliximab was assessed by determining whether the one-sided </w:t>
      </w:r>
      <w:r>
        <w:rPr>
          <w:rFonts w:eastAsia="Times New Roman"/>
        </w:rPr>
        <w:t>95% confidence interval of the absolute difference in proportions was ≥10%. The confidence interval was calculated using the prop.test function in R.</w:t>
      </w:r>
    </w:p>
    <w:p w14:paraId="686737BE" w14:textId="5DBD8FA8" w:rsidR="00241E91" w:rsidRPr="00144C4C" w:rsidRDefault="07D52E96" w:rsidP="44264277">
      <w:pPr>
        <w:pStyle w:val="Heading2"/>
      </w:pPr>
      <w:r w:rsidRPr="00144C4C">
        <w:t xml:space="preserve">Role of the funding source </w:t>
      </w:r>
    </w:p>
    <w:p w14:paraId="4C868398" w14:textId="15F4EC9A" w:rsidR="00060A45" w:rsidRPr="00144C4C" w:rsidRDefault="5764F97D" w:rsidP="40A0307D">
      <w:r>
        <w:t xml:space="preserve">PANTS is an investigator-led study funded by the research charities CORE, </w:t>
      </w:r>
      <w:r w:rsidRPr="5764F97D">
        <w:rPr>
          <w:rFonts w:ascii="Calibri" w:eastAsia="Calibri" w:hAnsi="Calibri" w:cs="Calibri"/>
        </w:rPr>
        <w:t xml:space="preserve">CCUK, and C3, and by </w:t>
      </w:r>
      <w:r>
        <w:t xml:space="preserve">unrestricted educational grants from Abbvie (USA), Merck Sharp &amp; Dohme (UK), NAPP Pharmaceuticals (UK), Pfizer (USA), and Celltrion Healthcare (South Korea). </w:t>
      </w:r>
      <w:r w:rsidRPr="5764F97D">
        <w:rPr>
          <w:rFonts w:ascii="Calibri" w:eastAsia="Calibri" w:hAnsi="Calibri" w:cs="Calibri"/>
        </w:rPr>
        <w:t xml:space="preserve">No funding bodies had any role in study design, data collection or analysis, writing or decision to submit for publication.  </w:t>
      </w:r>
    </w:p>
    <w:p w14:paraId="18F1DFF8" w14:textId="7C7C6DA0" w:rsidR="003451B0" w:rsidRPr="00144C4C" w:rsidRDefault="003451B0" w:rsidP="44264277">
      <w:pPr>
        <w:pStyle w:val="Heading1"/>
      </w:pPr>
      <w:r w:rsidRPr="00144C4C">
        <w:rPr>
          <w:shd w:val="clear" w:color="auto" w:fill="FFFFFF"/>
        </w:rPr>
        <w:t>Results</w:t>
      </w:r>
    </w:p>
    <w:p w14:paraId="7261E53F" w14:textId="6ED8B881" w:rsidR="00B66388" w:rsidRPr="00144C4C" w:rsidRDefault="07D52E96" w:rsidP="44264277">
      <w:pPr>
        <w:pStyle w:val="Heading2"/>
      </w:pPr>
      <w:r w:rsidRPr="00144C4C">
        <w:t xml:space="preserve">Participants </w:t>
      </w:r>
    </w:p>
    <w:p w14:paraId="3FB02B2D" w14:textId="2530FAFD" w:rsidR="13716B11" w:rsidRDefault="07D52E96">
      <w:r w:rsidRPr="00144C4C">
        <w:t>1610 patients, 955 [59·3%] treated with infliximab (Remicade 753 [46·8%], CT-P13 202 [12·5%]) and 655 [40·7%] treated with adalimumab were included</w:t>
      </w:r>
      <w:r w:rsidR="009D43E4">
        <w:t xml:space="preserve"> between 07/03/2013 and 15/07/2016</w:t>
      </w:r>
      <w:r w:rsidR="00887065" w:rsidRPr="00144C4C">
        <w:t xml:space="preserve"> (figure 1)</w:t>
      </w:r>
      <w:r w:rsidRPr="00144C4C">
        <w:t xml:space="preserve">. Differences between demographic and clinical characteristics of infliximab- and adalimumab-treated patients are shown </w:t>
      </w:r>
      <w:r w:rsidR="001008C5">
        <w:t xml:space="preserve">in table 1 and appendix pp </w:t>
      </w:r>
      <w:r w:rsidR="004B5E8C">
        <w:t>34-35</w:t>
      </w:r>
      <w:r w:rsidRPr="00144C4C">
        <w:t>.</w:t>
      </w:r>
    </w:p>
    <w:p w14:paraId="18C886CB" w14:textId="3CD8C928" w:rsidR="00C94327" w:rsidRPr="00144C4C" w:rsidRDefault="5764F97D">
      <w:r>
        <w:t xml:space="preserve">There were significant differences at baseline between the infliximab- and adalimumab-treated patients, including age, smoking, body mass index, disease duration, disease location, and disease behaviour. Patients treated with infliximab had more active disease at baseline as evidenced by higher Harvey-Bradshaw indices, serum CRP, and faecal calprotectin levels (table 1). </w:t>
      </w:r>
      <w:r w:rsidRPr="00CA4E94">
        <w:t>Most differences persisted when the 219 paediatric patients (&lt;18 years at time of first dose) were excluded; almost all of whom were treated with infliximab (appendix p 3</w:t>
      </w:r>
      <w:r w:rsidR="004B5E8C">
        <w:t>4</w:t>
      </w:r>
      <w:r w:rsidRPr="00CA4E94">
        <w:t>).</w:t>
      </w:r>
      <w:r>
        <w:t xml:space="preserve">  At the initiation of anti-TNF treatment, immunomodulator use was higher in patients treated with infliximab (61% vs. 51% P</w:t>
      </w:r>
      <w:r w:rsidR="00115F67">
        <w:t>·</w:t>
      </w:r>
      <w:r w:rsidR="00747F2C">
        <w:t>&lt;0·0001</w:t>
      </w:r>
      <w:r>
        <w:t xml:space="preserve">) but no differences were seen in the proportions of patients treated with corticosteroids. </w:t>
      </w:r>
    </w:p>
    <w:p w14:paraId="25FCF089" w14:textId="59E85108" w:rsidR="00DA4916" w:rsidRPr="00144C4C" w:rsidRDefault="07D52E96" w:rsidP="00A7981F">
      <w:pPr>
        <w:pStyle w:val="Heading2"/>
      </w:pPr>
      <w:r w:rsidRPr="00144C4C">
        <w:t>Treatment failure rates</w:t>
      </w:r>
    </w:p>
    <w:p w14:paraId="415BF0D0" w14:textId="15239DAF" w:rsidR="00164F71" w:rsidRPr="002010E7" w:rsidRDefault="503BA244" w:rsidP="503BA244">
      <w:pPr>
        <w:rPr>
          <w:highlight w:val="green"/>
        </w:rPr>
      </w:pPr>
      <w:r>
        <w:t>PNR occurred in 21·9% (170/775; 95% CI 19·1-25·0%) of patients treated with infliximab and 26·8% (125/466; 95% CI 22·9 – 31·1%) of patients treated with adalimumab (</w:t>
      </w:r>
      <w:r w:rsidR="00125ECD">
        <w:t>table 2</w:t>
      </w:r>
      <w:r>
        <w:t xml:space="preserve">). After excluding primary non-responders, the estimated rate of LOR by week 54 for infliximab was 36·9% (95% CI 32·7-40·9%) and for adalimumab was 34·1% (28·4-39·4%) (appendix pp </w:t>
      </w:r>
      <w:r w:rsidR="00887065">
        <w:t>1</w:t>
      </w:r>
      <w:r w:rsidR="004B5E8C">
        <w:t>5</w:t>
      </w:r>
      <w:r w:rsidR="00887065">
        <w:t>-1</w:t>
      </w:r>
      <w:r w:rsidR="004B5E8C">
        <w:t>6</w:t>
      </w:r>
      <w:r>
        <w:t>). At week 54, non-remission rates were 60·9% (469/770; 95% CI 57·4-64·4%) for infliximab-treated patients and 66·9% (295/441; 95% CI 62·3-71·3%) for adalimumab-treated patients (</w:t>
      </w:r>
      <w:r w:rsidR="00746D0C">
        <w:t>table 2</w:t>
      </w:r>
      <w:r>
        <w:t xml:space="preserve">). </w:t>
      </w:r>
    </w:p>
    <w:p w14:paraId="2E265BF2" w14:textId="5109FF56" w:rsidR="00F91EFB" w:rsidRPr="00144C4C" w:rsidRDefault="07D52E96" w:rsidP="44264277">
      <w:pPr>
        <w:pStyle w:val="Heading2"/>
      </w:pPr>
      <w:r w:rsidRPr="00144C4C">
        <w:t>Factors associated with treatment failure</w:t>
      </w:r>
    </w:p>
    <w:p w14:paraId="633942D6" w14:textId="01C1D83D" w:rsidR="00672B29" w:rsidRPr="00144C4C" w:rsidRDefault="07D52E96" w:rsidP="44264277">
      <w:pPr>
        <w:pStyle w:val="Heading3"/>
      </w:pPr>
      <w:r w:rsidRPr="00144C4C">
        <w:t xml:space="preserve">Primary non-response </w:t>
      </w:r>
    </w:p>
    <w:p w14:paraId="3289206C" w14:textId="7AE573D3" w:rsidR="69BCB8D3" w:rsidRPr="00144C4C" w:rsidRDefault="1DC2CDC1" w:rsidP="1DC2CDC1">
      <w:pPr>
        <w:rPr>
          <w:highlight w:val="yellow"/>
        </w:rPr>
      </w:pPr>
      <w:r>
        <w:t>Univariable analyses demonstrated the strongest associations with PNR to infliximab and adalimumab were with week 14 drug and anti-drug antibody levels (</w:t>
      </w:r>
      <w:r w:rsidR="000A56C8">
        <w:t xml:space="preserve">table 3, </w:t>
      </w:r>
      <w:r w:rsidR="00746D0C">
        <w:t xml:space="preserve">appendix </w:t>
      </w:r>
      <w:r w:rsidR="000A56C8">
        <w:t>p</w:t>
      </w:r>
      <w:r w:rsidR="004A2158">
        <w:t>p</w:t>
      </w:r>
      <w:r w:rsidR="00746D0C">
        <w:t xml:space="preserve"> 1</w:t>
      </w:r>
      <w:r w:rsidR="004B5E8C">
        <w:t>7</w:t>
      </w:r>
      <w:r w:rsidR="004A2158">
        <w:t>, 36</w:t>
      </w:r>
      <w:r>
        <w:t xml:space="preserve">). </w:t>
      </w:r>
      <w:r>
        <w:lastRenderedPageBreak/>
        <w:t>PNR to infliximab was also associated with older age at first dose, current smoking status, non-use of an immunomodulator, and lower baseline albumin levels. PNR to adalimumab was associated with obesity.</w:t>
      </w:r>
    </w:p>
    <w:p w14:paraId="7BD668D9" w14:textId="5026D4C1" w:rsidR="69BCB8D3" w:rsidRPr="00144C4C" w:rsidRDefault="07D52E96" w:rsidP="07D52E96">
      <w:pPr>
        <w:rPr>
          <w:highlight w:val="yellow"/>
        </w:rPr>
      </w:pPr>
      <w:r w:rsidRPr="00144C4C">
        <w:t>Multivariable analyses confirmed</w:t>
      </w:r>
      <w:r w:rsidR="00C67FCE">
        <w:t xml:space="preserve"> that</w:t>
      </w:r>
      <w:r w:rsidRPr="00144C4C">
        <w:t xml:space="preserve">, for both drugs, only week 14 drug level was associated independently with PNR (table </w:t>
      </w:r>
      <w:r w:rsidR="000A56C8">
        <w:t>4</w:t>
      </w:r>
      <w:r w:rsidRPr="00144C4C">
        <w:t>). A dose-response association was seen for week 14 drug concentration and remission up to 7 mg/L for infliximab and 12 mg</w:t>
      </w:r>
      <w:r w:rsidR="001008C5">
        <w:t xml:space="preserve">/L for adalimumab (appendix p </w:t>
      </w:r>
      <w:r w:rsidR="004B5E8C">
        <w:t>18</w:t>
      </w:r>
      <w:r w:rsidRPr="00144C4C">
        <w:t xml:space="preserve">). For infliximab-treated patients, </w:t>
      </w:r>
      <w:r w:rsidR="00C67FCE">
        <w:t xml:space="preserve">for whom we </w:t>
      </w:r>
      <w:r w:rsidRPr="00144C4C">
        <w:t xml:space="preserve">also </w:t>
      </w:r>
      <w:r w:rsidR="00C67FCE">
        <w:t xml:space="preserve">collected </w:t>
      </w:r>
      <w:r w:rsidRPr="00144C4C">
        <w:t>week 6 levels, a dose-response association was seen between these levels and increasing week 14 remission rates up to 30-35 mg/L (ap</w:t>
      </w:r>
      <w:r w:rsidR="001008C5">
        <w:t xml:space="preserve">pendix p </w:t>
      </w:r>
      <w:r w:rsidR="004B5E8C">
        <w:t>19</w:t>
      </w:r>
      <w:r w:rsidRPr="00144C4C">
        <w:t xml:space="preserve">).  </w:t>
      </w:r>
      <w:r w:rsidR="00804A1F" w:rsidRPr="0034338B">
        <w:rPr>
          <w:lang w:val="en-US"/>
        </w:rPr>
        <w:t>Our predictive models of PNR to infliximab and adalimumab, howe</w:t>
      </w:r>
      <w:r w:rsidR="00804A1F">
        <w:rPr>
          <w:lang w:val="en-US"/>
        </w:rPr>
        <w:t xml:space="preserve">ver, were not clinically useful (appendix pp </w:t>
      </w:r>
      <w:r w:rsidR="00746D0C">
        <w:rPr>
          <w:lang w:val="en-US"/>
        </w:rPr>
        <w:t>2</w:t>
      </w:r>
      <w:r w:rsidR="004B5E8C">
        <w:rPr>
          <w:lang w:val="en-US"/>
        </w:rPr>
        <w:t>0</w:t>
      </w:r>
      <w:r w:rsidR="00804A1F">
        <w:rPr>
          <w:lang w:val="en-US"/>
        </w:rPr>
        <w:t xml:space="preserve">, </w:t>
      </w:r>
      <w:r w:rsidR="004A2158">
        <w:rPr>
          <w:lang w:val="en-US"/>
        </w:rPr>
        <w:t>3</w:t>
      </w:r>
      <w:r w:rsidR="006C4EFB">
        <w:rPr>
          <w:lang w:val="en-US"/>
        </w:rPr>
        <w:t>7</w:t>
      </w:r>
      <w:r w:rsidR="00804A1F">
        <w:rPr>
          <w:lang w:val="en-US"/>
        </w:rPr>
        <w:t xml:space="preserve">). </w:t>
      </w:r>
      <w:r w:rsidR="00115F67" w:rsidRPr="2EDC34F0">
        <w:rPr>
          <w:rFonts w:eastAsia="Times New Roman"/>
        </w:rPr>
        <w:t>For infliximab, the AUC was 0</w:t>
      </w:r>
      <w:r w:rsidR="00115F67">
        <w:rPr>
          <w:rFonts w:eastAsia="Times New Roman"/>
        </w:rPr>
        <w:t>·</w:t>
      </w:r>
      <w:r w:rsidR="00115F67" w:rsidRPr="2EDC34F0">
        <w:rPr>
          <w:rFonts w:eastAsia="Times New Roman"/>
        </w:rPr>
        <w:t>527 (0</w:t>
      </w:r>
      <w:r w:rsidR="00115F67">
        <w:rPr>
          <w:rFonts w:eastAsia="Times New Roman"/>
        </w:rPr>
        <w:t>·</w:t>
      </w:r>
      <w:r w:rsidR="00115F67" w:rsidRPr="2EDC34F0">
        <w:rPr>
          <w:rFonts w:eastAsia="Times New Roman"/>
        </w:rPr>
        <w:t>461-0</w:t>
      </w:r>
      <w:r w:rsidR="00115F67">
        <w:rPr>
          <w:rFonts w:eastAsia="Times New Roman"/>
        </w:rPr>
        <w:t>·</w:t>
      </w:r>
      <w:r w:rsidR="00115F67" w:rsidRPr="2EDC34F0">
        <w:rPr>
          <w:rFonts w:eastAsia="Times New Roman"/>
        </w:rPr>
        <w:t>593) with sensitivity 0</w:t>
      </w:r>
      <w:r w:rsidR="00115F67">
        <w:rPr>
          <w:rFonts w:eastAsia="Times New Roman"/>
        </w:rPr>
        <w:t>·</w:t>
      </w:r>
      <w:r w:rsidR="00115F67" w:rsidRPr="2EDC34F0">
        <w:rPr>
          <w:rFonts w:eastAsia="Times New Roman"/>
        </w:rPr>
        <w:t>350, specificity 0</w:t>
      </w:r>
      <w:r w:rsidR="00115F67">
        <w:rPr>
          <w:rFonts w:eastAsia="Times New Roman"/>
        </w:rPr>
        <w:t>·</w:t>
      </w:r>
      <w:r w:rsidR="00115F67" w:rsidRPr="2EDC34F0">
        <w:rPr>
          <w:rFonts w:eastAsia="Times New Roman"/>
        </w:rPr>
        <w:t>753, PPV 0</w:t>
      </w:r>
      <w:r w:rsidR="00115F67">
        <w:rPr>
          <w:rFonts w:eastAsia="Times New Roman"/>
        </w:rPr>
        <w:t>·</w:t>
      </w:r>
      <w:r w:rsidR="00115F67" w:rsidRPr="2EDC34F0">
        <w:rPr>
          <w:rFonts w:eastAsia="Times New Roman"/>
        </w:rPr>
        <w:t xml:space="preserve">275, </w:t>
      </w:r>
      <w:r w:rsidR="00115F67" w:rsidRPr="09FC3EA3">
        <w:rPr>
          <w:rFonts w:eastAsia="Times New Roman"/>
        </w:rPr>
        <w:t xml:space="preserve">and </w:t>
      </w:r>
      <w:r w:rsidR="00115F67" w:rsidRPr="2EDC34F0">
        <w:rPr>
          <w:rFonts w:eastAsia="Times New Roman"/>
        </w:rPr>
        <w:t>NPV 0</w:t>
      </w:r>
      <w:r w:rsidR="00115F67">
        <w:rPr>
          <w:rFonts w:eastAsia="Times New Roman"/>
        </w:rPr>
        <w:t>·</w:t>
      </w:r>
      <w:r w:rsidR="00115F67" w:rsidRPr="2EDC34F0">
        <w:rPr>
          <w:rFonts w:eastAsia="Times New Roman"/>
        </w:rPr>
        <w:t>812</w:t>
      </w:r>
      <w:r w:rsidR="00115F67" w:rsidRPr="09FC3EA3">
        <w:rPr>
          <w:rFonts w:eastAsia="Times New Roman"/>
        </w:rPr>
        <w:t>,</w:t>
      </w:r>
      <w:r w:rsidR="00115F67" w:rsidRPr="2EDC34F0">
        <w:rPr>
          <w:rFonts w:eastAsia="Times New Roman"/>
        </w:rPr>
        <w:t xml:space="preserve"> while for adalimumab the AUC was 0</w:t>
      </w:r>
      <w:r w:rsidR="00115F67">
        <w:rPr>
          <w:rFonts w:eastAsia="Times New Roman"/>
        </w:rPr>
        <w:t>·</w:t>
      </w:r>
      <w:r w:rsidR="00115F67" w:rsidRPr="2EDC34F0">
        <w:rPr>
          <w:rFonts w:eastAsia="Times New Roman"/>
        </w:rPr>
        <w:t>539 (0</w:t>
      </w:r>
      <w:r w:rsidR="00115F67">
        <w:rPr>
          <w:rFonts w:eastAsia="Times New Roman"/>
        </w:rPr>
        <w:t>·</w:t>
      </w:r>
      <w:r w:rsidR="00115F67" w:rsidRPr="2EDC34F0">
        <w:rPr>
          <w:rFonts w:eastAsia="Times New Roman"/>
        </w:rPr>
        <w:t>462-0</w:t>
      </w:r>
      <w:r w:rsidR="00115F67">
        <w:rPr>
          <w:rFonts w:eastAsia="Times New Roman"/>
        </w:rPr>
        <w:t>·</w:t>
      </w:r>
      <w:r w:rsidR="00115F67" w:rsidRPr="2EDC34F0">
        <w:rPr>
          <w:rFonts w:eastAsia="Times New Roman"/>
        </w:rPr>
        <w:t>616) with sensitivity 0</w:t>
      </w:r>
      <w:r w:rsidR="00115F67">
        <w:rPr>
          <w:rFonts w:eastAsia="Times New Roman"/>
        </w:rPr>
        <w:t>·</w:t>
      </w:r>
      <w:r w:rsidR="00115F67" w:rsidRPr="2EDC34F0">
        <w:rPr>
          <w:rFonts w:eastAsia="Times New Roman"/>
        </w:rPr>
        <w:t>350, specificity 0</w:t>
      </w:r>
      <w:r w:rsidR="00115F67">
        <w:rPr>
          <w:rFonts w:eastAsia="Times New Roman"/>
        </w:rPr>
        <w:t>·</w:t>
      </w:r>
      <w:r w:rsidR="00115F67" w:rsidRPr="2EDC34F0">
        <w:rPr>
          <w:rFonts w:eastAsia="Times New Roman"/>
        </w:rPr>
        <w:t>952, PPV 0</w:t>
      </w:r>
      <w:r w:rsidR="00115F67">
        <w:rPr>
          <w:rFonts w:eastAsia="Times New Roman"/>
        </w:rPr>
        <w:t>·</w:t>
      </w:r>
      <w:r w:rsidR="00115F67" w:rsidRPr="2EDC34F0">
        <w:rPr>
          <w:rFonts w:eastAsia="Times New Roman"/>
        </w:rPr>
        <w:t xml:space="preserve">560, </w:t>
      </w:r>
      <w:r w:rsidR="00115F67" w:rsidRPr="09FC3EA3">
        <w:rPr>
          <w:rFonts w:eastAsia="Times New Roman"/>
        </w:rPr>
        <w:t xml:space="preserve">and </w:t>
      </w:r>
      <w:r w:rsidR="00115F67" w:rsidRPr="2EDC34F0">
        <w:rPr>
          <w:rFonts w:eastAsia="Times New Roman"/>
        </w:rPr>
        <w:t>NPV 0</w:t>
      </w:r>
      <w:r w:rsidR="00115F67">
        <w:rPr>
          <w:rFonts w:eastAsia="Times New Roman"/>
        </w:rPr>
        <w:t>·777.</w:t>
      </w:r>
    </w:p>
    <w:p w14:paraId="65F39E89" w14:textId="4AF624CA" w:rsidR="2C21FE90" w:rsidRPr="00144C4C" w:rsidRDefault="07D52E96" w:rsidP="07D52E96">
      <w:pPr>
        <w:pStyle w:val="Heading3"/>
        <w:rPr>
          <w:rFonts w:ascii="Calibri" w:eastAsia="Calibri" w:hAnsi="Calibri"/>
          <w:color w:val="4F80BD"/>
          <w:sz w:val="28"/>
          <w:szCs w:val="28"/>
        </w:rPr>
      </w:pPr>
      <w:r w:rsidRPr="00144C4C">
        <w:t>Non-remission at week 54</w:t>
      </w:r>
    </w:p>
    <w:p w14:paraId="24378C35" w14:textId="0F4B76B2" w:rsidR="00F8138E" w:rsidRDefault="07D52E96" w:rsidP="4F356E62">
      <w:r w:rsidRPr="00144C4C">
        <w:t>Univariable analysis demonstrated, for both drugs, the major determinant of non-remission at week 54 was clinical status at week</w:t>
      </w:r>
      <w:r w:rsidR="001008C5">
        <w:t xml:space="preserve"> 14 (</w:t>
      </w:r>
      <w:r w:rsidR="009A3001">
        <w:t xml:space="preserve">table 3, </w:t>
      </w:r>
      <w:r w:rsidR="001008C5">
        <w:t>appendix p</w:t>
      </w:r>
      <w:r w:rsidR="000A56C8">
        <w:t>p</w:t>
      </w:r>
      <w:r w:rsidR="001008C5">
        <w:t xml:space="preserve"> </w:t>
      </w:r>
      <w:r w:rsidR="004B5E8C">
        <w:t>21</w:t>
      </w:r>
      <w:r w:rsidR="009A3001">
        <w:t>-2</w:t>
      </w:r>
      <w:r w:rsidR="004B5E8C">
        <w:t>2</w:t>
      </w:r>
      <w:r w:rsidR="004A2158">
        <w:t>, 3</w:t>
      </w:r>
      <w:r w:rsidR="006C4EFB">
        <w:t>8</w:t>
      </w:r>
      <w:r w:rsidRPr="00144C4C">
        <w:t>). Despite meeting PNR criteria, 44·7% (76/170; 95% CI 37·1%-52·5%) of infliximab- and 48·8% (61/125; 95% CI 39·8%-57·9%) of adalimumab-treated patients continued drug beyond week 20: of these, only 14·9% (10/67; 95% CI 7·4%-25·7%) and 8·7% (4/46; 95% CI 2·4%-20·8%), respectively, were in remission at week 54.</w:t>
      </w:r>
    </w:p>
    <w:p w14:paraId="6E101349" w14:textId="59122594" w:rsidR="003C4606" w:rsidRPr="00144C4C" w:rsidRDefault="00C67FCE" w:rsidP="4F356E62">
      <w:r w:rsidRPr="00144C4C">
        <w:rPr>
          <w:rFonts w:ascii="Calibri" w:eastAsia="Calibri" w:hAnsi="Calibri" w:cs="Calibri"/>
        </w:rPr>
        <w:t>The optimal drug level at week 14 associated with remission at week 54 was also 7 mg/L for infliximab and 12 mg/L for adalimumab (</w:t>
      </w:r>
      <w:r>
        <w:t xml:space="preserve">appendix p </w:t>
      </w:r>
      <w:r w:rsidR="004B5E8C">
        <w:t>18</w:t>
      </w:r>
      <w:r w:rsidRPr="00144C4C">
        <w:t>)</w:t>
      </w:r>
      <w:r w:rsidRPr="00144C4C">
        <w:rPr>
          <w:rFonts w:ascii="Calibri" w:eastAsia="Calibri" w:hAnsi="Calibri" w:cs="Calibri"/>
        </w:rPr>
        <w:t>.</w:t>
      </w:r>
      <w:r w:rsidR="07D52E96" w:rsidRPr="00144C4C">
        <w:t xml:space="preserve"> </w:t>
      </w:r>
      <w:r w:rsidR="00F8138E" w:rsidRPr="00144C4C">
        <w:t>In addition, amongst infliximab- but not adalimumab-treated patients, non-remission was associated with immunogenicity at week 14 (</w:t>
      </w:r>
      <w:r w:rsidR="00F8138E">
        <w:t>table 3</w:t>
      </w:r>
      <w:r w:rsidR="00F8138E" w:rsidRPr="00144C4C">
        <w:t>).</w:t>
      </w:r>
    </w:p>
    <w:p w14:paraId="1E5CC358" w14:textId="69A48A82" w:rsidR="7DE57C8B" w:rsidRPr="00144C4C" w:rsidRDefault="07D52E96" w:rsidP="07D52E96">
      <w:pPr>
        <w:rPr>
          <w:highlight w:val="yellow"/>
        </w:rPr>
      </w:pPr>
      <w:r w:rsidRPr="00144C4C">
        <w:t xml:space="preserve">Amongst patients who continued treatment beyond week 14, multivariable analyses (table </w:t>
      </w:r>
      <w:r w:rsidR="009A3001">
        <w:t>4</w:t>
      </w:r>
      <w:r w:rsidRPr="00144C4C">
        <w:t xml:space="preserve">) demonstrated, for both drugs, independent associations with drug level and obesity and non-remission at week 54. </w:t>
      </w:r>
      <w:r w:rsidR="0006207E">
        <w:t>Smoking at baseline and no prior history of perianal disease were associated with poorer outcomes for both drugs on univariable analyses, but only for adalimumab on multivariable analyses.</w:t>
      </w:r>
    </w:p>
    <w:p w14:paraId="42C92797" w14:textId="722BDCA3" w:rsidR="7DE57C8B" w:rsidRPr="00144C4C" w:rsidRDefault="07D52E96" w:rsidP="07D52E96">
      <w:pPr>
        <w:pStyle w:val="Heading3"/>
        <w:rPr>
          <w:rFonts w:eastAsiaTheme="minorEastAsia" w:cstheme="minorBidi"/>
          <w:color w:val="auto"/>
          <w:highlight w:val="yellow"/>
        </w:rPr>
      </w:pPr>
      <w:r w:rsidRPr="00144C4C">
        <w:rPr>
          <w:rFonts w:cstheme="minorBidi"/>
        </w:rPr>
        <w:t>Predicting non-remission at week 54</w:t>
      </w:r>
    </w:p>
    <w:p w14:paraId="17FE0389" w14:textId="7CBCCC6C" w:rsidR="69BCB8D3" w:rsidRPr="00144C4C" w:rsidRDefault="07D52E96" w:rsidP="07D52E96">
      <w:pPr>
        <w:rPr>
          <w:rFonts w:ascii="Calibri" w:eastAsia="Calibri" w:hAnsi="Calibri"/>
        </w:rPr>
      </w:pPr>
      <w:r w:rsidRPr="00144C4C">
        <w:t>We devised two diagnostic models informed by the above univariable factors to predict non-remission</w:t>
      </w:r>
      <w:r w:rsidR="001938FC">
        <w:t xml:space="preserve"> at week 54</w:t>
      </w:r>
      <w:r w:rsidRPr="00144C4C">
        <w:t xml:space="preserve"> to infliximab and adalimumab. Our first model attempted to predict non-remission using baseline variables only and had limited diagnostic value. Our second model using baseline variables and week 14 pharmacokinetic data had greater predictive power: for infliximab, the AUC was </w:t>
      </w:r>
      <w:r w:rsidRPr="00144C4C">
        <w:rPr>
          <w:rFonts w:ascii="Calibri" w:eastAsia="Calibri" w:hAnsi="Calibri"/>
        </w:rPr>
        <w:t>0·814</w:t>
      </w:r>
      <w:r w:rsidRPr="00144C4C">
        <w:rPr>
          <w:rFonts w:ascii="Calibri" w:eastAsia="Calibri" w:hAnsi="Calibri"/>
          <w:b/>
          <w:bCs/>
        </w:rPr>
        <w:t xml:space="preserve"> </w:t>
      </w:r>
      <w:r w:rsidRPr="00144C4C">
        <w:rPr>
          <w:rFonts w:ascii="Calibri" w:eastAsia="Calibri" w:hAnsi="Calibri"/>
        </w:rPr>
        <w:t>(0·760-0·868) and for adalimumab</w:t>
      </w:r>
      <w:r w:rsidRPr="00144C4C">
        <w:t xml:space="preserve"> </w:t>
      </w:r>
      <w:r w:rsidRPr="00144C4C">
        <w:rPr>
          <w:rFonts w:ascii="Calibri" w:eastAsia="Calibri" w:hAnsi="Calibri"/>
        </w:rPr>
        <w:t>0·752 (0·678-0·826) (</w:t>
      </w:r>
      <w:r w:rsidRPr="00144C4C">
        <w:t xml:space="preserve">appendix pp </w:t>
      </w:r>
      <w:r w:rsidR="000A56C8">
        <w:t>2</w:t>
      </w:r>
      <w:r w:rsidR="004B5E8C">
        <w:t>0</w:t>
      </w:r>
      <w:r w:rsidR="000A56C8">
        <w:t xml:space="preserve">, </w:t>
      </w:r>
      <w:r w:rsidR="004A2158">
        <w:t>39-41</w:t>
      </w:r>
      <w:r w:rsidRPr="00144C4C">
        <w:t>).</w:t>
      </w:r>
    </w:p>
    <w:p w14:paraId="05B30D73" w14:textId="6D77BC82" w:rsidR="00D43554" w:rsidRPr="00144C4C" w:rsidRDefault="000A72D7" w:rsidP="07D52E96">
      <w:pPr>
        <w:pStyle w:val="Heading2"/>
        <w:rPr>
          <w:rFonts w:ascii="Calibri" w:eastAsia="Calibri" w:hAnsi="Calibri" w:cs="Calibri"/>
          <w:color w:val="4F80BD"/>
        </w:rPr>
      </w:pPr>
      <w:r>
        <w:t>Adverse e</w:t>
      </w:r>
      <w:r w:rsidR="07D52E96" w:rsidRPr="00144C4C">
        <w:t>vents</w:t>
      </w:r>
    </w:p>
    <w:p w14:paraId="13F41F9B" w14:textId="71FB430B" w:rsidR="4F356E62" w:rsidRPr="00144C4C" w:rsidRDefault="07D52E96" w:rsidP="07D52E96">
      <w:pPr>
        <w:spacing w:after="0"/>
        <w:rPr>
          <w:rFonts w:ascii="Calibri" w:eastAsia="Calibri" w:hAnsi="Calibri" w:cs="Calibri"/>
        </w:rPr>
      </w:pPr>
      <w:r w:rsidRPr="00144C4C">
        <w:t>Serious AEs, excluding worsening of Crohn’s disease activity, were observed in 17·9% (171/955; 95% CI 15·5%-20·5%) of infliximab- and 14·7% (96/655; 95% CI 12·0%-17·6%) of adalimumab-treated patients. AEs leading to treatment withdrawal occurred in 8·8% (84/955; 95% CI 7·1%-10·8%) and 6·4% (42/655; 95% CI 4·7%-8·6%) patie</w:t>
      </w:r>
      <w:r w:rsidR="001008C5">
        <w:t xml:space="preserve">nts, respectively (appendix p </w:t>
      </w:r>
      <w:r w:rsidR="004A2158">
        <w:t>42</w:t>
      </w:r>
      <w:r w:rsidRPr="00144C4C">
        <w:t>).</w:t>
      </w:r>
    </w:p>
    <w:p w14:paraId="611F3D90" w14:textId="6611B61B" w:rsidR="4F356E62" w:rsidRPr="00144C4C" w:rsidRDefault="4F356E62" w:rsidP="4F356E62">
      <w:pPr>
        <w:spacing w:after="0"/>
      </w:pPr>
    </w:p>
    <w:p w14:paraId="5221B23E" w14:textId="404DB22E" w:rsidR="4F356E62" w:rsidRPr="00144C4C" w:rsidRDefault="07D52E96" w:rsidP="003C4288">
      <w:pPr>
        <w:spacing w:after="0"/>
      </w:pPr>
      <w:r w:rsidRPr="00144C4C">
        <w:lastRenderedPageBreak/>
        <w:t>The five patients who died (four treated with infliximab) were in the upper quartile for age, and none responded to treatment by the time of death: two died of pneumonia, two died of intra-abdominal sepsis, and one of Crohn’s disease-related malnutrition. Four of the five patients were taking concomitant corticosteroids at time of death and one was taking azathioprine.</w:t>
      </w:r>
    </w:p>
    <w:p w14:paraId="04CFE5C4" w14:textId="2AFA42FE" w:rsidR="5CA8314E" w:rsidRPr="00144C4C" w:rsidRDefault="5CA8314E" w:rsidP="5CA8314E">
      <w:pPr>
        <w:spacing w:after="0"/>
      </w:pPr>
    </w:p>
    <w:p w14:paraId="1ADD3192" w14:textId="4F47E7EB" w:rsidR="00761558" w:rsidRPr="00144C4C" w:rsidRDefault="07D52E96" w:rsidP="002412E4">
      <w:r w:rsidRPr="00144C4C">
        <w:t xml:space="preserve">Serious infections were reported in 4·0% (38/955; 95% CI 2·8%-5·4%) of infliximab-treated patients, including active tuberculosis in three patients, and 3·2% (21/655; 95% CI 2·0%-4·9%) of adalimumab-treated patients. Concomitant immunomodulatory </w:t>
      </w:r>
      <w:r w:rsidRPr="00144C4C">
        <w:rPr>
          <w:rFonts w:ascii="Calibri" w:eastAsia="Calibri" w:hAnsi="Calibri"/>
        </w:rPr>
        <w:t xml:space="preserve">therapy was not associated with an increased risk of infections, even when stratified by age </w:t>
      </w:r>
      <w:r w:rsidR="001008C5">
        <w:rPr>
          <w:rFonts w:ascii="Calibri" w:eastAsia="Calibri" w:hAnsi="Calibri" w:cs="Calibri"/>
        </w:rPr>
        <w:t xml:space="preserve">(appendix p </w:t>
      </w:r>
      <w:r w:rsidR="004A2158">
        <w:rPr>
          <w:rFonts w:ascii="Calibri" w:eastAsia="Calibri" w:hAnsi="Calibri" w:cs="Calibri"/>
        </w:rPr>
        <w:t>43</w:t>
      </w:r>
      <w:r w:rsidRPr="00144C4C">
        <w:rPr>
          <w:rFonts w:ascii="Calibri" w:eastAsia="Calibri" w:hAnsi="Calibri" w:cs="Calibri"/>
        </w:rPr>
        <w:t xml:space="preserve">). </w:t>
      </w:r>
      <w:r w:rsidRPr="00144C4C">
        <w:rPr>
          <w:rFonts w:ascii="Calibri" w:eastAsia="Calibri" w:hAnsi="Calibri"/>
        </w:rPr>
        <w:t xml:space="preserve"> </w:t>
      </w:r>
    </w:p>
    <w:p w14:paraId="1B08CFBB" w14:textId="7F6DF26D" w:rsidR="00761558" w:rsidRPr="00144C4C" w:rsidRDefault="07D52E96" w:rsidP="49B8ED1E">
      <w:pPr>
        <w:spacing w:after="0"/>
        <w:textAlignment w:val="baseline"/>
      </w:pPr>
      <w:r w:rsidRPr="00144C4C">
        <w:t xml:space="preserve">Infusion reactions </w:t>
      </w:r>
      <w:r w:rsidR="00864E00">
        <w:t xml:space="preserve">within 24 hours of </w:t>
      </w:r>
      <w:r w:rsidRPr="00144C4C">
        <w:t xml:space="preserve">infliximab, which occurred after a median of 5 </w:t>
      </w:r>
      <w:r w:rsidRPr="00144C4C">
        <w:rPr>
          <w:rFonts w:ascii="Calibri" w:eastAsia="Calibri" w:hAnsi="Calibri" w:cs="Calibri"/>
        </w:rPr>
        <w:t xml:space="preserve">weeks </w:t>
      </w:r>
      <w:r w:rsidRPr="00144C4C">
        <w:t xml:space="preserve">(IQR 1-14) of </w:t>
      </w:r>
      <w:r w:rsidR="00864E00">
        <w:t xml:space="preserve">starting </w:t>
      </w:r>
      <w:r w:rsidRPr="00144C4C">
        <w:t>treatment, were experienced by 3·2% (31/955; 95% CI 2·2-4·6%) patients and were associated with anti-drug antibody titre (median peak antibody 96 AU/mL (IQR 5-313) vs. 8 AU/mL (IQR 5-45), P=0·004). Injection site reactions to adalimumab, which occurred after a median of 14 weeks, were observed in 4·3% (28/655) patients but were not associated with immunogenicity.</w:t>
      </w:r>
    </w:p>
    <w:p w14:paraId="336D21B7" w14:textId="6FAAB935" w:rsidR="00971055" w:rsidRPr="00144C4C" w:rsidRDefault="07D52E96" w:rsidP="00E26199">
      <w:pPr>
        <w:pStyle w:val="Heading2"/>
      </w:pPr>
      <w:r w:rsidRPr="00144C4C">
        <w:t>Pharmacokinetics</w:t>
      </w:r>
    </w:p>
    <w:p w14:paraId="1B569CB7" w14:textId="716A3DFA" w:rsidR="2D27C102" w:rsidRPr="00144C4C" w:rsidRDefault="07D52E96" w:rsidP="007126A4">
      <w:pPr>
        <w:pStyle w:val="Heading3"/>
      </w:pPr>
      <w:r w:rsidRPr="00144C4C">
        <w:rPr>
          <w:rFonts w:eastAsia="Calibri"/>
        </w:rPr>
        <w:t>Drug Level</w:t>
      </w:r>
    </w:p>
    <w:p w14:paraId="60007DBB" w14:textId="14990401" w:rsidR="003C4288" w:rsidRPr="00144C4C" w:rsidRDefault="5764F97D" w:rsidP="003C4288">
      <w:r>
        <w:t xml:space="preserve">Univariable factors associated with low drug levels at weeks 14 and 54 are shown in </w:t>
      </w:r>
      <w:r w:rsidR="000A56C8">
        <w:t>appendix pp 2</w:t>
      </w:r>
      <w:r w:rsidR="004B5E8C">
        <w:t>3</w:t>
      </w:r>
      <w:r w:rsidR="000A56C8">
        <w:t>-2</w:t>
      </w:r>
      <w:r w:rsidR="004B5E8C">
        <w:t>5</w:t>
      </w:r>
      <w:r w:rsidR="000A56C8">
        <w:t xml:space="preserve">, </w:t>
      </w:r>
      <w:r w:rsidR="004A2158">
        <w:t>44-45</w:t>
      </w:r>
      <w:r>
        <w:t>. At both time-points, the strongest independent association with low drug levels was development of anti-drug antibodies. In addition, low drug levels were associated with markers of active disease (high CRP and faecal calprotectin levels at baseline, weeks 14 and 54). Lower albumin levels and obesity were independently associated with week 14 drug levels for infliximab and adalimumab, respectively. In infliximab-treated but not adalimumab-treated patients, low drug levels at week 54 was also associated wi</w:t>
      </w:r>
      <w:r w:rsidR="00993220">
        <w:t>th anti-TNF monotherapy (table 3</w:t>
      </w:r>
      <w:r>
        <w:t>).</w:t>
      </w:r>
    </w:p>
    <w:p w14:paraId="18401FA1" w14:textId="17CA430D" w:rsidR="2D27C102" w:rsidRPr="00144C4C" w:rsidRDefault="07D52E96" w:rsidP="07D52E96">
      <w:pPr>
        <w:pStyle w:val="Heading3"/>
        <w:rPr>
          <w:rFonts w:eastAsia="Calibri"/>
        </w:rPr>
      </w:pPr>
      <w:r w:rsidRPr="00144C4C">
        <w:rPr>
          <w:rFonts w:eastAsia="Calibri"/>
        </w:rPr>
        <w:t>Immunogenicity</w:t>
      </w:r>
    </w:p>
    <w:p w14:paraId="245F582A" w14:textId="53C0EB37" w:rsidR="712CD94D" w:rsidRDefault="5764F97D" w:rsidP="5CA8314E">
      <w:r>
        <w:t>The estimated rate of immunogenicity by week 54 (defined as anti-drug antibody concentration ≥ 10 AU/mL) was 62·8% (95% CI 59·0-66·3%) for infliximab and 28·5% (95% CI 24·0-32·7%) for adalimumab (appendix p 2</w:t>
      </w:r>
      <w:r w:rsidR="004B5E8C">
        <w:t>5</w:t>
      </w:r>
      <w:r>
        <w:t>). When defined as concentration ≥10 AU/mL and concurrent undetectable drug level, the rates were 31·2% (95% CI 27·6-34·6%) for infliximab and 12·3% (95% CI 8·9-15·6%) for adalimumab (appendix p 2</w:t>
      </w:r>
      <w:r w:rsidR="004B5E8C">
        <w:t>7</w:t>
      </w:r>
      <w:r>
        <w:t xml:space="preserve">). </w:t>
      </w:r>
    </w:p>
    <w:p w14:paraId="47EC9FEE" w14:textId="2E6DBD6F" w:rsidR="00747F2C" w:rsidRPr="00144C4C" w:rsidRDefault="00747F2C" w:rsidP="5CA8314E">
      <w:r>
        <w:t>For infliximab</w:t>
      </w:r>
      <w:r w:rsidR="00777142">
        <w:t xml:space="preserve"> treated patients, for whom early </w:t>
      </w:r>
      <w:r>
        <w:t>anti-drug antibody level</w:t>
      </w:r>
      <w:r w:rsidR="00430F3F">
        <w:t>s</w:t>
      </w:r>
      <w:r>
        <w:t xml:space="preserve"> were available, the </w:t>
      </w:r>
      <w:r w:rsidR="00430F3F">
        <w:t xml:space="preserve">point-prevalence of </w:t>
      </w:r>
      <w:r>
        <w:t xml:space="preserve">anti-drug antibody positivity </w:t>
      </w:r>
      <w:r w:rsidR="00430F3F">
        <w:t xml:space="preserve">at weeks 2, 6 and 14 </w:t>
      </w:r>
      <w:r>
        <w:t xml:space="preserve">were </w:t>
      </w:r>
      <w:r w:rsidR="00E47E36">
        <w:t>3·9</w:t>
      </w:r>
      <w:r w:rsidR="00430F3F">
        <w:t xml:space="preserve">%, </w:t>
      </w:r>
      <w:r w:rsidR="00E47E36">
        <w:t>5·0</w:t>
      </w:r>
      <w:r w:rsidR="00430F3F">
        <w:t>% and 1</w:t>
      </w:r>
      <w:r w:rsidR="00E47E36">
        <w:t>4·6</w:t>
      </w:r>
      <w:r w:rsidR="00430F3F">
        <w:t xml:space="preserve">% respectively. </w:t>
      </w:r>
    </w:p>
    <w:p w14:paraId="235E5F2E" w14:textId="7B0B75E6" w:rsidR="00860591" w:rsidRPr="00144C4C" w:rsidRDefault="5764F97D" w:rsidP="6C99964F">
      <w:r>
        <w:t xml:space="preserve">The univariable factors associated with the time to immunogenicity are shown in figure </w:t>
      </w:r>
      <w:r w:rsidR="00536385">
        <w:t>2</w:t>
      </w:r>
      <w:r w:rsidR="009A3001">
        <w:t xml:space="preserve"> and appendix p</w:t>
      </w:r>
      <w:r w:rsidR="004B5E8C">
        <w:t xml:space="preserve"> </w:t>
      </w:r>
      <w:r w:rsidR="004A2158">
        <w:t>46</w:t>
      </w:r>
      <w:r>
        <w:t xml:space="preserve">. Multivariable analyses demonstrated that week 14 drug level was the major independent risk factor associated with development of immunogenicity for both drugs. In addition, time to immunogenicity was associated with obesity for both drugs and smoking for infliximab-treated patients (table </w:t>
      </w:r>
      <w:r w:rsidR="009A3001">
        <w:t>4</w:t>
      </w:r>
      <w:r>
        <w:t>).</w:t>
      </w:r>
    </w:p>
    <w:p w14:paraId="3F121951" w14:textId="0CFB7D61" w:rsidR="00860591" w:rsidRPr="00144C4C" w:rsidRDefault="5764F97D" w:rsidP="07D52E96">
      <w:pPr>
        <w:rPr>
          <w:highlight w:val="green"/>
        </w:rPr>
      </w:pPr>
      <w:r w:rsidRPr="5764F97D">
        <w:rPr>
          <w:rFonts w:ascii="Calibri" w:eastAsia="Calibri" w:hAnsi="Calibri" w:cs="Calibri"/>
        </w:rPr>
        <w:t xml:space="preserve">Immunomodulator use was the major protective factor against immunogenicity, with similar effect sizes for infliximab and adalimumab. </w:t>
      </w:r>
      <w:r>
        <w:t xml:space="preserve">There was no difference in time to immunogenicity between </w:t>
      </w:r>
      <w:r>
        <w:lastRenderedPageBreak/>
        <w:t>thiopurine medications or methotrexate (appendix pp</w:t>
      </w:r>
      <w:r w:rsidR="004B5E8C">
        <w:t xml:space="preserve"> 29</w:t>
      </w:r>
      <w:r w:rsidR="009A3001">
        <w:t>-</w:t>
      </w:r>
      <w:r w:rsidR="004B5E8C">
        <w:t>30</w:t>
      </w:r>
      <w:r>
        <w:t>). Thiopurines reduced immunogenicity to infliximab in a dose-dependent manner with the lowest rates of immunogenicity seen in patients treated with the highest</w:t>
      </w:r>
      <w:r w:rsidR="009A3001">
        <w:t xml:space="preserve"> thiopurine doses (appendix p </w:t>
      </w:r>
      <w:r w:rsidR="004B5E8C">
        <w:t>31</w:t>
      </w:r>
      <w:r>
        <w:t>).</w:t>
      </w:r>
    </w:p>
    <w:p w14:paraId="0357FCA8" w14:textId="61CB6F28" w:rsidR="5764F97D" w:rsidRDefault="5764F97D" w:rsidP="5764F97D">
      <w:r>
        <w:t xml:space="preserve">Sensitivity analyses exploring the effect of combination immunomodulator use on clinical outcomes demonstrated that immunomodulator use was associated with lower week 54 non-remission rates in infliximab-treated patients (combination: 52·6% (95% CI 47·9%-57·1%) vs. monotherapy: 74·0% (95% CI 68·6%-78·9%)), but not adalimumab-treated patients (combination: 64·2% (95% CI 57·6%-70·4%) vs monotherapy: 69·8% (95% CI 63·1%-75·9%)). </w:t>
      </w:r>
      <w:r w:rsidRPr="002010E7">
        <w:rPr>
          <w:rFonts w:ascii="Calibri" w:hAnsi="Calibri"/>
        </w:rPr>
        <w:t xml:space="preserve">Further </w:t>
      </w:r>
      <w:r w:rsidRPr="5764F97D">
        <w:rPr>
          <w:rFonts w:ascii="Calibri" w:eastAsia="Calibri" w:hAnsi="Calibri" w:cs="Calibri"/>
        </w:rPr>
        <w:t xml:space="preserve">sensitivity </w:t>
      </w:r>
      <w:r w:rsidRPr="002010E7">
        <w:rPr>
          <w:rFonts w:ascii="Calibri" w:hAnsi="Calibri"/>
        </w:rPr>
        <w:t>analyses of infliximab-treated patients</w:t>
      </w:r>
      <w:r w:rsidRPr="5764F97D">
        <w:rPr>
          <w:rFonts w:ascii="Calibri" w:eastAsia="Calibri" w:hAnsi="Calibri" w:cs="Calibri"/>
        </w:rPr>
        <w:t>, limited to the modifiable factors of immunomodulator use and drug and antibody levels,</w:t>
      </w:r>
      <w:r w:rsidRPr="002010E7">
        <w:rPr>
          <w:rFonts w:ascii="Calibri" w:hAnsi="Calibri"/>
        </w:rPr>
        <w:t xml:space="preserve"> demonstrated </w:t>
      </w:r>
      <w:r w:rsidRPr="5764F97D">
        <w:rPr>
          <w:rFonts w:ascii="Calibri" w:eastAsia="Calibri" w:hAnsi="Calibri" w:cs="Calibri"/>
        </w:rPr>
        <w:t>the</w:t>
      </w:r>
      <w:r w:rsidRPr="002010E7">
        <w:rPr>
          <w:rFonts w:ascii="Calibri" w:hAnsi="Calibri"/>
        </w:rPr>
        <w:t xml:space="preserve"> benefit </w:t>
      </w:r>
      <w:r w:rsidRPr="5764F97D">
        <w:rPr>
          <w:rFonts w:ascii="Calibri" w:eastAsia="Calibri" w:hAnsi="Calibri" w:cs="Calibri"/>
        </w:rPr>
        <w:t>of i</w:t>
      </w:r>
      <w:r w:rsidR="006223E1">
        <w:rPr>
          <w:rFonts w:ascii="Calibri" w:eastAsia="Calibri" w:hAnsi="Calibri" w:cs="Calibri"/>
        </w:rPr>
        <w:t>m</w:t>
      </w:r>
      <w:r w:rsidRPr="5764F97D">
        <w:rPr>
          <w:rFonts w:ascii="Calibri" w:eastAsia="Calibri" w:hAnsi="Calibri" w:cs="Calibri"/>
        </w:rPr>
        <w:t xml:space="preserve">munomodulators </w:t>
      </w:r>
      <w:r w:rsidRPr="002010E7">
        <w:rPr>
          <w:rFonts w:ascii="Calibri" w:hAnsi="Calibri"/>
        </w:rPr>
        <w:t xml:space="preserve">was independent of drug level or immunogenicity status at week 14 (appendix p </w:t>
      </w:r>
      <w:r w:rsidR="004A2158">
        <w:t>47</w:t>
      </w:r>
      <w:r w:rsidRPr="002010E7">
        <w:rPr>
          <w:rFonts w:ascii="Calibri" w:hAnsi="Calibri"/>
        </w:rPr>
        <w:t>).</w:t>
      </w:r>
    </w:p>
    <w:p w14:paraId="26D065DF" w14:textId="5C72A440" w:rsidR="00836D9F" w:rsidRPr="00144C4C" w:rsidRDefault="07D52E96" w:rsidP="07D52E96">
      <w:pPr>
        <w:pStyle w:val="Heading2"/>
        <w:rPr>
          <w:highlight w:val="yellow"/>
        </w:rPr>
      </w:pPr>
      <w:r w:rsidRPr="00144C4C">
        <w:t>Biosimilar versus originator infliximab</w:t>
      </w:r>
    </w:p>
    <w:p w14:paraId="555EEB65" w14:textId="0C2BB097" w:rsidR="00853C9D" w:rsidRPr="00144C4C" w:rsidRDefault="07D52E96" w:rsidP="07D52E96">
      <w:pPr>
        <w:rPr>
          <w:rFonts w:eastAsiaTheme="minorBidi"/>
        </w:rPr>
      </w:pPr>
      <w:r w:rsidRPr="00144C4C">
        <w:rPr>
          <w:rFonts w:eastAsiaTheme="majorEastAsia" w:cstheme="majorEastAsia"/>
        </w:rPr>
        <w:t xml:space="preserve">There were no differences in baseline </w:t>
      </w:r>
      <w:r w:rsidRPr="00144C4C">
        <w:t xml:space="preserve">demographic or </w:t>
      </w:r>
      <w:r w:rsidRPr="00144C4C">
        <w:rPr>
          <w:rFonts w:eastAsiaTheme="majorEastAsia" w:cstheme="majorEastAsia"/>
        </w:rPr>
        <w:t xml:space="preserve">clinical characteristics between patients treated with CT-P13 and Remicade </w:t>
      </w:r>
      <w:r w:rsidR="001008C5">
        <w:t xml:space="preserve">(appendix p </w:t>
      </w:r>
      <w:r w:rsidR="004A2158">
        <w:t>48</w:t>
      </w:r>
      <w:r w:rsidRPr="00144C4C">
        <w:t>). Of 955 patients treated with Remicade, 79 (8</w:t>
      </w:r>
      <w:r w:rsidR="00115F67">
        <w:t>·</w:t>
      </w:r>
      <w:r w:rsidR="00115F67" w:rsidRPr="00144C4C">
        <w:t>3</w:t>
      </w:r>
      <w:r w:rsidRPr="00144C4C">
        <w:t xml:space="preserve">%) switched to CT-P13 during the first year and were excluded from analyses comparing originator and biosimilar infliximab after the switch date. </w:t>
      </w:r>
      <w:r w:rsidR="009A3001">
        <w:t>At week 14, CT-P13 was non-inferior to Remicade for PNR (difference in proportions -</w:t>
      </w:r>
      <w:r w:rsidR="00115F67">
        <w:t>3·9</w:t>
      </w:r>
      <w:r w:rsidR="005563D9">
        <w:t xml:space="preserve">%, </w:t>
      </w:r>
      <w:r w:rsidR="00B01EDE">
        <w:t>one sided 95% CI upper bound 2·</w:t>
      </w:r>
      <w:r w:rsidR="00B7587A">
        <w:t>4%</w:t>
      </w:r>
      <w:r w:rsidR="009A3001">
        <w:t>). At week 54, CT-P13 was non-inferior to Remicade for non-remission (difference in proportions -</w:t>
      </w:r>
      <w:r w:rsidR="00115F67">
        <w:t>2</w:t>
      </w:r>
      <w:r w:rsidR="00B7587A">
        <w:t>·</w:t>
      </w:r>
      <w:r w:rsidR="00115F67">
        <w:t>2</w:t>
      </w:r>
      <w:r w:rsidR="005563D9">
        <w:t xml:space="preserve">%, </w:t>
      </w:r>
      <w:r w:rsidR="00B7587A">
        <w:t>one sided 95% CI upper bound 5·6%</w:t>
      </w:r>
      <w:r w:rsidR="009A3001">
        <w:t>) (appendix p3</w:t>
      </w:r>
      <w:r w:rsidR="009D664A">
        <w:t>2</w:t>
      </w:r>
      <w:r w:rsidR="009A3001">
        <w:t xml:space="preserve">). </w:t>
      </w:r>
      <w:r w:rsidR="166303D8" w:rsidRPr="00144C4C">
        <w:br w:type="page"/>
      </w:r>
    </w:p>
    <w:p w14:paraId="7627A3B4" w14:textId="7DBA0A07" w:rsidR="00853C9D" w:rsidRPr="00144C4C" w:rsidRDefault="07D52E96" w:rsidP="00AB5346">
      <w:pPr>
        <w:pStyle w:val="Heading1"/>
      </w:pPr>
      <w:r w:rsidRPr="00144C4C">
        <w:rPr>
          <w:rStyle w:val="Heading1Char"/>
          <w:b/>
          <w:bCs/>
        </w:rPr>
        <w:lastRenderedPageBreak/>
        <w:t>Discussion</w:t>
      </w:r>
      <w:r w:rsidRPr="00144C4C">
        <w:rPr>
          <w:rStyle w:val="Heading1Char"/>
        </w:rPr>
        <w:t xml:space="preserve"> </w:t>
      </w:r>
    </w:p>
    <w:p w14:paraId="1F9F3855" w14:textId="3F3205F8" w:rsidR="13716B11" w:rsidRPr="00144C4C" w:rsidRDefault="07D52E96" w:rsidP="07D52E96">
      <w:pPr>
        <w:rPr>
          <w:rFonts w:ascii="Calibri" w:eastAsia="Calibri" w:hAnsi="Calibri" w:cs="Calibri"/>
        </w:rPr>
      </w:pPr>
      <w:r w:rsidRPr="00144C4C">
        <w:rPr>
          <w:rFonts w:ascii="Calibri" w:eastAsia="Calibri" w:hAnsi="Calibri" w:cs="Calibri"/>
        </w:rPr>
        <w:t>Primary non-response occurred in 23</w:t>
      </w:r>
      <w:r w:rsidR="00115F67">
        <w:rPr>
          <w:rFonts w:ascii="Calibri" w:eastAsia="Calibri" w:hAnsi="Calibri" w:cs="Calibri"/>
        </w:rPr>
        <w:t>·</w:t>
      </w:r>
      <w:r w:rsidRPr="00144C4C">
        <w:rPr>
          <w:rFonts w:ascii="Calibri" w:eastAsia="Calibri" w:hAnsi="Calibri" w:cs="Calibri"/>
        </w:rPr>
        <w:t>8%, non-remission in 63</w:t>
      </w:r>
      <w:r w:rsidR="00115F67">
        <w:rPr>
          <w:rFonts w:ascii="Calibri" w:eastAsia="Calibri" w:hAnsi="Calibri" w:cs="Calibri"/>
        </w:rPr>
        <w:t>·</w:t>
      </w:r>
      <w:r w:rsidRPr="00144C4C">
        <w:rPr>
          <w:rFonts w:ascii="Calibri" w:eastAsia="Calibri" w:hAnsi="Calibri" w:cs="Calibri"/>
        </w:rPr>
        <w:t xml:space="preserve">1%, and adverse events curtailed treatment in </w:t>
      </w:r>
      <w:r w:rsidR="00115F67" w:rsidRPr="00144C4C">
        <w:rPr>
          <w:rFonts w:ascii="Calibri" w:eastAsia="Calibri" w:hAnsi="Calibri" w:cs="Calibri"/>
        </w:rPr>
        <w:t>7</w:t>
      </w:r>
      <w:r w:rsidR="00115F67">
        <w:rPr>
          <w:rFonts w:ascii="Calibri" w:eastAsia="Calibri" w:hAnsi="Calibri" w:cs="Calibri"/>
        </w:rPr>
        <w:t>·</w:t>
      </w:r>
      <w:r w:rsidR="00115F67" w:rsidRPr="00144C4C">
        <w:rPr>
          <w:rFonts w:ascii="Calibri" w:eastAsia="Calibri" w:hAnsi="Calibri" w:cs="Calibri"/>
        </w:rPr>
        <w:t>8</w:t>
      </w:r>
      <w:r w:rsidRPr="00144C4C">
        <w:rPr>
          <w:rFonts w:ascii="Calibri" w:eastAsia="Calibri" w:hAnsi="Calibri" w:cs="Calibri"/>
        </w:rPr>
        <w:t xml:space="preserve">% patients. Obesity, smoking, low albumin levels, higher baseline markers of disease activity, and development of immunogenicity were associated with low drug levels, which mediated non-remission. </w:t>
      </w:r>
    </w:p>
    <w:p w14:paraId="7B49621F" w14:textId="23512E8C" w:rsidR="00654BE4" w:rsidRPr="00144C4C" w:rsidRDefault="07D52E96" w:rsidP="409F989B">
      <w:pPr>
        <w:pStyle w:val="Heading2"/>
      </w:pPr>
      <w:r w:rsidRPr="00144C4C">
        <w:t>Low drug levels</w:t>
      </w:r>
    </w:p>
    <w:p w14:paraId="12F48488" w14:textId="623793C7" w:rsidR="00654BE4" w:rsidRPr="00144C4C" w:rsidRDefault="409F989B" w:rsidP="07D52E96">
      <w:pPr>
        <w:rPr>
          <w:rFonts w:ascii="Calibri" w:eastAsia="Calibri" w:hAnsi="Calibri" w:cs="Calibri"/>
          <w:color w:val="365F91" w:themeColor="accent1" w:themeShade="BF"/>
        </w:rPr>
      </w:pPr>
      <w:r w:rsidRPr="00144C4C">
        <w:rPr>
          <w:rFonts w:ascii="Calibri" w:eastAsia="Calibri" w:hAnsi="Calibri" w:cs="Calibri"/>
        </w:rPr>
        <w:t>Numerous studies reported a relationship between drug level and clinical outcome, although the therapeutic thresholds, particularly for adalimumab, are poorly defined.</w:t>
      </w:r>
      <w:r w:rsidR="0099206F" w:rsidRPr="0099206F">
        <w:rPr>
          <w:rFonts w:ascii="Calibri" w:eastAsia="Calibri" w:hAnsi="Calibri" w:cs="Calibri"/>
          <w:noProof/>
          <w:vertAlign w:val="superscript"/>
        </w:rPr>
        <w:t>17</w:t>
      </w:r>
      <w:r w:rsidR="00D33F42" w:rsidRPr="00144C4C">
        <w:rPr>
          <w:rFonts w:ascii="Calibri" w:eastAsia="Calibri" w:hAnsi="Calibri" w:cs="Calibri"/>
        </w:rPr>
        <w:t xml:space="preserve"> </w:t>
      </w:r>
      <w:r w:rsidRPr="00144C4C">
        <w:rPr>
          <w:rFonts w:ascii="Calibri" w:eastAsia="Calibri" w:hAnsi="Calibri" w:cs="Calibri"/>
        </w:rPr>
        <w:t>In our study, low drug levels during induction were associated with PNR at week 14 and non-remission at week 54.</w:t>
      </w:r>
      <w:r w:rsidR="0781394B" w:rsidRPr="00144C4C">
        <w:rPr>
          <w:rFonts w:ascii="Calibri" w:eastAsia="Calibri" w:hAnsi="Calibri" w:cs="Calibri"/>
        </w:rPr>
        <w:t xml:space="preserve"> Patients with PNR who continued </w:t>
      </w:r>
      <w:r w:rsidR="45C9E01C" w:rsidRPr="00144C4C">
        <w:rPr>
          <w:rFonts w:ascii="Calibri" w:eastAsia="Calibri" w:hAnsi="Calibri" w:cs="Calibri"/>
        </w:rPr>
        <w:t>standard dosing regimens rarely entered remission</w:t>
      </w:r>
      <w:r w:rsidR="0015494B">
        <w:rPr>
          <w:rFonts w:ascii="Calibri" w:eastAsia="Calibri" w:hAnsi="Calibri" w:cs="Calibri"/>
        </w:rPr>
        <w:t>;</w:t>
      </w:r>
      <w:r w:rsidR="45C9E01C" w:rsidRPr="00144C4C">
        <w:rPr>
          <w:rFonts w:ascii="Calibri" w:eastAsia="Calibri" w:hAnsi="Calibri" w:cs="Calibri"/>
        </w:rPr>
        <w:t xml:space="preserve"> few had optimal drug levels suggesting true pharmacodynamic-PNR is uncommon. </w:t>
      </w:r>
      <w:r w:rsidR="44D36AAE" w:rsidRPr="00144C4C">
        <w:rPr>
          <w:rFonts w:ascii="Calibri" w:eastAsia="Calibri" w:hAnsi="Calibri" w:cs="Calibri"/>
        </w:rPr>
        <w:t>Despite variation in drug level amongst remitters, our data suggests higher target drug levels during induction than those reported in previous studies,</w:t>
      </w:r>
      <w:r w:rsidR="00D16425" w:rsidRPr="00D16425">
        <w:rPr>
          <w:rFonts w:ascii="Calibri" w:eastAsia="Calibri" w:hAnsi="Calibri" w:cs="Calibri"/>
          <w:noProof/>
          <w:vertAlign w:val="superscript"/>
        </w:rPr>
        <w:t>18</w:t>
      </w:r>
      <w:r w:rsidR="44D36AAE" w:rsidRPr="00144C4C">
        <w:rPr>
          <w:rFonts w:ascii="Calibri" w:eastAsia="Calibri" w:hAnsi="Calibri" w:cs="Calibri"/>
        </w:rPr>
        <w:t xml:space="preserve"> likely </w:t>
      </w:r>
      <w:r w:rsidR="766FD074" w:rsidRPr="00144C4C">
        <w:rPr>
          <w:rFonts w:ascii="Calibri" w:eastAsia="Calibri" w:hAnsi="Calibri" w:cs="Calibri"/>
        </w:rPr>
        <w:t>reflecting our more stringent definition of remission.</w:t>
      </w:r>
      <w:r w:rsidR="44D36AAE" w:rsidRPr="00144C4C">
        <w:rPr>
          <w:rFonts w:ascii="Calibri" w:eastAsia="Calibri" w:hAnsi="Calibri" w:cs="Calibri"/>
        </w:rPr>
        <w:t xml:space="preserve"> </w:t>
      </w:r>
      <w:r w:rsidR="0781394B" w:rsidRPr="00144C4C">
        <w:rPr>
          <w:rFonts w:ascii="Calibri" w:eastAsia="Calibri" w:hAnsi="Calibri" w:cs="Calibri"/>
        </w:rPr>
        <w:t xml:space="preserve">At week 14 the optimal drug levels associated with remission at both week 14 and 54 were 7 mg/L and 12 mg/L for infliximab and adalimumab, respectively.  The importance of drug level is further demonstrated by our predictive models which were only clinically useful when pharmacokinetic data were included. </w:t>
      </w:r>
    </w:p>
    <w:p w14:paraId="0D9FAA33" w14:textId="51F6E842" w:rsidR="00654BE4" w:rsidRPr="00144C4C" w:rsidRDefault="340E5E7D" w:rsidP="07D52E96">
      <w:pPr>
        <w:rPr>
          <w:rFonts w:ascii="Calibri" w:eastAsia="Calibri" w:hAnsi="Calibri" w:cs="Calibri"/>
        </w:rPr>
      </w:pPr>
      <w:r w:rsidRPr="00144C4C">
        <w:rPr>
          <w:rFonts w:ascii="Calibri" w:eastAsia="Calibri" w:hAnsi="Calibri" w:cs="Calibri"/>
        </w:rPr>
        <w:t>Previous prospective randomised studies of proactive dose increase based on drug levels have failed to demonstrate improved clinical outcomes. For both the TAXIT</w:t>
      </w:r>
      <w:r w:rsidR="0099206F" w:rsidRPr="0099206F">
        <w:rPr>
          <w:rFonts w:ascii="Calibri" w:eastAsia="Calibri" w:hAnsi="Calibri" w:cs="Calibri"/>
          <w:noProof/>
          <w:vertAlign w:val="superscript"/>
        </w:rPr>
        <w:t>19</w:t>
      </w:r>
      <w:r w:rsidRPr="00144C4C">
        <w:rPr>
          <w:rFonts w:ascii="Calibri" w:eastAsia="Calibri" w:hAnsi="Calibri" w:cs="Calibri"/>
        </w:rPr>
        <w:t xml:space="preserve"> and TAILORIX</w:t>
      </w:r>
      <w:r w:rsidR="00D16425" w:rsidRPr="00D16425">
        <w:rPr>
          <w:rFonts w:ascii="Calibri" w:eastAsia="Calibri" w:hAnsi="Calibri" w:cs="Calibri"/>
          <w:noProof/>
          <w:vertAlign w:val="superscript"/>
        </w:rPr>
        <w:t>20</w:t>
      </w:r>
      <w:r w:rsidRPr="00144C4C">
        <w:rPr>
          <w:rFonts w:ascii="Calibri" w:eastAsia="Calibri" w:hAnsi="Calibri" w:cs="Calibri"/>
        </w:rPr>
        <w:t xml:space="preserve"> studies, this might in part be explained by inclusion of patients after the critical induction period and adoption of </w:t>
      </w:r>
      <w:r w:rsidR="20B16778" w:rsidRPr="00144C4C">
        <w:rPr>
          <w:rFonts w:ascii="Calibri" w:eastAsia="Calibri" w:hAnsi="Calibri" w:cs="Calibri"/>
        </w:rPr>
        <w:t>lower</w:t>
      </w:r>
      <w:r w:rsidRPr="00144C4C">
        <w:rPr>
          <w:rFonts w:ascii="Calibri" w:eastAsia="Calibri" w:hAnsi="Calibri" w:cs="Calibri"/>
        </w:rPr>
        <w:t xml:space="preserve"> infliximab thresholds of 3 mg/L.  </w:t>
      </w:r>
      <w:r w:rsidRPr="00144C4C">
        <w:t xml:space="preserve">Further adequately powered clinical trials are required to investigate whether treatment-to-target drug level during the induction period improves outcomes. </w:t>
      </w:r>
      <w:r w:rsidR="00D16425" w:rsidRPr="00D16425">
        <w:rPr>
          <w:rFonts w:ascii="Calibri" w:eastAsia="Calibri" w:hAnsi="Calibri" w:cs="Calibri"/>
          <w:noProof/>
          <w:vertAlign w:val="superscript"/>
        </w:rPr>
        <w:t>21</w:t>
      </w:r>
    </w:p>
    <w:p w14:paraId="59465283" w14:textId="2E8B96B5" w:rsidR="00654BE4" w:rsidRPr="00144C4C" w:rsidRDefault="07D52E96" w:rsidP="07D52E96">
      <w:pPr>
        <w:pStyle w:val="Heading2"/>
        <w:rPr>
          <w:rFonts w:ascii="Calibri" w:eastAsia="Calibri" w:hAnsi="Calibri" w:cs="Calibri"/>
        </w:rPr>
      </w:pPr>
      <w:r w:rsidRPr="00144C4C">
        <w:rPr>
          <w:rStyle w:val="Heading2Char"/>
          <w:b/>
          <w:bCs/>
        </w:rPr>
        <w:t>Immunogenicity</w:t>
      </w:r>
    </w:p>
    <w:p w14:paraId="76E85A84" w14:textId="67EAC0A0" w:rsidR="00654BE4" w:rsidRPr="00144C4C" w:rsidRDefault="340E5E7D" w:rsidP="1DC2CDC1">
      <w:pPr>
        <w:rPr>
          <w:rFonts w:ascii="Calibri" w:eastAsia="Calibri" w:hAnsi="Calibri" w:cs="Calibri"/>
        </w:rPr>
      </w:pPr>
      <w:r w:rsidRPr="00144C4C">
        <w:rPr>
          <w:rFonts w:ascii="Calibri" w:eastAsia="Calibri" w:hAnsi="Calibri" w:cs="Calibri"/>
        </w:rPr>
        <w:t>Using analytical platforms that differed only by target antibody, we have shown that immunogenicity is more common in patients treated with infliximab than adalimumab: an observation frequently attributed to the chimeric formulation of infliximab. For both drugs, however, we observed a bi-directional negative relationship between drug level and immunogenicity. The lowest drug levels were seen in patients with high titre antibody levels in keeping with their impact on drug clearance. Conversely, low drug levels at week 14 were associated with an increased risk of immunogenicity by week 54. This is consistent with the discontinuity theory of the immune response which proposes that intermittent exposure to antigen promotes a persistent immune reaction, whilst exposure at constant levels, observed with subcutaneously bi-weekly delivered adalimumab, induces an immune tolerance</w:t>
      </w:r>
      <w:r w:rsidR="43C54BFD" w:rsidRPr="00144C4C">
        <w:rPr>
          <w:rFonts w:ascii="Calibri" w:eastAsia="Calibri" w:hAnsi="Calibri" w:cs="Calibri"/>
        </w:rPr>
        <w:t>.</w:t>
      </w:r>
      <w:r w:rsidR="0099206F" w:rsidRPr="0099206F">
        <w:rPr>
          <w:rFonts w:ascii="Calibri" w:eastAsia="Calibri" w:hAnsi="Calibri" w:cs="Calibri"/>
          <w:noProof/>
          <w:vertAlign w:val="superscript"/>
        </w:rPr>
        <w:t>22</w:t>
      </w:r>
      <w:r w:rsidR="4B48A42F" w:rsidRPr="00144C4C">
        <w:rPr>
          <w:rFonts w:ascii="Calibri" w:eastAsia="Calibri" w:hAnsi="Calibri" w:cs="Calibri"/>
        </w:rPr>
        <w:t xml:space="preserve"> Immunogenicity, which we have shown may occur earlier than previously appreciated may be mitigated by early dose optimisation, minimising LOR.</w:t>
      </w:r>
      <w:r w:rsidR="00D16425" w:rsidRPr="00D16425">
        <w:rPr>
          <w:rFonts w:ascii="Calibri" w:eastAsia="Calibri" w:hAnsi="Calibri" w:cs="Calibri"/>
          <w:noProof/>
          <w:vertAlign w:val="superscript"/>
        </w:rPr>
        <w:t>23</w:t>
      </w:r>
      <w:r w:rsidR="4B48A42F" w:rsidRPr="00144C4C">
        <w:rPr>
          <w:rFonts w:ascii="Calibri" w:eastAsia="Calibri" w:hAnsi="Calibri" w:cs="Calibri"/>
        </w:rPr>
        <w:t xml:space="preserve"> We accept, however, that this observation might be explained by the formation of anti-drug antibodies at sufficient concentration to lower the drug level but not detectable by our assay.</w:t>
      </w:r>
    </w:p>
    <w:p w14:paraId="3DA2CCBC" w14:textId="0E61412A" w:rsidR="44D36AAE" w:rsidRPr="00144C4C" w:rsidRDefault="07D52E96" w:rsidP="07D52E96">
      <w:pPr>
        <w:pStyle w:val="Heading2"/>
        <w:rPr>
          <w:rFonts w:ascii="Calibri" w:eastAsia="Calibri" w:hAnsi="Calibri" w:cs="Calibri"/>
        </w:rPr>
      </w:pPr>
      <w:r w:rsidRPr="00144C4C">
        <w:rPr>
          <w:rStyle w:val="Heading2Char"/>
          <w:b/>
          <w:bCs/>
        </w:rPr>
        <w:lastRenderedPageBreak/>
        <w:t>Immunomodulators</w:t>
      </w:r>
    </w:p>
    <w:p w14:paraId="5651CD8A" w14:textId="2890E42A" w:rsidR="0015494B" w:rsidRDefault="06B40789" w:rsidP="5764F97D">
      <w:r w:rsidRPr="00144C4C">
        <w:t>Immunomodulator use was associated with lower rates of immunogenicity</w:t>
      </w:r>
      <w:r w:rsidR="000612A7" w:rsidRPr="000612A7">
        <w:t xml:space="preserve"> </w:t>
      </w:r>
      <w:r w:rsidR="000612A7" w:rsidRPr="00144C4C">
        <w:t>to both drugs and higher drugs levels for infliximab-treated patients</w:t>
      </w:r>
      <w:r w:rsidRPr="00144C4C">
        <w:t>. Methotrexate exerted a similar effect to thiopurine drugs</w:t>
      </w:r>
      <w:r w:rsidR="000612A7">
        <w:t xml:space="preserve"> on immunogenicity</w:t>
      </w:r>
      <w:r w:rsidRPr="00144C4C">
        <w:t>. In contrast to pre</w:t>
      </w:r>
      <w:r w:rsidR="004150B0" w:rsidRPr="00144C4C">
        <w:t>vious reports</w:t>
      </w:r>
      <w:r w:rsidR="0099206F" w:rsidRPr="0099206F">
        <w:rPr>
          <w:noProof/>
          <w:vertAlign w:val="superscript"/>
        </w:rPr>
        <w:t>24,25</w:t>
      </w:r>
      <w:r w:rsidRPr="00144C4C">
        <w:t xml:space="preserve"> we demonstrated for infliximab-treated patients that </w:t>
      </w:r>
      <w:r w:rsidR="1DBE0580" w:rsidRPr="00144C4C">
        <w:t xml:space="preserve">thiopurines reduced immunogenicity in a dose-dependent manner without an obvious threshold effect. </w:t>
      </w:r>
      <w:r w:rsidR="0074372B">
        <w:t>P</w:t>
      </w:r>
      <w:r w:rsidR="000612A7" w:rsidRPr="00144C4C">
        <w:t>ost-hoc analyses of the SONIC study</w:t>
      </w:r>
      <w:r w:rsidR="0074372B">
        <w:t xml:space="preserve"> suggested that the primary benefit of azathioprine was on pharmacokinetics of infliximab. </w:t>
      </w:r>
      <w:r w:rsidR="00D16425" w:rsidRPr="00D16425">
        <w:rPr>
          <w:noProof/>
          <w:vertAlign w:val="superscript"/>
        </w:rPr>
        <w:t>26</w:t>
      </w:r>
      <w:r w:rsidR="000612A7" w:rsidRPr="00144C4C">
        <w:t xml:space="preserve">  </w:t>
      </w:r>
      <w:r w:rsidR="0074372B">
        <w:t xml:space="preserve">Conversely, here </w:t>
      </w:r>
      <w:r w:rsidRPr="00144C4C">
        <w:t xml:space="preserve">we demonstrated concomitant immunomodulator use </w:t>
      </w:r>
      <w:r w:rsidR="000612A7">
        <w:t xml:space="preserve">in infliximab-treated patients </w:t>
      </w:r>
      <w:r w:rsidRPr="00144C4C">
        <w:t xml:space="preserve">was associated with higher week 54 remission rates </w:t>
      </w:r>
      <w:r w:rsidR="0074372B">
        <w:t xml:space="preserve">independent </w:t>
      </w:r>
      <w:r w:rsidRPr="00144C4C">
        <w:t xml:space="preserve">of week 54 drug level or immunogenicity status, suggesting that the addition of immunosuppression to anti-TNF therapy may have </w:t>
      </w:r>
      <w:r w:rsidR="0074372B">
        <w:t xml:space="preserve">additional </w:t>
      </w:r>
      <w:r w:rsidRPr="00144C4C">
        <w:t>benefits. Consistent with previous studies</w:t>
      </w:r>
      <w:r w:rsidR="00405BAA" w:rsidRPr="00144C4C">
        <w:t>,</w:t>
      </w:r>
      <w:r w:rsidR="00D16425" w:rsidRPr="00D16425">
        <w:rPr>
          <w:noProof/>
          <w:vertAlign w:val="superscript"/>
        </w:rPr>
        <w:t>27</w:t>
      </w:r>
      <w:r w:rsidRPr="00144C4C">
        <w:t xml:space="preserve"> immunomodulator use was not associated with increased remission rates to adalimumab</w:t>
      </w:r>
      <w:r w:rsidR="000612A7">
        <w:t>;</w:t>
      </w:r>
      <w:r w:rsidRPr="00144C4C">
        <w:t xml:space="preserve"> however, this may reflect lower rates of immunogenicity and/or the short duration of follow-up</w:t>
      </w:r>
      <w:r w:rsidR="15B3CC83" w:rsidRPr="00144C4C">
        <w:t>.</w:t>
      </w:r>
      <w:r w:rsidRPr="00144C4C">
        <w:t xml:space="preserve"> </w:t>
      </w:r>
    </w:p>
    <w:p w14:paraId="5971657A" w14:textId="62137A39" w:rsidR="44D36AAE" w:rsidRPr="00144C4C" w:rsidRDefault="5764F97D" w:rsidP="5764F97D">
      <w:pPr>
        <w:rPr>
          <w:rStyle w:val="Heading2Char"/>
        </w:rPr>
      </w:pPr>
      <w:r w:rsidRPr="5764F97D">
        <w:rPr>
          <w:rStyle w:val="Heading2Char"/>
        </w:rPr>
        <w:t>Obesity and smoking</w:t>
      </w:r>
    </w:p>
    <w:p w14:paraId="70FED203" w14:textId="0DA19426" w:rsidR="44D36AAE" w:rsidRPr="002010E7" w:rsidRDefault="5764F97D" w:rsidP="5764F97D">
      <w:pPr>
        <w:rPr>
          <w:rStyle w:val="Heading2Char"/>
        </w:rPr>
      </w:pPr>
      <w:r>
        <w:t>We have demonstrated that obesity is independently associated with low drug levels and non-remission at week 54. Our data suggest that the previously reported associations of obesity and PNR are likely to mediated by low drug levels.</w:t>
      </w:r>
      <w:r w:rsidR="0099206F" w:rsidRPr="0099206F">
        <w:rPr>
          <w:noProof/>
          <w:vertAlign w:val="superscript"/>
        </w:rPr>
        <w:t>28</w:t>
      </w:r>
      <w:r>
        <w:t xml:space="preserve"> </w:t>
      </w:r>
      <w:r w:rsidR="340E5E7D" w:rsidRPr="00144C4C">
        <w:t xml:space="preserve">For adalimumab-treated patients, fixed dosing was probably a major </w:t>
      </w:r>
      <w:r w:rsidR="002E5DFF" w:rsidRPr="00144C4C">
        <w:t>contributing factor. Infliximab-</w:t>
      </w:r>
      <w:r w:rsidR="340E5E7D" w:rsidRPr="00144C4C">
        <w:t>treated patients, however, received weight-based dosing, so this association suggests a non-linear relationship between weight and volume of distribution. Obesity was also associated with immunogenicity to both drugs: further clinical trials of dose optimisation are needed to clarify if this was because of sub-optimal dosing during induction or whether obesity contributes to immunogenicity directly.</w:t>
      </w:r>
    </w:p>
    <w:p w14:paraId="2AB1C2C4" w14:textId="67F317F3" w:rsidR="44D36AAE" w:rsidRPr="00144C4C" w:rsidRDefault="0A17D901" w:rsidP="07D52E96">
      <w:pPr>
        <w:rPr>
          <w:rFonts w:ascii="Calibri" w:eastAsia="Calibri" w:hAnsi="Calibri" w:cs="Calibri"/>
          <w:sz w:val="28"/>
          <w:szCs w:val="28"/>
        </w:rPr>
      </w:pPr>
      <w:r w:rsidRPr="00144C4C">
        <w:t>Our observation that cigarette smoking was independently associated with an increased risk of immunogenicity to infliximab may explain the poorer, less durable, anti-TNF response rates reported in patients with Crohn’s disease who smoke</w:t>
      </w:r>
      <w:r w:rsidR="00405BAA" w:rsidRPr="00144C4C">
        <w:t>.</w:t>
      </w:r>
      <w:r w:rsidR="0099206F" w:rsidRPr="0099206F">
        <w:rPr>
          <w:noProof/>
          <w:vertAlign w:val="superscript"/>
        </w:rPr>
        <w:t>29</w:t>
      </w:r>
    </w:p>
    <w:p w14:paraId="51AB4E70" w14:textId="34A00F2C" w:rsidR="00566994" w:rsidRPr="00144C4C" w:rsidRDefault="07D52E96" w:rsidP="07D52E96">
      <w:pPr>
        <w:rPr>
          <w:rStyle w:val="Heading2Char"/>
        </w:rPr>
      </w:pPr>
      <w:r w:rsidRPr="00144C4C">
        <w:rPr>
          <w:rStyle w:val="Heading2Char"/>
        </w:rPr>
        <w:t>Disease activity and albumin</w:t>
      </w:r>
    </w:p>
    <w:p w14:paraId="1BFD596A" w14:textId="08592DCE" w:rsidR="00566994" w:rsidRPr="00144C4C" w:rsidRDefault="0A17D901" w:rsidP="07D52E96">
      <w:r w:rsidRPr="00144C4C">
        <w:t>Previous studies investigating the relationship between baseline markers of inflammation and anti-TNF response are conflicting</w:t>
      </w:r>
      <w:r w:rsidR="00405BAA" w:rsidRPr="00144C4C">
        <w:t>.</w:t>
      </w:r>
      <w:r w:rsidR="0099206F" w:rsidRPr="0099206F">
        <w:rPr>
          <w:noProof/>
          <w:vertAlign w:val="superscript"/>
        </w:rPr>
        <w:t>2,30</w:t>
      </w:r>
      <w:r w:rsidRPr="00144C4C">
        <w:t xml:space="preserve"> In our study, higher baseline markers of inflammation predicted lower drug levels at week 14, suggesting </w:t>
      </w:r>
      <w:r w:rsidRPr="00144C4C">
        <w:rPr>
          <w:rFonts w:ascii="Calibri" w:eastAsia="Calibri" w:hAnsi="Calibri" w:cs="Calibri"/>
        </w:rPr>
        <w:t xml:space="preserve">higher inflammatory load, contributes to faster drug elimination. </w:t>
      </w:r>
      <w:r w:rsidRPr="00144C4C">
        <w:t>We, like others, have shown that lower baseline albumin levels predict suboptimal week 14 drug levels.</w:t>
      </w:r>
      <w:r w:rsidR="00D16425" w:rsidRPr="00D16425">
        <w:rPr>
          <w:noProof/>
          <w:vertAlign w:val="superscript"/>
        </w:rPr>
        <w:t>31</w:t>
      </w:r>
      <w:r w:rsidRPr="00144C4C">
        <w:t xml:space="preserve"> This association may reflect increased drug clearance as well as higher faecal protein losses. </w:t>
      </w:r>
    </w:p>
    <w:p w14:paraId="72448BC2" w14:textId="380FA116" w:rsidR="00566994" w:rsidRPr="00144C4C" w:rsidRDefault="07D52E96" w:rsidP="07D52E96">
      <w:pPr>
        <w:rPr>
          <w:rFonts w:ascii="Calibri" w:eastAsia="Calibri" w:hAnsi="Calibri" w:cs="Calibri"/>
          <w:sz w:val="28"/>
          <w:szCs w:val="28"/>
        </w:rPr>
      </w:pPr>
      <w:r w:rsidRPr="00144C4C">
        <w:rPr>
          <w:rStyle w:val="Heading2Char"/>
        </w:rPr>
        <w:t xml:space="preserve">Adverse events </w:t>
      </w:r>
    </w:p>
    <w:p w14:paraId="56F4DC1A" w14:textId="74DFACD9" w:rsidR="00C0509E" w:rsidRPr="00144C4C" w:rsidRDefault="007E7ABC" w:rsidP="07D52E96">
      <w:pPr>
        <w:rPr>
          <w:rFonts w:ascii="Calibri" w:eastAsia="Calibri" w:hAnsi="Calibri" w:cs="Calibri"/>
        </w:rPr>
      </w:pPr>
      <w:r w:rsidRPr="00144C4C">
        <w:rPr>
          <w:rFonts w:ascii="Calibri" w:eastAsia="Calibri" w:hAnsi="Calibri" w:cs="Calibri"/>
        </w:rPr>
        <w:t>Data from a n</w:t>
      </w:r>
      <w:r w:rsidR="00B0696B" w:rsidRPr="00144C4C">
        <w:rPr>
          <w:rFonts w:ascii="Calibri" w:eastAsia="Calibri" w:hAnsi="Calibri" w:cs="Calibri"/>
        </w:rPr>
        <w:t xml:space="preserve">ationwide population-based </w:t>
      </w:r>
      <w:r w:rsidRPr="00144C4C">
        <w:rPr>
          <w:rFonts w:ascii="Calibri" w:eastAsia="Calibri" w:hAnsi="Calibri" w:cs="Calibri"/>
        </w:rPr>
        <w:t>study</w:t>
      </w:r>
      <w:r w:rsidR="001330A4" w:rsidRPr="00144C4C">
        <w:rPr>
          <w:rFonts w:ascii="Calibri" w:eastAsia="Calibri" w:hAnsi="Calibri" w:cs="Calibri"/>
        </w:rPr>
        <w:t xml:space="preserve"> </w:t>
      </w:r>
      <w:r w:rsidR="00AC5024" w:rsidRPr="00144C4C">
        <w:rPr>
          <w:rFonts w:ascii="Calibri" w:eastAsia="Calibri" w:hAnsi="Calibri" w:cs="Calibri"/>
        </w:rPr>
        <w:t xml:space="preserve">suggest that benefits of anti-TNF and immunomodulatory combination treatment needs to be balanced against the additional risks of </w:t>
      </w:r>
      <w:r w:rsidRPr="00144C4C">
        <w:rPr>
          <w:rFonts w:ascii="Calibri" w:eastAsia="Calibri" w:hAnsi="Calibri" w:cs="Calibri"/>
        </w:rPr>
        <w:t xml:space="preserve">serious and </w:t>
      </w:r>
      <w:r w:rsidR="00AC5024" w:rsidRPr="00144C4C">
        <w:rPr>
          <w:rFonts w:ascii="Calibri" w:eastAsia="Calibri" w:hAnsi="Calibri" w:cs="Calibri"/>
        </w:rPr>
        <w:t>opportunistic infection.</w:t>
      </w:r>
      <w:r w:rsidR="0099206F" w:rsidRPr="0099206F">
        <w:rPr>
          <w:rFonts w:ascii="Calibri" w:eastAsia="Calibri" w:hAnsi="Calibri" w:cs="Calibri"/>
          <w:noProof/>
          <w:vertAlign w:val="superscript"/>
        </w:rPr>
        <w:t>32</w:t>
      </w:r>
      <w:r w:rsidR="00AC5024" w:rsidRPr="00144C4C">
        <w:rPr>
          <w:rFonts w:ascii="Calibri" w:eastAsia="Calibri" w:hAnsi="Calibri" w:cs="Calibri"/>
        </w:rPr>
        <w:t xml:space="preserve"> In this study,</w:t>
      </w:r>
      <w:r w:rsidR="00654BE4" w:rsidRPr="00144C4C">
        <w:rPr>
          <w:rFonts w:ascii="Calibri" w:eastAsia="Calibri" w:hAnsi="Calibri" w:cs="Calibri"/>
        </w:rPr>
        <w:t xml:space="preserve"> accepting our </w:t>
      </w:r>
      <w:r w:rsidRPr="00144C4C">
        <w:rPr>
          <w:rFonts w:ascii="Calibri" w:eastAsia="Calibri" w:hAnsi="Calibri"/>
        </w:rPr>
        <w:t>smaller</w:t>
      </w:r>
      <w:r w:rsidR="00654BE4" w:rsidRPr="00144C4C">
        <w:rPr>
          <w:rFonts w:ascii="Calibri" w:eastAsia="Calibri" w:hAnsi="Calibri"/>
        </w:rPr>
        <w:t xml:space="preserve"> sample size and </w:t>
      </w:r>
      <w:r w:rsidR="00C0509E" w:rsidRPr="00144C4C">
        <w:rPr>
          <w:rFonts w:ascii="Calibri" w:eastAsia="Calibri" w:hAnsi="Calibri"/>
        </w:rPr>
        <w:t xml:space="preserve">shorter </w:t>
      </w:r>
      <w:r w:rsidR="00654BE4" w:rsidRPr="00144C4C">
        <w:rPr>
          <w:rFonts w:ascii="Calibri" w:eastAsia="Calibri" w:hAnsi="Calibri"/>
        </w:rPr>
        <w:t>duration of follow-up</w:t>
      </w:r>
      <w:r w:rsidR="00C0509E" w:rsidRPr="00144C4C">
        <w:rPr>
          <w:rFonts w:ascii="Calibri" w:eastAsia="Calibri" w:hAnsi="Calibri"/>
        </w:rPr>
        <w:t>,</w:t>
      </w:r>
      <w:r w:rsidR="00654BE4" w:rsidRPr="00144C4C">
        <w:rPr>
          <w:rFonts w:ascii="Calibri" w:eastAsia="Calibri" w:hAnsi="Calibri"/>
        </w:rPr>
        <w:t xml:space="preserve"> </w:t>
      </w:r>
      <w:r w:rsidR="00C0509E" w:rsidRPr="00144C4C">
        <w:rPr>
          <w:rFonts w:ascii="Calibri" w:eastAsia="Calibri" w:hAnsi="Calibri"/>
        </w:rPr>
        <w:t>c</w:t>
      </w:r>
      <w:r w:rsidR="00AC5024" w:rsidRPr="00144C4C">
        <w:rPr>
          <w:rFonts w:ascii="Calibri" w:eastAsia="Calibri" w:hAnsi="Calibri"/>
        </w:rPr>
        <w:t>ombination therapy was not associated with an increased risk of infection in the first year of treatment</w:t>
      </w:r>
      <w:r w:rsidR="00566994" w:rsidRPr="00144C4C">
        <w:rPr>
          <w:rFonts w:ascii="Calibri" w:eastAsia="Calibri" w:hAnsi="Calibri"/>
        </w:rPr>
        <w:t xml:space="preserve">, even </w:t>
      </w:r>
      <w:r w:rsidR="00AC5024" w:rsidRPr="00144C4C">
        <w:rPr>
          <w:rFonts w:ascii="Calibri" w:eastAsia="Calibri" w:hAnsi="Calibri"/>
        </w:rPr>
        <w:t xml:space="preserve">amongst </w:t>
      </w:r>
      <w:r w:rsidR="00654BE4" w:rsidRPr="00144C4C">
        <w:rPr>
          <w:rFonts w:ascii="Calibri" w:eastAsia="Calibri" w:hAnsi="Calibri"/>
        </w:rPr>
        <w:t>older patients. H</w:t>
      </w:r>
      <w:r w:rsidR="00AA6A2E" w:rsidRPr="00144C4C">
        <w:rPr>
          <w:rFonts w:ascii="Calibri" w:eastAsia="Calibri" w:hAnsi="Calibri" w:cs="Calibri"/>
        </w:rPr>
        <w:t>owever</w:t>
      </w:r>
      <w:r w:rsidR="00C0509E" w:rsidRPr="00144C4C">
        <w:rPr>
          <w:rFonts w:ascii="Calibri" w:eastAsia="Calibri" w:hAnsi="Calibri" w:cs="Calibri"/>
        </w:rPr>
        <w:t>,</w:t>
      </w:r>
      <w:r w:rsidR="00AA6A2E" w:rsidRPr="00144C4C">
        <w:rPr>
          <w:rFonts w:ascii="Calibri" w:eastAsia="Calibri" w:hAnsi="Calibri" w:cs="Calibri"/>
        </w:rPr>
        <w:t xml:space="preserve"> sepsis was the cause of death in </w:t>
      </w:r>
      <w:r w:rsidR="00AA6A2E" w:rsidRPr="00144C4C">
        <w:rPr>
          <w:rFonts w:ascii="Calibri" w:eastAsia="Calibri" w:hAnsi="Calibri" w:cs="Calibri"/>
        </w:rPr>
        <w:lastRenderedPageBreak/>
        <w:t>four</w:t>
      </w:r>
      <w:r w:rsidR="00C0509E" w:rsidRPr="00144C4C">
        <w:rPr>
          <w:rFonts w:ascii="Calibri" w:eastAsia="Calibri" w:hAnsi="Calibri" w:cs="Calibri"/>
        </w:rPr>
        <w:t xml:space="preserve"> of the five</w:t>
      </w:r>
      <w:r w:rsidR="00AA6A2E" w:rsidRPr="00144C4C">
        <w:rPr>
          <w:rFonts w:ascii="Calibri" w:eastAsia="Calibri" w:hAnsi="Calibri" w:cs="Calibri"/>
        </w:rPr>
        <w:t xml:space="preserve"> patients who died in the first year: all were aged over 50 years, </w:t>
      </w:r>
      <w:r w:rsidR="00C0509E" w:rsidRPr="00144C4C">
        <w:rPr>
          <w:rFonts w:ascii="Calibri" w:eastAsia="Calibri" w:hAnsi="Calibri" w:cs="Calibri"/>
        </w:rPr>
        <w:t xml:space="preserve">all but one was prescribed concomitant corticosteroid, and none </w:t>
      </w:r>
      <w:r w:rsidR="00AA6A2E" w:rsidRPr="00144C4C">
        <w:rPr>
          <w:rFonts w:ascii="Calibri" w:eastAsia="Calibri" w:hAnsi="Calibri" w:cs="Calibri"/>
        </w:rPr>
        <w:t>had responded to anti-TNF, but nevertheless continued treatment</w:t>
      </w:r>
      <w:r w:rsidR="4D28E0BA" w:rsidRPr="00144C4C">
        <w:rPr>
          <w:rFonts w:ascii="Calibri" w:eastAsia="Calibri" w:hAnsi="Calibri" w:cs="Calibri"/>
        </w:rPr>
        <w:t xml:space="preserve">. </w:t>
      </w:r>
      <w:r w:rsidR="00C0509E" w:rsidRPr="00144C4C">
        <w:rPr>
          <w:rFonts w:ascii="Calibri" w:eastAsia="Calibri" w:hAnsi="Calibri" w:cs="Calibri"/>
        </w:rPr>
        <w:t xml:space="preserve"> </w:t>
      </w:r>
    </w:p>
    <w:p w14:paraId="04158140" w14:textId="57482CCE" w:rsidR="00635A0C" w:rsidRPr="00144C4C" w:rsidRDefault="07D52E96" w:rsidP="008A0B3F">
      <w:pPr>
        <w:pStyle w:val="Heading2"/>
      </w:pPr>
      <w:r w:rsidRPr="00144C4C">
        <w:t xml:space="preserve">Limitations  </w:t>
      </w:r>
    </w:p>
    <w:p w14:paraId="333A3AC0" w14:textId="65AE6B34" w:rsidR="00635A0C" w:rsidRPr="00144C4C" w:rsidRDefault="409F989B" w:rsidP="07D52E96">
      <w:pPr>
        <w:rPr>
          <w:rFonts w:ascii="Calibri" w:eastAsia="Calibri" w:hAnsi="Calibri" w:cs="Calibri"/>
        </w:rPr>
      </w:pPr>
      <w:r w:rsidRPr="00144C4C">
        <w:rPr>
          <w:rFonts w:ascii="Calibri" w:eastAsia="Calibri" w:hAnsi="Calibri" w:cs="Calibri"/>
        </w:rPr>
        <w:t xml:space="preserve">Firstly, we used pragmatic definitions of treatment failure combining corticosteroid use with clinical and biochemical markers of disease activity that are closely aligned to routine treatment targets. </w:t>
      </w:r>
      <w:r w:rsidR="0781394B" w:rsidRPr="00144C4C">
        <w:rPr>
          <w:rFonts w:ascii="Calibri" w:eastAsia="Calibri" w:hAnsi="Calibri" w:cs="Calibri"/>
        </w:rPr>
        <w:t>Whilst we accept that our data would have been strengthened by endoscopic outcomes, we observed a significant association between clinical outcomes at weeks 14 and week 54 and f</w:t>
      </w:r>
      <w:r w:rsidR="2DA3EBFB" w:rsidRPr="00144C4C">
        <w:rPr>
          <w:rFonts w:ascii="Calibri" w:eastAsia="Calibri" w:hAnsi="Calibri" w:cs="Calibri"/>
        </w:rPr>
        <w:t>a</w:t>
      </w:r>
      <w:r w:rsidR="0781394B" w:rsidRPr="00144C4C">
        <w:rPr>
          <w:rFonts w:ascii="Calibri" w:eastAsia="Calibri" w:hAnsi="Calibri" w:cs="Calibri"/>
        </w:rPr>
        <w:t xml:space="preserve">ecal calprotectin </w:t>
      </w:r>
      <w:r w:rsidR="0BE91829" w:rsidRPr="00144C4C">
        <w:t xml:space="preserve">(appendix </w:t>
      </w:r>
      <w:r w:rsidR="00D016C2" w:rsidRPr="00144C4C">
        <w:t xml:space="preserve">p </w:t>
      </w:r>
      <w:r w:rsidR="009D664A">
        <w:t>33</w:t>
      </w:r>
      <w:r w:rsidR="0BE91829" w:rsidRPr="00144C4C">
        <w:t>)</w:t>
      </w:r>
      <w:r w:rsidR="4FC1E0BF" w:rsidRPr="00144C4C">
        <w:rPr>
          <w:rFonts w:ascii="Calibri" w:eastAsia="Calibri" w:hAnsi="Calibri" w:cs="Calibri"/>
        </w:rPr>
        <w:t>.</w:t>
      </w:r>
      <w:r w:rsidR="0781394B" w:rsidRPr="00144C4C">
        <w:rPr>
          <w:rFonts w:ascii="Calibri" w:eastAsia="Calibri" w:hAnsi="Calibri" w:cs="Calibri"/>
        </w:rPr>
        <w:t xml:space="preserve"> We are likely to have underestimated the rate of LOR because our definition required an increase in therapy which was not always initiated. In addition, we employed a pragmatic schedule of visits to minimise inconvenience to patients </w:t>
      </w:r>
      <w:r w:rsidR="00654BE4" w:rsidRPr="00144C4C">
        <w:rPr>
          <w:rFonts w:ascii="Calibri" w:eastAsia="Calibri" w:hAnsi="Calibri" w:cs="Calibri"/>
        </w:rPr>
        <w:t>and fewer</w:t>
      </w:r>
      <w:r w:rsidR="0781394B" w:rsidRPr="00144C4C">
        <w:rPr>
          <w:rFonts w:ascii="Calibri" w:eastAsia="Calibri" w:hAnsi="Calibri" w:cs="Calibri"/>
        </w:rPr>
        <w:t xml:space="preserve"> assessments were undertaken for adalimumab- than infliximab-treated patients. W</w:t>
      </w:r>
      <w:r w:rsidR="00654BE4" w:rsidRPr="00144C4C">
        <w:rPr>
          <w:rFonts w:ascii="Calibri" w:eastAsia="Calibri" w:hAnsi="Calibri" w:cs="Calibri"/>
        </w:rPr>
        <w:t>e acknowledge,</w:t>
      </w:r>
      <w:r w:rsidR="00465DB6" w:rsidRPr="00144C4C">
        <w:rPr>
          <w:rFonts w:ascii="Calibri" w:eastAsia="Calibri" w:hAnsi="Calibri" w:cs="Calibri"/>
        </w:rPr>
        <w:t xml:space="preserve"> because CRP is elevated in obesity,</w:t>
      </w:r>
      <w:r w:rsidR="4FC1E0BF" w:rsidRPr="00144C4C">
        <w:rPr>
          <w:rFonts w:ascii="Calibri" w:eastAsia="Calibri" w:hAnsi="Calibri" w:cs="Calibri"/>
        </w:rPr>
        <w:t xml:space="preserve"> </w:t>
      </w:r>
      <w:r w:rsidR="00465DB6" w:rsidRPr="00144C4C">
        <w:rPr>
          <w:rFonts w:ascii="Calibri" w:eastAsia="Calibri" w:hAnsi="Calibri" w:cs="Calibri"/>
        </w:rPr>
        <w:t xml:space="preserve">that we may have overestimated the effect of BMI on treatment failure. </w:t>
      </w:r>
      <w:r w:rsidR="0781394B" w:rsidRPr="00144C4C">
        <w:rPr>
          <w:rFonts w:ascii="Calibri" w:eastAsia="Calibri" w:hAnsi="Calibri" w:cs="Calibri"/>
        </w:rPr>
        <w:t xml:space="preserve">Finally, </w:t>
      </w:r>
      <w:r w:rsidR="49B8ED1E" w:rsidRPr="00144C4C">
        <w:rPr>
          <w:rFonts w:ascii="Calibri" w:eastAsia="Calibri" w:hAnsi="Calibri" w:cs="Calibri"/>
        </w:rPr>
        <w:t>we did not employ real-time monitoring, therefore, missingness rates are higher in this study compared to registration trials.</w:t>
      </w:r>
      <w:r w:rsidR="00E91174" w:rsidRPr="00144C4C">
        <w:rPr>
          <w:rFonts w:ascii="Calibri" w:eastAsia="Calibri" w:hAnsi="Calibri" w:cs="Calibri"/>
          <w:noProof/>
          <w:vertAlign w:val="superscript"/>
        </w:rPr>
        <w:t>6–8</w:t>
      </w:r>
    </w:p>
    <w:p w14:paraId="6D3845DF" w14:textId="6AC793C4" w:rsidR="00635A0C" w:rsidRPr="00144C4C" w:rsidRDefault="07D52E96" w:rsidP="00C20C7A">
      <w:pPr>
        <w:pStyle w:val="Heading2"/>
      </w:pPr>
      <w:r w:rsidRPr="00144C4C">
        <w:t xml:space="preserve">Conclusion  </w:t>
      </w:r>
    </w:p>
    <w:p w14:paraId="19FFE949" w14:textId="1E567752" w:rsidR="4B48A42F" w:rsidRPr="00144C4C" w:rsidRDefault="5764F97D" w:rsidP="5764F97D">
      <w:pPr>
        <w:rPr>
          <w:rFonts w:ascii="Calibri" w:eastAsia="Calibri" w:hAnsi="Calibri" w:cs="Calibri"/>
        </w:rPr>
      </w:pPr>
      <w:r w:rsidRPr="5764F97D">
        <w:rPr>
          <w:rFonts w:ascii="Calibri" w:eastAsia="Calibri" w:hAnsi="Calibri" w:cs="Calibri"/>
        </w:rPr>
        <w:t>In this, the largest prospective study of anti-TNF therapy in IBD</w:t>
      </w:r>
      <w:r w:rsidR="007E131C">
        <w:rPr>
          <w:rFonts w:ascii="Calibri" w:eastAsia="Calibri" w:hAnsi="Calibri" w:cs="Calibri"/>
        </w:rPr>
        <w:t xml:space="preserve"> to our knowledge</w:t>
      </w:r>
      <w:r w:rsidRPr="5764F97D">
        <w:rPr>
          <w:rFonts w:ascii="Calibri" w:eastAsia="Calibri" w:hAnsi="Calibri" w:cs="Calibri"/>
        </w:rPr>
        <w:t>, we have demonstrated that the major modifiable factors associated with treatment failure were low drug levels and immunogenicity. Concomitant immunomodulator use and dose intensification in at-risk individuals during induction may improve the effectiveness and durability of treatment. Reassuringly, treatment failure, safety, and immunogenicity rates of originator infliximab are no different to biosimilar, therefore, removing some of the cost-constraints of dose intensification. Further clinical trials are required to confirm whether these strategies allow us to improve the effectiveness and durability of anti-TNF therapy.</w:t>
      </w:r>
      <w:r w:rsidR="07D52E96">
        <w:br w:type="page"/>
      </w:r>
    </w:p>
    <w:p w14:paraId="510BAAF7" w14:textId="3445762E" w:rsidR="002C12D4" w:rsidRPr="00144C4C" w:rsidRDefault="008961CA" w:rsidP="008961CA">
      <w:pPr>
        <w:pStyle w:val="Heading2"/>
        <w:rPr>
          <w:rFonts w:eastAsia="Calibri"/>
        </w:rPr>
      </w:pPr>
      <w:r>
        <w:lastRenderedPageBreak/>
        <w:t>Author contributions</w:t>
      </w:r>
    </w:p>
    <w:p w14:paraId="732F2D5C" w14:textId="078A6694" w:rsidR="002C12D4" w:rsidRPr="00144C4C" w:rsidRDefault="07D52E96" w:rsidP="07D52E96">
      <w:pPr>
        <w:rPr>
          <w:rFonts w:ascii="Calibri" w:eastAsia="Calibri" w:hAnsi="Calibri" w:cs="Calibri"/>
        </w:rPr>
      </w:pPr>
      <w:r w:rsidRPr="00144C4C">
        <w:rPr>
          <w:rFonts w:ascii="Calibri" w:eastAsia="Calibri" w:hAnsi="Calibri" w:cs="Calibri"/>
        </w:rPr>
        <w:t xml:space="preserve">T.A, C.B, G.A.H, J.R.F.C, A.H, M.P, J.C.M, P.I, J.L, R.K.R, C.L participated in the conception and design of the work:  C.B was the project manager and coordinated recruitment. T.M, M.H.P and R.N coordinated all biochemical analysis and central laboratory aspects of the project.  N.K, J.R.G, T.A, G.A.H, J.R.F.C, C.W.L, A.H, M.P, S.S, J.C.M, P.M.I, J.L, R.K.R, P.H, N.M.H, D.McG, A.T, G.J.W, N.C, S.L, S.B, D.G were involved in the acquisition, analysis or interpretation of data.  The data analysis was performed by N.A.K, G.A.H, H.D.G, B.H.  Drafting of the manuscript was conducted by T. A, J.R.G, N.A.K,  D.McG, G.A.H, T.M, C.B, N.C, S.L.  All the authors contributed to the critical review and final approval of the manuscript. T.A obtained the funding for the study.  </w:t>
      </w:r>
    </w:p>
    <w:p w14:paraId="775B5D7D" w14:textId="05F982BD" w:rsidR="5C041445" w:rsidRPr="00144C4C" w:rsidRDefault="07D52E96" w:rsidP="008961CA">
      <w:pPr>
        <w:pStyle w:val="Heading2"/>
      </w:pPr>
      <w:r w:rsidRPr="00144C4C">
        <w:t>Conflicts of Int</w:t>
      </w:r>
      <w:r w:rsidR="008961CA">
        <w:t>erest Disclosures</w:t>
      </w:r>
    </w:p>
    <w:p w14:paraId="6DF2C771" w14:textId="5E10C13B" w:rsidR="5C041445" w:rsidRPr="00144C4C" w:rsidRDefault="6CED9A92" w:rsidP="6CED9A92">
      <w:pPr>
        <w:rPr>
          <w:rFonts w:ascii="Calibri" w:eastAsia="Calibri" w:hAnsi="Calibri" w:cs="Calibri"/>
        </w:rPr>
      </w:pPr>
      <w:r w:rsidRPr="6CED9A92">
        <w:rPr>
          <w:rFonts w:ascii="Calibri" w:eastAsia="Calibri" w:hAnsi="Calibri" w:cs="Calibri"/>
        </w:rPr>
        <w:t xml:space="preserve">All authors have completed and submitted the ICMJE Form for Disclosure of Potential Conflicts of Interest and declare:  </w:t>
      </w:r>
      <w:r w:rsidRPr="002507B9">
        <w:rPr>
          <w:rFonts w:ascii="Calibri" w:eastAsia="Calibri" w:hAnsi="Calibri" w:cs="Calibri"/>
        </w:rPr>
        <w:t xml:space="preserve">N.A.K received personal fees from Falk, Takeda, Pharmacosmos and other from Janssen,  and non-financial support from Janssen, AbbVie and Celltrion outside the submitted work;  G.A.H reports non-financial support from AbbVie, outside the submitted work; and that he is now an employee of AbbVie and owns stock in the company; G.J.W reports grants from UK Crohn's Colitis, personal fees from AbbVie, Janssen, Tillotts, Falk, outside the submitted work; A.H has served as consultant, advisory board member or speaker for AbbVie, Atlantic, Bristol-Myers Squibb, Celltrion, Falk, Ferring, Janssen, MSD, Napp Pharmaceuticals, Pfizer, Pharmacosmos, Shire and Takeda and also serves on the Global Steering Committee for Genentech outside the submitted work;. S.S reports personal fees from AbbVie, Merck, Takeda, grants from Takeda, Tillotts, AbbVie, Merck, outside the submitted work;  P.M.I reports personal fees from Abbvie, Janssen,  Pfizer, Sandoz, VH squared, Samsung Bioepis, and Ferring , grants from MSD, grants and personal fees from Takeda, non-financial support from Falk, outside the submitted work;  D.McG  reports grants from NIH and Helmsley Charitable Trust, during the conduct of the study; grants and personal fees from Janssen, Precision IBD Inc,  Second Genome,  Qu Biologics,  Pfizer,  Gilead and Takeda, outside the submitted work; C.W.L  reports grants and personal fees from Abbvie, GSK, Janssen, Takeda,  Amgen,  Pfizer,   Samsung Bioepis,  Cellgene and  grants and personal fees from Gilead, outside the submitted work;  J.R.F.C reports personal fees from Abbvie, grants and personal fees from Takeda, grants and personal fees from Biogen, personal fees from Janssen, grants and personal fees from Hospira, personal fees from MSD,  from Celltrion, personal fees from NAPP, personal fees from Sandoz,  outside the submitted work; J.L has served as  advisory board member for Atlantic Health, AbbVie UK/Global, MSD UK, Shire UK, Ferring International, Celltrion, Takeda, Pfizer, Janssen, GSK, and consultant for AbbVie UK, Takeda, Bristol Myers Squibb, has received grants from Tadeka, and Hospira (Pfizer) for AbbVie UK, Global, Ferring  (International/UK)  MSD, Allergen, Shire (UK/International), Takeda, Cornerstone US, Janssen and Pfizer, fees for educational presentations for AbbVie International and Cornerstone UK and travel/accommodation expenses for AbbVie, Warner Chilcot UK  and Takeda and has received travel support from AbbVie, Warner Chilcot, Takeda and Pfizer outside the submitted work; R.K.R reports honoraria  from Abbvie, Ferring , Therakos and Celltrion, grants from Nestec, outside the submitted work; J.R.G received honoraria from Falk, Abbvie and Shield therapeutics for unrelated topics. T.A reports grants from AbbVie and MSD, grants and other from NAPP, grants from Celltrion, grants from Pfizer, personal fees and non-financial support from Immunodiagnostik, grants from Celgene, during the conduct of the study; </w:t>
      </w:r>
      <w:r w:rsidRPr="002507B9">
        <w:rPr>
          <w:rFonts w:ascii="Calibri" w:eastAsia="Calibri" w:hAnsi="Calibri" w:cs="Calibri"/>
        </w:rPr>
        <w:lastRenderedPageBreak/>
        <w:t>personal fees and non-financial support from NAPP, personal fees and non-financial support from AbbVie , personal fees and non-financial support from MSD , personal fees from Celltrion, personal fees from Pfizer, grants and personal fees from Takeda, grants from Janssen, grants and non-financial support from Tillotts, outside the submitted work. No financial relationships with any organizations that might have an interest in the submitted work in the previous three years; no other relationships or activities that could appear to have influenced the submitted work.</w:t>
      </w:r>
      <w:r w:rsidRPr="6CED9A92">
        <w:rPr>
          <w:rFonts w:ascii="Calibri" w:eastAsia="Calibri" w:hAnsi="Calibri" w:cs="Calibri"/>
        </w:rPr>
        <w:t xml:space="preserve"> H.G, B.H, C.B, M.H.P, T.M, A.T, R.N, S.B, N.C, N.M.H, P.H, S.L, M.P, J.C.M have no conflicts of interest to declare. </w:t>
      </w:r>
    </w:p>
    <w:p w14:paraId="23048640" w14:textId="19B5A8F9" w:rsidR="5C041445" w:rsidRPr="00144C4C" w:rsidRDefault="07D52E96" w:rsidP="07D52E96">
      <w:pPr>
        <w:pStyle w:val="Heading1"/>
        <w:spacing w:before="0"/>
        <w:rPr>
          <w:rFonts w:eastAsiaTheme="minorEastAsia"/>
          <w:sz w:val="22"/>
          <w:szCs w:val="22"/>
        </w:rPr>
      </w:pPr>
      <w:r w:rsidRPr="00144C4C">
        <w:t>Acknowledgements</w:t>
      </w:r>
    </w:p>
    <w:p w14:paraId="046F13EB" w14:textId="593D65D6" w:rsidR="5C041445" w:rsidRPr="00144C4C" w:rsidRDefault="07D52E96" w:rsidP="07D52E96">
      <w:pPr>
        <w:rPr>
          <w:rFonts w:eastAsia="Calibri"/>
        </w:rPr>
      </w:pPr>
      <w:r w:rsidRPr="00144C4C">
        <w:rPr>
          <w:rFonts w:eastAsia="Calibri"/>
        </w:rPr>
        <w:t>Laboratory tests were undertaken by the Exeter Blood Sciences Laboratory at the Royal Devon &amp; Exeter (RD&amp;E) NHS Trust (</w:t>
      </w:r>
      <w:r w:rsidRPr="0017599E">
        <w:rPr>
          <w:rFonts w:ascii="Calibri" w:eastAsia="Calibri" w:hAnsi="Calibri" w:cs="Calibri"/>
        </w:rPr>
        <w:t>https://www.exeterlaboratory.com/</w:t>
      </w:r>
      <w:r w:rsidRPr="00144C4C">
        <w:rPr>
          <w:rFonts w:eastAsia="Calibri"/>
        </w:rPr>
        <w:t>). The Exeter NIHR Clinical Research Facility coordinated sample storage and management.</w:t>
      </w:r>
    </w:p>
    <w:p w14:paraId="4A8E8EBB" w14:textId="71D6865B" w:rsidR="5C041445" w:rsidRPr="00144C4C" w:rsidRDefault="07D52E96" w:rsidP="07D52E96">
      <w:pPr>
        <w:rPr>
          <w:rFonts w:eastAsia="Calibri"/>
        </w:rPr>
      </w:pPr>
      <w:r w:rsidRPr="00144C4C">
        <w:rPr>
          <w:rFonts w:eastAsia="Calibri"/>
        </w:rPr>
        <w:t xml:space="preserve">The sponsor of the study was the Royal Devon and Exeter NHS Foundation Trust. The South West Research Ethics committee approved the study (REC Reference: 12/SW/0323) in January 2013. </w:t>
      </w:r>
    </w:p>
    <w:p w14:paraId="76610C62" w14:textId="225AB561" w:rsidR="5C041445" w:rsidRPr="00144C4C" w:rsidRDefault="07D52E96" w:rsidP="07D52E96">
      <w:pPr>
        <w:rPr>
          <w:rFonts w:eastAsia="Calibri"/>
        </w:rPr>
      </w:pPr>
      <w:r w:rsidRPr="00144C4C">
        <w:rPr>
          <w:rFonts w:eastAsia="Calibri"/>
        </w:rPr>
        <w:t>T.M is funded by an NIHR Health Education England (HEE) Senior Lectureship. The views expressed in this publication are those of the author(s) and not necessarily those of the NHS, HEE, NIHR or the Department of Health.  </w:t>
      </w:r>
    </w:p>
    <w:p w14:paraId="6CFB621F" w14:textId="34F7E78B" w:rsidR="5C041445" w:rsidRPr="00144C4C" w:rsidRDefault="07D52E96" w:rsidP="07D52E96">
      <w:pPr>
        <w:rPr>
          <w:rFonts w:eastAsia="Calibri"/>
        </w:rPr>
      </w:pPr>
      <w:r w:rsidRPr="00144C4C">
        <w:rPr>
          <w:rFonts w:eastAsia="Calibri"/>
        </w:rPr>
        <w:t>Role of the Funder/Sponsor:  None of the listed funders had a role in the design and conduct of the study; collection, management, analysis, and interpretation of the data; preparation, review, and decision to submit the manuscript for publication. </w:t>
      </w:r>
    </w:p>
    <w:p w14:paraId="14216B1B" w14:textId="2B09857E" w:rsidR="002C12D4" w:rsidRPr="002010E7" w:rsidRDefault="07D52E96" w:rsidP="38ADC767">
      <w:r w:rsidRPr="00144C4C">
        <w:rPr>
          <w:rFonts w:eastAsia="Calibri"/>
        </w:rPr>
        <w:t>Additional Contributions: We are grateful to the following for their participation in our interim data interpretation meeting: Professors Shomron Ben-Horin, Yehuda Chowers and Geert D’Haens and Drs John Ding and James Lee. We would like to thank the patients who participated in this study, the IBD Pharmacogenetic Study Group (see supplementary appendix), and research nurses who collected clinical data and biological samples at each study visit. We would also like to acknowledge the study co-ordinators of the Exeter IBD Research Group, United Kingdom: Marian Parkinson and Helen Gardner-Thorpe for their on-going administrative support to the study.</w:t>
      </w:r>
      <w:r w:rsidR="279FA494" w:rsidRPr="00144C4C">
        <w:rPr>
          <w:color w:val="000000" w:themeColor="text1"/>
        </w:rPr>
        <w:br w:type="page"/>
      </w:r>
    </w:p>
    <w:p w14:paraId="71C9BFCE" w14:textId="23FEB348" w:rsidR="003451B0" w:rsidRPr="00144C4C" w:rsidRDefault="07D52E96" w:rsidP="44264277">
      <w:pPr>
        <w:pStyle w:val="Heading1"/>
      </w:pPr>
      <w:r w:rsidRPr="00144C4C">
        <w:lastRenderedPageBreak/>
        <w:t>References</w:t>
      </w:r>
    </w:p>
    <w:p w14:paraId="1022AD27" w14:textId="27A9296B" w:rsidR="0099206F" w:rsidRPr="0099206F" w:rsidRDefault="0099206F" w:rsidP="0099206F">
      <w:pPr>
        <w:widowControl w:val="0"/>
        <w:autoSpaceDE w:val="0"/>
        <w:autoSpaceDN w:val="0"/>
        <w:adjustRightInd w:val="0"/>
        <w:spacing w:line="240" w:lineRule="auto"/>
        <w:ind w:left="640" w:hanging="640"/>
        <w:rPr>
          <w:rFonts w:ascii="Calibri" w:hAnsi="Calibri" w:cs="Times New Roman"/>
          <w:noProof/>
          <w:szCs w:val="24"/>
        </w:rPr>
      </w:pPr>
      <w:r w:rsidRPr="0099206F">
        <w:rPr>
          <w:rFonts w:ascii="Calibri" w:hAnsi="Calibri" w:cs="Times New Roman"/>
          <w:noProof/>
          <w:szCs w:val="24"/>
        </w:rPr>
        <w:t>1</w:t>
      </w:r>
      <w:r w:rsidRPr="0099206F">
        <w:rPr>
          <w:rFonts w:ascii="Calibri" w:hAnsi="Calibri" w:cs="Times New Roman"/>
          <w:noProof/>
          <w:szCs w:val="24"/>
        </w:rPr>
        <w:tab/>
        <w:t xml:space="preserve">Lichtenstein GR, Yan S, Bala M, Blank M, Sands BE. Infliximab maintenance treatment reduces hospitalizations, surgeries, and procedures in fistulizing Crohn’s disease. </w:t>
      </w:r>
      <w:r w:rsidRPr="0099206F">
        <w:rPr>
          <w:rFonts w:ascii="Calibri" w:hAnsi="Calibri" w:cs="Times New Roman"/>
          <w:i/>
          <w:iCs/>
          <w:noProof/>
          <w:szCs w:val="24"/>
        </w:rPr>
        <w:t>Gastroenterology</w:t>
      </w:r>
      <w:r w:rsidRPr="0099206F">
        <w:rPr>
          <w:rFonts w:ascii="Calibri" w:hAnsi="Calibri" w:cs="Times New Roman"/>
          <w:noProof/>
          <w:szCs w:val="24"/>
        </w:rPr>
        <w:t xml:space="preserve"> 2005; </w:t>
      </w:r>
      <w:r w:rsidRPr="0099206F">
        <w:rPr>
          <w:rFonts w:ascii="Calibri" w:hAnsi="Calibri" w:cs="Times New Roman"/>
          <w:b/>
          <w:bCs/>
          <w:noProof/>
          <w:szCs w:val="24"/>
        </w:rPr>
        <w:t>128</w:t>
      </w:r>
      <w:r w:rsidRPr="0099206F">
        <w:rPr>
          <w:rFonts w:ascii="Calibri" w:hAnsi="Calibri" w:cs="Times New Roman"/>
          <w:noProof/>
          <w:szCs w:val="24"/>
        </w:rPr>
        <w:t>: 862–9.</w:t>
      </w:r>
    </w:p>
    <w:p w14:paraId="1D5966AB" w14:textId="77777777" w:rsidR="0099206F" w:rsidRPr="0099206F" w:rsidRDefault="0099206F" w:rsidP="0099206F">
      <w:pPr>
        <w:widowControl w:val="0"/>
        <w:autoSpaceDE w:val="0"/>
        <w:autoSpaceDN w:val="0"/>
        <w:adjustRightInd w:val="0"/>
        <w:spacing w:line="240" w:lineRule="auto"/>
        <w:ind w:left="640" w:hanging="640"/>
        <w:rPr>
          <w:rFonts w:ascii="Calibri" w:hAnsi="Calibri" w:cs="Times New Roman"/>
          <w:noProof/>
          <w:szCs w:val="24"/>
        </w:rPr>
      </w:pPr>
      <w:r w:rsidRPr="0099206F">
        <w:rPr>
          <w:rFonts w:ascii="Calibri" w:hAnsi="Calibri" w:cs="Times New Roman"/>
          <w:noProof/>
          <w:szCs w:val="24"/>
        </w:rPr>
        <w:t>2</w:t>
      </w:r>
      <w:r w:rsidRPr="0099206F">
        <w:rPr>
          <w:rFonts w:ascii="Calibri" w:hAnsi="Calibri" w:cs="Times New Roman"/>
          <w:noProof/>
          <w:szCs w:val="24"/>
        </w:rPr>
        <w:tab/>
        <w:t xml:space="preserve">Colombel JF, Sandborn WJ, Reinisch W, </w:t>
      </w:r>
      <w:r w:rsidRPr="0099206F">
        <w:rPr>
          <w:rFonts w:ascii="Calibri" w:hAnsi="Calibri" w:cs="Times New Roman"/>
          <w:i/>
          <w:iCs/>
          <w:noProof/>
          <w:szCs w:val="24"/>
        </w:rPr>
        <w:t>et al.</w:t>
      </w:r>
      <w:r w:rsidRPr="0099206F">
        <w:rPr>
          <w:rFonts w:ascii="Calibri" w:hAnsi="Calibri" w:cs="Times New Roman"/>
          <w:noProof/>
          <w:szCs w:val="24"/>
        </w:rPr>
        <w:t xml:space="preserve"> Infliximab, azathioprine, or combination therapy for Crohn’s disease. </w:t>
      </w:r>
      <w:r w:rsidRPr="0099206F">
        <w:rPr>
          <w:rFonts w:ascii="Calibri" w:hAnsi="Calibri" w:cs="Times New Roman"/>
          <w:i/>
          <w:iCs/>
          <w:noProof/>
          <w:szCs w:val="24"/>
        </w:rPr>
        <w:t>N Engl J Med</w:t>
      </w:r>
      <w:r w:rsidRPr="0099206F">
        <w:rPr>
          <w:rFonts w:ascii="Calibri" w:hAnsi="Calibri" w:cs="Times New Roman"/>
          <w:noProof/>
          <w:szCs w:val="24"/>
        </w:rPr>
        <w:t xml:space="preserve"> 2010; </w:t>
      </w:r>
      <w:r w:rsidRPr="0099206F">
        <w:rPr>
          <w:rFonts w:ascii="Calibri" w:hAnsi="Calibri" w:cs="Times New Roman"/>
          <w:b/>
          <w:bCs/>
          <w:noProof/>
          <w:szCs w:val="24"/>
        </w:rPr>
        <w:t>362</w:t>
      </w:r>
      <w:r w:rsidRPr="0099206F">
        <w:rPr>
          <w:rFonts w:ascii="Calibri" w:hAnsi="Calibri" w:cs="Times New Roman"/>
          <w:noProof/>
          <w:szCs w:val="24"/>
        </w:rPr>
        <w:t>: 1383–95.</w:t>
      </w:r>
    </w:p>
    <w:p w14:paraId="09C47C20" w14:textId="77777777" w:rsidR="0099206F" w:rsidRPr="0099206F" w:rsidRDefault="0099206F" w:rsidP="0099206F">
      <w:pPr>
        <w:widowControl w:val="0"/>
        <w:autoSpaceDE w:val="0"/>
        <w:autoSpaceDN w:val="0"/>
        <w:adjustRightInd w:val="0"/>
        <w:spacing w:line="240" w:lineRule="auto"/>
        <w:ind w:left="640" w:hanging="640"/>
        <w:rPr>
          <w:rFonts w:ascii="Calibri" w:hAnsi="Calibri" w:cs="Times New Roman"/>
          <w:noProof/>
          <w:szCs w:val="24"/>
        </w:rPr>
      </w:pPr>
      <w:r w:rsidRPr="0099206F">
        <w:rPr>
          <w:rFonts w:ascii="Calibri" w:hAnsi="Calibri" w:cs="Times New Roman"/>
          <w:noProof/>
          <w:szCs w:val="24"/>
        </w:rPr>
        <w:t>3</w:t>
      </w:r>
      <w:r w:rsidRPr="0099206F">
        <w:rPr>
          <w:rFonts w:ascii="Calibri" w:hAnsi="Calibri" w:cs="Times New Roman"/>
          <w:noProof/>
          <w:szCs w:val="24"/>
        </w:rPr>
        <w:tab/>
        <w:t xml:space="preserve">D’haens G, Van Deventer S, Van Hogezand R, </w:t>
      </w:r>
      <w:r w:rsidRPr="0099206F">
        <w:rPr>
          <w:rFonts w:ascii="Calibri" w:hAnsi="Calibri" w:cs="Times New Roman"/>
          <w:i/>
          <w:iCs/>
          <w:noProof/>
          <w:szCs w:val="24"/>
        </w:rPr>
        <w:t>et al.</w:t>
      </w:r>
      <w:r w:rsidRPr="0099206F">
        <w:rPr>
          <w:rFonts w:ascii="Calibri" w:hAnsi="Calibri" w:cs="Times New Roman"/>
          <w:noProof/>
          <w:szCs w:val="24"/>
        </w:rPr>
        <w:t xml:space="preserve"> Endoscopic and histological healing with infliximab anti-tumor necrosis factor antibodies in Crohn’s disease: A European multicenter trial. </w:t>
      </w:r>
      <w:r w:rsidRPr="0099206F">
        <w:rPr>
          <w:rFonts w:ascii="Calibri" w:hAnsi="Calibri" w:cs="Times New Roman"/>
          <w:i/>
          <w:iCs/>
          <w:noProof/>
          <w:szCs w:val="24"/>
        </w:rPr>
        <w:t>Gastroenterology</w:t>
      </w:r>
      <w:r w:rsidRPr="0099206F">
        <w:rPr>
          <w:rFonts w:ascii="Calibri" w:hAnsi="Calibri" w:cs="Times New Roman"/>
          <w:noProof/>
          <w:szCs w:val="24"/>
        </w:rPr>
        <w:t xml:space="preserve"> 1999; </w:t>
      </w:r>
      <w:r w:rsidRPr="0099206F">
        <w:rPr>
          <w:rFonts w:ascii="Calibri" w:hAnsi="Calibri" w:cs="Times New Roman"/>
          <w:b/>
          <w:bCs/>
          <w:noProof/>
          <w:szCs w:val="24"/>
        </w:rPr>
        <w:t>116</w:t>
      </w:r>
      <w:r w:rsidRPr="0099206F">
        <w:rPr>
          <w:rFonts w:ascii="Calibri" w:hAnsi="Calibri" w:cs="Times New Roman"/>
          <w:noProof/>
          <w:szCs w:val="24"/>
        </w:rPr>
        <w:t>: 1029–34.</w:t>
      </w:r>
    </w:p>
    <w:p w14:paraId="51DA8E79" w14:textId="77777777" w:rsidR="0099206F" w:rsidRPr="0099206F" w:rsidRDefault="0099206F" w:rsidP="0099206F">
      <w:pPr>
        <w:widowControl w:val="0"/>
        <w:autoSpaceDE w:val="0"/>
        <w:autoSpaceDN w:val="0"/>
        <w:adjustRightInd w:val="0"/>
        <w:spacing w:line="240" w:lineRule="auto"/>
        <w:ind w:left="640" w:hanging="640"/>
        <w:rPr>
          <w:rFonts w:ascii="Calibri" w:hAnsi="Calibri" w:cs="Times New Roman"/>
          <w:noProof/>
          <w:szCs w:val="24"/>
        </w:rPr>
      </w:pPr>
      <w:r w:rsidRPr="0099206F">
        <w:rPr>
          <w:rFonts w:ascii="Calibri" w:hAnsi="Calibri" w:cs="Times New Roman"/>
          <w:noProof/>
          <w:szCs w:val="24"/>
        </w:rPr>
        <w:t>4</w:t>
      </w:r>
      <w:r w:rsidRPr="0099206F">
        <w:rPr>
          <w:rFonts w:ascii="Calibri" w:hAnsi="Calibri" w:cs="Times New Roman"/>
          <w:noProof/>
          <w:szCs w:val="24"/>
        </w:rPr>
        <w:tab/>
        <w:t xml:space="preserve">Louis E, Löfberg R, Reinisch W, </w:t>
      </w:r>
      <w:r w:rsidRPr="0099206F">
        <w:rPr>
          <w:rFonts w:ascii="Calibri" w:hAnsi="Calibri" w:cs="Times New Roman"/>
          <w:i/>
          <w:iCs/>
          <w:noProof/>
          <w:szCs w:val="24"/>
        </w:rPr>
        <w:t>et al.</w:t>
      </w:r>
      <w:r w:rsidRPr="0099206F">
        <w:rPr>
          <w:rFonts w:ascii="Calibri" w:hAnsi="Calibri" w:cs="Times New Roman"/>
          <w:noProof/>
          <w:szCs w:val="24"/>
        </w:rPr>
        <w:t xml:space="preserve"> Adalimumab improves patient-reported outcomes and reduces indirect costs in patients with moderate to severe Crohn’s disease: results from the CARE trial. </w:t>
      </w:r>
      <w:r w:rsidRPr="0099206F">
        <w:rPr>
          <w:rFonts w:ascii="Calibri" w:hAnsi="Calibri" w:cs="Times New Roman"/>
          <w:i/>
          <w:iCs/>
          <w:noProof/>
          <w:szCs w:val="24"/>
        </w:rPr>
        <w:t>J Crohns Colitis</w:t>
      </w:r>
      <w:r w:rsidRPr="0099206F">
        <w:rPr>
          <w:rFonts w:ascii="Calibri" w:hAnsi="Calibri" w:cs="Times New Roman"/>
          <w:noProof/>
          <w:szCs w:val="24"/>
        </w:rPr>
        <w:t xml:space="preserve"> 2013; </w:t>
      </w:r>
      <w:r w:rsidRPr="0099206F">
        <w:rPr>
          <w:rFonts w:ascii="Calibri" w:hAnsi="Calibri" w:cs="Times New Roman"/>
          <w:b/>
          <w:bCs/>
          <w:noProof/>
          <w:szCs w:val="24"/>
        </w:rPr>
        <w:t>7</w:t>
      </w:r>
      <w:r w:rsidRPr="0099206F">
        <w:rPr>
          <w:rFonts w:ascii="Calibri" w:hAnsi="Calibri" w:cs="Times New Roman"/>
          <w:noProof/>
          <w:szCs w:val="24"/>
        </w:rPr>
        <w:t>: 34–43.</w:t>
      </w:r>
    </w:p>
    <w:p w14:paraId="4898904C" w14:textId="77777777" w:rsidR="0099206F" w:rsidRPr="0099206F" w:rsidRDefault="0099206F" w:rsidP="0099206F">
      <w:pPr>
        <w:widowControl w:val="0"/>
        <w:autoSpaceDE w:val="0"/>
        <w:autoSpaceDN w:val="0"/>
        <w:adjustRightInd w:val="0"/>
        <w:spacing w:line="240" w:lineRule="auto"/>
        <w:ind w:left="640" w:hanging="640"/>
        <w:rPr>
          <w:rFonts w:ascii="Calibri" w:hAnsi="Calibri" w:cs="Times New Roman"/>
          <w:noProof/>
          <w:szCs w:val="24"/>
        </w:rPr>
      </w:pPr>
      <w:r w:rsidRPr="0099206F">
        <w:rPr>
          <w:rFonts w:ascii="Calibri" w:hAnsi="Calibri" w:cs="Times New Roman"/>
          <w:noProof/>
          <w:szCs w:val="24"/>
        </w:rPr>
        <w:t>5</w:t>
      </w:r>
      <w:r w:rsidRPr="0099206F">
        <w:rPr>
          <w:rFonts w:ascii="Calibri" w:hAnsi="Calibri" w:cs="Times New Roman"/>
          <w:noProof/>
          <w:szCs w:val="24"/>
        </w:rPr>
        <w:tab/>
        <w:t xml:space="preserve">Loftus E V, Feagan BG, Colombel J-F, </w:t>
      </w:r>
      <w:r w:rsidRPr="0099206F">
        <w:rPr>
          <w:rFonts w:ascii="Calibri" w:hAnsi="Calibri" w:cs="Times New Roman"/>
          <w:i/>
          <w:iCs/>
          <w:noProof/>
          <w:szCs w:val="24"/>
        </w:rPr>
        <w:t>et al.</w:t>
      </w:r>
      <w:r w:rsidRPr="0099206F">
        <w:rPr>
          <w:rFonts w:ascii="Calibri" w:hAnsi="Calibri" w:cs="Times New Roman"/>
          <w:noProof/>
          <w:szCs w:val="24"/>
        </w:rPr>
        <w:t xml:space="preserve"> Effects of adalimumab maintenance therapy on health-related quality of life of patients with Crohn’s disease: patient-reported outcomes of the CHARM trial. </w:t>
      </w:r>
      <w:r w:rsidRPr="0099206F">
        <w:rPr>
          <w:rFonts w:ascii="Calibri" w:hAnsi="Calibri" w:cs="Times New Roman"/>
          <w:i/>
          <w:iCs/>
          <w:noProof/>
          <w:szCs w:val="24"/>
        </w:rPr>
        <w:t>Am J Gastroenterol</w:t>
      </w:r>
      <w:r w:rsidRPr="0099206F">
        <w:rPr>
          <w:rFonts w:ascii="Calibri" w:hAnsi="Calibri" w:cs="Times New Roman"/>
          <w:noProof/>
          <w:szCs w:val="24"/>
        </w:rPr>
        <w:t xml:space="preserve"> 2008; </w:t>
      </w:r>
      <w:r w:rsidRPr="0099206F">
        <w:rPr>
          <w:rFonts w:ascii="Calibri" w:hAnsi="Calibri" w:cs="Times New Roman"/>
          <w:b/>
          <w:bCs/>
          <w:noProof/>
          <w:szCs w:val="24"/>
        </w:rPr>
        <w:t>103</w:t>
      </w:r>
      <w:r w:rsidRPr="0099206F">
        <w:rPr>
          <w:rFonts w:ascii="Calibri" w:hAnsi="Calibri" w:cs="Times New Roman"/>
          <w:noProof/>
          <w:szCs w:val="24"/>
        </w:rPr>
        <w:t>: 3132–41.</w:t>
      </w:r>
    </w:p>
    <w:p w14:paraId="1FE4935F" w14:textId="77777777" w:rsidR="0099206F" w:rsidRPr="0099206F" w:rsidRDefault="0099206F" w:rsidP="0099206F">
      <w:pPr>
        <w:widowControl w:val="0"/>
        <w:autoSpaceDE w:val="0"/>
        <w:autoSpaceDN w:val="0"/>
        <w:adjustRightInd w:val="0"/>
        <w:spacing w:line="240" w:lineRule="auto"/>
        <w:ind w:left="640" w:hanging="640"/>
        <w:rPr>
          <w:rFonts w:ascii="Calibri" w:hAnsi="Calibri" w:cs="Times New Roman"/>
          <w:noProof/>
          <w:szCs w:val="24"/>
        </w:rPr>
      </w:pPr>
      <w:r w:rsidRPr="0099206F">
        <w:rPr>
          <w:rFonts w:ascii="Calibri" w:hAnsi="Calibri" w:cs="Times New Roman"/>
          <w:noProof/>
          <w:szCs w:val="24"/>
        </w:rPr>
        <w:t>6</w:t>
      </w:r>
      <w:r w:rsidRPr="0099206F">
        <w:rPr>
          <w:rFonts w:ascii="Calibri" w:hAnsi="Calibri" w:cs="Times New Roman"/>
          <w:noProof/>
          <w:szCs w:val="24"/>
        </w:rPr>
        <w:tab/>
        <w:t xml:space="preserve">Rutgeerts P, D’Haens G, Targan S, </w:t>
      </w:r>
      <w:r w:rsidRPr="0099206F">
        <w:rPr>
          <w:rFonts w:ascii="Calibri" w:hAnsi="Calibri" w:cs="Times New Roman"/>
          <w:i/>
          <w:iCs/>
          <w:noProof/>
          <w:szCs w:val="24"/>
        </w:rPr>
        <w:t>et al.</w:t>
      </w:r>
      <w:r w:rsidRPr="0099206F">
        <w:rPr>
          <w:rFonts w:ascii="Calibri" w:hAnsi="Calibri" w:cs="Times New Roman"/>
          <w:noProof/>
          <w:szCs w:val="24"/>
        </w:rPr>
        <w:t xml:space="preserve"> Efficacy and safety of retreatment with anti-tumor necrosis factor antibody (infliximab) to maintain remission in Crohn’s disease. </w:t>
      </w:r>
      <w:r w:rsidRPr="0099206F">
        <w:rPr>
          <w:rFonts w:ascii="Calibri" w:hAnsi="Calibri" w:cs="Times New Roman"/>
          <w:i/>
          <w:iCs/>
          <w:noProof/>
          <w:szCs w:val="24"/>
        </w:rPr>
        <w:t>Gastroenterology</w:t>
      </w:r>
      <w:r w:rsidRPr="0099206F">
        <w:rPr>
          <w:rFonts w:ascii="Calibri" w:hAnsi="Calibri" w:cs="Times New Roman"/>
          <w:noProof/>
          <w:szCs w:val="24"/>
        </w:rPr>
        <w:t xml:space="preserve"> 1999; </w:t>
      </w:r>
      <w:r w:rsidRPr="0099206F">
        <w:rPr>
          <w:rFonts w:ascii="Calibri" w:hAnsi="Calibri" w:cs="Times New Roman"/>
          <w:b/>
          <w:bCs/>
          <w:noProof/>
          <w:szCs w:val="24"/>
        </w:rPr>
        <w:t>117</w:t>
      </w:r>
      <w:r w:rsidRPr="0099206F">
        <w:rPr>
          <w:rFonts w:ascii="Calibri" w:hAnsi="Calibri" w:cs="Times New Roman"/>
          <w:noProof/>
          <w:szCs w:val="24"/>
        </w:rPr>
        <w:t>: 761–9.</w:t>
      </w:r>
    </w:p>
    <w:p w14:paraId="1EF65C3C" w14:textId="77777777" w:rsidR="0099206F" w:rsidRPr="0099206F" w:rsidRDefault="0099206F" w:rsidP="0099206F">
      <w:pPr>
        <w:widowControl w:val="0"/>
        <w:autoSpaceDE w:val="0"/>
        <w:autoSpaceDN w:val="0"/>
        <w:adjustRightInd w:val="0"/>
        <w:spacing w:line="240" w:lineRule="auto"/>
        <w:ind w:left="640" w:hanging="640"/>
        <w:rPr>
          <w:rFonts w:ascii="Calibri" w:hAnsi="Calibri" w:cs="Times New Roman"/>
          <w:noProof/>
          <w:szCs w:val="24"/>
        </w:rPr>
      </w:pPr>
      <w:r w:rsidRPr="0099206F">
        <w:rPr>
          <w:rFonts w:ascii="Calibri" w:hAnsi="Calibri" w:cs="Times New Roman"/>
          <w:noProof/>
          <w:szCs w:val="24"/>
        </w:rPr>
        <w:t>7</w:t>
      </w:r>
      <w:r w:rsidRPr="0099206F">
        <w:rPr>
          <w:rFonts w:ascii="Calibri" w:hAnsi="Calibri" w:cs="Times New Roman"/>
          <w:noProof/>
          <w:szCs w:val="24"/>
        </w:rPr>
        <w:tab/>
        <w:t xml:space="preserve">Hanauer SB, Sandborn WJ, Rutgeerts P, </w:t>
      </w:r>
      <w:r w:rsidRPr="0099206F">
        <w:rPr>
          <w:rFonts w:ascii="Calibri" w:hAnsi="Calibri" w:cs="Times New Roman"/>
          <w:i/>
          <w:iCs/>
          <w:noProof/>
          <w:szCs w:val="24"/>
        </w:rPr>
        <w:t>et al.</w:t>
      </w:r>
      <w:r w:rsidRPr="0099206F">
        <w:rPr>
          <w:rFonts w:ascii="Calibri" w:hAnsi="Calibri" w:cs="Times New Roman"/>
          <w:noProof/>
          <w:szCs w:val="24"/>
        </w:rPr>
        <w:t xml:space="preserve"> Human anti-tumor necrosis factor monoclonal antibody (adalimumab) in Crohn’s disease: the CLASSIC-I trial. </w:t>
      </w:r>
      <w:r w:rsidRPr="0099206F">
        <w:rPr>
          <w:rFonts w:ascii="Calibri" w:hAnsi="Calibri" w:cs="Times New Roman"/>
          <w:i/>
          <w:iCs/>
          <w:noProof/>
          <w:szCs w:val="24"/>
        </w:rPr>
        <w:t>Gastroenterology</w:t>
      </w:r>
      <w:r w:rsidRPr="0099206F">
        <w:rPr>
          <w:rFonts w:ascii="Calibri" w:hAnsi="Calibri" w:cs="Times New Roman"/>
          <w:noProof/>
          <w:szCs w:val="24"/>
        </w:rPr>
        <w:t xml:space="preserve"> 2006; </w:t>
      </w:r>
      <w:r w:rsidRPr="0099206F">
        <w:rPr>
          <w:rFonts w:ascii="Calibri" w:hAnsi="Calibri" w:cs="Times New Roman"/>
          <w:b/>
          <w:bCs/>
          <w:noProof/>
          <w:szCs w:val="24"/>
        </w:rPr>
        <w:t>130</w:t>
      </w:r>
      <w:r w:rsidRPr="0099206F">
        <w:rPr>
          <w:rFonts w:ascii="Calibri" w:hAnsi="Calibri" w:cs="Times New Roman"/>
          <w:noProof/>
          <w:szCs w:val="24"/>
        </w:rPr>
        <w:t>: 323–33; quiz 591.</w:t>
      </w:r>
    </w:p>
    <w:p w14:paraId="6C3D3087" w14:textId="77777777" w:rsidR="0099206F" w:rsidRPr="0099206F" w:rsidRDefault="0099206F" w:rsidP="0099206F">
      <w:pPr>
        <w:widowControl w:val="0"/>
        <w:autoSpaceDE w:val="0"/>
        <w:autoSpaceDN w:val="0"/>
        <w:adjustRightInd w:val="0"/>
        <w:spacing w:line="240" w:lineRule="auto"/>
        <w:ind w:left="640" w:hanging="640"/>
        <w:rPr>
          <w:rFonts w:ascii="Calibri" w:hAnsi="Calibri" w:cs="Times New Roman"/>
          <w:noProof/>
          <w:szCs w:val="24"/>
        </w:rPr>
      </w:pPr>
      <w:r w:rsidRPr="0099206F">
        <w:rPr>
          <w:rFonts w:ascii="Calibri" w:hAnsi="Calibri" w:cs="Times New Roman"/>
          <w:noProof/>
          <w:szCs w:val="24"/>
        </w:rPr>
        <w:t>8</w:t>
      </w:r>
      <w:r w:rsidRPr="0099206F">
        <w:rPr>
          <w:rFonts w:ascii="Calibri" w:hAnsi="Calibri" w:cs="Times New Roman"/>
          <w:noProof/>
          <w:szCs w:val="24"/>
        </w:rPr>
        <w:tab/>
        <w:t xml:space="preserve">Colombel J-F, Sandborn WJ, Rutgeerts P, </w:t>
      </w:r>
      <w:r w:rsidRPr="0099206F">
        <w:rPr>
          <w:rFonts w:ascii="Calibri" w:hAnsi="Calibri" w:cs="Times New Roman"/>
          <w:i/>
          <w:iCs/>
          <w:noProof/>
          <w:szCs w:val="24"/>
        </w:rPr>
        <w:t>et al.</w:t>
      </w:r>
      <w:r w:rsidRPr="0099206F">
        <w:rPr>
          <w:rFonts w:ascii="Calibri" w:hAnsi="Calibri" w:cs="Times New Roman"/>
          <w:noProof/>
          <w:szCs w:val="24"/>
        </w:rPr>
        <w:t xml:space="preserve"> Adalimumab for maintenance of clinical response and remission in patients with Crohn’s disease: the CHARM trial. </w:t>
      </w:r>
      <w:r w:rsidRPr="0099206F">
        <w:rPr>
          <w:rFonts w:ascii="Calibri" w:hAnsi="Calibri" w:cs="Times New Roman"/>
          <w:i/>
          <w:iCs/>
          <w:noProof/>
          <w:szCs w:val="24"/>
        </w:rPr>
        <w:t>Gastroenterology</w:t>
      </w:r>
      <w:r w:rsidRPr="0099206F">
        <w:rPr>
          <w:rFonts w:ascii="Calibri" w:hAnsi="Calibri" w:cs="Times New Roman"/>
          <w:noProof/>
          <w:szCs w:val="24"/>
        </w:rPr>
        <w:t xml:space="preserve"> 2007; </w:t>
      </w:r>
      <w:r w:rsidRPr="0099206F">
        <w:rPr>
          <w:rFonts w:ascii="Calibri" w:hAnsi="Calibri" w:cs="Times New Roman"/>
          <w:b/>
          <w:bCs/>
          <w:noProof/>
          <w:szCs w:val="24"/>
        </w:rPr>
        <w:t>132</w:t>
      </w:r>
      <w:r w:rsidRPr="0099206F">
        <w:rPr>
          <w:rFonts w:ascii="Calibri" w:hAnsi="Calibri" w:cs="Times New Roman"/>
          <w:noProof/>
          <w:szCs w:val="24"/>
        </w:rPr>
        <w:t>: 52–65.</w:t>
      </w:r>
    </w:p>
    <w:p w14:paraId="027B96DE" w14:textId="77777777" w:rsidR="0099206F" w:rsidRPr="0099206F" w:rsidRDefault="0099206F" w:rsidP="0099206F">
      <w:pPr>
        <w:widowControl w:val="0"/>
        <w:autoSpaceDE w:val="0"/>
        <w:autoSpaceDN w:val="0"/>
        <w:adjustRightInd w:val="0"/>
        <w:spacing w:line="240" w:lineRule="auto"/>
        <w:ind w:left="640" w:hanging="640"/>
        <w:rPr>
          <w:rFonts w:ascii="Calibri" w:hAnsi="Calibri" w:cs="Times New Roman"/>
          <w:noProof/>
          <w:szCs w:val="24"/>
        </w:rPr>
      </w:pPr>
      <w:r w:rsidRPr="0099206F">
        <w:rPr>
          <w:rFonts w:ascii="Calibri" w:hAnsi="Calibri" w:cs="Times New Roman"/>
          <w:noProof/>
          <w:szCs w:val="24"/>
        </w:rPr>
        <w:t>9</w:t>
      </w:r>
      <w:r w:rsidRPr="0099206F">
        <w:rPr>
          <w:rFonts w:ascii="Calibri" w:hAnsi="Calibri" w:cs="Times New Roman"/>
          <w:noProof/>
          <w:szCs w:val="24"/>
        </w:rPr>
        <w:tab/>
        <w:t xml:space="preserve">Ben-Horin S, Chowers Y. Review article: loss of response to anti-TNF treatments in Crohn’s disease. </w:t>
      </w:r>
      <w:r w:rsidRPr="0099206F">
        <w:rPr>
          <w:rFonts w:ascii="Calibri" w:hAnsi="Calibri" w:cs="Times New Roman"/>
          <w:i/>
          <w:iCs/>
          <w:noProof/>
          <w:szCs w:val="24"/>
        </w:rPr>
        <w:t>Aliment Pharmacol Ther</w:t>
      </w:r>
      <w:r w:rsidRPr="0099206F">
        <w:rPr>
          <w:rFonts w:ascii="Calibri" w:hAnsi="Calibri" w:cs="Times New Roman"/>
          <w:noProof/>
          <w:szCs w:val="24"/>
        </w:rPr>
        <w:t xml:space="preserve"> 2011; </w:t>
      </w:r>
      <w:r w:rsidRPr="0099206F">
        <w:rPr>
          <w:rFonts w:ascii="Calibri" w:hAnsi="Calibri" w:cs="Times New Roman"/>
          <w:b/>
          <w:bCs/>
          <w:noProof/>
          <w:szCs w:val="24"/>
        </w:rPr>
        <w:t>33</w:t>
      </w:r>
      <w:r w:rsidRPr="0099206F">
        <w:rPr>
          <w:rFonts w:ascii="Calibri" w:hAnsi="Calibri" w:cs="Times New Roman"/>
          <w:noProof/>
          <w:szCs w:val="24"/>
        </w:rPr>
        <w:t>: 987–95.</w:t>
      </w:r>
    </w:p>
    <w:p w14:paraId="5A5784CF" w14:textId="77777777" w:rsidR="0099206F" w:rsidRPr="0099206F" w:rsidRDefault="0099206F" w:rsidP="0099206F">
      <w:pPr>
        <w:widowControl w:val="0"/>
        <w:autoSpaceDE w:val="0"/>
        <w:autoSpaceDN w:val="0"/>
        <w:adjustRightInd w:val="0"/>
        <w:spacing w:line="240" w:lineRule="auto"/>
        <w:ind w:left="640" w:hanging="640"/>
        <w:rPr>
          <w:rFonts w:ascii="Calibri" w:hAnsi="Calibri" w:cs="Times New Roman"/>
          <w:noProof/>
          <w:szCs w:val="24"/>
        </w:rPr>
      </w:pPr>
      <w:r w:rsidRPr="0099206F">
        <w:rPr>
          <w:rFonts w:ascii="Calibri" w:hAnsi="Calibri" w:cs="Times New Roman"/>
          <w:noProof/>
          <w:szCs w:val="24"/>
        </w:rPr>
        <w:t>10</w:t>
      </w:r>
      <w:r w:rsidRPr="0099206F">
        <w:rPr>
          <w:rFonts w:ascii="Calibri" w:hAnsi="Calibri" w:cs="Times New Roman"/>
          <w:noProof/>
          <w:szCs w:val="24"/>
        </w:rPr>
        <w:tab/>
        <w:t xml:space="preserve">Sprakes MB, Ford AC, Warren L, Greer D, Hamlin J. Efficacy, tolerability, and predictors of response to infliximab therapy for Crohn’s disease: a large single centre experience. </w:t>
      </w:r>
      <w:r w:rsidRPr="0099206F">
        <w:rPr>
          <w:rFonts w:ascii="Calibri" w:hAnsi="Calibri" w:cs="Times New Roman"/>
          <w:i/>
          <w:iCs/>
          <w:noProof/>
          <w:szCs w:val="24"/>
        </w:rPr>
        <w:t>J Crohns Colitis</w:t>
      </w:r>
      <w:r w:rsidRPr="0099206F">
        <w:rPr>
          <w:rFonts w:ascii="Calibri" w:hAnsi="Calibri" w:cs="Times New Roman"/>
          <w:noProof/>
          <w:szCs w:val="24"/>
        </w:rPr>
        <w:t xml:space="preserve"> 2012; </w:t>
      </w:r>
      <w:r w:rsidRPr="0099206F">
        <w:rPr>
          <w:rFonts w:ascii="Calibri" w:hAnsi="Calibri" w:cs="Times New Roman"/>
          <w:b/>
          <w:bCs/>
          <w:noProof/>
          <w:szCs w:val="24"/>
        </w:rPr>
        <w:t>6</w:t>
      </w:r>
      <w:r w:rsidRPr="0099206F">
        <w:rPr>
          <w:rFonts w:ascii="Calibri" w:hAnsi="Calibri" w:cs="Times New Roman"/>
          <w:noProof/>
          <w:szCs w:val="24"/>
        </w:rPr>
        <w:t>: 143–53.</w:t>
      </w:r>
    </w:p>
    <w:p w14:paraId="6A8EE1F3" w14:textId="77777777" w:rsidR="0099206F" w:rsidRPr="0099206F" w:rsidRDefault="0099206F" w:rsidP="0099206F">
      <w:pPr>
        <w:widowControl w:val="0"/>
        <w:autoSpaceDE w:val="0"/>
        <w:autoSpaceDN w:val="0"/>
        <w:adjustRightInd w:val="0"/>
        <w:spacing w:line="240" w:lineRule="auto"/>
        <w:ind w:left="640" w:hanging="640"/>
        <w:rPr>
          <w:rFonts w:ascii="Calibri" w:hAnsi="Calibri" w:cs="Times New Roman"/>
          <w:noProof/>
          <w:szCs w:val="24"/>
        </w:rPr>
      </w:pPr>
      <w:r w:rsidRPr="0099206F">
        <w:rPr>
          <w:rFonts w:ascii="Calibri" w:hAnsi="Calibri" w:cs="Times New Roman"/>
          <w:noProof/>
          <w:szCs w:val="24"/>
        </w:rPr>
        <w:t>11</w:t>
      </w:r>
      <w:r w:rsidRPr="0099206F">
        <w:rPr>
          <w:rFonts w:ascii="Calibri" w:hAnsi="Calibri" w:cs="Times New Roman"/>
          <w:noProof/>
          <w:szCs w:val="24"/>
        </w:rPr>
        <w:tab/>
        <w:t xml:space="preserve">Naviglio S, Giuffrida P, Stocco G, </w:t>
      </w:r>
      <w:r w:rsidRPr="0099206F">
        <w:rPr>
          <w:rFonts w:ascii="Calibri" w:hAnsi="Calibri" w:cs="Times New Roman"/>
          <w:i/>
          <w:iCs/>
          <w:noProof/>
          <w:szCs w:val="24"/>
        </w:rPr>
        <w:t>et al.</w:t>
      </w:r>
      <w:r w:rsidRPr="0099206F">
        <w:rPr>
          <w:rFonts w:ascii="Calibri" w:hAnsi="Calibri" w:cs="Times New Roman"/>
          <w:noProof/>
          <w:szCs w:val="24"/>
        </w:rPr>
        <w:t xml:space="preserve"> How to predict response to anti-tumour necrosis factor agents in inflammatory bowel disease. </w:t>
      </w:r>
      <w:r w:rsidRPr="0099206F">
        <w:rPr>
          <w:rFonts w:ascii="Calibri" w:hAnsi="Calibri" w:cs="Times New Roman"/>
          <w:i/>
          <w:iCs/>
          <w:noProof/>
          <w:szCs w:val="24"/>
        </w:rPr>
        <w:t>Expert Rev Gastroenterol Hepatol</w:t>
      </w:r>
      <w:r w:rsidRPr="0099206F">
        <w:rPr>
          <w:rFonts w:ascii="Calibri" w:hAnsi="Calibri" w:cs="Times New Roman"/>
          <w:noProof/>
          <w:szCs w:val="24"/>
        </w:rPr>
        <w:t xml:space="preserve"> 2018; </w:t>
      </w:r>
      <w:r w:rsidRPr="0099206F">
        <w:rPr>
          <w:rFonts w:ascii="Calibri" w:hAnsi="Calibri" w:cs="Times New Roman"/>
          <w:b/>
          <w:bCs/>
          <w:noProof/>
          <w:szCs w:val="24"/>
        </w:rPr>
        <w:t>12</w:t>
      </w:r>
      <w:r w:rsidRPr="0099206F">
        <w:rPr>
          <w:rFonts w:ascii="Calibri" w:hAnsi="Calibri" w:cs="Times New Roman"/>
          <w:noProof/>
          <w:szCs w:val="24"/>
        </w:rPr>
        <w:t>: 797–810.</w:t>
      </w:r>
    </w:p>
    <w:p w14:paraId="067F1593" w14:textId="77777777" w:rsidR="0099206F" w:rsidRPr="0099206F" w:rsidRDefault="0099206F" w:rsidP="0099206F">
      <w:pPr>
        <w:widowControl w:val="0"/>
        <w:autoSpaceDE w:val="0"/>
        <w:autoSpaceDN w:val="0"/>
        <w:adjustRightInd w:val="0"/>
        <w:spacing w:line="240" w:lineRule="auto"/>
        <w:ind w:left="640" w:hanging="640"/>
        <w:rPr>
          <w:rFonts w:ascii="Calibri" w:hAnsi="Calibri" w:cs="Times New Roman"/>
          <w:noProof/>
          <w:szCs w:val="24"/>
        </w:rPr>
      </w:pPr>
      <w:r w:rsidRPr="0099206F">
        <w:rPr>
          <w:rFonts w:ascii="Calibri" w:hAnsi="Calibri" w:cs="Times New Roman"/>
          <w:noProof/>
          <w:szCs w:val="24"/>
        </w:rPr>
        <w:t>12</w:t>
      </w:r>
      <w:r w:rsidRPr="0099206F">
        <w:rPr>
          <w:rFonts w:ascii="Calibri" w:hAnsi="Calibri" w:cs="Times New Roman"/>
          <w:noProof/>
          <w:szCs w:val="24"/>
        </w:rPr>
        <w:tab/>
        <w:t xml:space="preserve">Harvey RF, Bradshaw JM. A simple index of Crohn’s-disease activity. </w:t>
      </w:r>
      <w:r w:rsidRPr="0099206F">
        <w:rPr>
          <w:rFonts w:ascii="Calibri" w:hAnsi="Calibri" w:cs="Times New Roman"/>
          <w:i/>
          <w:iCs/>
          <w:noProof/>
          <w:szCs w:val="24"/>
        </w:rPr>
        <w:t>Lancet (London, England)</w:t>
      </w:r>
      <w:r w:rsidRPr="0099206F">
        <w:rPr>
          <w:rFonts w:ascii="Calibri" w:hAnsi="Calibri" w:cs="Times New Roman"/>
          <w:noProof/>
          <w:szCs w:val="24"/>
        </w:rPr>
        <w:t xml:space="preserve"> 1980; </w:t>
      </w:r>
      <w:r w:rsidRPr="0099206F">
        <w:rPr>
          <w:rFonts w:ascii="Calibri" w:hAnsi="Calibri" w:cs="Times New Roman"/>
          <w:b/>
          <w:bCs/>
          <w:noProof/>
          <w:szCs w:val="24"/>
        </w:rPr>
        <w:t>1</w:t>
      </w:r>
      <w:r w:rsidRPr="0099206F">
        <w:rPr>
          <w:rFonts w:ascii="Calibri" w:hAnsi="Calibri" w:cs="Times New Roman"/>
          <w:noProof/>
          <w:szCs w:val="24"/>
        </w:rPr>
        <w:t>: 514.</w:t>
      </w:r>
    </w:p>
    <w:p w14:paraId="546B6A43" w14:textId="77777777" w:rsidR="0099206F" w:rsidRPr="0099206F" w:rsidRDefault="0099206F" w:rsidP="0099206F">
      <w:pPr>
        <w:widowControl w:val="0"/>
        <w:autoSpaceDE w:val="0"/>
        <w:autoSpaceDN w:val="0"/>
        <w:adjustRightInd w:val="0"/>
        <w:spacing w:line="240" w:lineRule="auto"/>
        <w:ind w:left="640" w:hanging="640"/>
        <w:rPr>
          <w:rFonts w:ascii="Calibri" w:hAnsi="Calibri" w:cs="Times New Roman"/>
          <w:noProof/>
          <w:szCs w:val="24"/>
        </w:rPr>
      </w:pPr>
      <w:r w:rsidRPr="0099206F">
        <w:rPr>
          <w:rFonts w:ascii="Calibri" w:hAnsi="Calibri" w:cs="Times New Roman"/>
          <w:noProof/>
          <w:szCs w:val="24"/>
        </w:rPr>
        <w:t>13</w:t>
      </w:r>
      <w:r w:rsidRPr="0099206F">
        <w:rPr>
          <w:rFonts w:ascii="Calibri" w:hAnsi="Calibri" w:cs="Times New Roman"/>
          <w:noProof/>
          <w:szCs w:val="24"/>
        </w:rPr>
        <w:tab/>
        <w:t xml:space="preserve">Kappelman MD, Crandall W V, Colletti RB, </w:t>
      </w:r>
      <w:r w:rsidRPr="0099206F">
        <w:rPr>
          <w:rFonts w:ascii="Calibri" w:hAnsi="Calibri" w:cs="Times New Roman"/>
          <w:i/>
          <w:iCs/>
          <w:noProof/>
          <w:szCs w:val="24"/>
        </w:rPr>
        <w:t>et al.</w:t>
      </w:r>
      <w:r w:rsidRPr="0099206F">
        <w:rPr>
          <w:rFonts w:ascii="Calibri" w:hAnsi="Calibri" w:cs="Times New Roman"/>
          <w:noProof/>
          <w:szCs w:val="24"/>
        </w:rPr>
        <w:t xml:space="preserve"> Short pediatric Crohn’s disease activity index for quality improvement and observational research. </w:t>
      </w:r>
      <w:r w:rsidRPr="0099206F">
        <w:rPr>
          <w:rFonts w:ascii="Calibri" w:hAnsi="Calibri" w:cs="Times New Roman"/>
          <w:i/>
          <w:iCs/>
          <w:noProof/>
          <w:szCs w:val="24"/>
        </w:rPr>
        <w:t>Inflamm Bowel Dis</w:t>
      </w:r>
      <w:r w:rsidRPr="0099206F">
        <w:rPr>
          <w:rFonts w:ascii="Calibri" w:hAnsi="Calibri" w:cs="Times New Roman"/>
          <w:noProof/>
          <w:szCs w:val="24"/>
        </w:rPr>
        <w:t xml:space="preserve"> 2011; </w:t>
      </w:r>
      <w:r w:rsidRPr="0099206F">
        <w:rPr>
          <w:rFonts w:ascii="Calibri" w:hAnsi="Calibri" w:cs="Times New Roman"/>
          <w:b/>
          <w:bCs/>
          <w:noProof/>
          <w:szCs w:val="24"/>
        </w:rPr>
        <w:t>17</w:t>
      </w:r>
      <w:r w:rsidRPr="0099206F">
        <w:rPr>
          <w:rFonts w:ascii="Calibri" w:hAnsi="Calibri" w:cs="Times New Roman"/>
          <w:noProof/>
          <w:szCs w:val="24"/>
        </w:rPr>
        <w:t>: 112–7.</w:t>
      </w:r>
    </w:p>
    <w:p w14:paraId="37D87F95" w14:textId="77777777" w:rsidR="0099206F" w:rsidRPr="0099206F" w:rsidRDefault="0099206F" w:rsidP="0099206F">
      <w:pPr>
        <w:widowControl w:val="0"/>
        <w:autoSpaceDE w:val="0"/>
        <w:autoSpaceDN w:val="0"/>
        <w:adjustRightInd w:val="0"/>
        <w:spacing w:line="240" w:lineRule="auto"/>
        <w:ind w:left="640" w:hanging="640"/>
        <w:rPr>
          <w:rFonts w:ascii="Calibri" w:hAnsi="Calibri" w:cs="Times New Roman"/>
          <w:noProof/>
          <w:szCs w:val="24"/>
        </w:rPr>
      </w:pPr>
      <w:r w:rsidRPr="0099206F">
        <w:rPr>
          <w:rFonts w:ascii="Calibri" w:hAnsi="Calibri" w:cs="Times New Roman"/>
          <w:noProof/>
          <w:szCs w:val="24"/>
        </w:rPr>
        <w:t>14</w:t>
      </w:r>
      <w:r w:rsidRPr="0099206F">
        <w:rPr>
          <w:rFonts w:ascii="Calibri" w:hAnsi="Calibri" w:cs="Times New Roman"/>
          <w:noProof/>
          <w:szCs w:val="24"/>
        </w:rPr>
        <w:tab/>
        <w:t>World Health Organisation. The use of the WHO-UMC system for standardised case causality assessment-1-The use of the WHO-UMC system for standardised case causality assessment. .</w:t>
      </w:r>
    </w:p>
    <w:p w14:paraId="07A3388C" w14:textId="77777777" w:rsidR="0099206F" w:rsidRPr="0099206F" w:rsidRDefault="0099206F" w:rsidP="0099206F">
      <w:pPr>
        <w:widowControl w:val="0"/>
        <w:autoSpaceDE w:val="0"/>
        <w:autoSpaceDN w:val="0"/>
        <w:adjustRightInd w:val="0"/>
        <w:spacing w:line="240" w:lineRule="auto"/>
        <w:ind w:left="640" w:hanging="640"/>
        <w:rPr>
          <w:rFonts w:ascii="Calibri" w:hAnsi="Calibri" w:cs="Times New Roman"/>
          <w:noProof/>
          <w:szCs w:val="24"/>
        </w:rPr>
      </w:pPr>
      <w:r w:rsidRPr="0099206F">
        <w:rPr>
          <w:rFonts w:ascii="Calibri" w:hAnsi="Calibri" w:cs="Times New Roman"/>
          <w:noProof/>
          <w:szCs w:val="24"/>
        </w:rPr>
        <w:t>15</w:t>
      </w:r>
      <w:r w:rsidRPr="0099206F">
        <w:rPr>
          <w:rFonts w:ascii="Calibri" w:hAnsi="Calibri" w:cs="Times New Roman"/>
          <w:noProof/>
          <w:szCs w:val="24"/>
        </w:rPr>
        <w:tab/>
        <w:t>Chow S-C, Shao J, Wang H. Sample size calculations in clinical research. Marcel Dekker, 2003.</w:t>
      </w:r>
    </w:p>
    <w:p w14:paraId="1BBCF5EE" w14:textId="77777777" w:rsidR="0099206F" w:rsidRPr="0099206F" w:rsidRDefault="0099206F" w:rsidP="0099206F">
      <w:pPr>
        <w:widowControl w:val="0"/>
        <w:autoSpaceDE w:val="0"/>
        <w:autoSpaceDN w:val="0"/>
        <w:adjustRightInd w:val="0"/>
        <w:spacing w:line="240" w:lineRule="auto"/>
        <w:ind w:left="640" w:hanging="640"/>
        <w:rPr>
          <w:rFonts w:ascii="Calibri" w:hAnsi="Calibri" w:cs="Times New Roman"/>
          <w:noProof/>
          <w:szCs w:val="24"/>
        </w:rPr>
      </w:pPr>
      <w:r w:rsidRPr="0099206F">
        <w:rPr>
          <w:rFonts w:ascii="Calibri" w:hAnsi="Calibri" w:cs="Times New Roman"/>
          <w:noProof/>
          <w:szCs w:val="24"/>
        </w:rPr>
        <w:lastRenderedPageBreak/>
        <w:t>16</w:t>
      </w:r>
      <w:r w:rsidRPr="0099206F">
        <w:rPr>
          <w:rFonts w:ascii="Calibri" w:hAnsi="Calibri" w:cs="Times New Roman"/>
          <w:noProof/>
          <w:szCs w:val="24"/>
        </w:rPr>
        <w:tab/>
        <w:t xml:space="preserve">Kugathasan S, Denson LA, Walters TD, </w:t>
      </w:r>
      <w:r w:rsidRPr="0099206F">
        <w:rPr>
          <w:rFonts w:ascii="Calibri" w:hAnsi="Calibri" w:cs="Times New Roman"/>
          <w:i/>
          <w:iCs/>
          <w:noProof/>
          <w:szCs w:val="24"/>
        </w:rPr>
        <w:t>et al.</w:t>
      </w:r>
      <w:r w:rsidRPr="0099206F">
        <w:rPr>
          <w:rFonts w:ascii="Calibri" w:hAnsi="Calibri" w:cs="Times New Roman"/>
          <w:noProof/>
          <w:szCs w:val="24"/>
        </w:rPr>
        <w:t xml:space="preserve"> Prediction of complicated disease course for children newly diagnosed with Crohn’s disease: a multicentre inception cohort study. </w:t>
      </w:r>
      <w:r w:rsidRPr="0099206F">
        <w:rPr>
          <w:rFonts w:ascii="Calibri" w:hAnsi="Calibri" w:cs="Times New Roman"/>
          <w:i/>
          <w:iCs/>
          <w:noProof/>
          <w:szCs w:val="24"/>
        </w:rPr>
        <w:t>Lancet</w:t>
      </w:r>
      <w:r w:rsidRPr="0099206F">
        <w:rPr>
          <w:rFonts w:ascii="Calibri" w:hAnsi="Calibri" w:cs="Times New Roman"/>
          <w:noProof/>
          <w:szCs w:val="24"/>
        </w:rPr>
        <w:t xml:space="preserve"> 2017; </w:t>
      </w:r>
      <w:r w:rsidRPr="0099206F">
        <w:rPr>
          <w:rFonts w:ascii="Calibri" w:hAnsi="Calibri" w:cs="Times New Roman"/>
          <w:b/>
          <w:bCs/>
          <w:noProof/>
          <w:szCs w:val="24"/>
        </w:rPr>
        <w:t>6736</w:t>
      </w:r>
      <w:r w:rsidRPr="0099206F">
        <w:rPr>
          <w:rFonts w:ascii="Calibri" w:hAnsi="Calibri" w:cs="Times New Roman"/>
          <w:noProof/>
          <w:szCs w:val="24"/>
        </w:rPr>
        <w:t>: 1–9.</w:t>
      </w:r>
    </w:p>
    <w:p w14:paraId="3B335F3D" w14:textId="77777777" w:rsidR="0099206F" w:rsidRPr="0099206F" w:rsidRDefault="0099206F" w:rsidP="0099206F">
      <w:pPr>
        <w:widowControl w:val="0"/>
        <w:autoSpaceDE w:val="0"/>
        <w:autoSpaceDN w:val="0"/>
        <w:adjustRightInd w:val="0"/>
        <w:spacing w:line="240" w:lineRule="auto"/>
        <w:ind w:left="640" w:hanging="640"/>
        <w:rPr>
          <w:rFonts w:ascii="Calibri" w:hAnsi="Calibri" w:cs="Times New Roman"/>
          <w:noProof/>
          <w:szCs w:val="24"/>
        </w:rPr>
      </w:pPr>
      <w:r w:rsidRPr="0099206F">
        <w:rPr>
          <w:rFonts w:ascii="Calibri" w:hAnsi="Calibri" w:cs="Times New Roman"/>
          <w:noProof/>
          <w:szCs w:val="24"/>
        </w:rPr>
        <w:t>17</w:t>
      </w:r>
      <w:r w:rsidRPr="0099206F">
        <w:rPr>
          <w:rFonts w:ascii="Calibri" w:hAnsi="Calibri" w:cs="Times New Roman"/>
          <w:noProof/>
          <w:szCs w:val="24"/>
        </w:rPr>
        <w:tab/>
        <w:t xml:space="preserve">Vande Casteele N, Herfarth H, Katz J, Falck-Ytter Y, Singh S. American Gastroenterological Association Institute Technical Review on the Role of Therapeutic Drug Monitoring in the Management of Inflammatory Bowel Diseases. </w:t>
      </w:r>
      <w:r w:rsidRPr="0099206F">
        <w:rPr>
          <w:rFonts w:ascii="Calibri" w:hAnsi="Calibri" w:cs="Times New Roman"/>
          <w:i/>
          <w:iCs/>
          <w:noProof/>
          <w:szCs w:val="24"/>
        </w:rPr>
        <w:t>Gastroenterology</w:t>
      </w:r>
      <w:r w:rsidRPr="0099206F">
        <w:rPr>
          <w:rFonts w:ascii="Calibri" w:hAnsi="Calibri" w:cs="Times New Roman"/>
          <w:noProof/>
          <w:szCs w:val="24"/>
        </w:rPr>
        <w:t xml:space="preserve"> 2017; </w:t>
      </w:r>
      <w:r w:rsidRPr="0099206F">
        <w:rPr>
          <w:rFonts w:ascii="Calibri" w:hAnsi="Calibri" w:cs="Times New Roman"/>
          <w:b/>
          <w:bCs/>
          <w:noProof/>
          <w:szCs w:val="24"/>
        </w:rPr>
        <w:t>153</w:t>
      </w:r>
      <w:r w:rsidRPr="0099206F">
        <w:rPr>
          <w:rFonts w:ascii="Calibri" w:hAnsi="Calibri" w:cs="Times New Roman"/>
          <w:noProof/>
          <w:szCs w:val="24"/>
        </w:rPr>
        <w:t>: 835–857.e6.</w:t>
      </w:r>
    </w:p>
    <w:p w14:paraId="3CD96E58" w14:textId="77777777" w:rsidR="0099206F" w:rsidRPr="0099206F" w:rsidRDefault="0099206F" w:rsidP="0099206F">
      <w:pPr>
        <w:widowControl w:val="0"/>
        <w:autoSpaceDE w:val="0"/>
        <w:autoSpaceDN w:val="0"/>
        <w:adjustRightInd w:val="0"/>
        <w:spacing w:line="240" w:lineRule="auto"/>
        <w:ind w:left="640" w:hanging="640"/>
        <w:rPr>
          <w:rFonts w:ascii="Calibri" w:hAnsi="Calibri" w:cs="Times New Roman"/>
          <w:noProof/>
          <w:szCs w:val="24"/>
        </w:rPr>
      </w:pPr>
      <w:r w:rsidRPr="0099206F">
        <w:rPr>
          <w:rFonts w:ascii="Calibri" w:hAnsi="Calibri" w:cs="Times New Roman"/>
          <w:noProof/>
          <w:szCs w:val="24"/>
        </w:rPr>
        <w:t>18</w:t>
      </w:r>
      <w:r w:rsidRPr="0099206F">
        <w:rPr>
          <w:rFonts w:ascii="Calibri" w:hAnsi="Calibri" w:cs="Times New Roman"/>
          <w:noProof/>
          <w:szCs w:val="24"/>
        </w:rPr>
        <w:tab/>
        <w:t xml:space="preserve">Cornillie F, Hanauer SB, Diamond RH, </w:t>
      </w:r>
      <w:r w:rsidRPr="0099206F">
        <w:rPr>
          <w:rFonts w:ascii="Calibri" w:hAnsi="Calibri" w:cs="Times New Roman"/>
          <w:i/>
          <w:iCs/>
          <w:noProof/>
          <w:szCs w:val="24"/>
        </w:rPr>
        <w:t>et al.</w:t>
      </w:r>
      <w:r w:rsidRPr="0099206F">
        <w:rPr>
          <w:rFonts w:ascii="Calibri" w:hAnsi="Calibri" w:cs="Times New Roman"/>
          <w:noProof/>
          <w:szCs w:val="24"/>
        </w:rPr>
        <w:t xml:space="preserve"> Postinduction serum infliximab trough level and decrease of C-reactive protein level are associated with durable sustained response to infliximab: a retrospective analysis of the ACCENT I trial. </w:t>
      </w:r>
      <w:r w:rsidRPr="0099206F">
        <w:rPr>
          <w:rFonts w:ascii="Calibri" w:hAnsi="Calibri" w:cs="Times New Roman"/>
          <w:i/>
          <w:iCs/>
          <w:noProof/>
          <w:szCs w:val="24"/>
        </w:rPr>
        <w:t>Gut</w:t>
      </w:r>
      <w:r w:rsidRPr="0099206F">
        <w:rPr>
          <w:rFonts w:ascii="Calibri" w:hAnsi="Calibri" w:cs="Times New Roman"/>
          <w:noProof/>
          <w:szCs w:val="24"/>
        </w:rPr>
        <w:t xml:space="preserve"> 2014; </w:t>
      </w:r>
      <w:r w:rsidRPr="0099206F">
        <w:rPr>
          <w:rFonts w:ascii="Calibri" w:hAnsi="Calibri" w:cs="Times New Roman"/>
          <w:b/>
          <w:bCs/>
          <w:noProof/>
          <w:szCs w:val="24"/>
        </w:rPr>
        <w:t>63</w:t>
      </w:r>
      <w:r w:rsidRPr="0099206F">
        <w:rPr>
          <w:rFonts w:ascii="Calibri" w:hAnsi="Calibri" w:cs="Times New Roman"/>
          <w:noProof/>
          <w:szCs w:val="24"/>
        </w:rPr>
        <w:t>: 1721–7.</w:t>
      </w:r>
    </w:p>
    <w:p w14:paraId="7C6AEEDF" w14:textId="77777777" w:rsidR="0099206F" w:rsidRPr="0099206F" w:rsidRDefault="0099206F" w:rsidP="0099206F">
      <w:pPr>
        <w:widowControl w:val="0"/>
        <w:autoSpaceDE w:val="0"/>
        <w:autoSpaceDN w:val="0"/>
        <w:adjustRightInd w:val="0"/>
        <w:spacing w:line="240" w:lineRule="auto"/>
        <w:ind w:left="640" w:hanging="640"/>
        <w:rPr>
          <w:rFonts w:ascii="Calibri" w:hAnsi="Calibri" w:cs="Times New Roman"/>
          <w:noProof/>
          <w:szCs w:val="24"/>
        </w:rPr>
      </w:pPr>
      <w:r w:rsidRPr="0099206F">
        <w:rPr>
          <w:rFonts w:ascii="Calibri" w:hAnsi="Calibri" w:cs="Times New Roman"/>
          <w:noProof/>
          <w:szCs w:val="24"/>
        </w:rPr>
        <w:t>19</w:t>
      </w:r>
      <w:r w:rsidRPr="0099206F">
        <w:rPr>
          <w:rFonts w:ascii="Calibri" w:hAnsi="Calibri" w:cs="Times New Roman"/>
          <w:noProof/>
          <w:szCs w:val="24"/>
        </w:rPr>
        <w:tab/>
        <w:t xml:space="preserve">Vande Casteele N, Ferrante M, Van Assche G, </w:t>
      </w:r>
      <w:r w:rsidRPr="0099206F">
        <w:rPr>
          <w:rFonts w:ascii="Calibri" w:hAnsi="Calibri" w:cs="Times New Roman"/>
          <w:i/>
          <w:iCs/>
          <w:noProof/>
          <w:szCs w:val="24"/>
        </w:rPr>
        <w:t>et al.</w:t>
      </w:r>
      <w:r w:rsidRPr="0099206F">
        <w:rPr>
          <w:rFonts w:ascii="Calibri" w:hAnsi="Calibri" w:cs="Times New Roman"/>
          <w:noProof/>
          <w:szCs w:val="24"/>
        </w:rPr>
        <w:t xml:space="preserve"> Trough concentrations of infliximab guide dosing for patients with inflammatory bowel disease. </w:t>
      </w:r>
      <w:r w:rsidRPr="0099206F">
        <w:rPr>
          <w:rFonts w:ascii="Calibri" w:hAnsi="Calibri" w:cs="Times New Roman"/>
          <w:i/>
          <w:iCs/>
          <w:noProof/>
          <w:szCs w:val="24"/>
        </w:rPr>
        <w:t>Gastroenterology</w:t>
      </w:r>
      <w:r w:rsidRPr="0099206F">
        <w:rPr>
          <w:rFonts w:ascii="Calibri" w:hAnsi="Calibri" w:cs="Times New Roman"/>
          <w:noProof/>
          <w:szCs w:val="24"/>
        </w:rPr>
        <w:t xml:space="preserve"> 2015; </w:t>
      </w:r>
      <w:r w:rsidRPr="0099206F">
        <w:rPr>
          <w:rFonts w:ascii="Calibri" w:hAnsi="Calibri" w:cs="Times New Roman"/>
          <w:b/>
          <w:bCs/>
          <w:noProof/>
          <w:szCs w:val="24"/>
        </w:rPr>
        <w:t>148</w:t>
      </w:r>
      <w:r w:rsidRPr="0099206F">
        <w:rPr>
          <w:rFonts w:ascii="Calibri" w:hAnsi="Calibri" w:cs="Times New Roman"/>
          <w:noProof/>
          <w:szCs w:val="24"/>
        </w:rPr>
        <w:t>: 1320–9.e3.</w:t>
      </w:r>
    </w:p>
    <w:p w14:paraId="2D5AD71A" w14:textId="77777777" w:rsidR="0099206F" w:rsidRPr="0099206F" w:rsidRDefault="0099206F" w:rsidP="0099206F">
      <w:pPr>
        <w:widowControl w:val="0"/>
        <w:autoSpaceDE w:val="0"/>
        <w:autoSpaceDN w:val="0"/>
        <w:adjustRightInd w:val="0"/>
        <w:spacing w:line="240" w:lineRule="auto"/>
        <w:ind w:left="640" w:hanging="640"/>
        <w:rPr>
          <w:rFonts w:ascii="Calibri" w:hAnsi="Calibri" w:cs="Times New Roman"/>
          <w:noProof/>
          <w:szCs w:val="24"/>
        </w:rPr>
      </w:pPr>
      <w:r w:rsidRPr="0099206F">
        <w:rPr>
          <w:rFonts w:ascii="Calibri" w:hAnsi="Calibri" w:cs="Times New Roman"/>
          <w:noProof/>
          <w:szCs w:val="24"/>
        </w:rPr>
        <w:t>20</w:t>
      </w:r>
      <w:r w:rsidRPr="0099206F">
        <w:rPr>
          <w:rFonts w:ascii="Calibri" w:hAnsi="Calibri" w:cs="Times New Roman"/>
          <w:noProof/>
          <w:szCs w:val="24"/>
        </w:rPr>
        <w:tab/>
        <w:t xml:space="preserve">D’Haens G, Vermeire S, Lambrecht G, </w:t>
      </w:r>
      <w:r w:rsidRPr="0099206F">
        <w:rPr>
          <w:rFonts w:ascii="Calibri" w:hAnsi="Calibri" w:cs="Times New Roman"/>
          <w:i/>
          <w:iCs/>
          <w:noProof/>
          <w:szCs w:val="24"/>
        </w:rPr>
        <w:t>et al.</w:t>
      </w:r>
      <w:r w:rsidRPr="0099206F">
        <w:rPr>
          <w:rFonts w:ascii="Calibri" w:hAnsi="Calibri" w:cs="Times New Roman"/>
          <w:noProof/>
          <w:szCs w:val="24"/>
        </w:rPr>
        <w:t xml:space="preserve"> Increasing Infliximab Dose Based on Symptoms, Biomarkers, and Serum Drug Concentrations Does Not Increase Clinical, Endoscopic, and Corticosteroid-Free Remission in Patients With Active Luminal Crohn’s Disease. </w:t>
      </w:r>
      <w:r w:rsidRPr="0099206F">
        <w:rPr>
          <w:rFonts w:ascii="Calibri" w:hAnsi="Calibri" w:cs="Times New Roman"/>
          <w:i/>
          <w:iCs/>
          <w:noProof/>
          <w:szCs w:val="24"/>
        </w:rPr>
        <w:t>Gastroenterology</w:t>
      </w:r>
      <w:r w:rsidRPr="0099206F">
        <w:rPr>
          <w:rFonts w:ascii="Calibri" w:hAnsi="Calibri" w:cs="Times New Roman"/>
          <w:noProof/>
          <w:szCs w:val="24"/>
        </w:rPr>
        <w:t xml:space="preserve"> 2018; </w:t>
      </w:r>
      <w:r w:rsidRPr="0099206F">
        <w:rPr>
          <w:rFonts w:ascii="Calibri" w:hAnsi="Calibri" w:cs="Times New Roman"/>
          <w:b/>
          <w:bCs/>
          <w:noProof/>
          <w:szCs w:val="24"/>
        </w:rPr>
        <w:t>154</w:t>
      </w:r>
      <w:r w:rsidRPr="0099206F">
        <w:rPr>
          <w:rFonts w:ascii="Calibri" w:hAnsi="Calibri" w:cs="Times New Roman"/>
          <w:noProof/>
          <w:szCs w:val="24"/>
        </w:rPr>
        <w:t>: 1343–1351.e1.</w:t>
      </w:r>
    </w:p>
    <w:p w14:paraId="10FABE1D" w14:textId="77777777" w:rsidR="0099206F" w:rsidRPr="0099206F" w:rsidRDefault="0099206F" w:rsidP="0099206F">
      <w:pPr>
        <w:widowControl w:val="0"/>
        <w:autoSpaceDE w:val="0"/>
        <w:autoSpaceDN w:val="0"/>
        <w:adjustRightInd w:val="0"/>
        <w:spacing w:line="240" w:lineRule="auto"/>
        <w:ind w:left="640" w:hanging="640"/>
        <w:rPr>
          <w:rFonts w:ascii="Calibri" w:hAnsi="Calibri" w:cs="Times New Roman"/>
          <w:noProof/>
          <w:szCs w:val="24"/>
        </w:rPr>
      </w:pPr>
      <w:r w:rsidRPr="0099206F">
        <w:rPr>
          <w:rFonts w:ascii="Calibri" w:hAnsi="Calibri" w:cs="Times New Roman"/>
          <w:noProof/>
          <w:szCs w:val="24"/>
        </w:rPr>
        <w:t>21</w:t>
      </w:r>
      <w:r w:rsidRPr="0099206F">
        <w:rPr>
          <w:rFonts w:ascii="Calibri" w:hAnsi="Calibri" w:cs="Times New Roman"/>
          <w:noProof/>
          <w:szCs w:val="24"/>
        </w:rPr>
        <w:tab/>
        <w:t xml:space="preserve">Van Stappen T, Bollen L, Vande Casteele N, </w:t>
      </w:r>
      <w:r w:rsidRPr="0099206F">
        <w:rPr>
          <w:rFonts w:ascii="Calibri" w:hAnsi="Calibri" w:cs="Times New Roman"/>
          <w:i/>
          <w:iCs/>
          <w:noProof/>
          <w:szCs w:val="24"/>
        </w:rPr>
        <w:t>et al.</w:t>
      </w:r>
      <w:r w:rsidRPr="0099206F">
        <w:rPr>
          <w:rFonts w:ascii="Calibri" w:hAnsi="Calibri" w:cs="Times New Roman"/>
          <w:noProof/>
          <w:szCs w:val="24"/>
        </w:rPr>
        <w:t xml:space="preserve"> Rapid Test for Infliximab Drug Concentration Allows Immediate Dose Adaptation. </w:t>
      </w:r>
      <w:r w:rsidRPr="0099206F">
        <w:rPr>
          <w:rFonts w:ascii="Calibri" w:hAnsi="Calibri" w:cs="Times New Roman"/>
          <w:i/>
          <w:iCs/>
          <w:noProof/>
          <w:szCs w:val="24"/>
        </w:rPr>
        <w:t>Clin Transl Gastroenterol</w:t>
      </w:r>
      <w:r w:rsidRPr="0099206F">
        <w:rPr>
          <w:rFonts w:ascii="Calibri" w:hAnsi="Calibri" w:cs="Times New Roman"/>
          <w:noProof/>
          <w:szCs w:val="24"/>
        </w:rPr>
        <w:t xml:space="preserve"> 2016; </w:t>
      </w:r>
      <w:r w:rsidRPr="0099206F">
        <w:rPr>
          <w:rFonts w:ascii="Calibri" w:hAnsi="Calibri" w:cs="Times New Roman"/>
          <w:b/>
          <w:bCs/>
          <w:noProof/>
          <w:szCs w:val="24"/>
        </w:rPr>
        <w:t>7</w:t>
      </w:r>
      <w:r w:rsidRPr="0099206F">
        <w:rPr>
          <w:rFonts w:ascii="Calibri" w:hAnsi="Calibri" w:cs="Times New Roman"/>
          <w:noProof/>
          <w:szCs w:val="24"/>
        </w:rPr>
        <w:t>: e206.</w:t>
      </w:r>
    </w:p>
    <w:p w14:paraId="7E5C24D0" w14:textId="77777777" w:rsidR="0099206F" w:rsidRPr="0099206F" w:rsidRDefault="0099206F" w:rsidP="0099206F">
      <w:pPr>
        <w:widowControl w:val="0"/>
        <w:autoSpaceDE w:val="0"/>
        <w:autoSpaceDN w:val="0"/>
        <w:adjustRightInd w:val="0"/>
        <w:spacing w:line="240" w:lineRule="auto"/>
        <w:ind w:left="640" w:hanging="640"/>
        <w:rPr>
          <w:rFonts w:ascii="Calibri" w:hAnsi="Calibri" w:cs="Times New Roman"/>
          <w:noProof/>
          <w:szCs w:val="24"/>
        </w:rPr>
      </w:pPr>
      <w:r w:rsidRPr="0099206F">
        <w:rPr>
          <w:rFonts w:ascii="Calibri" w:hAnsi="Calibri" w:cs="Times New Roman"/>
          <w:noProof/>
          <w:szCs w:val="24"/>
        </w:rPr>
        <w:t>22</w:t>
      </w:r>
      <w:r w:rsidRPr="0099206F">
        <w:rPr>
          <w:rFonts w:ascii="Calibri" w:hAnsi="Calibri" w:cs="Times New Roman"/>
          <w:noProof/>
          <w:szCs w:val="24"/>
        </w:rPr>
        <w:tab/>
        <w:t xml:space="preserve">Pradeu T, Jaeger S, Vivier E. The speed of change: towards a discontinuity theory of immunity? </w:t>
      </w:r>
      <w:r w:rsidRPr="0099206F">
        <w:rPr>
          <w:rFonts w:ascii="Calibri" w:hAnsi="Calibri" w:cs="Times New Roman"/>
          <w:i/>
          <w:iCs/>
          <w:noProof/>
          <w:szCs w:val="24"/>
        </w:rPr>
        <w:t>Nat Rev Immunol</w:t>
      </w:r>
      <w:r w:rsidRPr="0099206F">
        <w:rPr>
          <w:rFonts w:ascii="Calibri" w:hAnsi="Calibri" w:cs="Times New Roman"/>
          <w:noProof/>
          <w:szCs w:val="24"/>
        </w:rPr>
        <w:t xml:space="preserve"> 2013; </w:t>
      </w:r>
      <w:r w:rsidRPr="0099206F">
        <w:rPr>
          <w:rFonts w:ascii="Calibri" w:hAnsi="Calibri" w:cs="Times New Roman"/>
          <w:b/>
          <w:bCs/>
          <w:noProof/>
          <w:szCs w:val="24"/>
        </w:rPr>
        <w:t>13</w:t>
      </w:r>
      <w:r w:rsidRPr="0099206F">
        <w:rPr>
          <w:rFonts w:ascii="Calibri" w:hAnsi="Calibri" w:cs="Times New Roman"/>
          <w:noProof/>
          <w:szCs w:val="24"/>
        </w:rPr>
        <w:t>: 764–9.</w:t>
      </w:r>
    </w:p>
    <w:p w14:paraId="2FFD4E4D" w14:textId="77777777" w:rsidR="0099206F" w:rsidRPr="0099206F" w:rsidRDefault="0099206F" w:rsidP="0099206F">
      <w:pPr>
        <w:widowControl w:val="0"/>
        <w:autoSpaceDE w:val="0"/>
        <w:autoSpaceDN w:val="0"/>
        <w:adjustRightInd w:val="0"/>
        <w:spacing w:line="240" w:lineRule="auto"/>
        <w:ind w:left="640" w:hanging="640"/>
        <w:rPr>
          <w:rFonts w:ascii="Calibri" w:hAnsi="Calibri" w:cs="Times New Roman"/>
          <w:noProof/>
          <w:szCs w:val="24"/>
        </w:rPr>
      </w:pPr>
      <w:r w:rsidRPr="0099206F">
        <w:rPr>
          <w:rFonts w:ascii="Calibri" w:hAnsi="Calibri" w:cs="Times New Roman"/>
          <w:noProof/>
          <w:szCs w:val="24"/>
        </w:rPr>
        <w:t>23</w:t>
      </w:r>
      <w:r w:rsidRPr="0099206F">
        <w:rPr>
          <w:rFonts w:ascii="Calibri" w:hAnsi="Calibri" w:cs="Times New Roman"/>
          <w:noProof/>
          <w:szCs w:val="24"/>
        </w:rPr>
        <w:tab/>
        <w:t xml:space="preserve">Ungar B, Engel T, Yablecovitch D, </w:t>
      </w:r>
      <w:r w:rsidRPr="0099206F">
        <w:rPr>
          <w:rFonts w:ascii="Calibri" w:hAnsi="Calibri" w:cs="Times New Roman"/>
          <w:i/>
          <w:iCs/>
          <w:noProof/>
          <w:szCs w:val="24"/>
        </w:rPr>
        <w:t>et al.</w:t>
      </w:r>
      <w:r w:rsidRPr="0099206F">
        <w:rPr>
          <w:rFonts w:ascii="Calibri" w:hAnsi="Calibri" w:cs="Times New Roman"/>
          <w:noProof/>
          <w:szCs w:val="24"/>
        </w:rPr>
        <w:t xml:space="preserve"> Prospective Observational Evaluation of Time-Dependency of Adalimumab Immunogenicity and Drug Concentrations: The Poetic Study. </w:t>
      </w:r>
      <w:r w:rsidRPr="0099206F">
        <w:rPr>
          <w:rFonts w:ascii="Calibri" w:hAnsi="Calibri" w:cs="Times New Roman"/>
          <w:i/>
          <w:iCs/>
          <w:noProof/>
          <w:szCs w:val="24"/>
        </w:rPr>
        <w:t>Am J Gastroenterol</w:t>
      </w:r>
      <w:r w:rsidRPr="0099206F">
        <w:rPr>
          <w:rFonts w:ascii="Calibri" w:hAnsi="Calibri" w:cs="Times New Roman"/>
          <w:noProof/>
          <w:szCs w:val="24"/>
        </w:rPr>
        <w:t xml:space="preserve"> 2018; </w:t>
      </w:r>
      <w:r w:rsidRPr="0099206F">
        <w:rPr>
          <w:rFonts w:ascii="Calibri" w:hAnsi="Calibri" w:cs="Times New Roman"/>
          <w:b/>
          <w:bCs/>
          <w:noProof/>
          <w:szCs w:val="24"/>
        </w:rPr>
        <w:t>113</w:t>
      </w:r>
      <w:r w:rsidRPr="0099206F">
        <w:rPr>
          <w:rFonts w:ascii="Calibri" w:hAnsi="Calibri" w:cs="Times New Roman"/>
          <w:noProof/>
          <w:szCs w:val="24"/>
        </w:rPr>
        <w:t>: 890–8.</w:t>
      </w:r>
    </w:p>
    <w:p w14:paraId="23B1BADD" w14:textId="77777777" w:rsidR="0099206F" w:rsidRPr="0099206F" w:rsidRDefault="0099206F" w:rsidP="0099206F">
      <w:pPr>
        <w:widowControl w:val="0"/>
        <w:autoSpaceDE w:val="0"/>
        <w:autoSpaceDN w:val="0"/>
        <w:adjustRightInd w:val="0"/>
        <w:spacing w:line="240" w:lineRule="auto"/>
        <w:ind w:left="640" w:hanging="640"/>
        <w:rPr>
          <w:rFonts w:ascii="Calibri" w:hAnsi="Calibri" w:cs="Times New Roman"/>
          <w:noProof/>
          <w:szCs w:val="24"/>
        </w:rPr>
      </w:pPr>
      <w:r w:rsidRPr="0099206F">
        <w:rPr>
          <w:rFonts w:ascii="Calibri" w:hAnsi="Calibri" w:cs="Times New Roman"/>
          <w:noProof/>
          <w:szCs w:val="24"/>
        </w:rPr>
        <w:t>24</w:t>
      </w:r>
      <w:r w:rsidRPr="0099206F">
        <w:rPr>
          <w:rFonts w:ascii="Calibri" w:hAnsi="Calibri" w:cs="Times New Roman"/>
          <w:noProof/>
          <w:szCs w:val="24"/>
        </w:rPr>
        <w:tab/>
        <w:t xml:space="preserve">Yarur AJ, Kubiliun MJ, Czul F, </w:t>
      </w:r>
      <w:r w:rsidRPr="0099206F">
        <w:rPr>
          <w:rFonts w:ascii="Calibri" w:hAnsi="Calibri" w:cs="Times New Roman"/>
          <w:i/>
          <w:iCs/>
          <w:noProof/>
          <w:szCs w:val="24"/>
        </w:rPr>
        <w:t>et al.</w:t>
      </w:r>
      <w:r w:rsidRPr="0099206F">
        <w:rPr>
          <w:rFonts w:ascii="Calibri" w:hAnsi="Calibri" w:cs="Times New Roman"/>
          <w:noProof/>
          <w:szCs w:val="24"/>
        </w:rPr>
        <w:t xml:space="preserve"> Concentrations of 6-thioguanine nucleotide correlate with trough levels of infliximab in patients with inflammatory bowel disease on combination therapy. </w:t>
      </w:r>
      <w:r w:rsidRPr="0099206F">
        <w:rPr>
          <w:rFonts w:ascii="Calibri" w:hAnsi="Calibri" w:cs="Times New Roman"/>
          <w:i/>
          <w:iCs/>
          <w:noProof/>
          <w:szCs w:val="24"/>
        </w:rPr>
        <w:t>Clin Gastroenterol Hepatol</w:t>
      </w:r>
      <w:r w:rsidRPr="0099206F">
        <w:rPr>
          <w:rFonts w:ascii="Calibri" w:hAnsi="Calibri" w:cs="Times New Roman"/>
          <w:noProof/>
          <w:szCs w:val="24"/>
        </w:rPr>
        <w:t xml:space="preserve"> 2015; </w:t>
      </w:r>
      <w:r w:rsidRPr="0099206F">
        <w:rPr>
          <w:rFonts w:ascii="Calibri" w:hAnsi="Calibri" w:cs="Times New Roman"/>
          <w:b/>
          <w:bCs/>
          <w:noProof/>
          <w:szCs w:val="24"/>
        </w:rPr>
        <w:t>13</w:t>
      </w:r>
      <w:r w:rsidRPr="0099206F">
        <w:rPr>
          <w:rFonts w:ascii="Calibri" w:hAnsi="Calibri" w:cs="Times New Roman"/>
          <w:noProof/>
          <w:szCs w:val="24"/>
        </w:rPr>
        <w:t>: 1118–24.e3.</w:t>
      </w:r>
    </w:p>
    <w:p w14:paraId="745A706C" w14:textId="77777777" w:rsidR="0099206F" w:rsidRPr="0099206F" w:rsidRDefault="0099206F" w:rsidP="0099206F">
      <w:pPr>
        <w:widowControl w:val="0"/>
        <w:autoSpaceDE w:val="0"/>
        <w:autoSpaceDN w:val="0"/>
        <w:adjustRightInd w:val="0"/>
        <w:spacing w:line="240" w:lineRule="auto"/>
        <w:ind w:left="640" w:hanging="640"/>
        <w:rPr>
          <w:rFonts w:ascii="Calibri" w:hAnsi="Calibri" w:cs="Times New Roman"/>
          <w:noProof/>
          <w:szCs w:val="24"/>
        </w:rPr>
      </w:pPr>
      <w:r w:rsidRPr="0099206F">
        <w:rPr>
          <w:rFonts w:ascii="Calibri" w:hAnsi="Calibri" w:cs="Times New Roman"/>
          <w:noProof/>
          <w:szCs w:val="24"/>
        </w:rPr>
        <w:t>25</w:t>
      </w:r>
      <w:r w:rsidRPr="0099206F">
        <w:rPr>
          <w:rFonts w:ascii="Calibri" w:hAnsi="Calibri" w:cs="Times New Roman"/>
          <w:noProof/>
          <w:szCs w:val="24"/>
        </w:rPr>
        <w:tab/>
        <w:t xml:space="preserve">Roblin X, Boschetti G, Williet N, </w:t>
      </w:r>
      <w:r w:rsidRPr="0099206F">
        <w:rPr>
          <w:rFonts w:ascii="Calibri" w:hAnsi="Calibri" w:cs="Times New Roman"/>
          <w:i/>
          <w:iCs/>
          <w:noProof/>
          <w:szCs w:val="24"/>
        </w:rPr>
        <w:t>et al.</w:t>
      </w:r>
      <w:r w:rsidRPr="0099206F">
        <w:rPr>
          <w:rFonts w:ascii="Calibri" w:hAnsi="Calibri" w:cs="Times New Roman"/>
          <w:noProof/>
          <w:szCs w:val="24"/>
        </w:rPr>
        <w:t xml:space="preserve"> Azathioprine dose reduction in inflammatory bowel disease patients on combination therapy: an open-label, prospective and randomised clinical trial. </w:t>
      </w:r>
      <w:r w:rsidRPr="0099206F">
        <w:rPr>
          <w:rFonts w:ascii="Calibri" w:hAnsi="Calibri" w:cs="Times New Roman"/>
          <w:i/>
          <w:iCs/>
          <w:noProof/>
          <w:szCs w:val="24"/>
        </w:rPr>
        <w:t>Aliment Pharmacol Ther</w:t>
      </w:r>
      <w:r w:rsidRPr="0099206F">
        <w:rPr>
          <w:rFonts w:ascii="Calibri" w:hAnsi="Calibri" w:cs="Times New Roman"/>
          <w:noProof/>
          <w:szCs w:val="24"/>
        </w:rPr>
        <w:t xml:space="preserve"> 2017; </w:t>
      </w:r>
      <w:r w:rsidRPr="0099206F">
        <w:rPr>
          <w:rFonts w:ascii="Calibri" w:hAnsi="Calibri" w:cs="Times New Roman"/>
          <w:b/>
          <w:bCs/>
          <w:noProof/>
          <w:szCs w:val="24"/>
        </w:rPr>
        <w:t>46</w:t>
      </w:r>
      <w:r w:rsidRPr="0099206F">
        <w:rPr>
          <w:rFonts w:ascii="Calibri" w:hAnsi="Calibri" w:cs="Times New Roman"/>
          <w:noProof/>
          <w:szCs w:val="24"/>
        </w:rPr>
        <w:t>: 142–9.</w:t>
      </w:r>
    </w:p>
    <w:p w14:paraId="4C97CBA8" w14:textId="77777777" w:rsidR="0099206F" w:rsidRPr="0099206F" w:rsidRDefault="0099206F" w:rsidP="0099206F">
      <w:pPr>
        <w:widowControl w:val="0"/>
        <w:autoSpaceDE w:val="0"/>
        <w:autoSpaceDN w:val="0"/>
        <w:adjustRightInd w:val="0"/>
        <w:spacing w:line="240" w:lineRule="auto"/>
        <w:ind w:left="640" w:hanging="640"/>
        <w:rPr>
          <w:rFonts w:ascii="Calibri" w:hAnsi="Calibri" w:cs="Times New Roman"/>
          <w:noProof/>
          <w:szCs w:val="24"/>
        </w:rPr>
      </w:pPr>
      <w:r w:rsidRPr="0099206F">
        <w:rPr>
          <w:rFonts w:ascii="Calibri" w:hAnsi="Calibri" w:cs="Times New Roman"/>
          <w:noProof/>
          <w:szCs w:val="24"/>
        </w:rPr>
        <w:t>26</w:t>
      </w:r>
      <w:r w:rsidRPr="0099206F">
        <w:rPr>
          <w:rFonts w:ascii="Calibri" w:hAnsi="Calibri" w:cs="Times New Roman"/>
          <w:noProof/>
          <w:szCs w:val="24"/>
        </w:rPr>
        <w:tab/>
        <w:t xml:space="preserve">Colombel J-F, Reinisch W, Mantzaris GJ, </w:t>
      </w:r>
      <w:r w:rsidRPr="0099206F">
        <w:rPr>
          <w:rFonts w:ascii="Calibri" w:hAnsi="Calibri" w:cs="Times New Roman"/>
          <w:i/>
          <w:iCs/>
          <w:noProof/>
          <w:szCs w:val="24"/>
        </w:rPr>
        <w:t>et al.</w:t>
      </w:r>
      <w:r w:rsidRPr="0099206F">
        <w:rPr>
          <w:rFonts w:ascii="Calibri" w:hAnsi="Calibri" w:cs="Times New Roman"/>
          <w:noProof/>
          <w:szCs w:val="24"/>
        </w:rPr>
        <w:t xml:space="preserve"> Randomised clinical trial: deep remission in biologic and immunomodulator naïve patients with Crohn’s disease - a SONIC post hoc analysis. </w:t>
      </w:r>
      <w:r w:rsidRPr="0099206F">
        <w:rPr>
          <w:rFonts w:ascii="Calibri" w:hAnsi="Calibri" w:cs="Times New Roman"/>
          <w:i/>
          <w:iCs/>
          <w:noProof/>
          <w:szCs w:val="24"/>
        </w:rPr>
        <w:t>Aliment Pharmacol Ther</w:t>
      </w:r>
      <w:r w:rsidRPr="0099206F">
        <w:rPr>
          <w:rFonts w:ascii="Calibri" w:hAnsi="Calibri" w:cs="Times New Roman"/>
          <w:noProof/>
          <w:szCs w:val="24"/>
        </w:rPr>
        <w:t xml:space="preserve"> 2015; </w:t>
      </w:r>
      <w:r w:rsidRPr="0099206F">
        <w:rPr>
          <w:rFonts w:ascii="Calibri" w:hAnsi="Calibri" w:cs="Times New Roman"/>
          <w:b/>
          <w:bCs/>
          <w:noProof/>
          <w:szCs w:val="24"/>
        </w:rPr>
        <w:t>41</w:t>
      </w:r>
      <w:r w:rsidRPr="0099206F">
        <w:rPr>
          <w:rFonts w:ascii="Calibri" w:hAnsi="Calibri" w:cs="Times New Roman"/>
          <w:noProof/>
          <w:szCs w:val="24"/>
        </w:rPr>
        <w:t>: 734–46.</w:t>
      </w:r>
    </w:p>
    <w:p w14:paraId="766CBF93" w14:textId="77777777" w:rsidR="0099206F" w:rsidRPr="0099206F" w:rsidRDefault="0099206F" w:rsidP="0099206F">
      <w:pPr>
        <w:widowControl w:val="0"/>
        <w:autoSpaceDE w:val="0"/>
        <w:autoSpaceDN w:val="0"/>
        <w:adjustRightInd w:val="0"/>
        <w:spacing w:line="240" w:lineRule="auto"/>
        <w:ind w:left="640" w:hanging="640"/>
        <w:rPr>
          <w:rFonts w:ascii="Calibri" w:hAnsi="Calibri" w:cs="Times New Roman"/>
          <w:noProof/>
          <w:szCs w:val="24"/>
        </w:rPr>
      </w:pPr>
      <w:r w:rsidRPr="0099206F">
        <w:rPr>
          <w:rFonts w:ascii="Calibri" w:hAnsi="Calibri" w:cs="Times New Roman"/>
          <w:noProof/>
          <w:szCs w:val="24"/>
        </w:rPr>
        <w:t>27</w:t>
      </w:r>
      <w:r w:rsidRPr="0099206F">
        <w:rPr>
          <w:rFonts w:ascii="Calibri" w:hAnsi="Calibri" w:cs="Times New Roman"/>
          <w:noProof/>
          <w:szCs w:val="24"/>
        </w:rPr>
        <w:tab/>
        <w:t xml:space="preserve">Chalhoub JM, Rimmani HH, Gumaste V V, Sharara AI. Systematic Review and Meta-analysis: Adalimumab Monotherapy Versus Combination Therapy with Immunomodulators for Induction and Maintenance of Remission and Response in Patients with Crohn’s Disease. </w:t>
      </w:r>
      <w:r w:rsidRPr="0099206F">
        <w:rPr>
          <w:rFonts w:ascii="Calibri" w:hAnsi="Calibri" w:cs="Times New Roman"/>
          <w:i/>
          <w:iCs/>
          <w:noProof/>
          <w:szCs w:val="24"/>
        </w:rPr>
        <w:t>Inflamm Bowel Dis</w:t>
      </w:r>
      <w:r w:rsidRPr="0099206F">
        <w:rPr>
          <w:rFonts w:ascii="Calibri" w:hAnsi="Calibri" w:cs="Times New Roman"/>
          <w:noProof/>
          <w:szCs w:val="24"/>
        </w:rPr>
        <w:t xml:space="preserve"> 2017; </w:t>
      </w:r>
      <w:r w:rsidRPr="0099206F">
        <w:rPr>
          <w:rFonts w:ascii="Calibri" w:hAnsi="Calibri" w:cs="Times New Roman"/>
          <w:b/>
          <w:bCs/>
          <w:noProof/>
          <w:szCs w:val="24"/>
        </w:rPr>
        <w:t>23</w:t>
      </w:r>
      <w:r w:rsidRPr="0099206F">
        <w:rPr>
          <w:rFonts w:ascii="Calibri" w:hAnsi="Calibri" w:cs="Times New Roman"/>
          <w:noProof/>
          <w:szCs w:val="24"/>
        </w:rPr>
        <w:t>: 1316–27.</w:t>
      </w:r>
    </w:p>
    <w:p w14:paraId="44FE588C" w14:textId="77777777" w:rsidR="0099206F" w:rsidRPr="0099206F" w:rsidRDefault="0099206F" w:rsidP="0099206F">
      <w:pPr>
        <w:widowControl w:val="0"/>
        <w:autoSpaceDE w:val="0"/>
        <w:autoSpaceDN w:val="0"/>
        <w:adjustRightInd w:val="0"/>
        <w:spacing w:line="240" w:lineRule="auto"/>
        <w:ind w:left="640" w:hanging="640"/>
        <w:rPr>
          <w:rFonts w:ascii="Calibri" w:hAnsi="Calibri" w:cs="Times New Roman"/>
          <w:noProof/>
          <w:szCs w:val="24"/>
        </w:rPr>
      </w:pPr>
      <w:r w:rsidRPr="0099206F">
        <w:rPr>
          <w:rFonts w:ascii="Calibri" w:hAnsi="Calibri" w:cs="Times New Roman"/>
          <w:noProof/>
          <w:szCs w:val="24"/>
        </w:rPr>
        <w:t>28</w:t>
      </w:r>
      <w:r w:rsidRPr="0099206F">
        <w:rPr>
          <w:rFonts w:ascii="Calibri" w:hAnsi="Calibri" w:cs="Times New Roman"/>
          <w:noProof/>
          <w:szCs w:val="24"/>
        </w:rPr>
        <w:tab/>
        <w:t xml:space="preserve">Singh S, Facciorusso A, Singh AG, </w:t>
      </w:r>
      <w:r w:rsidRPr="0099206F">
        <w:rPr>
          <w:rFonts w:ascii="Calibri" w:hAnsi="Calibri" w:cs="Times New Roman"/>
          <w:i/>
          <w:iCs/>
          <w:noProof/>
          <w:szCs w:val="24"/>
        </w:rPr>
        <w:t>et al.</w:t>
      </w:r>
      <w:r w:rsidRPr="0099206F">
        <w:rPr>
          <w:rFonts w:ascii="Calibri" w:hAnsi="Calibri" w:cs="Times New Roman"/>
          <w:noProof/>
          <w:szCs w:val="24"/>
        </w:rPr>
        <w:t xml:space="preserve"> Obesity and response to anti-tumor necrosis factor-α agents in patients with select immune-mediated inflammatory diseases: A systematic review and meta-analysis. </w:t>
      </w:r>
      <w:r w:rsidRPr="0099206F">
        <w:rPr>
          <w:rFonts w:ascii="Calibri" w:hAnsi="Calibri" w:cs="Times New Roman"/>
          <w:i/>
          <w:iCs/>
          <w:noProof/>
          <w:szCs w:val="24"/>
        </w:rPr>
        <w:t>PLoS One</w:t>
      </w:r>
      <w:r w:rsidRPr="0099206F">
        <w:rPr>
          <w:rFonts w:ascii="Calibri" w:hAnsi="Calibri" w:cs="Times New Roman"/>
          <w:noProof/>
          <w:szCs w:val="24"/>
        </w:rPr>
        <w:t xml:space="preserve"> 2018; </w:t>
      </w:r>
      <w:r w:rsidRPr="0099206F">
        <w:rPr>
          <w:rFonts w:ascii="Calibri" w:hAnsi="Calibri" w:cs="Times New Roman"/>
          <w:b/>
          <w:bCs/>
          <w:noProof/>
          <w:szCs w:val="24"/>
        </w:rPr>
        <w:t>13</w:t>
      </w:r>
      <w:r w:rsidRPr="0099206F">
        <w:rPr>
          <w:rFonts w:ascii="Calibri" w:hAnsi="Calibri" w:cs="Times New Roman"/>
          <w:noProof/>
          <w:szCs w:val="24"/>
        </w:rPr>
        <w:t>: e0195123.</w:t>
      </w:r>
    </w:p>
    <w:p w14:paraId="6C97CD25" w14:textId="77777777" w:rsidR="0099206F" w:rsidRPr="0099206F" w:rsidRDefault="0099206F" w:rsidP="0099206F">
      <w:pPr>
        <w:widowControl w:val="0"/>
        <w:autoSpaceDE w:val="0"/>
        <w:autoSpaceDN w:val="0"/>
        <w:adjustRightInd w:val="0"/>
        <w:spacing w:line="240" w:lineRule="auto"/>
        <w:ind w:left="640" w:hanging="640"/>
        <w:rPr>
          <w:rFonts w:ascii="Calibri" w:hAnsi="Calibri" w:cs="Times New Roman"/>
          <w:noProof/>
          <w:szCs w:val="24"/>
        </w:rPr>
      </w:pPr>
      <w:r w:rsidRPr="0099206F">
        <w:rPr>
          <w:rFonts w:ascii="Calibri" w:hAnsi="Calibri" w:cs="Times New Roman"/>
          <w:noProof/>
          <w:szCs w:val="24"/>
        </w:rPr>
        <w:t>29</w:t>
      </w:r>
      <w:r w:rsidRPr="0099206F">
        <w:rPr>
          <w:rFonts w:ascii="Calibri" w:hAnsi="Calibri" w:cs="Times New Roman"/>
          <w:noProof/>
          <w:szCs w:val="24"/>
        </w:rPr>
        <w:tab/>
        <w:t xml:space="preserve">Juillerat P, Sokol H, Froehlich F, </w:t>
      </w:r>
      <w:r w:rsidRPr="0099206F">
        <w:rPr>
          <w:rFonts w:ascii="Calibri" w:hAnsi="Calibri" w:cs="Times New Roman"/>
          <w:i/>
          <w:iCs/>
          <w:noProof/>
          <w:szCs w:val="24"/>
        </w:rPr>
        <w:t>et al.</w:t>
      </w:r>
      <w:r w:rsidRPr="0099206F">
        <w:rPr>
          <w:rFonts w:ascii="Calibri" w:hAnsi="Calibri" w:cs="Times New Roman"/>
          <w:noProof/>
          <w:szCs w:val="24"/>
        </w:rPr>
        <w:t xml:space="preserve"> Factors associated with durable response to infliximab </w:t>
      </w:r>
      <w:r w:rsidRPr="0099206F">
        <w:rPr>
          <w:rFonts w:ascii="Calibri" w:hAnsi="Calibri" w:cs="Times New Roman"/>
          <w:noProof/>
          <w:szCs w:val="24"/>
        </w:rPr>
        <w:lastRenderedPageBreak/>
        <w:t xml:space="preserve">in Crohn’s disease 5 years and beyond: a multicenter international cohort. </w:t>
      </w:r>
      <w:r w:rsidRPr="0099206F">
        <w:rPr>
          <w:rFonts w:ascii="Calibri" w:hAnsi="Calibri" w:cs="Times New Roman"/>
          <w:i/>
          <w:iCs/>
          <w:noProof/>
          <w:szCs w:val="24"/>
        </w:rPr>
        <w:t>Inflamm Bowel Dis</w:t>
      </w:r>
      <w:r w:rsidRPr="0099206F">
        <w:rPr>
          <w:rFonts w:ascii="Calibri" w:hAnsi="Calibri" w:cs="Times New Roman"/>
          <w:noProof/>
          <w:szCs w:val="24"/>
        </w:rPr>
        <w:t xml:space="preserve"> 2015; </w:t>
      </w:r>
      <w:r w:rsidRPr="0099206F">
        <w:rPr>
          <w:rFonts w:ascii="Calibri" w:hAnsi="Calibri" w:cs="Times New Roman"/>
          <w:b/>
          <w:bCs/>
          <w:noProof/>
          <w:szCs w:val="24"/>
        </w:rPr>
        <w:t>21</w:t>
      </w:r>
      <w:r w:rsidRPr="0099206F">
        <w:rPr>
          <w:rFonts w:ascii="Calibri" w:hAnsi="Calibri" w:cs="Times New Roman"/>
          <w:noProof/>
          <w:szCs w:val="24"/>
        </w:rPr>
        <w:t>: 60–70.</w:t>
      </w:r>
    </w:p>
    <w:p w14:paraId="16A5FFED" w14:textId="77777777" w:rsidR="0099206F" w:rsidRPr="0099206F" w:rsidRDefault="0099206F" w:rsidP="0099206F">
      <w:pPr>
        <w:widowControl w:val="0"/>
        <w:autoSpaceDE w:val="0"/>
        <w:autoSpaceDN w:val="0"/>
        <w:adjustRightInd w:val="0"/>
        <w:spacing w:line="240" w:lineRule="auto"/>
        <w:ind w:left="640" w:hanging="640"/>
        <w:rPr>
          <w:rFonts w:ascii="Calibri" w:hAnsi="Calibri" w:cs="Times New Roman"/>
          <w:noProof/>
          <w:szCs w:val="24"/>
        </w:rPr>
      </w:pPr>
      <w:r w:rsidRPr="0099206F">
        <w:rPr>
          <w:rFonts w:ascii="Calibri" w:hAnsi="Calibri" w:cs="Times New Roman"/>
          <w:noProof/>
          <w:szCs w:val="24"/>
        </w:rPr>
        <w:t>30</w:t>
      </w:r>
      <w:r w:rsidRPr="0099206F">
        <w:rPr>
          <w:rFonts w:ascii="Calibri" w:hAnsi="Calibri" w:cs="Times New Roman"/>
          <w:noProof/>
          <w:szCs w:val="24"/>
        </w:rPr>
        <w:tab/>
        <w:t xml:space="preserve">Magro F, Rodrigues-Pinto E, Santos-Antunes J, </w:t>
      </w:r>
      <w:r w:rsidRPr="0099206F">
        <w:rPr>
          <w:rFonts w:ascii="Calibri" w:hAnsi="Calibri" w:cs="Times New Roman"/>
          <w:i/>
          <w:iCs/>
          <w:noProof/>
          <w:szCs w:val="24"/>
        </w:rPr>
        <w:t>et al.</w:t>
      </w:r>
      <w:r w:rsidRPr="0099206F">
        <w:rPr>
          <w:rFonts w:ascii="Calibri" w:hAnsi="Calibri" w:cs="Times New Roman"/>
          <w:noProof/>
          <w:szCs w:val="24"/>
        </w:rPr>
        <w:t xml:space="preserve"> High C-reactive protein in Crohn’s disease patients predicts nonresponse to infliximab treatment. </w:t>
      </w:r>
      <w:r w:rsidRPr="0099206F">
        <w:rPr>
          <w:rFonts w:ascii="Calibri" w:hAnsi="Calibri" w:cs="Times New Roman"/>
          <w:i/>
          <w:iCs/>
          <w:noProof/>
          <w:szCs w:val="24"/>
        </w:rPr>
        <w:t>J Crohns Colitis</w:t>
      </w:r>
      <w:r w:rsidRPr="0099206F">
        <w:rPr>
          <w:rFonts w:ascii="Calibri" w:hAnsi="Calibri" w:cs="Times New Roman"/>
          <w:noProof/>
          <w:szCs w:val="24"/>
        </w:rPr>
        <w:t xml:space="preserve"> 2014; </w:t>
      </w:r>
      <w:r w:rsidRPr="0099206F">
        <w:rPr>
          <w:rFonts w:ascii="Calibri" w:hAnsi="Calibri" w:cs="Times New Roman"/>
          <w:b/>
          <w:bCs/>
          <w:noProof/>
          <w:szCs w:val="24"/>
        </w:rPr>
        <w:t>8</w:t>
      </w:r>
      <w:r w:rsidRPr="0099206F">
        <w:rPr>
          <w:rFonts w:ascii="Calibri" w:hAnsi="Calibri" w:cs="Times New Roman"/>
          <w:noProof/>
          <w:szCs w:val="24"/>
        </w:rPr>
        <w:t>: 129–36.</w:t>
      </w:r>
    </w:p>
    <w:p w14:paraId="7957E7C2" w14:textId="77777777" w:rsidR="0099206F" w:rsidRPr="0099206F" w:rsidRDefault="0099206F" w:rsidP="0099206F">
      <w:pPr>
        <w:widowControl w:val="0"/>
        <w:autoSpaceDE w:val="0"/>
        <w:autoSpaceDN w:val="0"/>
        <w:adjustRightInd w:val="0"/>
        <w:spacing w:line="240" w:lineRule="auto"/>
        <w:ind w:left="640" w:hanging="640"/>
        <w:rPr>
          <w:rFonts w:ascii="Calibri" w:hAnsi="Calibri" w:cs="Times New Roman"/>
          <w:noProof/>
          <w:szCs w:val="24"/>
        </w:rPr>
      </w:pPr>
      <w:r w:rsidRPr="0099206F">
        <w:rPr>
          <w:rFonts w:ascii="Calibri" w:hAnsi="Calibri" w:cs="Times New Roman"/>
          <w:noProof/>
          <w:szCs w:val="24"/>
        </w:rPr>
        <w:t>31</w:t>
      </w:r>
      <w:r w:rsidRPr="0099206F">
        <w:rPr>
          <w:rFonts w:ascii="Calibri" w:hAnsi="Calibri" w:cs="Times New Roman"/>
          <w:noProof/>
          <w:szCs w:val="24"/>
        </w:rPr>
        <w:tab/>
        <w:t xml:space="preserve">Fasanmade AA, Adedokun OJ, Olson A, Strauss R, Davis HM. Serum albumin concentration: a predictive factor of infliximab pharmacokinetics and clinical response in patients with ulcerative colitis. </w:t>
      </w:r>
      <w:r w:rsidRPr="0099206F">
        <w:rPr>
          <w:rFonts w:ascii="Calibri" w:hAnsi="Calibri" w:cs="Times New Roman"/>
          <w:i/>
          <w:iCs/>
          <w:noProof/>
          <w:szCs w:val="24"/>
        </w:rPr>
        <w:t>Int J Clin Pharmacol Ther</w:t>
      </w:r>
      <w:r w:rsidRPr="0099206F">
        <w:rPr>
          <w:rFonts w:ascii="Calibri" w:hAnsi="Calibri" w:cs="Times New Roman"/>
          <w:noProof/>
          <w:szCs w:val="24"/>
        </w:rPr>
        <w:t xml:space="preserve"> 2010; </w:t>
      </w:r>
      <w:r w:rsidRPr="0099206F">
        <w:rPr>
          <w:rFonts w:ascii="Calibri" w:hAnsi="Calibri" w:cs="Times New Roman"/>
          <w:b/>
          <w:bCs/>
          <w:noProof/>
          <w:szCs w:val="24"/>
        </w:rPr>
        <w:t>48</w:t>
      </w:r>
      <w:r w:rsidRPr="0099206F">
        <w:rPr>
          <w:rFonts w:ascii="Calibri" w:hAnsi="Calibri" w:cs="Times New Roman"/>
          <w:noProof/>
          <w:szCs w:val="24"/>
        </w:rPr>
        <w:t>: 297–308.</w:t>
      </w:r>
    </w:p>
    <w:p w14:paraId="3C62F450" w14:textId="77777777" w:rsidR="0099206F" w:rsidRPr="0099206F" w:rsidRDefault="0099206F" w:rsidP="0099206F">
      <w:pPr>
        <w:widowControl w:val="0"/>
        <w:autoSpaceDE w:val="0"/>
        <w:autoSpaceDN w:val="0"/>
        <w:adjustRightInd w:val="0"/>
        <w:spacing w:line="240" w:lineRule="auto"/>
        <w:ind w:left="640" w:hanging="640"/>
        <w:rPr>
          <w:rFonts w:ascii="Calibri" w:hAnsi="Calibri"/>
          <w:noProof/>
        </w:rPr>
      </w:pPr>
      <w:r w:rsidRPr="0099206F">
        <w:rPr>
          <w:rFonts w:ascii="Calibri" w:hAnsi="Calibri" w:cs="Times New Roman"/>
          <w:noProof/>
          <w:szCs w:val="24"/>
        </w:rPr>
        <w:t>32</w:t>
      </w:r>
      <w:r w:rsidRPr="0099206F">
        <w:rPr>
          <w:rFonts w:ascii="Calibri" w:hAnsi="Calibri" w:cs="Times New Roman"/>
          <w:noProof/>
          <w:szCs w:val="24"/>
        </w:rPr>
        <w:tab/>
        <w:t xml:space="preserve">Kirchgesner J, Lemaitre M, Carrat F, Zureik M, Carbonnel F, Dray-Spira R. Risk of Serious and Opportunistic Infections Associated With Treatment of Inflammatory Bowel Diseases. </w:t>
      </w:r>
      <w:r w:rsidRPr="0099206F">
        <w:rPr>
          <w:rFonts w:ascii="Calibri" w:hAnsi="Calibri" w:cs="Times New Roman"/>
          <w:i/>
          <w:iCs/>
          <w:noProof/>
          <w:szCs w:val="24"/>
        </w:rPr>
        <w:t>Gastroenterology</w:t>
      </w:r>
      <w:r w:rsidRPr="0099206F">
        <w:rPr>
          <w:rFonts w:ascii="Calibri" w:hAnsi="Calibri" w:cs="Times New Roman"/>
          <w:noProof/>
          <w:szCs w:val="24"/>
        </w:rPr>
        <w:t xml:space="preserve"> 2018; </w:t>
      </w:r>
      <w:r w:rsidRPr="0099206F">
        <w:rPr>
          <w:rFonts w:ascii="Calibri" w:hAnsi="Calibri" w:cs="Times New Roman"/>
          <w:b/>
          <w:bCs/>
          <w:noProof/>
          <w:szCs w:val="24"/>
        </w:rPr>
        <w:t>155</w:t>
      </w:r>
      <w:r w:rsidRPr="0099206F">
        <w:rPr>
          <w:rFonts w:ascii="Calibri" w:hAnsi="Calibri" w:cs="Times New Roman"/>
          <w:noProof/>
          <w:szCs w:val="24"/>
        </w:rPr>
        <w:t>: 337–346.e10.</w:t>
      </w:r>
    </w:p>
    <w:p w14:paraId="2CB67BF0" w14:textId="2ED4756A" w:rsidR="00471EF6" w:rsidRPr="00144C4C" w:rsidRDefault="00471EF6" w:rsidP="0099206F">
      <w:pPr>
        <w:widowControl w:val="0"/>
        <w:autoSpaceDE w:val="0"/>
        <w:autoSpaceDN w:val="0"/>
        <w:adjustRightInd w:val="0"/>
        <w:spacing w:line="240" w:lineRule="auto"/>
        <w:ind w:left="640" w:hanging="640"/>
        <w:rPr>
          <w:rFonts w:eastAsiaTheme="majorEastAsia" w:cstheme="majorBidi"/>
          <w:b/>
          <w:bCs/>
          <w:color w:val="4F80BD"/>
          <w:sz w:val="28"/>
          <w:szCs w:val="28"/>
        </w:rPr>
      </w:pPr>
      <w:r w:rsidRPr="00144C4C">
        <w:br w:type="page"/>
      </w:r>
    </w:p>
    <w:p w14:paraId="502D47D2" w14:textId="77777777" w:rsidR="00726720" w:rsidRPr="000612A7" w:rsidRDefault="00726720" w:rsidP="000612A7">
      <w:pPr>
        <w:sectPr w:rsidR="00726720" w:rsidRPr="000612A7" w:rsidSect="000612A7">
          <w:headerReference w:type="default" r:id="rId9"/>
          <w:footerReference w:type="default" r:id="rId10"/>
          <w:pgSz w:w="11906" w:h="16838"/>
          <w:pgMar w:top="1440" w:right="1440" w:bottom="1440" w:left="1440" w:header="708" w:footer="708" w:gutter="0"/>
          <w:lnNumType w:countBy="1" w:restart="continuous"/>
          <w:cols w:space="708"/>
          <w:docGrid w:linePitch="360"/>
        </w:sectPr>
      </w:pPr>
    </w:p>
    <w:p w14:paraId="23FEF39D" w14:textId="2A5CD334" w:rsidR="008961CA" w:rsidRDefault="008961CA" w:rsidP="008961CA">
      <w:pPr>
        <w:pStyle w:val="Heading1"/>
        <w:rPr>
          <w:shd w:val="clear" w:color="auto" w:fill="FFFFFF"/>
        </w:rPr>
      </w:pPr>
      <w:r>
        <w:rPr>
          <w:shd w:val="clear" w:color="auto" w:fill="FFFFFF"/>
        </w:rPr>
        <w:lastRenderedPageBreak/>
        <w:t>Figure legends</w:t>
      </w:r>
    </w:p>
    <w:p w14:paraId="39ECC525" w14:textId="121929F8" w:rsidR="002507B9" w:rsidRPr="002507B9" w:rsidRDefault="008C6790" w:rsidP="002507B9">
      <w:pPr>
        <w:pStyle w:val="Heading2"/>
        <w:rPr>
          <w:shd w:val="clear" w:color="auto" w:fill="FFFFFF"/>
        </w:rPr>
      </w:pPr>
      <w:r w:rsidRPr="00144C4C">
        <w:rPr>
          <w:shd w:val="clear" w:color="auto" w:fill="FFFFFF"/>
        </w:rPr>
        <w:t>Figure 1</w:t>
      </w:r>
      <w:r w:rsidR="00CE0361" w:rsidRPr="00144C4C">
        <w:rPr>
          <w:shd w:val="clear" w:color="auto" w:fill="FFFFFF"/>
        </w:rPr>
        <w:t xml:space="preserve">: </w:t>
      </w:r>
      <w:r w:rsidR="00F63677" w:rsidRPr="00144C4C">
        <w:rPr>
          <w:shd w:val="clear" w:color="auto" w:fill="FFFFFF"/>
        </w:rPr>
        <w:t>Flow of patients through the PANTS study</w:t>
      </w:r>
    </w:p>
    <w:p w14:paraId="3E87888F" w14:textId="35E89D3E" w:rsidR="00892F60" w:rsidRPr="00144C4C" w:rsidRDefault="07D52E96" w:rsidP="07D52E96">
      <w:pPr>
        <w:pStyle w:val="Heading2"/>
        <w:rPr>
          <w:rFonts w:eastAsiaTheme="minorEastAsia"/>
        </w:rPr>
      </w:pPr>
      <w:r w:rsidRPr="00144C4C">
        <w:rPr>
          <w:rFonts w:eastAsiaTheme="minorEastAsia"/>
        </w:rPr>
        <w:t xml:space="preserve">Figure </w:t>
      </w:r>
      <w:r w:rsidR="00B0759B">
        <w:rPr>
          <w:rFonts w:eastAsiaTheme="minorEastAsia"/>
        </w:rPr>
        <w:t>2</w:t>
      </w:r>
      <w:r w:rsidRPr="00144C4C">
        <w:rPr>
          <w:rFonts w:eastAsiaTheme="minorEastAsia"/>
        </w:rPr>
        <w:t>: Univariable associations of time to immunogenicity using Kaplan Meier and Cox proportional hazards methods</w:t>
      </w:r>
    </w:p>
    <w:p w14:paraId="6B8D37D7" w14:textId="1BEE1B33" w:rsidR="008961CA" w:rsidRDefault="0047112F" w:rsidP="000612A7">
      <w:r>
        <w:t xml:space="preserve">Y axis shows proportion without development of any antibody defined as ≥10 AU/mL. </w:t>
      </w:r>
      <w:r w:rsidR="07D52E96" w:rsidRPr="00144C4C">
        <w:t xml:space="preserve">P values </w:t>
      </w:r>
      <w:r>
        <w:t xml:space="preserve">and hazard ratios </w:t>
      </w:r>
      <w:r w:rsidR="07D52E96" w:rsidRPr="00144C4C">
        <w:t>are derived from Cox proportional hazards models for each individual variable. The data for week 14 drug quartile excludes anyone who developed immunogenicity or exited the study or prior to week 14 and is based on the log</w:t>
      </w:r>
      <w:r w:rsidR="07D52E96" w:rsidRPr="00144C4C">
        <w:rPr>
          <w:vertAlign w:val="subscript"/>
        </w:rPr>
        <w:t>10</w:t>
      </w:r>
      <w:r w:rsidR="07D52E96" w:rsidRPr="00144C4C">
        <w:t xml:space="preserve"> of the drug level, therefore, demonstrate the hazard ratio for each ten-fold increase. Abbreviations: HR hazard rati</w:t>
      </w:r>
      <w:r w:rsidR="00B0759B">
        <w:t>o; BMI body mass index; w: week.</w:t>
      </w:r>
    </w:p>
    <w:sectPr w:rsidR="008961CA" w:rsidSect="001F5E5C">
      <w:footerReference w:type="default" r:id="rId11"/>
      <w:pgSz w:w="11906" w:h="16838"/>
      <w:pgMar w:top="720" w:right="720" w:bottom="720" w:left="720" w:header="708" w:footer="0" w:gutter="0"/>
      <w:lnNumType w:countBy="1" w:restart="continuous"/>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20B90F89"/>
  <w15:commentEx w15:done="0" w15:paraId="40CBBBDE"/>
  <w15:commentEx w15:done="1" w15:paraId="78CEADF6"/>
  <w15:commentEx w15:done="0" w15:paraId="3CC5DE5D"/>
  <w15:commentEx w15:done="0" w15:paraId="252A1FFF"/>
  <w15:commentEx w15:done="1" w15:paraId="7963C46D"/>
  <w15:commentEx w15:done="0" w15:paraId="3B3E60C5"/>
  <w15:commentEx w15:done="0" w15:paraId="60616402"/>
  <w15:commentEx w15:done="0" w15:paraId="073A1273"/>
  <w15:commentEx w15:done="0" w15:paraId="2A2AB60B"/>
  <w15:commentEx w15:done="0" w15:paraId="0C61273E"/>
  <w15:commentEx w15:done="0" w15:paraId="23E3DC8E"/>
  <w15:commentEx w15:done="0" w15:paraId="3A02B6F4"/>
  <w15:commentEx w15:done="1" w15:paraId="5E354207" w15:paraIdParent="78CEADF6"/>
  <w15:commentEx w15:done="1" w15:paraId="57F15452"/>
  <w15:commentEx w15:done="0" w15:paraId="3451803B"/>
</w15:commentsEx>
</file>

<file path=word/commentsIds.xml><?xml version="1.0" encoding="utf-8"?>
<w16cid:commentsIds xmlns:mc="http://schemas.openxmlformats.org/markup-compatibility/2006" xmlns:w16cid="http://schemas.microsoft.com/office/word/2016/wordml/cid" mc:Ignorable="w16cid">
  <w16cid:commentId w16cid:paraId="20B90F89" w16cid:durableId="1F43DBEE"/>
  <w16cid:commentId w16cid:paraId="40CBBBDE" w16cid:durableId="1F43DE18"/>
  <w16cid:commentId w16cid:paraId="78CEADF6" w16cid:durableId="71C1032B"/>
  <w16cid:commentId w16cid:paraId="3CC5DE5D" w16cid:durableId="6A78D1B4"/>
  <w16cid:commentId w16cid:paraId="252A1FFF" w16cid:durableId="1F3E4F66"/>
  <w16cid:commentId w16cid:paraId="7963C46D" w16cid:durableId="32E5E41F"/>
  <w16cid:commentId w16cid:paraId="3B3E60C5" w16cid:durableId="1F3E4FA9"/>
  <w16cid:commentId w16cid:paraId="60616402" w16cid:durableId="46214FB0"/>
  <w16cid:commentId w16cid:paraId="073A1273" w16cid:durableId="0D30AAD8"/>
  <w16cid:commentId w16cid:paraId="0C61273E" w16cid:durableId="1AB21BA7"/>
  <w16cid:commentId w16cid:paraId="23E3DC8E" w16cid:durableId="553F3678"/>
  <w16cid:commentId w16cid:paraId="3A02B6F4" w16cid:durableId="1F4413CB"/>
  <w16cid:commentId w16cid:paraId="2A2AB60B" w16cid:durableId="7E37D0A7"/>
  <w16cid:commentId w16cid:paraId="5E354207" w16cid:durableId="13D50258"/>
  <w16cid:commentId w16cid:paraId="3451803B" w16cid:durableId="55A2F081"/>
  <w16cid:commentId w16cid:paraId="57F15452" w16cid:durableId="29AA552F"/>
  <w16cid:commentId w16cid:paraId="3EF900BD" w16cid:durableId="6CA8E1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AF9C58" w14:textId="77777777" w:rsidR="009378E9" w:rsidRDefault="009378E9" w:rsidP="004D08FF">
      <w:pPr>
        <w:spacing w:after="0" w:line="240" w:lineRule="auto"/>
      </w:pPr>
      <w:r>
        <w:separator/>
      </w:r>
    </w:p>
    <w:p w14:paraId="360DC099" w14:textId="77777777" w:rsidR="009378E9" w:rsidRDefault="009378E9"/>
    <w:p w14:paraId="48A2853F" w14:textId="77777777" w:rsidR="009378E9" w:rsidRDefault="009378E9"/>
  </w:endnote>
  <w:endnote w:type="continuationSeparator" w:id="0">
    <w:p w14:paraId="03059DD8" w14:textId="77777777" w:rsidR="009378E9" w:rsidRDefault="009378E9" w:rsidP="004D08FF">
      <w:pPr>
        <w:spacing w:after="0" w:line="240" w:lineRule="auto"/>
      </w:pPr>
      <w:r>
        <w:continuationSeparator/>
      </w:r>
    </w:p>
    <w:p w14:paraId="09852AD5" w14:textId="77777777" w:rsidR="009378E9" w:rsidRDefault="009378E9"/>
    <w:p w14:paraId="54C8EC2C" w14:textId="77777777" w:rsidR="009378E9" w:rsidRDefault="009378E9"/>
  </w:endnote>
  <w:endnote w:type="continuationNotice" w:id="1">
    <w:p w14:paraId="4EEE5999" w14:textId="77777777" w:rsidR="009378E9" w:rsidRDefault="009378E9">
      <w:pPr>
        <w:spacing w:after="0" w:line="240" w:lineRule="auto"/>
      </w:pPr>
    </w:p>
    <w:p w14:paraId="28F021BE" w14:textId="77777777" w:rsidR="009378E9" w:rsidRDefault="009378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4E602" w14:textId="77777777" w:rsidR="009378E9" w:rsidRDefault="009378E9">
    <w:pPr>
      <w:pStyle w:val="Footer"/>
      <w:jc w:val="right"/>
    </w:pPr>
    <w:r>
      <w:fldChar w:fldCharType="begin"/>
    </w:r>
    <w:r>
      <w:instrText xml:space="preserve"> PAGE   \* MERGEFORMAT </w:instrText>
    </w:r>
    <w:r>
      <w:fldChar w:fldCharType="separate"/>
    </w:r>
    <w:r w:rsidR="004738B6">
      <w:rPr>
        <w:noProof/>
      </w:rPr>
      <w:t>6</w:t>
    </w:r>
    <w:r>
      <w:rPr>
        <w:noProof/>
      </w:rPr>
      <w:fldChar w:fldCharType="end"/>
    </w:r>
  </w:p>
  <w:p w14:paraId="2D988B35" w14:textId="77777777" w:rsidR="009378E9" w:rsidRDefault="009378E9">
    <w:pPr>
      <w:pStyle w:val="Footer"/>
    </w:pPr>
  </w:p>
  <w:p w14:paraId="502137BC" w14:textId="77777777" w:rsidR="009378E9" w:rsidRDefault="009378E9" w:rsidP="002010E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A5F50" w14:textId="77777777" w:rsidR="009378E9" w:rsidRDefault="009378E9">
    <w:pPr>
      <w:pStyle w:val="Footer"/>
      <w:jc w:val="right"/>
    </w:pPr>
    <w:r>
      <w:fldChar w:fldCharType="begin"/>
    </w:r>
    <w:r>
      <w:instrText xml:space="preserve"> PAGE   \* MERGEFORMAT </w:instrText>
    </w:r>
    <w:r>
      <w:fldChar w:fldCharType="separate"/>
    </w:r>
    <w:r w:rsidR="004738B6">
      <w:rPr>
        <w:noProof/>
      </w:rPr>
      <w:t>22</w:t>
    </w:r>
    <w:r>
      <w:rPr>
        <w:noProof/>
      </w:rPr>
      <w:fldChar w:fldCharType="end"/>
    </w:r>
  </w:p>
  <w:p w14:paraId="47F7485E" w14:textId="77777777" w:rsidR="009378E9" w:rsidRDefault="009378E9" w:rsidP="00DC03E2">
    <w:pPr>
      <w:pStyle w:val="Footer"/>
      <w:jc w:val="right"/>
    </w:pPr>
  </w:p>
  <w:p w14:paraId="74A022D9" w14:textId="77777777" w:rsidR="009378E9" w:rsidRDefault="009378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65F09" w14:textId="77777777" w:rsidR="009378E9" w:rsidRDefault="009378E9" w:rsidP="004D08FF">
      <w:pPr>
        <w:spacing w:after="0" w:line="240" w:lineRule="auto"/>
      </w:pPr>
      <w:r>
        <w:separator/>
      </w:r>
    </w:p>
    <w:p w14:paraId="0248CDF1" w14:textId="77777777" w:rsidR="009378E9" w:rsidRDefault="009378E9"/>
    <w:p w14:paraId="3E1138CB" w14:textId="77777777" w:rsidR="009378E9" w:rsidRDefault="009378E9"/>
  </w:footnote>
  <w:footnote w:type="continuationSeparator" w:id="0">
    <w:p w14:paraId="2004CB86" w14:textId="77777777" w:rsidR="009378E9" w:rsidRDefault="009378E9" w:rsidP="004D08FF">
      <w:pPr>
        <w:spacing w:after="0" w:line="240" w:lineRule="auto"/>
      </w:pPr>
      <w:r>
        <w:continuationSeparator/>
      </w:r>
    </w:p>
    <w:p w14:paraId="73008F65" w14:textId="77777777" w:rsidR="009378E9" w:rsidRDefault="009378E9"/>
    <w:p w14:paraId="778A0CF9" w14:textId="77777777" w:rsidR="009378E9" w:rsidRDefault="009378E9"/>
  </w:footnote>
  <w:footnote w:type="continuationNotice" w:id="1">
    <w:p w14:paraId="2F8995C3" w14:textId="77777777" w:rsidR="009378E9" w:rsidRDefault="009378E9">
      <w:pPr>
        <w:spacing w:after="0" w:line="240" w:lineRule="auto"/>
      </w:pPr>
    </w:p>
    <w:p w14:paraId="4C4328D0" w14:textId="77777777" w:rsidR="009378E9" w:rsidRDefault="009378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C535D" w14:textId="4CC3D7C4" w:rsidR="009378E9" w:rsidRPr="00335F4D" w:rsidRDefault="009378E9" w:rsidP="004D08FF">
    <w:pPr>
      <w:pStyle w:val="Header"/>
      <w:jc w:val="right"/>
    </w:pPr>
    <w:r>
      <w:t xml:space="preserve"> </w:t>
    </w:r>
  </w:p>
  <w:p w14:paraId="0A3718B7" w14:textId="77777777" w:rsidR="009378E9" w:rsidRDefault="009378E9" w:rsidP="002010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16DD4"/>
    <w:multiLevelType w:val="hybridMultilevel"/>
    <w:tmpl w:val="707A7FD2"/>
    <w:lvl w:ilvl="0" w:tplc="003AF3C0">
      <w:start w:val="1"/>
      <w:numFmt w:val="bullet"/>
      <w:lvlText w:val=""/>
      <w:lvlJc w:val="left"/>
      <w:pPr>
        <w:ind w:left="720" w:hanging="360"/>
      </w:pPr>
      <w:rPr>
        <w:rFonts w:ascii="Symbol" w:hAnsi="Symbol" w:hint="default"/>
      </w:rPr>
    </w:lvl>
    <w:lvl w:ilvl="1" w:tplc="AB683092">
      <w:start w:val="1"/>
      <w:numFmt w:val="bullet"/>
      <w:lvlText w:val="o"/>
      <w:lvlJc w:val="left"/>
      <w:pPr>
        <w:ind w:left="1440" w:hanging="360"/>
      </w:pPr>
      <w:rPr>
        <w:rFonts w:ascii="Courier New" w:hAnsi="Courier New" w:hint="default"/>
      </w:rPr>
    </w:lvl>
    <w:lvl w:ilvl="2" w:tplc="98DCDFB0">
      <w:start w:val="1"/>
      <w:numFmt w:val="bullet"/>
      <w:lvlText w:val=""/>
      <w:lvlJc w:val="left"/>
      <w:pPr>
        <w:ind w:left="2160" w:hanging="360"/>
      </w:pPr>
      <w:rPr>
        <w:rFonts w:ascii="Wingdings" w:hAnsi="Wingdings" w:hint="default"/>
      </w:rPr>
    </w:lvl>
    <w:lvl w:ilvl="3" w:tplc="F4981E3A">
      <w:start w:val="1"/>
      <w:numFmt w:val="bullet"/>
      <w:lvlText w:val=""/>
      <w:lvlJc w:val="left"/>
      <w:pPr>
        <w:ind w:left="2880" w:hanging="360"/>
      </w:pPr>
      <w:rPr>
        <w:rFonts w:ascii="Symbol" w:hAnsi="Symbol" w:hint="default"/>
      </w:rPr>
    </w:lvl>
    <w:lvl w:ilvl="4" w:tplc="F2AC4ACE">
      <w:start w:val="1"/>
      <w:numFmt w:val="bullet"/>
      <w:lvlText w:val="o"/>
      <w:lvlJc w:val="left"/>
      <w:pPr>
        <w:ind w:left="3600" w:hanging="360"/>
      </w:pPr>
      <w:rPr>
        <w:rFonts w:ascii="Courier New" w:hAnsi="Courier New" w:hint="default"/>
      </w:rPr>
    </w:lvl>
    <w:lvl w:ilvl="5" w:tplc="36ACE63C">
      <w:start w:val="1"/>
      <w:numFmt w:val="bullet"/>
      <w:lvlText w:val=""/>
      <w:lvlJc w:val="left"/>
      <w:pPr>
        <w:ind w:left="4320" w:hanging="360"/>
      </w:pPr>
      <w:rPr>
        <w:rFonts w:ascii="Wingdings" w:hAnsi="Wingdings" w:hint="default"/>
      </w:rPr>
    </w:lvl>
    <w:lvl w:ilvl="6" w:tplc="21201470">
      <w:start w:val="1"/>
      <w:numFmt w:val="bullet"/>
      <w:lvlText w:val=""/>
      <w:lvlJc w:val="left"/>
      <w:pPr>
        <w:ind w:left="5040" w:hanging="360"/>
      </w:pPr>
      <w:rPr>
        <w:rFonts w:ascii="Symbol" w:hAnsi="Symbol" w:hint="default"/>
      </w:rPr>
    </w:lvl>
    <w:lvl w:ilvl="7" w:tplc="79DA2964">
      <w:start w:val="1"/>
      <w:numFmt w:val="bullet"/>
      <w:lvlText w:val="o"/>
      <w:lvlJc w:val="left"/>
      <w:pPr>
        <w:ind w:left="5760" w:hanging="360"/>
      </w:pPr>
      <w:rPr>
        <w:rFonts w:ascii="Courier New" w:hAnsi="Courier New" w:hint="default"/>
      </w:rPr>
    </w:lvl>
    <w:lvl w:ilvl="8" w:tplc="55143FC8">
      <w:start w:val="1"/>
      <w:numFmt w:val="bullet"/>
      <w:lvlText w:val=""/>
      <w:lvlJc w:val="left"/>
      <w:pPr>
        <w:ind w:left="6480" w:hanging="360"/>
      </w:pPr>
      <w:rPr>
        <w:rFonts w:ascii="Wingdings" w:hAnsi="Wingdings" w:hint="default"/>
      </w:rPr>
    </w:lvl>
  </w:abstractNum>
  <w:abstractNum w:abstractNumId="1">
    <w:nsid w:val="1B2E7695"/>
    <w:multiLevelType w:val="hybridMultilevel"/>
    <w:tmpl w:val="2CBEF9A6"/>
    <w:lvl w:ilvl="0" w:tplc="D7E621E4">
      <w:start w:val="1"/>
      <w:numFmt w:val="decimal"/>
      <w:lvlText w:val="%1."/>
      <w:lvlJc w:val="left"/>
      <w:pPr>
        <w:ind w:left="720" w:hanging="360"/>
      </w:pPr>
    </w:lvl>
    <w:lvl w:ilvl="1" w:tplc="71E6FB82">
      <w:start w:val="1"/>
      <w:numFmt w:val="lowerLetter"/>
      <w:lvlText w:val="%2."/>
      <w:lvlJc w:val="left"/>
      <w:pPr>
        <w:ind w:left="1440" w:hanging="360"/>
      </w:pPr>
    </w:lvl>
    <w:lvl w:ilvl="2" w:tplc="2DCE94E4">
      <w:start w:val="1"/>
      <w:numFmt w:val="lowerRoman"/>
      <w:lvlText w:val="%3."/>
      <w:lvlJc w:val="right"/>
      <w:pPr>
        <w:ind w:left="2160" w:hanging="180"/>
      </w:pPr>
    </w:lvl>
    <w:lvl w:ilvl="3" w:tplc="87FC6A0E">
      <w:start w:val="1"/>
      <w:numFmt w:val="decimal"/>
      <w:lvlText w:val="%4."/>
      <w:lvlJc w:val="left"/>
      <w:pPr>
        <w:ind w:left="2880" w:hanging="360"/>
      </w:pPr>
    </w:lvl>
    <w:lvl w:ilvl="4" w:tplc="0F7C5490">
      <w:start w:val="1"/>
      <w:numFmt w:val="lowerLetter"/>
      <w:lvlText w:val="%5."/>
      <w:lvlJc w:val="left"/>
      <w:pPr>
        <w:ind w:left="3600" w:hanging="360"/>
      </w:pPr>
    </w:lvl>
    <w:lvl w:ilvl="5" w:tplc="A6661A1A">
      <w:start w:val="1"/>
      <w:numFmt w:val="lowerRoman"/>
      <w:lvlText w:val="%6."/>
      <w:lvlJc w:val="right"/>
      <w:pPr>
        <w:ind w:left="4320" w:hanging="180"/>
      </w:pPr>
    </w:lvl>
    <w:lvl w:ilvl="6" w:tplc="BB64819A">
      <w:start w:val="1"/>
      <w:numFmt w:val="decimal"/>
      <w:lvlText w:val="%7."/>
      <w:lvlJc w:val="left"/>
      <w:pPr>
        <w:ind w:left="5040" w:hanging="360"/>
      </w:pPr>
    </w:lvl>
    <w:lvl w:ilvl="7" w:tplc="6EB0C57C">
      <w:start w:val="1"/>
      <w:numFmt w:val="lowerLetter"/>
      <w:lvlText w:val="%8."/>
      <w:lvlJc w:val="left"/>
      <w:pPr>
        <w:ind w:left="5760" w:hanging="360"/>
      </w:pPr>
    </w:lvl>
    <w:lvl w:ilvl="8" w:tplc="C14AE444">
      <w:start w:val="1"/>
      <w:numFmt w:val="lowerRoman"/>
      <w:lvlText w:val="%9."/>
      <w:lvlJc w:val="right"/>
      <w:pPr>
        <w:ind w:left="6480" w:hanging="180"/>
      </w:pPr>
    </w:lvl>
  </w:abstractNum>
  <w:abstractNum w:abstractNumId="2">
    <w:nsid w:val="4D6906D3"/>
    <w:multiLevelType w:val="hybridMultilevel"/>
    <w:tmpl w:val="F968BD6C"/>
    <w:lvl w:ilvl="0" w:tplc="804A0354">
      <w:start w:val="1"/>
      <w:numFmt w:val="decimal"/>
      <w:lvlText w:val="%1."/>
      <w:lvlJc w:val="left"/>
      <w:pPr>
        <w:ind w:left="720" w:hanging="360"/>
      </w:pPr>
    </w:lvl>
    <w:lvl w:ilvl="1" w:tplc="F888FBC0">
      <w:start w:val="1"/>
      <w:numFmt w:val="lowerLetter"/>
      <w:lvlText w:val="%2."/>
      <w:lvlJc w:val="left"/>
      <w:pPr>
        <w:ind w:left="1440" w:hanging="360"/>
      </w:pPr>
    </w:lvl>
    <w:lvl w:ilvl="2" w:tplc="96E2D482">
      <w:start w:val="1"/>
      <w:numFmt w:val="lowerRoman"/>
      <w:lvlText w:val="%3."/>
      <w:lvlJc w:val="right"/>
      <w:pPr>
        <w:ind w:left="2160" w:hanging="180"/>
      </w:pPr>
    </w:lvl>
    <w:lvl w:ilvl="3" w:tplc="2CE0E242">
      <w:start w:val="1"/>
      <w:numFmt w:val="decimal"/>
      <w:lvlText w:val="%4."/>
      <w:lvlJc w:val="left"/>
      <w:pPr>
        <w:ind w:left="2880" w:hanging="360"/>
      </w:pPr>
    </w:lvl>
    <w:lvl w:ilvl="4" w:tplc="9CCAA122">
      <w:start w:val="1"/>
      <w:numFmt w:val="lowerLetter"/>
      <w:lvlText w:val="%5."/>
      <w:lvlJc w:val="left"/>
      <w:pPr>
        <w:ind w:left="3600" w:hanging="360"/>
      </w:pPr>
    </w:lvl>
    <w:lvl w:ilvl="5" w:tplc="03ECC72C">
      <w:start w:val="1"/>
      <w:numFmt w:val="lowerRoman"/>
      <w:lvlText w:val="%6."/>
      <w:lvlJc w:val="right"/>
      <w:pPr>
        <w:ind w:left="4320" w:hanging="180"/>
      </w:pPr>
    </w:lvl>
    <w:lvl w:ilvl="6" w:tplc="944EEFEE">
      <w:start w:val="1"/>
      <w:numFmt w:val="decimal"/>
      <w:lvlText w:val="%7."/>
      <w:lvlJc w:val="left"/>
      <w:pPr>
        <w:ind w:left="5040" w:hanging="360"/>
      </w:pPr>
    </w:lvl>
    <w:lvl w:ilvl="7" w:tplc="2F8EC7F0">
      <w:start w:val="1"/>
      <w:numFmt w:val="lowerLetter"/>
      <w:lvlText w:val="%8."/>
      <w:lvlJc w:val="left"/>
      <w:pPr>
        <w:ind w:left="5760" w:hanging="360"/>
      </w:pPr>
    </w:lvl>
    <w:lvl w:ilvl="8" w:tplc="B96273AA">
      <w:start w:val="1"/>
      <w:numFmt w:val="lowerRoman"/>
      <w:lvlText w:val="%9."/>
      <w:lvlJc w:val="right"/>
      <w:pPr>
        <w:ind w:left="6480" w:hanging="180"/>
      </w:pPr>
    </w:lvl>
  </w:abstractNum>
  <w:abstractNum w:abstractNumId="3">
    <w:nsid w:val="4E5D0187"/>
    <w:multiLevelType w:val="hybridMultilevel"/>
    <w:tmpl w:val="A8C05162"/>
    <w:lvl w:ilvl="0" w:tplc="8D488AC0">
      <w:start w:val="1"/>
      <w:numFmt w:val="decimal"/>
      <w:lvlText w:val="%1."/>
      <w:lvlJc w:val="left"/>
      <w:pPr>
        <w:ind w:left="720" w:hanging="360"/>
      </w:pPr>
    </w:lvl>
    <w:lvl w:ilvl="1" w:tplc="7F069AEE">
      <w:start w:val="1"/>
      <w:numFmt w:val="lowerLetter"/>
      <w:lvlText w:val="%2."/>
      <w:lvlJc w:val="left"/>
      <w:pPr>
        <w:ind w:left="1440" w:hanging="360"/>
      </w:pPr>
    </w:lvl>
    <w:lvl w:ilvl="2" w:tplc="3BC44EBA">
      <w:start w:val="1"/>
      <w:numFmt w:val="lowerRoman"/>
      <w:lvlText w:val="%3."/>
      <w:lvlJc w:val="right"/>
      <w:pPr>
        <w:ind w:left="2160" w:hanging="180"/>
      </w:pPr>
    </w:lvl>
    <w:lvl w:ilvl="3" w:tplc="C6A2ACF0">
      <w:start w:val="1"/>
      <w:numFmt w:val="decimal"/>
      <w:lvlText w:val="%4."/>
      <w:lvlJc w:val="left"/>
      <w:pPr>
        <w:ind w:left="2880" w:hanging="360"/>
      </w:pPr>
    </w:lvl>
    <w:lvl w:ilvl="4" w:tplc="252ED442">
      <w:start w:val="1"/>
      <w:numFmt w:val="lowerLetter"/>
      <w:lvlText w:val="%5."/>
      <w:lvlJc w:val="left"/>
      <w:pPr>
        <w:ind w:left="3600" w:hanging="360"/>
      </w:pPr>
    </w:lvl>
    <w:lvl w:ilvl="5" w:tplc="7640FFB6">
      <w:start w:val="1"/>
      <w:numFmt w:val="lowerRoman"/>
      <w:lvlText w:val="%6."/>
      <w:lvlJc w:val="right"/>
      <w:pPr>
        <w:ind w:left="4320" w:hanging="180"/>
      </w:pPr>
    </w:lvl>
    <w:lvl w:ilvl="6" w:tplc="AF96B246">
      <w:start w:val="1"/>
      <w:numFmt w:val="decimal"/>
      <w:lvlText w:val="%7."/>
      <w:lvlJc w:val="left"/>
      <w:pPr>
        <w:ind w:left="5040" w:hanging="360"/>
      </w:pPr>
    </w:lvl>
    <w:lvl w:ilvl="7" w:tplc="A6DCB870">
      <w:start w:val="1"/>
      <w:numFmt w:val="lowerLetter"/>
      <w:lvlText w:val="%8."/>
      <w:lvlJc w:val="left"/>
      <w:pPr>
        <w:ind w:left="5760" w:hanging="360"/>
      </w:pPr>
    </w:lvl>
    <w:lvl w:ilvl="8" w:tplc="582E78DE">
      <w:start w:val="1"/>
      <w:numFmt w:val="lowerRoman"/>
      <w:lvlText w:val="%9."/>
      <w:lvlJc w:val="right"/>
      <w:pPr>
        <w:ind w:left="6480" w:hanging="180"/>
      </w:pPr>
    </w:lvl>
  </w:abstractNum>
  <w:abstractNum w:abstractNumId="4">
    <w:nsid w:val="50D37901"/>
    <w:multiLevelType w:val="hybridMultilevel"/>
    <w:tmpl w:val="DC961150"/>
    <w:lvl w:ilvl="0" w:tplc="99A26E08">
      <w:start w:val="1"/>
      <w:numFmt w:val="decimal"/>
      <w:lvlText w:val="%1."/>
      <w:lvlJc w:val="left"/>
      <w:pPr>
        <w:ind w:left="720" w:hanging="360"/>
      </w:pPr>
    </w:lvl>
    <w:lvl w:ilvl="1" w:tplc="A1BE719C">
      <w:start w:val="1"/>
      <w:numFmt w:val="lowerLetter"/>
      <w:lvlText w:val="%2."/>
      <w:lvlJc w:val="left"/>
      <w:pPr>
        <w:ind w:left="1440" w:hanging="360"/>
      </w:pPr>
    </w:lvl>
    <w:lvl w:ilvl="2" w:tplc="F7FAF52A">
      <w:start w:val="1"/>
      <w:numFmt w:val="lowerRoman"/>
      <w:lvlText w:val="%3."/>
      <w:lvlJc w:val="right"/>
      <w:pPr>
        <w:ind w:left="2160" w:hanging="180"/>
      </w:pPr>
    </w:lvl>
    <w:lvl w:ilvl="3" w:tplc="14BAA0B2">
      <w:start w:val="1"/>
      <w:numFmt w:val="decimal"/>
      <w:lvlText w:val="%4."/>
      <w:lvlJc w:val="left"/>
      <w:pPr>
        <w:ind w:left="2880" w:hanging="360"/>
      </w:pPr>
    </w:lvl>
    <w:lvl w:ilvl="4" w:tplc="7550DB7C">
      <w:start w:val="1"/>
      <w:numFmt w:val="lowerLetter"/>
      <w:lvlText w:val="%5."/>
      <w:lvlJc w:val="left"/>
      <w:pPr>
        <w:ind w:left="3600" w:hanging="360"/>
      </w:pPr>
    </w:lvl>
    <w:lvl w:ilvl="5" w:tplc="BEA202E8">
      <w:start w:val="1"/>
      <w:numFmt w:val="lowerRoman"/>
      <w:lvlText w:val="%6."/>
      <w:lvlJc w:val="right"/>
      <w:pPr>
        <w:ind w:left="4320" w:hanging="180"/>
      </w:pPr>
    </w:lvl>
    <w:lvl w:ilvl="6" w:tplc="F62CB4C0">
      <w:start w:val="1"/>
      <w:numFmt w:val="decimal"/>
      <w:lvlText w:val="%7."/>
      <w:lvlJc w:val="left"/>
      <w:pPr>
        <w:ind w:left="5040" w:hanging="360"/>
      </w:pPr>
    </w:lvl>
    <w:lvl w:ilvl="7" w:tplc="D74AABDA">
      <w:start w:val="1"/>
      <w:numFmt w:val="lowerLetter"/>
      <w:lvlText w:val="%8."/>
      <w:lvlJc w:val="left"/>
      <w:pPr>
        <w:ind w:left="5760" w:hanging="360"/>
      </w:pPr>
    </w:lvl>
    <w:lvl w:ilvl="8" w:tplc="658ABABE">
      <w:start w:val="1"/>
      <w:numFmt w:val="lowerRoman"/>
      <w:lvlText w:val="%9."/>
      <w:lvlJc w:val="right"/>
      <w:pPr>
        <w:ind w:left="6480" w:hanging="180"/>
      </w:pPr>
    </w:lvl>
  </w:abstractNum>
  <w:abstractNum w:abstractNumId="5">
    <w:nsid w:val="5DC50F3A"/>
    <w:multiLevelType w:val="hybridMultilevel"/>
    <w:tmpl w:val="CECC0164"/>
    <w:lvl w:ilvl="0" w:tplc="9A7ABB80">
      <w:start w:val="1"/>
      <w:numFmt w:val="decimal"/>
      <w:lvlText w:val="%1."/>
      <w:lvlJc w:val="left"/>
      <w:pPr>
        <w:ind w:left="720" w:hanging="360"/>
      </w:pPr>
    </w:lvl>
    <w:lvl w:ilvl="1" w:tplc="CF9C10F8">
      <w:start w:val="1"/>
      <w:numFmt w:val="lowerLetter"/>
      <w:lvlText w:val="%2."/>
      <w:lvlJc w:val="left"/>
      <w:pPr>
        <w:ind w:left="1440" w:hanging="360"/>
      </w:pPr>
    </w:lvl>
    <w:lvl w:ilvl="2" w:tplc="3CACE26C">
      <w:start w:val="1"/>
      <w:numFmt w:val="lowerRoman"/>
      <w:lvlText w:val="%3."/>
      <w:lvlJc w:val="right"/>
      <w:pPr>
        <w:ind w:left="2160" w:hanging="180"/>
      </w:pPr>
    </w:lvl>
    <w:lvl w:ilvl="3" w:tplc="DE9EF148">
      <w:start w:val="1"/>
      <w:numFmt w:val="decimal"/>
      <w:lvlText w:val="%4."/>
      <w:lvlJc w:val="left"/>
      <w:pPr>
        <w:ind w:left="2880" w:hanging="360"/>
      </w:pPr>
    </w:lvl>
    <w:lvl w:ilvl="4" w:tplc="F9C0E7D0">
      <w:start w:val="1"/>
      <w:numFmt w:val="lowerLetter"/>
      <w:lvlText w:val="%5."/>
      <w:lvlJc w:val="left"/>
      <w:pPr>
        <w:ind w:left="3600" w:hanging="360"/>
      </w:pPr>
    </w:lvl>
    <w:lvl w:ilvl="5" w:tplc="9C727150">
      <w:start w:val="1"/>
      <w:numFmt w:val="lowerRoman"/>
      <w:lvlText w:val="%6."/>
      <w:lvlJc w:val="right"/>
      <w:pPr>
        <w:ind w:left="4320" w:hanging="180"/>
      </w:pPr>
    </w:lvl>
    <w:lvl w:ilvl="6" w:tplc="8D92A4E0">
      <w:start w:val="1"/>
      <w:numFmt w:val="decimal"/>
      <w:lvlText w:val="%7."/>
      <w:lvlJc w:val="left"/>
      <w:pPr>
        <w:ind w:left="5040" w:hanging="360"/>
      </w:pPr>
    </w:lvl>
    <w:lvl w:ilvl="7" w:tplc="8EE2D540">
      <w:start w:val="1"/>
      <w:numFmt w:val="lowerLetter"/>
      <w:lvlText w:val="%8."/>
      <w:lvlJc w:val="left"/>
      <w:pPr>
        <w:ind w:left="5760" w:hanging="360"/>
      </w:pPr>
    </w:lvl>
    <w:lvl w:ilvl="8" w:tplc="9F249EB8">
      <w:start w:val="1"/>
      <w:numFmt w:val="lowerRoman"/>
      <w:lvlText w:val="%9."/>
      <w:lvlJc w:val="right"/>
      <w:pPr>
        <w:ind w:left="6480" w:hanging="180"/>
      </w:pPr>
    </w:lvl>
  </w:abstractNum>
  <w:abstractNum w:abstractNumId="6">
    <w:nsid w:val="76FE321B"/>
    <w:multiLevelType w:val="hybridMultilevel"/>
    <w:tmpl w:val="CB18173C"/>
    <w:lvl w:ilvl="0" w:tplc="C0CAB4FC">
      <w:start w:val="1"/>
      <w:numFmt w:val="decimal"/>
      <w:lvlText w:val="%1."/>
      <w:lvlJc w:val="left"/>
      <w:pPr>
        <w:ind w:left="720" w:hanging="360"/>
      </w:pPr>
    </w:lvl>
    <w:lvl w:ilvl="1" w:tplc="CADA84AA">
      <w:start w:val="1"/>
      <w:numFmt w:val="lowerLetter"/>
      <w:lvlText w:val="%2."/>
      <w:lvlJc w:val="left"/>
      <w:pPr>
        <w:ind w:left="1440" w:hanging="360"/>
      </w:pPr>
    </w:lvl>
    <w:lvl w:ilvl="2" w:tplc="D80253F6">
      <w:start w:val="1"/>
      <w:numFmt w:val="lowerRoman"/>
      <w:lvlText w:val="%3."/>
      <w:lvlJc w:val="right"/>
      <w:pPr>
        <w:ind w:left="2160" w:hanging="180"/>
      </w:pPr>
    </w:lvl>
    <w:lvl w:ilvl="3" w:tplc="7AD4A610">
      <w:start w:val="1"/>
      <w:numFmt w:val="decimal"/>
      <w:lvlText w:val="%4."/>
      <w:lvlJc w:val="left"/>
      <w:pPr>
        <w:ind w:left="2880" w:hanging="360"/>
      </w:pPr>
    </w:lvl>
    <w:lvl w:ilvl="4" w:tplc="2C16948A">
      <w:start w:val="1"/>
      <w:numFmt w:val="lowerLetter"/>
      <w:lvlText w:val="%5."/>
      <w:lvlJc w:val="left"/>
      <w:pPr>
        <w:ind w:left="3600" w:hanging="360"/>
      </w:pPr>
    </w:lvl>
    <w:lvl w:ilvl="5" w:tplc="DC36890A">
      <w:start w:val="1"/>
      <w:numFmt w:val="lowerRoman"/>
      <w:lvlText w:val="%6."/>
      <w:lvlJc w:val="right"/>
      <w:pPr>
        <w:ind w:left="4320" w:hanging="180"/>
      </w:pPr>
    </w:lvl>
    <w:lvl w:ilvl="6" w:tplc="DD0CBE40">
      <w:start w:val="1"/>
      <w:numFmt w:val="decimal"/>
      <w:lvlText w:val="%7."/>
      <w:lvlJc w:val="left"/>
      <w:pPr>
        <w:ind w:left="5040" w:hanging="360"/>
      </w:pPr>
    </w:lvl>
    <w:lvl w:ilvl="7" w:tplc="282A1EF2">
      <w:start w:val="1"/>
      <w:numFmt w:val="lowerLetter"/>
      <w:lvlText w:val="%8."/>
      <w:lvlJc w:val="left"/>
      <w:pPr>
        <w:ind w:left="5760" w:hanging="360"/>
      </w:pPr>
    </w:lvl>
    <w:lvl w:ilvl="8" w:tplc="710C7D22">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2"/>
  </w:num>
  <w:num w:numId="6">
    <w:abstractNumId w:val="3"/>
  </w:num>
  <w:num w:numId="7">
    <w:abstractNumId w:val="6"/>
  </w:num>
  <w:numIdMacAtCleanup w:val="1"/>
</w:numbering>
</file>

<file path=word/people.xml><?xml version="1.0" encoding="utf-8"?>
<w15:people xmlns:mc="http://schemas.openxmlformats.org/markup-compatibility/2006" xmlns:w15="http://schemas.microsoft.com/office/word/2012/wordml" mc:Ignorable="w15">
  <w15:person w15:author="Ahmad, Tariq">
    <w15:presenceInfo w15:providerId="AD" w15:userId="S::t.ahmad2@exeter.ac.uk::c88370a0-3734-4841-89a4-1d0fb2ad798b"/>
  </w15:person>
  <w15:person w15:author="Graham Heap">
    <w15:presenceInfo w15:providerId="Windows Live" w15:userId="d77c6edce14889a3"/>
  </w15:person>
  <w15:person w15:author="Hamilton, Ben">
    <w15:presenceInfo w15:providerId="AD" w15:userId="S::b.hamilton@exeter.ac.uk::47da8ed7-f83f-4614-9a19-4c9bbd172cfd"/>
  </w15:person>
  <w15:person w15:author="Bewshea, Claire">
    <w15:presenceInfo w15:providerId="AD" w15:userId="S::c.m.bewshea@exeter.ac.uk::116d4725-ee4f-45ca-92c0-c8487c15ab16"/>
  </w15:person>
  <w15:person w15:author="James Goodhand">
    <w15:presenceInfo w15:providerId="AD" w15:userId="S::james.goodhand_nhs.net#ext#@universityofexeteruk.onmicrosoft.com::ebad3dbd-e5bd-4f06-8cb3-8046141e80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BE0"/>
    <w:rsid w:val="000022B7"/>
    <w:rsid w:val="000034F8"/>
    <w:rsid w:val="000036C7"/>
    <w:rsid w:val="00003C7A"/>
    <w:rsid w:val="00004724"/>
    <w:rsid w:val="00006D43"/>
    <w:rsid w:val="00010642"/>
    <w:rsid w:val="00011F50"/>
    <w:rsid w:val="00012486"/>
    <w:rsid w:val="000125D4"/>
    <w:rsid w:val="0001314D"/>
    <w:rsid w:val="0001338C"/>
    <w:rsid w:val="00013CC7"/>
    <w:rsid w:val="00013E45"/>
    <w:rsid w:val="000142EE"/>
    <w:rsid w:val="0001552E"/>
    <w:rsid w:val="000155F4"/>
    <w:rsid w:val="00015B6C"/>
    <w:rsid w:val="00017285"/>
    <w:rsid w:val="00017E7B"/>
    <w:rsid w:val="00017FB3"/>
    <w:rsid w:val="0002011F"/>
    <w:rsid w:val="00020D8F"/>
    <w:rsid w:val="000212D2"/>
    <w:rsid w:val="00021EC0"/>
    <w:rsid w:val="00022E9A"/>
    <w:rsid w:val="00025426"/>
    <w:rsid w:val="000263C8"/>
    <w:rsid w:val="00026AA0"/>
    <w:rsid w:val="00026FF9"/>
    <w:rsid w:val="000278A0"/>
    <w:rsid w:val="000320F5"/>
    <w:rsid w:val="0003249E"/>
    <w:rsid w:val="0003320F"/>
    <w:rsid w:val="00033B1F"/>
    <w:rsid w:val="00033E0D"/>
    <w:rsid w:val="00033F4F"/>
    <w:rsid w:val="0003411A"/>
    <w:rsid w:val="0003436D"/>
    <w:rsid w:val="000346E0"/>
    <w:rsid w:val="0003470F"/>
    <w:rsid w:val="000349BC"/>
    <w:rsid w:val="0003749E"/>
    <w:rsid w:val="00040CCE"/>
    <w:rsid w:val="00040E93"/>
    <w:rsid w:val="00041303"/>
    <w:rsid w:val="00041311"/>
    <w:rsid w:val="00041986"/>
    <w:rsid w:val="00041B6B"/>
    <w:rsid w:val="00043043"/>
    <w:rsid w:val="000431D5"/>
    <w:rsid w:val="00043581"/>
    <w:rsid w:val="00044A81"/>
    <w:rsid w:val="0004717D"/>
    <w:rsid w:val="000474AE"/>
    <w:rsid w:val="00047902"/>
    <w:rsid w:val="00050CA6"/>
    <w:rsid w:val="0005101F"/>
    <w:rsid w:val="00053041"/>
    <w:rsid w:val="00053177"/>
    <w:rsid w:val="000538B9"/>
    <w:rsid w:val="000548B8"/>
    <w:rsid w:val="00055505"/>
    <w:rsid w:val="00056D2C"/>
    <w:rsid w:val="00057E5E"/>
    <w:rsid w:val="000604CF"/>
    <w:rsid w:val="00060A45"/>
    <w:rsid w:val="00060DD8"/>
    <w:rsid w:val="000612A7"/>
    <w:rsid w:val="0006207E"/>
    <w:rsid w:val="00062B29"/>
    <w:rsid w:val="00062CE5"/>
    <w:rsid w:val="000633EC"/>
    <w:rsid w:val="00063910"/>
    <w:rsid w:val="00063A49"/>
    <w:rsid w:val="000643FD"/>
    <w:rsid w:val="0006477C"/>
    <w:rsid w:val="00064A99"/>
    <w:rsid w:val="00064B09"/>
    <w:rsid w:val="00064C15"/>
    <w:rsid w:val="00064E00"/>
    <w:rsid w:val="00065324"/>
    <w:rsid w:val="00065F3E"/>
    <w:rsid w:val="00067E26"/>
    <w:rsid w:val="00070BF0"/>
    <w:rsid w:val="0007120D"/>
    <w:rsid w:val="00071ACA"/>
    <w:rsid w:val="00073739"/>
    <w:rsid w:val="000740C6"/>
    <w:rsid w:val="000752E0"/>
    <w:rsid w:val="00075710"/>
    <w:rsid w:val="00077415"/>
    <w:rsid w:val="0007745E"/>
    <w:rsid w:val="0007781D"/>
    <w:rsid w:val="00077BA4"/>
    <w:rsid w:val="00080368"/>
    <w:rsid w:val="00080754"/>
    <w:rsid w:val="00081257"/>
    <w:rsid w:val="000848E5"/>
    <w:rsid w:val="00084F81"/>
    <w:rsid w:val="00085603"/>
    <w:rsid w:val="000857AA"/>
    <w:rsid w:val="00085A10"/>
    <w:rsid w:val="00085C7A"/>
    <w:rsid w:val="00086067"/>
    <w:rsid w:val="00086556"/>
    <w:rsid w:val="0008664B"/>
    <w:rsid w:val="00087E41"/>
    <w:rsid w:val="00090D1B"/>
    <w:rsid w:val="00093D8C"/>
    <w:rsid w:val="000943A1"/>
    <w:rsid w:val="000958C4"/>
    <w:rsid w:val="000A004C"/>
    <w:rsid w:val="000A0621"/>
    <w:rsid w:val="000A0675"/>
    <w:rsid w:val="000A2B81"/>
    <w:rsid w:val="000A4468"/>
    <w:rsid w:val="000A4CB7"/>
    <w:rsid w:val="000A56C8"/>
    <w:rsid w:val="000A6307"/>
    <w:rsid w:val="000A72D7"/>
    <w:rsid w:val="000A7B63"/>
    <w:rsid w:val="000B578B"/>
    <w:rsid w:val="000B587F"/>
    <w:rsid w:val="000B59C3"/>
    <w:rsid w:val="000B6221"/>
    <w:rsid w:val="000B7ABD"/>
    <w:rsid w:val="000B7AD2"/>
    <w:rsid w:val="000C2648"/>
    <w:rsid w:val="000C3353"/>
    <w:rsid w:val="000C3E29"/>
    <w:rsid w:val="000C4A70"/>
    <w:rsid w:val="000C56EB"/>
    <w:rsid w:val="000C703B"/>
    <w:rsid w:val="000CD1CC"/>
    <w:rsid w:val="000D00BF"/>
    <w:rsid w:val="000D09B3"/>
    <w:rsid w:val="000D1022"/>
    <w:rsid w:val="000D25A3"/>
    <w:rsid w:val="000D2903"/>
    <w:rsid w:val="000D32D9"/>
    <w:rsid w:val="000D33CF"/>
    <w:rsid w:val="000D3AC1"/>
    <w:rsid w:val="000D54BF"/>
    <w:rsid w:val="000D604D"/>
    <w:rsid w:val="000D7434"/>
    <w:rsid w:val="000E0715"/>
    <w:rsid w:val="000E081B"/>
    <w:rsid w:val="000E1F62"/>
    <w:rsid w:val="000E211C"/>
    <w:rsid w:val="000E216A"/>
    <w:rsid w:val="000E22B1"/>
    <w:rsid w:val="000E2F0B"/>
    <w:rsid w:val="000E4587"/>
    <w:rsid w:val="000E63FB"/>
    <w:rsid w:val="000E6935"/>
    <w:rsid w:val="000F0205"/>
    <w:rsid w:val="000F09D2"/>
    <w:rsid w:val="000F4AD8"/>
    <w:rsid w:val="000F4EF6"/>
    <w:rsid w:val="000F5549"/>
    <w:rsid w:val="000F7E45"/>
    <w:rsid w:val="000F7E79"/>
    <w:rsid w:val="001008C5"/>
    <w:rsid w:val="001027B7"/>
    <w:rsid w:val="0010335B"/>
    <w:rsid w:val="001052A6"/>
    <w:rsid w:val="001071C5"/>
    <w:rsid w:val="00107FAF"/>
    <w:rsid w:val="001110AB"/>
    <w:rsid w:val="00112493"/>
    <w:rsid w:val="001125E6"/>
    <w:rsid w:val="001134FE"/>
    <w:rsid w:val="00113C89"/>
    <w:rsid w:val="00114636"/>
    <w:rsid w:val="00114B96"/>
    <w:rsid w:val="00114D66"/>
    <w:rsid w:val="00115168"/>
    <w:rsid w:val="00115F67"/>
    <w:rsid w:val="001168FD"/>
    <w:rsid w:val="00116A98"/>
    <w:rsid w:val="001214C3"/>
    <w:rsid w:val="001226C8"/>
    <w:rsid w:val="001226E7"/>
    <w:rsid w:val="00124E64"/>
    <w:rsid w:val="00125ECD"/>
    <w:rsid w:val="00126CE8"/>
    <w:rsid w:val="001301AD"/>
    <w:rsid w:val="001316C1"/>
    <w:rsid w:val="001318B3"/>
    <w:rsid w:val="00133012"/>
    <w:rsid w:val="001330A4"/>
    <w:rsid w:val="00135433"/>
    <w:rsid w:val="00135E24"/>
    <w:rsid w:val="00140F18"/>
    <w:rsid w:val="00142BE3"/>
    <w:rsid w:val="00143499"/>
    <w:rsid w:val="00144C4C"/>
    <w:rsid w:val="00144E0C"/>
    <w:rsid w:val="00145045"/>
    <w:rsid w:val="001454CA"/>
    <w:rsid w:val="0014607F"/>
    <w:rsid w:val="00146F70"/>
    <w:rsid w:val="001470CC"/>
    <w:rsid w:val="0014757F"/>
    <w:rsid w:val="0014792E"/>
    <w:rsid w:val="0015127E"/>
    <w:rsid w:val="00152FF1"/>
    <w:rsid w:val="00153520"/>
    <w:rsid w:val="00153C1E"/>
    <w:rsid w:val="0015494B"/>
    <w:rsid w:val="001550FA"/>
    <w:rsid w:val="001563DF"/>
    <w:rsid w:val="001568EC"/>
    <w:rsid w:val="00157E1C"/>
    <w:rsid w:val="00160675"/>
    <w:rsid w:val="0016110A"/>
    <w:rsid w:val="00162197"/>
    <w:rsid w:val="001623EE"/>
    <w:rsid w:val="00162F53"/>
    <w:rsid w:val="00164291"/>
    <w:rsid w:val="00164F71"/>
    <w:rsid w:val="00165060"/>
    <w:rsid w:val="00166862"/>
    <w:rsid w:val="00166AD6"/>
    <w:rsid w:val="00166FEC"/>
    <w:rsid w:val="00167B8D"/>
    <w:rsid w:val="001712EF"/>
    <w:rsid w:val="00173F53"/>
    <w:rsid w:val="00174757"/>
    <w:rsid w:val="00174D3B"/>
    <w:rsid w:val="0017599E"/>
    <w:rsid w:val="00177646"/>
    <w:rsid w:val="00177A44"/>
    <w:rsid w:val="00180090"/>
    <w:rsid w:val="0018025A"/>
    <w:rsid w:val="00180BF9"/>
    <w:rsid w:val="001813AB"/>
    <w:rsid w:val="00182635"/>
    <w:rsid w:val="00183033"/>
    <w:rsid w:val="001834DD"/>
    <w:rsid w:val="0018395F"/>
    <w:rsid w:val="00184A09"/>
    <w:rsid w:val="001862AC"/>
    <w:rsid w:val="001862AE"/>
    <w:rsid w:val="00186583"/>
    <w:rsid w:val="0018726D"/>
    <w:rsid w:val="00190760"/>
    <w:rsid w:val="001938FC"/>
    <w:rsid w:val="00194012"/>
    <w:rsid w:val="00194FD6"/>
    <w:rsid w:val="00196E49"/>
    <w:rsid w:val="00197BB5"/>
    <w:rsid w:val="001A020F"/>
    <w:rsid w:val="001A0866"/>
    <w:rsid w:val="001A0D1A"/>
    <w:rsid w:val="001A180F"/>
    <w:rsid w:val="001A25CE"/>
    <w:rsid w:val="001A2FC2"/>
    <w:rsid w:val="001A315D"/>
    <w:rsid w:val="001A3578"/>
    <w:rsid w:val="001A3E05"/>
    <w:rsid w:val="001A40EA"/>
    <w:rsid w:val="001A485C"/>
    <w:rsid w:val="001A5031"/>
    <w:rsid w:val="001A79A0"/>
    <w:rsid w:val="001B2255"/>
    <w:rsid w:val="001B36BF"/>
    <w:rsid w:val="001B36F0"/>
    <w:rsid w:val="001B3EAC"/>
    <w:rsid w:val="001B412F"/>
    <w:rsid w:val="001B4667"/>
    <w:rsid w:val="001B47D6"/>
    <w:rsid w:val="001B5C12"/>
    <w:rsid w:val="001B73DB"/>
    <w:rsid w:val="001B7FA6"/>
    <w:rsid w:val="001C4496"/>
    <w:rsid w:val="001C595F"/>
    <w:rsid w:val="001C6DDB"/>
    <w:rsid w:val="001D016F"/>
    <w:rsid w:val="001D0359"/>
    <w:rsid w:val="001D0A99"/>
    <w:rsid w:val="001D0C84"/>
    <w:rsid w:val="001D2AD6"/>
    <w:rsid w:val="001D3DBA"/>
    <w:rsid w:val="001D3E26"/>
    <w:rsid w:val="001D4DD2"/>
    <w:rsid w:val="001D5A98"/>
    <w:rsid w:val="001D5CB6"/>
    <w:rsid w:val="001D6064"/>
    <w:rsid w:val="001D62CE"/>
    <w:rsid w:val="001D6F56"/>
    <w:rsid w:val="001D7E39"/>
    <w:rsid w:val="001E0707"/>
    <w:rsid w:val="001E0EC5"/>
    <w:rsid w:val="001E1852"/>
    <w:rsid w:val="001E2578"/>
    <w:rsid w:val="001E2DF1"/>
    <w:rsid w:val="001E39D8"/>
    <w:rsid w:val="001E445F"/>
    <w:rsid w:val="001E4B27"/>
    <w:rsid w:val="001E51FA"/>
    <w:rsid w:val="001E5894"/>
    <w:rsid w:val="001E5B7F"/>
    <w:rsid w:val="001E5FBC"/>
    <w:rsid w:val="001F00AC"/>
    <w:rsid w:val="001F139E"/>
    <w:rsid w:val="001F27DE"/>
    <w:rsid w:val="001F2BB8"/>
    <w:rsid w:val="001F2F5D"/>
    <w:rsid w:val="001F3265"/>
    <w:rsid w:val="001F3AF6"/>
    <w:rsid w:val="001F3F29"/>
    <w:rsid w:val="001F5493"/>
    <w:rsid w:val="001F57A2"/>
    <w:rsid w:val="001F5E5C"/>
    <w:rsid w:val="001F77D6"/>
    <w:rsid w:val="001F7871"/>
    <w:rsid w:val="00200620"/>
    <w:rsid w:val="002010E7"/>
    <w:rsid w:val="0020212F"/>
    <w:rsid w:val="0020384E"/>
    <w:rsid w:val="00204006"/>
    <w:rsid w:val="00204C91"/>
    <w:rsid w:val="002050BC"/>
    <w:rsid w:val="00206003"/>
    <w:rsid w:val="00206065"/>
    <w:rsid w:val="002061CA"/>
    <w:rsid w:val="002076A4"/>
    <w:rsid w:val="00210B0B"/>
    <w:rsid w:val="00211BE7"/>
    <w:rsid w:val="00212991"/>
    <w:rsid w:val="00212BAE"/>
    <w:rsid w:val="00212F76"/>
    <w:rsid w:val="0021494E"/>
    <w:rsid w:val="00214AEE"/>
    <w:rsid w:val="00215222"/>
    <w:rsid w:val="00215302"/>
    <w:rsid w:val="002157AD"/>
    <w:rsid w:val="00215DD7"/>
    <w:rsid w:val="00217145"/>
    <w:rsid w:val="00221206"/>
    <w:rsid w:val="0022279E"/>
    <w:rsid w:val="0022294F"/>
    <w:rsid w:val="00223489"/>
    <w:rsid w:val="00223ECE"/>
    <w:rsid w:val="00224D6E"/>
    <w:rsid w:val="00225FAA"/>
    <w:rsid w:val="0022655A"/>
    <w:rsid w:val="00230C38"/>
    <w:rsid w:val="002314A4"/>
    <w:rsid w:val="00231F11"/>
    <w:rsid w:val="00232F79"/>
    <w:rsid w:val="00234195"/>
    <w:rsid w:val="002355B0"/>
    <w:rsid w:val="0024092D"/>
    <w:rsid w:val="002412E4"/>
    <w:rsid w:val="00241BF3"/>
    <w:rsid w:val="00241E91"/>
    <w:rsid w:val="00242FD0"/>
    <w:rsid w:val="0024305C"/>
    <w:rsid w:val="00243416"/>
    <w:rsid w:val="00243AA1"/>
    <w:rsid w:val="0024407F"/>
    <w:rsid w:val="00245B16"/>
    <w:rsid w:val="002463AF"/>
    <w:rsid w:val="002476E0"/>
    <w:rsid w:val="00247AFE"/>
    <w:rsid w:val="00250780"/>
    <w:rsid w:val="002507B9"/>
    <w:rsid w:val="002515B9"/>
    <w:rsid w:val="00251958"/>
    <w:rsid w:val="00251B43"/>
    <w:rsid w:val="0025288B"/>
    <w:rsid w:val="00253747"/>
    <w:rsid w:val="00254B84"/>
    <w:rsid w:val="00254F13"/>
    <w:rsid w:val="002565B1"/>
    <w:rsid w:val="002566E4"/>
    <w:rsid w:val="00256CA1"/>
    <w:rsid w:val="0025755E"/>
    <w:rsid w:val="00260285"/>
    <w:rsid w:val="00262346"/>
    <w:rsid w:val="00262E12"/>
    <w:rsid w:val="00263249"/>
    <w:rsid w:val="00263F93"/>
    <w:rsid w:val="0026406A"/>
    <w:rsid w:val="00264694"/>
    <w:rsid w:val="002651F7"/>
    <w:rsid w:val="00267503"/>
    <w:rsid w:val="00267C83"/>
    <w:rsid w:val="00267E13"/>
    <w:rsid w:val="002732C4"/>
    <w:rsid w:val="00274024"/>
    <w:rsid w:val="00276CCB"/>
    <w:rsid w:val="002777A1"/>
    <w:rsid w:val="00277A70"/>
    <w:rsid w:val="00277B06"/>
    <w:rsid w:val="00277F37"/>
    <w:rsid w:val="00280B54"/>
    <w:rsid w:val="00281628"/>
    <w:rsid w:val="00281E94"/>
    <w:rsid w:val="00282412"/>
    <w:rsid w:val="0028499A"/>
    <w:rsid w:val="00286079"/>
    <w:rsid w:val="00286F1A"/>
    <w:rsid w:val="00290CA5"/>
    <w:rsid w:val="00291B37"/>
    <w:rsid w:val="00292043"/>
    <w:rsid w:val="00292306"/>
    <w:rsid w:val="00294759"/>
    <w:rsid w:val="00294BE2"/>
    <w:rsid w:val="00294BF9"/>
    <w:rsid w:val="00294C9D"/>
    <w:rsid w:val="0029602F"/>
    <w:rsid w:val="0029667F"/>
    <w:rsid w:val="0029668D"/>
    <w:rsid w:val="00297199"/>
    <w:rsid w:val="002A05D5"/>
    <w:rsid w:val="002A1A66"/>
    <w:rsid w:val="002A3ED4"/>
    <w:rsid w:val="002A6F00"/>
    <w:rsid w:val="002B13B9"/>
    <w:rsid w:val="002B18BD"/>
    <w:rsid w:val="002B371C"/>
    <w:rsid w:val="002B5BE0"/>
    <w:rsid w:val="002B7297"/>
    <w:rsid w:val="002C12D4"/>
    <w:rsid w:val="002C1B28"/>
    <w:rsid w:val="002C1D7E"/>
    <w:rsid w:val="002C2D19"/>
    <w:rsid w:val="002C3120"/>
    <w:rsid w:val="002C3B39"/>
    <w:rsid w:val="002C3C4C"/>
    <w:rsid w:val="002C4434"/>
    <w:rsid w:val="002C4FE9"/>
    <w:rsid w:val="002C594B"/>
    <w:rsid w:val="002C5957"/>
    <w:rsid w:val="002D0A0E"/>
    <w:rsid w:val="002D1945"/>
    <w:rsid w:val="002D32F6"/>
    <w:rsid w:val="002D391B"/>
    <w:rsid w:val="002D4857"/>
    <w:rsid w:val="002D55C1"/>
    <w:rsid w:val="002D5E90"/>
    <w:rsid w:val="002D66A2"/>
    <w:rsid w:val="002D6BB6"/>
    <w:rsid w:val="002D75FB"/>
    <w:rsid w:val="002D775F"/>
    <w:rsid w:val="002E16F2"/>
    <w:rsid w:val="002E281B"/>
    <w:rsid w:val="002E2BE8"/>
    <w:rsid w:val="002E525E"/>
    <w:rsid w:val="002E5DFF"/>
    <w:rsid w:val="002E6668"/>
    <w:rsid w:val="002E679C"/>
    <w:rsid w:val="002E6E23"/>
    <w:rsid w:val="002E7DA8"/>
    <w:rsid w:val="002F0766"/>
    <w:rsid w:val="002F0818"/>
    <w:rsid w:val="002F0F66"/>
    <w:rsid w:val="002F2373"/>
    <w:rsid w:val="002F261E"/>
    <w:rsid w:val="002F33B2"/>
    <w:rsid w:val="002F369F"/>
    <w:rsid w:val="002F6DF6"/>
    <w:rsid w:val="002F7203"/>
    <w:rsid w:val="003005E8"/>
    <w:rsid w:val="00300E73"/>
    <w:rsid w:val="003015C7"/>
    <w:rsid w:val="00302820"/>
    <w:rsid w:val="00302977"/>
    <w:rsid w:val="00302CF8"/>
    <w:rsid w:val="00302DC4"/>
    <w:rsid w:val="00304A9C"/>
    <w:rsid w:val="003052C2"/>
    <w:rsid w:val="00305BC4"/>
    <w:rsid w:val="00307777"/>
    <w:rsid w:val="00310089"/>
    <w:rsid w:val="003100A6"/>
    <w:rsid w:val="003128CA"/>
    <w:rsid w:val="00312A83"/>
    <w:rsid w:val="0031334A"/>
    <w:rsid w:val="003133C9"/>
    <w:rsid w:val="00315153"/>
    <w:rsid w:val="003157E0"/>
    <w:rsid w:val="00317A8F"/>
    <w:rsid w:val="00317C45"/>
    <w:rsid w:val="0032023B"/>
    <w:rsid w:val="00320B31"/>
    <w:rsid w:val="00320FEF"/>
    <w:rsid w:val="003221DE"/>
    <w:rsid w:val="0032225A"/>
    <w:rsid w:val="0032236C"/>
    <w:rsid w:val="003224CB"/>
    <w:rsid w:val="003227C2"/>
    <w:rsid w:val="00322E9A"/>
    <w:rsid w:val="003253E9"/>
    <w:rsid w:val="00325B23"/>
    <w:rsid w:val="00325D74"/>
    <w:rsid w:val="00326D72"/>
    <w:rsid w:val="003279C8"/>
    <w:rsid w:val="00330487"/>
    <w:rsid w:val="0033192E"/>
    <w:rsid w:val="003320F7"/>
    <w:rsid w:val="0033423E"/>
    <w:rsid w:val="00334677"/>
    <w:rsid w:val="00334BB1"/>
    <w:rsid w:val="00335F4D"/>
    <w:rsid w:val="00340085"/>
    <w:rsid w:val="00340E24"/>
    <w:rsid w:val="00341257"/>
    <w:rsid w:val="00341343"/>
    <w:rsid w:val="00341836"/>
    <w:rsid w:val="0034386B"/>
    <w:rsid w:val="00343D45"/>
    <w:rsid w:val="003442A1"/>
    <w:rsid w:val="00344B39"/>
    <w:rsid w:val="00344EA6"/>
    <w:rsid w:val="00345130"/>
    <w:rsid w:val="003451B0"/>
    <w:rsid w:val="00345B05"/>
    <w:rsid w:val="00345F56"/>
    <w:rsid w:val="003463CD"/>
    <w:rsid w:val="0034671C"/>
    <w:rsid w:val="00346EFE"/>
    <w:rsid w:val="00350545"/>
    <w:rsid w:val="00350CCA"/>
    <w:rsid w:val="00351000"/>
    <w:rsid w:val="00351A1E"/>
    <w:rsid w:val="00353EC6"/>
    <w:rsid w:val="00356441"/>
    <w:rsid w:val="003575EC"/>
    <w:rsid w:val="00357E6E"/>
    <w:rsid w:val="00360714"/>
    <w:rsid w:val="00360BC2"/>
    <w:rsid w:val="00364162"/>
    <w:rsid w:val="00365486"/>
    <w:rsid w:val="00366162"/>
    <w:rsid w:val="003674B1"/>
    <w:rsid w:val="003709A2"/>
    <w:rsid w:val="00370E8D"/>
    <w:rsid w:val="00371646"/>
    <w:rsid w:val="0037167B"/>
    <w:rsid w:val="003721C6"/>
    <w:rsid w:val="00376768"/>
    <w:rsid w:val="003806FB"/>
    <w:rsid w:val="00380A9F"/>
    <w:rsid w:val="00381152"/>
    <w:rsid w:val="00381EE6"/>
    <w:rsid w:val="00382118"/>
    <w:rsid w:val="0038246F"/>
    <w:rsid w:val="0038271B"/>
    <w:rsid w:val="003833AD"/>
    <w:rsid w:val="00383B95"/>
    <w:rsid w:val="00383C3B"/>
    <w:rsid w:val="00383E27"/>
    <w:rsid w:val="003852FD"/>
    <w:rsid w:val="00385BB7"/>
    <w:rsid w:val="003866A7"/>
    <w:rsid w:val="00387524"/>
    <w:rsid w:val="0039045D"/>
    <w:rsid w:val="0039063F"/>
    <w:rsid w:val="00391151"/>
    <w:rsid w:val="00392AA9"/>
    <w:rsid w:val="00393801"/>
    <w:rsid w:val="00394FA6"/>
    <w:rsid w:val="00395197"/>
    <w:rsid w:val="00395C27"/>
    <w:rsid w:val="00395CBC"/>
    <w:rsid w:val="00396354"/>
    <w:rsid w:val="00397060"/>
    <w:rsid w:val="00397B8C"/>
    <w:rsid w:val="00399C7D"/>
    <w:rsid w:val="003A03D2"/>
    <w:rsid w:val="003A08BE"/>
    <w:rsid w:val="003A29A8"/>
    <w:rsid w:val="003A2ED7"/>
    <w:rsid w:val="003A2EED"/>
    <w:rsid w:val="003A4997"/>
    <w:rsid w:val="003A4DF2"/>
    <w:rsid w:val="003A61AC"/>
    <w:rsid w:val="003A78F6"/>
    <w:rsid w:val="003AC16F"/>
    <w:rsid w:val="003B406E"/>
    <w:rsid w:val="003B4257"/>
    <w:rsid w:val="003B44A7"/>
    <w:rsid w:val="003B4EAB"/>
    <w:rsid w:val="003B5D49"/>
    <w:rsid w:val="003B6959"/>
    <w:rsid w:val="003B6A6B"/>
    <w:rsid w:val="003B71C9"/>
    <w:rsid w:val="003B7D0E"/>
    <w:rsid w:val="003C147E"/>
    <w:rsid w:val="003C19B5"/>
    <w:rsid w:val="003C2197"/>
    <w:rsid w:val="003C224E"/>
    <w:rsid w:val="003C237C"/>
    <w:rsid w:val="003C2C23"/>
    <w:rsid w:val="003C39FA"/>
    <w:rsid w:val="003C3B5F"/>
    <w:rsid w:val="003C4288"/>
    <w:rsid w:val="003C4606"/>
    <w:rsid w:val="003C6675"/>
    <w:rsid w:val="003C67BF"/>
    <w:rsid w:val="003D2923"/>
    <w:rsid w:val="003D529D"/>
    <w:rsid w:val="003D539C"/>
    <w:rsid w:val="003E162A"/>
    <w:rsid w:val="003E23D5"/>
    <w:rsid w:val="003E23FB"/>
    <w:rsid w:val="003E5E12"/>
    <w:rsid w:val="003E66A5"/>
    <w:rsid w:val="003E701B"/>
    <w:rsid w:val="003F06BD"/>
    <w:rsid w:val="003F0D39"/>
    <w:rsid w:val="003F152C"/>
    <w:rsid w:val="003F1E8F"/>
    <w:rsid w:val="003F22BA"/>
    <w:rsid w:val="003F300D"/>
    <w:rsid w:val="003F4D7D"/>
    <w:rsid w:val="003F5BDE"/>
    <w:rsid w:val="003F6477"/>
    <w:rsid w:val="003F66BB"/>
    <w:rsid w:val="003F69C2"/>
    <w:rsid w:val="0040079C"/>
    <w:rsid w:val="0040147E"/>
    <w:rsid w:val="004025C3"/>
    <w:rsid w:val="00402731"/>
    <w:rsid w:val="004027EB"/>
    <w:rsid w:val="00403486"/>
    <w:rsid w:val="00403715"/>
    <w:rsid w:val="00403AC1"/>
    <w:rsid w:val="00403CD3"/>
    <w:rsid w:val="004044E6"/>
    <w:rsid w:val="00404E3F"/>
    <w:rsid w:val="00405B20"/>
    <w:rsid w:val="00405BAA"/>
    <w:rsid w:val="00406EE6"/>
    <w:rsid w:val="00407DDD"/>
    <w:rsid w:val="00410543"/>
    <w:rsid w:val="00410CC6"/>
    <w:rsid w:val="00410DD8"/>
    <w:rsid w:val="004115CA"/>
    <w:rsid w:val="00411E2D"/>
    <w:rsid w:val="00412D01"/>
    <w:rsid w:val="00413279"/>
    <w:rsid w:val="004150B0"/>
    <w:rsid w:val="00415398"/>
    <w:rsid w:val="00415A5B"/>
    <w:rsid w:val="00415C74"/>
    <w:rsid w:val="00416741"/>
    <w:rsid w:val="0041684A"/>
    <w:rsid w:val="004173B1"/>
    <w:rsid w:val="00417942"/>
    <w:rsid w:val="00417C46"/>
    <w:rsid w:val="00420459"/>
    <w:rsid w:val="00420A38"/>
    <w:rsid w:val="00421874"/>
    <w:rsid w:val="0042370E"/>
    <w:rsid w:val="00423FAE"/>
    <w:rsid w:val="004243ED"/>
    <w:rsid w:val="00424789"/>
    <w:rsid w:val="00424D0D"/>
    <w:rsid w:val="004259DA"/>
    <w:rsid w:val="0042608D"/>
    <w:rsid w:val="004272E9"/>
    <w:rsid w:val="00427B6A"/>
    <w:rsid w:val="00430622"/>
    <w:rsid w:val="00430F3F"/>
    <w:rsid w:val="004313CD"/>
    <w:rsid w:val="004327F8"/>
    <w:rsid w:val="00432971"/>
    <w:rsid w:val="0043394D"/>
    <w:rsid w:val="004342A6"/>
    <w:rsid w:val="00435B10"/>
    <w:rsid w:val="004364DD"/>
    <w:rsid w:val="00436AA7"/>
    <w:rsid w:val="00436E74"/>
    <w:rsid w:val="00436EBB"/>
    <w:rsid w:val="004375EB"/>
    <w:rsid w:val="00440234"/>
    <w:rsid w:val="00440AB4"/>
    <w:rsid w:val="004416C3"/>
    <w:rsid w:val="0044224F"/>
    <w:rsid w:val="00442B5F"/>
    <w:rsid w:val="004439B3"/>
    <w:rsid w:val="00443D02"/>
    <w:rsid w:val="00443E31"/>
    <w:rsid w:val="00443F89"/>
    <w:rsid w:val="00446AE8"/>
    <w:rsid w:val="00446CD6"/>
    <w:rsid w:val="00446D7C"/>
    <w:rsid w:val="00446EFF"/>
    <w:rsid w:val="0045199E"/>
    <w:rsid w:val="00451A87"/>
    <w:rsid w:val="00452AE9"/>
    <w:rsid w:val="00453244"/>
    <w:rsid w:val="00457A0C"/>
    <w:rsid w:val="00457FCF"/>
    <w:rsid w:val="00460367"/>
    <w:rsid w:val="0046275A"/>
    <w:rsid w:val="00463F8C"/>
    <w:rsid w:val="004655E7"/>
    <w:rsid w:val="00465DB6"/>
    <w:rsid w:val="00466AFB"/>
    <w:rsid w:val="00470127"/>
    <w:rsid w:val="00470818"/>
    <w:rsid w:val="0047112F"/>
    <w:rsid w:val="004719B0"/>
    <w:rsid w:val="00471EF6"/>
    <w:rsid w:val="0047261C"/>
    <w:rsid w:val="0047349F"/>
    <w:rsid w:val="004738B6"/>
    <w:rsid w:val="00473D78"/>
    <w:rsid w:val="00474F5F"/>
    <w:rsid w:val="00476393"/>
    <w:rsid w:val="004800CC"/>
    <w:rsid w:val="0048010A"/>
    <w:rsid w:val="004804FA"/>
    <w:rsid w:val="00482A83"/>
    <w:rsid w:val="00482B0B"/>
    <w:rsid w:val="00483B19"/>
    <w:rsid w:val="00485AFD"/>
    <w:rsid w:val="00486EFD"/>
    <w:rsid w:val="00487CCB"/>
    <w:rsid w:val="004917EA"/>
    <w:rsid w:val="0049205A"/>
    <w:rsid w:val="00492A11"/>
    <w:rsid w:val="00492AC9"/>
    <w:rsid w:val="00492D61"/>
    <w:rsid w:val="004938CD"/>
    <w:rsid w:val="004950A4"/>
    <w:rsid w:val="004961E3"/>
    <w:rsid w:val="00496B82"/>
    <w:rsid w:val="00496DB8"/>
    <w:rsid w:val="00497062"/>
    <w:rsid w:val="004A1051"/>
    <w:rsid w:val="004A1182"/>
    <w:rsid w:val="004A198F"/>
    <w:rsid w:val="004A2158"/>
    <w:rsid w:val="004A2AFF"/>
    <w:rsid w:val="004A2B43"/>
    <w:rsid w:val="004A42F9"/>
    <w:rsid w:val="004A4911"/>
    <w:rsid w:val="004A4F13"/>
    <w:rsid w:val="004A55D4"/>
    <w:rsid w:val="004A5BDB"/>
    <w:rsid w:val="004A6041"/>
    <w:rsid w:val="004A6674"/>
    <w:rsid w:val="004A6678"/>
    <w:rsid w:val="004A73D6"/>
    <w:rsid w:val="004A7C8A"/>
    <w:rsid w:val="004B01D5"/>
    <w:rsid w:val="004B072D"/>
    <w:rsid w:val="004B0E1C"/>
    <w:rsid w:val="004B2571"/>
    <w:rsid w:val="004B49D3"/>
    <w:rsid w:val="004B5E8C"/>
    <w:rsid w:val="004B6082"/>
    <w:rsid w:val="004B6643"/>
    <w:rsid w:val="004B6997"/>
    <w:rsid w:val="004B6AF3"/>
    <w:rsid w:val="004B7688"/>
    <w:rsid w:val="004B7C47"/>
    <w:rsid w:val="004C00FA"/>
    <w:rsid w:val="004C0A5B"/>
    <w:rsid w:val="004C1942"/>
    <w:rsid w:val="004C1CA3"/>
    <w:rsid w:val="004C2C47"/>
    <w:rsid w:val="004C3E2F"/>
    <w:rsid w:val="004C4102"/>
    <w:rsid w:val="004C4EC5"/>
    <w:rsid w:val="004C4EE9"/>
    <w:rsid w:val="004C7540"/>
    <w:rsid w:val="004D08FF"/>
    <w:rsid w:val="004D0CE7"/>
    <w:rsid w:val="004D276F"/>
    <w:rsid w:val="004D355C"/>
    <w:rsid w:val="004D3F55"/>
    <w:rsid w:val="004D4CD4"/>
    <w:rsid w:val="004D587C"/>
    <w:rsid w:val="004D7F0F"/>
    <w:rsid w:val="004D7F6D"/>
    <w:rsid w:val="004E0DF8"/>
    <w:rsid w:val="004E2068"/>
    <w:rsid w:val="004E2641"/>
    <w:rsid w:val="004E4354"/>
    <w:rsid w:val="004E4C75"/>
    <w:rsid w:val="004E5130"/>
    <w:rsid w:val="004E574E"/>
    <w:rsid w:val="004E57C4"/>
    <w:rsid w:val="004E7244"/>
    <w:rsid w:val="004E74EE"/>
    <w:rsid w:val="004E7669"/>
    <w:rsid w:val="004E7AE0"/>
    <w:rsid w:val="004E7CC2"/>
    <w:rsid w:val="004F0783"/>
    <w:rsid w:val="004F1D6C"/>
    <w:rsid w:val="004F335A"/>
    <w:rsid w:val="004F583D"/>
    <w:rsid w:val="004F68C3"/>
    <w:rsid w:val="004F7660"/>
    <w:rsid w:val="00501ABD"/>
    <w:rsid w:val="00501D04"/>
    <w:rsid w:val="0050393C"/>
    <w:rsid w:val="005041B6"/>
    <w:rsid w:val="0050489C"/>
    <w:rsid w:val="00505D41"/>
    <w:rsid w:val="00505FF0"/>
    <w:rsid w:val="00507253"/>
    <w:rsid w:val="00507B03"/>
    <w:rsid w:val="00507C5A"/>
    <w:rsid w:val="005119FE"/>
    <w:rsid w:val="0051273A"/>
    <w:rsid w:val="0051360B"/>
    <w:rsid w:val="005148EE"/>
    <w:rsid w:val="0051520A"/>
    <w:rsid w:val="0051694D"/>
    <w:rsid w:val="00516A4C"/>
    <w:rsid w:val="005177F5"/>
    <w:rsid w:val="00520195"/>
    <w:rsid w:val="00520E65"/>
    <w:rsid w:val="005218C9"/>
    <w:rsid w:val="005223B1"/>
    <w:rsid w:val="0052395A"/>
    <w:rsid w:val="00523BD0"/>
    <w:rsid w:val="00524123"/>
    <w:rsid w:val="00525014"/>
    <w:rsid w:val="005259E9"/>
    <w:rsid w:val="0052711C"/>
    <w:rsid w:val="00527A00"/>
    <w:rsid w:val="005301B3"/>
    <w:rsid w:val="005301BB"/>
    <w:rsid w:val="00530ACE"/>
    <w:rsid w:val="00530B0F"/>
    <w:rsid w:val="0053110A"/>
    <w:rsid w:val="0053187E"/>
    <w:rsid w:val="005323DB"/>
    <w:rsid w:val="00532DC1"/>
    <w:rsid w:val="00533280"/>
    <w:rsid w:val="005335EE"/>
    <w:rsid w:val="00534CF2"/>
    <w:rsid w:val="00536385"/>
    <w:rsid w:val="00536DC6"/>
    <w:rsid w:val="00540738"/>
    <w:rsid w:val="005416C9"/>
    <w:rsid w:val="00542FA6"/>
    <w:rsid w:val="00543933"/>
    <w:rsid w:val="005439FD"/>
    <w:rsid w:val="00544007"/>
    <w:rsid w:val="00544040"/>
    <w:rsid w:val="00544590"/>
    <w:rsid w:val="005446F5"/>
    <w:rsid w:val="005448DC"/>
    <w:rsid w:val="00546FEB"/>
    <w:rsid w:val="00547553"/>
    <w:rsid w:val="00550312"/>
    <w:rsid w:val="005506B0"/>
    <w:rsid w:val="005507AB"/>
    <w:rsid w:val="00551012"/>
    <w:rsid w:val="0055120A"/>
    <w:rsid w:val="005527C0"/>
    <w:rsid w:val="005528EF"/>
    <w:rsid w:val="00552C3B"/>
    <w:rsid w:val="00552D66"/>
    <w:rsid w:val="005544D9"/>
    <w:rsid w:val="00554A83"/>
    <w:rsid w:val="00555D17"/>
    <w:rsid w:val="005563D9"/>
    <w:rsid w:val="0055690E"/>
    <w:rsid w:val="005571C5"/>
    <w:rsid w:val="0056139C"/>
    <w:rsid w:val="00561D98"/>
    <w:rsid w:val="00562818"/>
    <w:rsid w:val="005628A4"/>
    <w:rsid w:val="00565915"/>
    <w:rsid w:val="00566719"/>
    <w:rsid w:val="00566994"/>
    <w:rsid w:val="00567482"/>
    <w:rsid w:val="00567707"/>
    <w:rsid w:val="00571E6D"/>
    <w:rsid w:val="00571F3C"/>
    <w:rsid w:val="005720F4"/>
    <w:rsid w:val="00572BCF"/>
    <w:rsid w:val="005759A4"/>
    <w:rsid w:val="00575DD0"/>
    <w:rsid w:val="00577520"/>
    <w:rsid w:val="00582B07"/>
    <w:rsid w:val="00584627"/>
    <w:rsid w:val="00586339"/>
    <w:rsid w:val="005871E6"/>
    <w:rsid w:val="00587284"/>
    <w:rsid w:val="005900AE"/>
    <w:rsid w:val="00592BAE"/>
    <w:rsid w:val="00592D95"/>
    <w:rsid w:val="005943F0"/>
    <w:rsid w:val="00594537"/>
    <w:rsid w:val="00594F6B"/>
    <w:rsid w:val="005962B9"/>
    <w:rsid w:val="00596510"/>
    <w:rsid w:val="005976C8"/>
    <w:rsid w:val="00597F07"/>
    <w:rsid w:val="005A047B"/>
    <w:rsid w:val="005A29BB"/>
    <w:rsid w:val="005A29BC"/>
    <w:rsid w:val="005A36F3"/>
    <w:rsid w:val="005A3C7B"/>
    <w:rsid w:val="005A5123"/>
    <w:rsid w:val="005A63A1"/>
    <w:rsid w:val="005A7115"/>
    <w:rsid w:val="005B01C0"/>
    <w:rsid w:val="005B1364"/>
    <w:rsid w:val="005B1DFA"/>
    <w:rsid w:val="005B2293"/>
    <w:rsid w:val="005B262B"/>
    <w:rsid w:val="005B2869"/>
    <w:rsid w:val="005B2AB9"/>
    <w:rsid w:val="005B328F"/>
    <w:rsid w:val="005B57FE"/>
    <w:rsid w:val="005B666E"/>
    <w:rsid w:val="005B7271"/>
    <w:rsid w:val="005B7E48"/>
    <w:rsid w:val="005C045E"/>
    <w:rsid w:val="005C0DA7"/>
    <w:rsid w:val="005C1B35"/>
    <w:rsid w:val="005C2836"/>
    <w:rsid w:val="005C3277"/>
    <w:rsid w:val="005C3EAF"/>
    <w:rsid w:val="005C4378"/>
    <w:rsid w:val="005C48E5"/>
    <w:rsid w:val="005C4B83"/>
    <w:rsid w:val="005C5677"/>
    <w:rsid w:val="005C5EB4"/>
    <w:rsid w:val="005C7C27"/>
    <w:rsid w:val="005D0F38"/>
    <w:rsid w:val="005D1A5C"/>
    <w:rsid w:val="005D2DAA"/>
    <w:rsid w:val="005D3075"/>
    <w:rsid w:val="005D3BEA"/>
    <w:rsid w:val="005D5DCB"/>
    <w:rsid w:val="005D6E16"/>
    <w:rsid w:val="005D7EEA"/>
    <w:rsid w:val="005E04AC"/>
    <w:rsid w:val="005E2266"/>
    <w:rsid w:val="005E2799"/>
    <w:rsid w:val="005E3498"/>
    <w:rsid w:val="005E44F7"/>
    <w:rsid w:val="005E4CAC"/>
    <w:rsid w:val="005F1207"/>
    <w:rsid w:val="005F2E41"/>
    <w:rsid w:val="005F690D"/>
    <w:rsid w:val="005F757B"/>
    <w:rsid w:val="005F7ADB"/>
    <w:rsid w:val="00600448"/>
    <w:rsid w:val="006010EC"/>
    <w:rsid w:val="006015C0"/>
    <w:rsid w:val="00601A60"/>
    <w:rsid w:val="006023AA"/>
    <w:rsid w:val="00603EFF"/>
    <w:rsid w:val="006048B9"/>
    <w:rsid w:val="00606668"/>
    <w:rsid w:val="00606675"/>
    <w:rsid w:val="00606AA1"/>
    <w:rsid w:val="00606D80"/>
    <w:rsid w:val="00607205"/>
    <w:rsid w:val="0060746C"/>
    <w:rsid w:val="006101F9"/>
    <w:rsid w:val="0061095A"/>
    <w:rsid w:val="00611273"/>
    <w:rsid w:val="00613F38"/>
    <w:rsid w:val="00616955"/>
    <w:rsid w:val="00617A90"/>
    <w:rsid w:val="00617BA0"/>
    <w:rsid w:val="006217A9"/>
    <w:rsid w:val="006223E1"/>
    <w:rsid w:val="00623D11"/>
    <w:rsid w:val="00624B6B"/>
    <w:rsid w:val="00625D37"/>
    <w:rsid w:val="0063127F"/>
    <w:rsid w:val="00631581"/>
    <w:rsid w:val="006320F1"/>
    <w:rsid w:val="006323F3"/>
    <w:rsid w:val="006325A7"/>
    <w:rsid w:val="00634804"/>
    <w:rsid w:val="00634D84"/>
    <w:rsid w:val="006355F0"/>
    <w:rsid w:val="00635A0C"/>
    <w:rsid w:val="00637D70"/>
    <w:rsid w:val="0064184E"/>
    <w:rsid w:val="00641C16"/>
    <w:rsid w:val="006426DF"/>
    <w:rsid w:val="006434C6"/>
    <w:rsid w:val="00644376"/>
    <w:rsid w:val="00644A7D"/>
    <w:rsid w:val="00645073"/>
    <w:rsid w:val="006456B4"/>
    <w:rsid w:val="00645A55"/>
    <w:rsid w:val="00646E19"/>
    <w:rsid w:val="00647CE0"/>
    <w:rsid w:val="00650D4E"/>
    <w:rsid w:val="00651751"/>
    <w:rsid w:val="00651A1E"/>
    <w:rsid w:val="006529CE"/>
    <w:rsid w:val="00653006"/>
    <w:rsid w:val="0065360F"/>
    <w:rsid w:val="0065472F"/>
    <w:rsid w:val="00654BE4"/>
    <w:rsid w:val="00655C86"/>
    <w:rsid w:val="00655D1E"/>
    <w:rsid w:val="00656202"/>
    <w:rsid w:val="006571B3"/>
    <w:rsid w:val="006615E3"/>
    <w:rsid w:val="00661B5F"/>
    <w:rsid w:val="006623D4"/>
    <w:rsid w:val="006628EF"/>
    <w:rsid w:val="006638BE"/>
    <w:rsid w:val="0066461D"/>
    <w:rsid w:val="006647DD"/>
    <w:rsid w:val="00665531"/>
    <w:rsid w:val="0066589B"/>
    <w:rsid w:val="00670029"/>
    <w:rsid w:val="0067036B"/>
    <w:rsid w:val="00671AED"/>
    <w:rsid w:val="00672A49"/>
    <w:rsid w:val="00672B29"/>
    <w:rsid w:val="00673FBA"/>
    <w:rsid w:val="0067404D"/>
    <w:rsid w:val="00674F79"/>
    <w:rsid w:val="0067559A"/>
    <w:rsid w:val="00677AC1"/>
    <w:rsid w:val="00680A6B"/>
    <w:rsid w:val="0068107A"/>
    <w:rsid w:val="00681375"/>
    <w:rsid w:val="00681FC3"/>
    <w:rsid w:val="0068332B"/>
    <w:rsid w:val="006837EB"/>
    <w:rsid w:val="00685C88"/>
    <w:rsid w:val="00686189"/>
    <w:rsid w:val="00687371"/>
    <w:rsid w:val="00687FF0"/>
    <w:rsid w:val="0069087B"/>
    <w:rsid w:val="00690E18"/>
    <w:rsid w:val="00691454"/>
    <w:rsid w:val="00691769"/>
    <w:rsid w:val="006928A2"/>
    <w:rsid w:val="0069382F"/>
    <w:rsid w:val="00696215"/>
    <w:rsid w:val="006A0188"/>
    <w:rsid w:val="006A2474"/>
    <w:rsid w:val="006A36D3"/>
    <w:rsid w:val="006A3BFA"/>
    <w:rsid w:val="006A4442"/>
    <w:rsid w:val="006A70D8"/>
    <w:rsid w:val="006A71DE"/>
    <w:rsid w:val="006A7A2F"/>
    <w:rsid w:val="006B3072"/>
    <w:rsid w:val="006B35F8"/>
    <w:rsid w:val="006B3A6B"/>
    <w:rsid w:val="006B48D6"/>
    <w:rsid w:val="006B5D7E"/>
    <w:rsid w:val="006B6E1A"/>
    <w:rsid w:val="006B70C2"/>
    <w:rsid w:val="006B732C"/>
    <w:rsid w:val="006B79EE"/>
    <w:rsid w:val="006B7D7C"/>
    <w:rsid w:val="006C0248"/>
    <w:rsid w:val="006C0842"/>
    <w:rsid w:val="006C1232"/>
    <w:rsid w:val="006C14C1"/>
    <w:rsid w:val="006C1A03"/>
    <w:rsid w:val="006C1C54"/>
    <w:rsid w:val="006C2A8A"/>
    <w:rsid w:val="006C31E8"/>
    <w:rsid w:val="006C428B"/>
    <w:rsid w:val="006C439F"/>
    <w:rsid w:val="006C44F0"/>
    <w:rsid w:val="006C4AF3"/>
    <w:rsid w:val="006C4BCE"/>
    <w:rsid w:val="006C4EFB"/>
    <w:rsid w:val="006C5928"/>
    <w:rsid w:val="006C5A26"/>
    <w:rsid w:val="006C6628"/>
    <w:rsid w:val="006C6A20"/>
    <w:rsid w:val="006D01BD"/>
    <w:rsid w:val="006D0FC0"/>
    <w:rsid w:val="006D1BE5"/>
    <w:rsid w:val="006D1F9E"/>
    <w:rsid w:val="006D245F"/>
    <w:rsid w:val="006D260E"/>
    <w:rsid w:val="006D3448"/>
    <w:rsid w:val="006D3CF0"/>
    <w:rsid w:val="006D3E5E"/>
    <w:rsid w:val="006D40E3"/>
    <w:rsid w:val="006D54E1"/>
    <w:rsid w:val="006D5E71"/>
    <w:rsid w:val="006E04C6"/>
    <w:rsid w:val="006E1563"/>
    <w:rsid w:val="006E288B"/>
    <w:rsid w:val="006E2F18"/>
    <w:rsid w:val="006E3137"/>
    <w:rsid w:val="006E39C2"/>
    <w:rsid w:val="006E4418"/>
    <w:rsid w:val="006E5442"/>
    <w:rsid w:val="006E5B8A"/>
    <w:rsid w:val="006E63D7"/>
    <w:rsid w:val="006E78BC"/>
    <w:rsid w:val="006F00EA"/>
    <w:rsid w:val="006F030D"/>
    <w:rsid w:val="006F1C06"/>
    <w:rsid w:val="006F2969"/>
    <w:rsid w:val="006F4059"/>
    <w:rsid w:val="006F4A84"/>
    <w:rsid w:val="006F567E"/>
    <w:rsid w:val="006F66C2"/>
    <w:rsid w:val="006F67CC"/>
    <w:rsid w:val="006F78FD"/>
    <w:rsid w:val="006F7D8A"/>
    <w:rsid w:val="006F7F4E"/>
    <w:rsid w:val="007019DD"/>
    <w:rsid w:val="007032BE"/>
    <w:rsid w:val="00704607"/>
    <w:rsid w:val="00704F52"/>
    <w:rsid w:val="00705C91"/>
    <w:rsid w:val="00707419"/>
    <w:rsid w:val="00711444"/>
    <w:rsid w:val="0071194F"/>
    <w:rsid w:val="00711FEB"/>
    <w:rsid w:val="007126A4"/>
    <w:rsid w:val="0071276B"/>
    <w:rsid w:val="007135FF"/>
    <w:rsid w:val="007165AA"/>
    <w:rsid w:val="00716906"/>
    <w:rsid w:val="0071707D"/>
    <w:rsid w:val="00717083"/>
    <w:rsid w:val="00717614"/>
    <w:rsid w:val="00717751"/>
    <w:rsid w:val="007206A9"/>
    <w:rsid w:val="00721729"/>
    <w:rsid w:val="00724101"/>
    <w:rsid w:val="00724457"/>
    <w:rsid w:val="00724DAB"/>
    <w:rsid w:val="00725197"/>
    <w:rsid w:val="007266AA"/>
    <w:rsid w:val="00726720"/>
    <w:rsid w:val="007268D4"/>
    <w:rsid w:val="00727134"/>
    <w:rsid w:val="007272CE"/>
    <w:rsid w:val="00727E81"/>
    <w:rsid w:val="00731312"/>
    <w:rsid w:val="0073134C"/>
    <w:rsid w:val="0073204A"/>
    <w:rsid w:val="007320EF"/>
    <w:rsid w:val="00732179"/>
    <w:rsid w:val="0073393D"/>
    <w:rsid w:val="007356F8"/>
    <w:rsid w:val="0073640A"/>
    <w:rsid w:val="0073705E"/>
    <w:rsid w:val="00741437"/>
    <w:rsid w:val="00741D2F"/>
    <w:rsid w:val="00742EBA"/>
    <w:rsid w:val="007435C7"/>
    <w:rsid w:val="0074372B"/>
    <w:rsid w:val="00743E5A"/>
    <w:rsid w:val="00745CCA"/>
    <w:rsid w:val="00745D89"/>
    <w:rsid w:val="00746940"/>
    <w:rsid w:val="00746CAC"/>
    <w:rsid w:val="00746D0C"/>
    <w:rsid w:val="00747F2C"/>
    <w:rsid w:val="0075006D"/>
    <w:rsid w:val="0075162B"/>
    <w:rsid w:val="0075258F"/>
    <w:rsid w:val="007529A3"/>
    <w:rsid w:val="00754F52"/>
    <w:rsid w:val="007614E1"/>
    <w:rsid w:val="00761558"/>
    <w:rsid w:val="0076170A"/>
    <w:rsid w:val="00762242"/>
    <w:rsid w:val="007627C5"/>
    <w:rsid w:val="007628E1"/>
    <w:rsid w:val="00763943"/>
    <w:rsid w:val="007640EE"/>
    <w:rsid w:val="0076469C"/>
    <w:rsid w:val="00765675"/>
    <w:rsid w:val="00770814"/>
    <w:rsid w:val="00771599"/>
    <w:rsid w:val="00771742"/>
    <w:rsid w:val="00771F8E"/>
    <w:rsid w:val="007728A2"/>
    <w:rsid w:val="00772D2D"/>
    <w:rsid w:val="00775758"/>
    <w:rsid w:val="00777142"/>
    <w:rsid w:val="00780B3A"/>
    <w:rsid w:val="00784590"/>
    <w:rsid w:val="00784681"/>
    <w:rsid w:val="00787C06"/>
    <w:rsid w:val="0079008E"/>
    <w:rsid w:val="0079045E"/>
    <w:rsid w:val="00790952"/>
    <w:rsid w:val="007927A1"/>
    <w:rsid w:val="00794834"/>
    <w:rsid w:val="00795137"/>
    <w:rsid w:val="0079530F"/>
    <w:rsid w:val="00795D26"/>
    <w:rsid w:val="00795D86"/>
    <w:rsid w:val="00796E97"/>
    <w:rsid w:val="007970D2"/>
    <w:rsid w:val="00797B2B"/>
    <w:rsid w:val="007A0739"/>
    <w:rsid w:val="007A1378"/>
    <w:rsid w:val="007A15B3"/>
    <w:rsid w:val="007A1A37"/>
    <w:rsid w:val="007A4317"/>
    <w:rsid w:val="007A4541"/>
    <w:rsid w:val="007A4EC4"/>
    <w:rsid w:val="007A6272"/>
    <w:rsid w:val="007A6F94"/>
    <w:rsid w:val="007B1334"/>
    <w:rsid w:val="007B146D"/>
    <w:rsid w:val="007B1D86"/>
    <w:rsid w:val="007B252E"/>
    <w:rsid w:val="007B30E1"/>
    <w:rsid w:val="007B3F80"/>
    <w:rsid w:val="007B5C8A"/>
    <w:rsid w:val="007B6618"/>
    <w:rsid w:val="007B679E"/>
    <w:rsid w:val="007B73A9"/>
    <w:rsid w:val="007C063E"/>
    <w:rsid w:val="007C1F2E"/>
    <w:rsid w:val="007C5197"/>
    <w:rsid w:val="007C5A8C"/>
    <w:rsid w:val="007C6FEC"/>
    <w:rsid w:val="007C79FF"/>
    <w:rsid w:val="007D084E"/>
    <w:rsid w:val="007D2723"/>
    <w:rsid w:val="007D40B8"/>
    <w:rsid w:val="007D5739"/>
    <w:rsid w:val="007D6B4B"/>
    <w:rsid w:val="007D76EC"/>
    <w:rsid w:val="007E01E3"/>
    <w:rsid w:val="007E05B5"/>
    <w:rsid w:val="007E131C"/>
    <w:rsid w:val="007E23DE"/>
    <w:rsid w:val="007E26A6"/>
    <w:rsid w:val="007E2F48"/>
    <w:rsid w:val="007E44F8"/>
    <w:rsid w:val="007E47AD"/>
    <w:rsid w:val="007E4FCC"/>
    <w:rsid w:val="007E5CC0"/>
    <w:rsid w:val="007E5D2C"/>
    <w:rsid w:val="007E5E04"/>
    <w:rsid w:val="007E73FF"/>
    <w:rsid w:val="007E7ABC"/>
    <w:rsid w:val="007E7B8A"/>
    <w:rsid w:val="007F0D3F"/>
    <w:rsid w:val="007F0EB5"/>
    <w:rsid w:val="007F1553"/>
    <w:rsid w:val="007F1EC2"/>
    <w:rsid w:val="007F384B"/>
    <w:rsid w:val="007F3F53"/>
    <w:rsid w:val="007F3F90"/>
    <w:rsid w:val="007F49D2"/>
    <w:rsid w:val="007F5B97"/>
    <w:rsid w:val="007F5E30"/>
    <w:rsid w:val="007F7306"/>
    <w:rsid w:val="007F7731"/>
    <w:rsid w:val="008015B5"/>
    <w:rsid w:val="00801C30"/>
    <w:rsid w:val="008024B9"/>
    <w:rsid w:val="00802B22"/>
    <w:rsid w:val="00802F79"/>
    <w:rsid w:val="008030F9"/>
    <w:rsid w:val="008031D1"/>
    <w:rsid w:val="0080398F"/>
    <w:rsid w:val="00804A1F"/>
    <w:rsid w:val="00804D6A"/>
    <w:rsid w:val="00804DE0"/>
    <w:rsid w:val="00805AFE"/>
    <w:rsid w:val="00806C7C"/>
    <w:rsid w:val="008073C8"/>
    <w:rsid w:val="00807B2A"/>
    <w:rsid w:val="00807C39"/>
    <w:rsid w:val="0081106F"/>
    <w:rsid w:val="008110B2"/>
    <w:rsid w:val="008113E7"/>
    <w:rsid w:val="00811AFC"/>
    <w:rsid w:val="00812438"/>
    <w:rsid w:val="00812B91"/>
    <w:rsid w:val="0081572A"/>
    <w:rsid w:val="00816536"/>
    <w:rsid w:val="008179C5"/>
    <w:rsid w:val="00821C74"/>
    <w:rsid w:val="00822BF4"/>
    <w:rsid w:val="00823B1B"/>
    <w:rsid w:val="008258C0"/>
    <w:rsid w:val="00826E7D"/>
    <w:rsid w:val="008273B6"/>
    <w:rsid w:val="00827695"/>
    <w:rsid w:val="00827ADB"/>
    <w:rsid w:val="008309BD"/>
    <w:rsid w:val="008314B6"/>
    <w:rsid w:val="0083192A"/>
    <w:rsid w:val="00831C85"/>
    <w:rsid w:val="00831D37"/>
    <w:rsid w:val="0083221A"/>
    <w:rsid w:val="0083256B"/>
    <w:rsid w:val="00832C01"/>
    <w:rsid w:val="00832F67"/>
    <w:rsid w:val="00833108"/>
    <w:rsid w:val="008350FD"/>
    <w:rsid w:val="00836175"/>
    <w:rsid w:val="0083686B"/>
    <w:rsid w:val="00836D9F"/>
    <w:rsid w:val="00837F96"/>
    <w:rsid w:val="0084088D"/>
    <w:rsid w:val="00840991"/>
    <w:rsid w:val="00840FA2"/>
    <w:rsid w:val="00841873"/>
    <w:rsid w:val="008445C3"/>
    <w:rsid w:val="008457CA"/>
    <w:rsid w:val="00845858"/>
    <w:rsid w:val="008458E4"/>
    <w:rsid w:val="00847BED"/>
    <w:rsid w:val="00850059"/>
    <w:rsid w:val="0085130D"/>
    <w:rsid w:val="0085174B"/>
    <w:rsid w:val="00852137"/>
    <w:rsid w:val="008526E7"/>
    <w:rsid w:val="008530D5"/>
    <w:rsid w:val="008537CA"/>
    <w:rsid w:val="00853C9D"/>
    <w:rsid w:val="00853E33"/>
    <w:rsid w:val="008540B3"/>
    <w:rsid w:val="0085420C"/>
    <w:rsid w:val="00854CF5"/>
    <w:rsid w:val="0085543E"/>
    <w:rsid w:val="0085551F"/>
    <w:rsid w:val="00855878"/>
    <w:rsid w:val="00855E0F"/>
    <w:rsid w:val="00856D58"/>
    <w:rsid w:val="00857BDB"/>
    <w:rsid w:val="00857D49"/>
    <w:rsid w:val="00860591"/>
    <w:rsid w:val="00864E00"/>
    <w:rsid w:val="00867255"/>
    <w:rsid w:val="00867351"/>
    <w:rsid w:val="00871CC4"/>
    <w:rsid w:val="008729EA"/>
    <w:rsid w:val="00872BB4"/>
    <w:rsid w:val="00873AAA"/>
    <w:rsid w:val="00873DE5"/>
    <w:rsid w:val="008758AB"/>
    <w:rsid w:val="00877E9C"/>
    <w:rsid w:val="00880041"/>
    <w:rsid w:val="00885168"/>
    <w:rsid w:val="008857D9"/>
    <w:rsid w:val="008862F1"/>
    <w:rsid w:val="00887065"/>
    <w:rsid w:val="00887753"/>
    <w:rsid w:val="008879B6"/>
    <w:rsid w:val="00890371"/>
    <w:rsid w:val="00892010"/>
    <w:rsid w:val="00892F60"/>
    <w:rsid w:val="0089473D"/>
    <w:rsid w:val="00894A8D"/>
    <w:rsid w:val="00895442"/>
    <w:rsid w:val="008961CA"/>
    <w:rsid w:val="008968A1"/>
    <w:rsid w:val="00897EB4"/>
    <w:rsid w:val="00897FDC"/>
    <w:rsid w:val="008A06B5"/>
    <w:rsid w:val="008A09A0"/>
    <w:rsid w:val="008A0B3F"/>
    <w:rsid w:val="008A1CD7"/>
    <w:rsid w:val="008A2858"/>
    <w:rsid w:val="008A2E17"/>
    <w:rsid w:val="008A325F"/>
    <w:rsid w:val="008A43BC"/>
    <w:rsid w:val="008A549C"/>
    <w:rsid w:val="008A5B43"/>
    <w:rsid w:val="008A719E"/>
    <w:rsid w:val="008A7252"/>
    <w:rsid w:val="008B055F"/>
    <w:rsid w:val="008B0698"/>
    <w:rsid w:val="008B0937"/>
    <w:rsid w:val="008B150B"/>
    <w:rsid w:val="008B16A8"/>
    <w:rsid w:val="008B1B6C"/>
    <w:rsid w:val="008B2767"/>
    <w:rsid w:val="008B3574"/>
    <w:rsid w:val="008B74C5"/>
    <w:rsid w:val="008C1297"/>
    <w:rsid w:val="008C16F4"/>
    <w:rsid w:val="008C1F2F"/>
    <w:rsid w:val="008C24F5"/>
    <w:rsid w:val="008C2F2C"/>
    <w:rsid w:val="008C3F61"/>
    <w:rsid w:val="008C449A"/>
    <w:rsid w:val="008C5732"/>
    <w:rsid w:val="008C656C"/>
    <w:rsid w:val="008C6790"/>
    <w:rsid w:val="008C6C34"/>
    <w:rsid w:val="008C6D32"/>
    <w:rsid w:val="008C6E81"/>
    <w:rsid w:val="008C798B"/>
    <w:rsid w:val="008D0752"/>
    <w:rsid w:val="008D07E8"/>
    <w:rsid w:val="008D2011"/>
    <w:rsid w:val="008D2565"/>
    <w:rsid w:val="008D28E3"/>
    <w:rsid w:val="008D2F65"/>
    <w:rsid w:val="008D303C"/>
    <w:rsid w:val="008D37E1"/>
    <w:rsid w:val="008D6B2F"/>
    <w:rsid w:val="008E0530"/>
    <w:rsid w:val="008E069B"/>
    <w:rsid w:val="008E13E3"/>
    <w:rsid w:val="008E2557"/>
    <w:rsid w:val="008E3B77"/>
    <w:rsid w:val="008E3CB6"/>
    <w:rsid w:val="008E5C2D"/>
    <w:rsid w:val="008E766D"/>
    <w:rsid w:val="008F1339"/>
    <w:rsid w:val="008F19CC"/>
    <w:rsid w:val="008F1EC7"/>
    <w:rsid w:val="008F4CF8"/>
    <w:rsid w:val="008F56F3"/>
    <w:rsid w:val="008F67B3"/>
    <w:rsid w:val="008F7E01"/>
    <w:rsid w:val="00900635"/>
    <w:rsid w:val="00900D7A"/>
    <w:rsid w:val="009014C8"/>
    <w:rsid w:val="00901640"/>
    <w:rsid w:val="00901661"/>
    <w:rsid w:val="00901ECB"/>
    <w:rsid w:val="00903C0D"/>
    <w:rsid w:val="00904795"/>
    <w:rsid w:val="00906274"/>
    <w:rsid w:val="00907820"/>
    <w:rsid w:val="00911683"/>
    <w:rsid w:val="0091210C"/>
    <w:rsid w:val="00912310"/>
    <w:rsid w:val="009134AF"/>
    <w:rsid w:val="00915691"/>
    <w:rsid w:val="00915C6C"/>
    <w:rsid w:val="00917EFC"/>
    <w:rsid w:val="00920177"/>
    <w:rsid w:val="00920CA8"/>
    <w:rsid w:val="00921876"/>
    <w:rsid w:val="0092330A"/>
    <w:rsid w:val="00923E2D"/>
    <w:rsid w:val="00925626"/>
    <w:rsid w:val="009266B6"/>
    <w:rsid w:val="00927685"/>
    <w:rsid w:val="00931207"/>
    <w:rsid w:val="009322A9"/>
    <w:rsid w:val="00932445"/>
    <w:rsid w:val="00934C70"/>
    <w:rsid w:val="009359A0"/>
    <w:rsid w:val="00936193"/>
    <w:rsid w:val="009378E9"/>
    <w:rsid w:val="0094041A"/>
    <w:rsid w:val="00940BF1"/>
    <w:rsid w:val="0094332A"/>
    <w:rsid w:val="00943989"/>
    <w:rsid w:val="00943E1B"/>
    <w:rsid w:val="009458CF"/>
    <w:rsid w:val="009465DE"/>
    <w:rsid w:val="0094792A"/>
    <w:rsid w:val="00947F3A"/>
    <w:rsid w:val="009514F5"/>
    <w:rsid w:val="00951AD2"/>
    <w:rsid w:val="009527E0"/>
    <w:rsid w:val="00952818"/>
    <w:rsid w:val="00953C00"/>
    <w:rsid w:val="00954F01"/>
    <w:rsid w:val="00956043"/>
    <w:rsid w:val="009564F1"/>
    <w:rsid w:val="0096003F"/>
    <w:rsid w:val="00962291"/>
    <w:rsid w:val="00962415"/>
    <w:rsid w:val="009628F7"/>
    <w:rsid w:val="0096358C"/>
    <w:rsid w:val="009639ED"/>
    <w:rsid w:val="0096451A"/>
    <w:rsid w:val="0096631A"/>
    <w:rsid w:val="0096643B"/>
    <w:rsid w:val="00970ED6"/>
    <w:rsid w:val="00970FE2"/>
    <w:rsid w:val="00971055"/>
    <w:rsid w:val="00971586"/>
    <w:rsid w:val="00971D0E"/>
    <w:rsid w:val="009720A6"/>
    <w:rsid w:val="00972C66"/>
    <w:rsid w:val="009731DE"/>
    <w:rsid w:val="00974BDD"/>
    <w:rsid w:val="00974FC8"/>
    <w:rsid w:val="0097514E"/>
    <w:rsid w:val="009757BA"/>
    <w:rsid w:val="009766DA"/>
    <w:rsid w:val="00976B26"/>
    <w:rsid w:val="009801B5"/>
    <w:rsid w:val="00981159"/>
    <w:rsid w:val="00981327"/>
    <w:rsid w:val="009825A1"/>
    <w:rsid w:val="00984569"/>
    <w:rsid w:val="00984CA1"/>
    <w:rsid w:val="0098607B"/>
    <w:rsid w:val="0098637D"/>
    <w:rsid w:val="00987054"/>
    <w:rsid w:val="009871F3"/>
    <w:rsid w:val="00991295"/>
    <w:rsid w:val="00991A59"/>
    <w:rsid w:val="0099206F"/>
    <w:rsid w:val="00993220"/>
    <w:rsid w:val="00994376"/>
    <w:rsid w:val="009950C8"/>
    <w:rsid w:val="00995C8E"/>
    <w:rsid w:val="009A056C"/>
    <w:rsid w:val="009A0BB1"/>
    <w:rsid w:val="009A1C76"/>
    <w:rsid w:val="009A2AEC"/>
    <w:rsid w:val="009A3001"/>
    <w:rsid w:val="009A396E"/>
    <w:rsid w:val="009A48B8"/>
    <w:rsid w:val="009A6256"/>
    <w:rsid w:val="009A62C5"/>
    <w:rsid w:val="009A6566"/>
    <w:rsid w:val="009A74D6"/>
    <w:rsid w:val="009A750A"/>
    <w:rsid w:val="009B18D0"/>
    <w:rsid w:val="009B2765"/>
    <w:rsid w:val="009B2EDA"/>
    <w:rsid w:val="009B3495"/>
    <w:rsid w:val="009B48F4"/>
    <w:rsid w:val="009B4AD5"/>
    <w:rsid w:val="009B4E2B"/>
    <w:rsid w:val="009B51F0"/>
    <w:rsid w:val="009B6CD6"/>
    <w:rsid w:val="009B6E7A"/>
    <w:rsid w:val="009C1EB3"/>
    <w:rsid w:val="009C2759"/>
    <w:rsid w:val="009C281E"/>
    <w:rsid w:val="009C4CA9"/>
    <w:rsid w:val="009C4DE2"/>
    <w:rsid w:val="009C64C1"/>
    <w:rsid w:val="009C74AD"/>
    <w:rsid w:val="009D0639"/>
    <w:rsid w:val="009D1467"/>
    <w:rsid w:val="009D2218"/>
    <w:rsid w:val="009D43E4"/>
    <w:rsid w:val="009D664A"/>
    <w:rsid w:val="009D6C9D"/>
    <w:rsid w:val="009D78C1"/>
    <w:rsid w:val="009E0765"/>
    <w:rsid w:val="009E0CD4"/>
    <w:rsid w:val="009E0D73"/>
    <w:rsid w:val="009E10EA"/>
    <w:rsid w:val="009E20D2"/>
    <w:rsid w:val="009E2C91"/>
    <w:rsid w:val="009E2D02"/>
    <w:rsid w:val="009E37C9"/>
    <w:rsid w:val="009E3EB2"/>
    <w:rsid w:val="009E4748"/>
    <w:rsid w:val="009E57D0"/>
    <w:rsid w:val="009E6684"/>
    <w:rsid w:val="009E7181"/>
    <w:rsid w:val="009E7A2F"/>
    <w:rsid w:val="009E7F36"/>
    <w:rsid w:val="009F1B1D"/>
    <w:rsid w:val="009F1C88"/>
    <w:rsid w:val="009F2BA4"/>
    <w:rsid w:val="009F305F"/>
    <w:rsid w:val="009F38CB"/>
    <w:rsid w:val="009F3B64"/>
    <w:rsid w:val="009F5B79"/>
    <w:rsid w:val="009F6403"/>
    <w:rsid w:val="009F65F7"/>
    <w:rsid w:val="009F67F9"/>
    <w:rsid w:val="009F7511"/>
    <w:rsid w:val="00A00897"/>
    <w:rsid w:val="00A01576"/>
    <w:rsid w:val="00A01F2F"/>
    <w:rsid w:val="00A02426"/>
    <w:rsid w:val="00A025DF"/>
    <w:rsid w:val="00A025F1"/>
    <w:rsid w:val="00A054F9"/>
    <w:rsid w:val="00A056A8"/>
    <w:rsid w:val="00A1024F"/>
    <w:rsid w:val="00A10823"/>
    <w:rsid w:val="00A13EF6"/>
    <w:rsid w:val="00A1698C"/>
    <w:rsid w:val="00A21034"/>
    <w:rsid w:val="00A2259A"/>
    <w:rsid w:val="00A22E0C"/>
    <w:rsid w:val="00A24268"/>
    <w:rsid w:val="00A24B19"/>
    <w:rsid w:val="00A256F6"/>
    <w:rsid w:val="00A26C5B"/>
    <w:rsid w:val="00A26C77"/>
    <w:rsid w:val="00A303F4"/>
    <w:rsid w:val="00A30847"/>
    <w:rsid w:val="00A32BA3"/>
    <w:rsid w:val="00A337E0"/>
    <w:rsid w:val="00A3396B"/>
    <w:rsid w:val="00A35236"/>
    <w:rsid w:val="00A3527B"/>
    <w:rsid w:val="00A35AB8"/>
    <w:rsid w:val="00A434E6"/>
    <w:rsid w:val="00A43904"/>
    <w:rsid w:val="00A463FE"/>
    <w:rsid w:val="00A4657A"/>
    <w:rsid w:val="00A46A01"/>
    <w:rsid w:val="00A46C4C"/>
    <w:rsid w:val="00A50C37"/>
    <w:rsid w:val="00A517F2"/>
    <w:rsid w:val="00A51912"/>
    <w:rsid w:val="00A5336A"/>
    <w:rsid w:val="00A5711F"/>
    <w:rsid w:val="00A60255"/>
    <w:rsid w:val="00A606F5"/>
    <w:rsid w:val="00A60870"/>
    <w:rsid w:val="00A60C22"/>
    <w:rsid w:val="00A616E2"/>
    <w:rsid w:val="00A61C86"/>
    <w:rsid w:val="00A62963"/>
    <w:rsid w:val="00A63E66"/>
    <w:rsid w:val="00A64B63"/>
    <w:rsid w:val="00A65AA0"/>
    <w:rsid w:val="00A6645F"/>
    <w:rsid w:val="00A66F4F"/>
    <w:rsid w:val="00A6722F"/>
    <w:rsid w:val="00A70703"/>
    <w:rsid w:val="00A70B3D"/>
    <w:rsid w:val="00A70BB1"/>
    <w:rsid w:val="00A72C6C"/>
    <w:rsid w:val="00A7428F"/>
    <w:rsid w:val="00A74C0F"/>
    <w:rsid w:val="00A74EA2"/>
    <w:rsid w:val="00A750F4"/>
    <w:rsid w:val="00A7569D"/>
    <w:rsid w:val="00A7651D"/>
    <w:rsid w:val="00A7981F"/>
    <w:rsid w:val="00A80327"/>
    <w:rsid w:val="00A8266A"/>
    <w:rsid w:val="00A842F0"/>
    <w:rsid w:val="00A84803"/>
    <w:rsid w:val="00A849D3"/>
    <w:rsid w:val="00A84B5E"/>
    <w:rsid w:val="00A851EC"/>
    <w:rsid w:val="00A853A5"/>
    <w:rsid w:val="00A8637C"/>
    <w:rsid w:val="00A8726F"/>
    <w:rsid w:val="00A87956"/>
    <w:rsid w:val="00A90685"/>
    <w:rsid w:val="00A91837"/>
    <w:rsid w:val="00A928F3"/>
    <w:rsid w:val="00A92A9D"/>
    <w:rsid w:val="00A93825"/>
    <w:rsid w:val="00A942D9"/>
    <w:rsid w:val="00A949DD"/>
    <w:rsid w:val="00A94E5B"/>
    <w:rsid w:val="00A95DBC"/>
    <w:rsid w:val="00A96E50"/>
    <w:rsid w:val="00A97C7B"/>
    <w:rsid w:val="00AA085A"/>
    <w:rsid w:val="00AA1DFF"/>
    <w:rsid w:val="00AA2ADC"/>
    <w:rsid w:val="00AA4C2E"/>
    <w:rsid w:val="00AA4CDD"/>
    <w:rsid w:val="00AA6A2E"/>
    <w:rsid w:val="00AB4D2A"/>
    <w:rsid w:val="00AB50FD"/>
    <w:rsid w:val="00AB5346"/>
    <w:rsid w:val="00AB5A84"/>
    <w:rsid w:val="00AB7208"/>
    <w:rsid w:val="00ABA396"/>
    <w:rsid w:val="00AC0AD7"/>
    <w:rsid w:val="00AC209A"/>
    <w:rsid w:val="00AC21E1"/>
    <w:rsid w:val="00AC37E2"/>
    <w:rsid w:val="00AC4307"/>
    <w:rsid w:val="00AC4F49"/>
    <w:rsid w:val="00AC5024"/>
    <w:rsid w:val="00AC6781"/>
    <w:rsid w:val="00AC68FB"/>
    <w:rsid w:val="00AC7845"/>
    <w:rsid w:val="00AD0CC7"/>
    <w:rsid w:val="00AD1643"/>
    <w:rsid w:val="00AD1F0B"/>
    <w:rsid w:val="00AD226C"/>
    <w:rsid w:val="00AD232B"/>
    <w:rsid w:val="00AD3989"/>
    <w:rsid w:val="00AD4A1D"/>
    <w:rsid w:val="00AD5DDC"/>
    <w:rsid w:val="00AD6A67"/>
    <w:rsid w:val="00AD6F82"/>
    <w:rsid w:val="00AD6F8E"/>
    <w:rsid w:val="00AD7E5C"/>
    <w:rsid w:val="00AD7EC4"/>
    <w:rsid w:val="00AE0AD0"/>
    <w:rsid w:val="00AE29B2"/>
    <w:rsid w:val="00AE2FA7"/>
    <w:rsid w:val="00AE569F"/>
    <w:rsid w:val="00AE68E8"/>
    <w:rsid w:val="00AF1B5C"/>
    <w:rsid w:val="00AF1BC8"/>
    <w:rsid w:val="00AF2197"/>
    <w:rsid w:val="00AF2F65"/>
    <w:rsid w:val="00AF58F8"/>
    <w:rsid w:val="00AF7D67"/>
    <w:rsid w:val="00B01695"/>
    <w:rsid w:val="00B01EDE"/>
    <w:rsid w:val="00B02D4E"/>
    <w:rsid w:val="00B058DE"/>
    <w:rsid w:val="00B0696B"/>
    <w:rsid w:val="00B071A7"/>
    <w:rsid w:val="00B0759B"/>
    <w:rsid w:val="00B07D58"/>
    <w:rsid w:val="00B10234"/>
    <w:rsid w:val="00B10B7C"/>
    <w:rsid w:val="00B111A3"/>
    <w:rsid w:val="00B11ECF"/>
    <w:rsid w:val="00B1370E"/>
    <w:rsid w:val="00B159E7"/>
    <w:rsid w:val="00B16890"/>
    <w:rsid w:val="00B16D59"/>
    <w:rsid w:val="00B1745A"/>
    <w:rsid w:val="00B2107B"/>
    <w:rsid w:val="00B2128E"/>
    <w:rsid w:val="00B21A06"/>
    <w:rsid w:val="00B25ED6"/>
    <w:rsid w:val="00B26CDD"/>
    <w:rsid w:val="00B334B6"/>
    <w:rsid w:val="00B3469F"/>
    <w:rsid w:val="00B3489E"/>
    <w:rsid w:val="00B354AC"/>
    <w:rsid w:val="00B35580"/>
    <w:rsid w:val="00B36A4E"/>
    <w:rsid w:val="00B3740E"/>
    <w:rsid w:val="00B375F7"/>
    <w:rsid w:val="00B4068F"/>
    <w:rsid w:val="00B40B90"/>
    <w:rsid w:val="00B40E38"/>
    <w:rsid w:val="00B412D2"/>
    <w:rsid w:val="00B4130C"/>
    <w:rsid w:val="00B44911"/>
    <w:rsid w:val="00B4594A"/>
    <w:rsid w:val="00B4602E"/>
    <w:rsid w:val="00B472CB"/>
    <w:rsid w:val="00B47338"/>
    <w:rsid w:val="00B479DC"/>
    <w:rsid w:val="00B51D72"/>
    <w:rsid w:val="00B5399F"/>
    <w:rsid w:val="00B53E75"/>
    <w:rsid w:val="00B55400"/>
    <w:rsid w:val="00B56489"/>
    <w:rsid w:val="00B56D7F"/>
    <w:rsid w:val="00B56F19"/>
    <w:rsid w:val="00B57C84"/>
    <w:rsid w:val="00B6077C"/>
    <w:rsid w:val="00B61257"/>
    <w:rsid w:val="00B619B4"/>
    <w:rsid w:val="00B62F05"/>
    <w:rsid w:val="00B63B5C"/>
    <w:rsid w:val="00B640E9"/>
    <w:rsid w:val="00B649D8"/>
    <w:rsid w:val="00B65CDA"/>
    <w:rsid w:val="00B66101"/>
    <w:rsid w:val="00B66279"/>
    <w:rsid w:val="00B66388"/>
    <w:rsid w:val="00B70FC1"/>
    <w:rsid w:val="00B710A8"/>
    <w:rsid w:val="00B715EB"/>
    <w:rsid w:val="00B74C46"/>
    <w:rsid w:val="00B7587A"/>
    <w:rsid w:val="00B76929"/>
    <w:rsid w:val="00B775AE"/>
    <w:rsid w:val="00B80E10"/>
    <w:rsid w:val="00B81041"/>
    <w:rsid w:val="00B82E7C"/>
    <w:rsid w:val="00B85ADA"/>
    <w:rsid w:val="00B85F1A"/>
    <w:rsid w:val="00B86B23"/>
    <w:rsid w:val="00B87295"/>
    <w:rsid w:val="00B8732F"/>
    <w:rsid w:val="00B90DC1"/>
    <w:rsid w:val="00B9223A"/>
    <w:rsid w:val="00B92E63"/>
    <w:rsid w:val="00B94ABD"/>
    <w:rsid w:val="00B94F94"/>
    <w:rsid w:val="00B9545A"/>
    <w:rsid w:val="00B96F11"/>
    <w:rsid w:val="00BA05E5"/>
    <w:rsid w:val="00BA0673"/>
    <w:rsid w:val="00BA18FF"/>
    <w:rsid w:val="00BA274E"/>
    <w:rsid w:val="00BA2DCD"/>
    <w:rsid w:val="00BA4448"/>
    <w:rsid w:val="00BA48C1"/>
    <w:rsid w:val="00BA6771"/>
    <w:rsid w:val="00BA69C4"/>
    <w:rsid w:val="00BB192A"/>
    <w:rsid w:val="00BB2190"/>
    <w:rsid w:val="00BB28C5"/>
    <w:rsid w:val="00BB50D0"/>
    <w:rsid w:val="00BB594A"/>
    <w:rsid w:val="00BB6D01"/>
    <w:rsid w:val="00BB726B"/>
    <w:rsid w:val="00BC0717"/>
    <w:rsid w:val="00BC09D7"/>
    <w:rsid w:val="00BC1108"/>
    <w:rsid w:val="00BC120E"/>
    <w:rsid w:val="00BC358A"/>
    <w:rsid w:val="00BC4DFB"/>
    <w:rsid w:val="00BC57EA"/>
    <w:rsid w:val="00BC6B94"/>
    <w:rsid w:val="00BC6F38"/>
    <w:rsid w:val="00BC71C2"/>
    <w:rsid w:val="00BC74E1"/>
    <w:rsid w:val="00BC7AB7"/>
    <w:rsid w:val="00BC7E1B"/>
    <w:rsid w:val="00BD0F3C"/>
    <w:rsid w:val="00BD1DA1"/>
    <w:rsid w:val="00BD42E1"/>
    <w:rsid w:val="00BD4A10"/>
    <w:rsid w:val="00BE1148"/>
    <w:rsid w:val="00BE13F1"/>
    <w:rsid w:val="00BE34D9"/>
    <w:rsid w:val="00BE39EF"/>
    <w:rsid w:val="00BE4821"/>
    <w:rsid w:val="00BE5A6B"/>
    <w:rsid w:val="00BE60E0"/>
    <w:rsid w:val="00BE6CA6"/>
    <w:rsid w:val="00BE7437"/>
    <w:rsid w:val="00BEBF36"/>
    <w:rsid w:val="00BF0165"/>
    <w:rsid w:val="00BF17F0"/>
    <w:rsid w:val="00BF2169"/>
    <w:rsid w:val="00BF2E79"/>
    <w:rsid w:val="00BF399F"/>
    <w:rsid w:val="00BF3D46"/>
    <w:rsid w:val="00BF3E4F"/>
    <w:rsid w:val="00BF51D0"/>
    <w:rsid w:val="00BF5B8B"/>
    <w:rsid w:val="00BF6867"/>
    <w:rsid w:val="00BF6993"/>
    <w:rsid w:val="00BF6CEE"/>
    <w:rsid w:val="00BF78FC"/>
    <w:rsid w:val="00BF7D7F"/>
    <w:rsid w:val="00C015A6"/>
    <w:rsid w:val="00C01DC9"/>
    <w:rsid w:val="00C01E3C"/>
    <w:rsid w:val="00C02F86"/>
    <w:rsid w:val="00C0320E"/>
    <w:rsid w:val="00C0509E"/>
    <w:rsid w:val="00C05A45"/>
    <w:rsid w:val="00C07A44"/>
    <w:rsid w:val="00C07F71"/>
    <w:rsid w:val="00C12051"/>
    <w:rsid w:val="00C12476"/>
    <w:rsid w:val="00C125CE"/>
    <w:rsid w:val="00C1316F"/>
    <w:rsid w:val="00C13DBB"/>
    <w:rsid w:val="00C145DF"/>
    <w:rsid w:val="00C14687"/>
    <w:rsid w:val="00C147F1"/>
    <w:rsid w:val="00C14FB8"/>
    <w:rsid w:val="00C17673"/>
    <w:rsid w:val="00C20C7A"/>
    <w:rsid w:val="00C20D24"/>
    <w:rsid w:val="00C2268E"/>
    <w:rsid w:val="00C22E41"/>
    <w:rsid w:val="00C24023"/>
    <w:rsid w:val="00C24915"/>
    <w:rsid w:val="00C251B3"/>
    <w:rsid w:val="00C2587D"/>
    <w:rsid w:val="00C25E02"/>
    <w:rsid w:val="00C30034"/>
    <w:rsid w:val="00C303C0"/>
    <w:rsid w:val="00C313DB"/>
    <w:rsid w:val="00C327F3"/>
    <w:rsid w:val="00C32917"/>
    <w:rsid w:val="00C336E2"/>
    <w:rsid w:val="00C36107"/>
    <w:rsid w:val="00C3633D"/>
    <w:rsid w:val="00C3676B"/>
    <w:rsid w:val="00C37033"/>
    <w:rsid w:val="00C37F23"/>
    <w:rsid w:val="00C4020F"/>
    <w:rsid w:val="00C404FA"/>
    <w:rsid w:val="00C40EE1"/>
    <w:rsid w:val="00C41155"/>
    <w:rsid w:val="00C41A8C"/>
    <w:rsid w:val="00C41E31"/>
    <w:rsid w:val="00C4204E"/>
    <w:rsid w:val="00C42FE5"/>
    <w:rsid w:val="00C43046"/>
    <w:rsid w:val="00C436F2"/>
    <w:rsid w:val="00C441BE"/>
    <w:rsid w:val="00C47551"/>
    <w:rsid w:val="00C517E9"/>
    <w:rsid w:val="00C52CD4"/>
    <w:rsid w:val="00C52D32"/>
    <w:rsid w:val="00C533F5"/>
    <w:rsid w:val="00C53881"/>
    <w:rsid w:val="00C53AAD"/>
    <w:rsid w:val="00C55816"/>
    <w:rsid w:val="00C55A5A"/>
    <w:rsid w:val="00C56390"/>
    <w:rsid w:val="00C567D6"/>
    <w:rsid w:val="00C605D5"/>
    <w:rsid w:val="00C617ED"/>
    <w:rsid w:val="00C62D15"/>
    <w:rsid w:val="00C64142"/>
    <w:rsid w:val="00C65D2B"/>
    <w:rsid w:val="00C677E6"/>
    <w:rsid w:val="00C67FCE"/>
    <w:rsid w:val="00C706AC"/>
    <w:rsid w:val="00C71074"/>
    <w:rsid w:val="00C73A31"/>
    <w:rsid w:val="00C742EE"/>
    <w:rsid w:val="00C74770"/>
    <w:rsid w:val="00C74AD4"/>
    <w:rsid w:val="00C74B35"/>
    <w:rsid w:val="00C74C99"/>
    <w:rsid w:val="00C74CD9"/>
    <w:rsid w:val="00C75D3A"/>
    <w:rsid w:val="00C7696B"/>
    <w:rsid w:val="00C77F7C"/>
    <w:rsid w:val="00C814C2"/>
    <w:rsid w:val="00C84727"/>
    <w:rsid w:val="00C852F2"/>
    <w:rsid w:val="00C86A75"/>
    <w:rsid w:val="00C8715D"/>
    <w:rsid w:val="00C87D93"/>
    <w:rsid w:val="00C907E9"/>
    <w:rsid w:val="00C91CEE"/>
    <w:rsid w:val="00C92DE0"/>
    <w:rsid w:val="00C93185"/>
    <w:rsid w:val="00C94327"/>
    <w:rsid w:val="00C94EEB"/>
    <w:rsid w:val="00C9586B"/>
    <w:rsid w:val="00C95935"/>
    <w:rsid w:val="00C961A5"/>
    <w:rsid w:val="00C96D35"/>
    <w:rsid w:val="00C97E7C"/>
    <w:rsid w:val="00CA0030"/>
    <w:rsid w:val="00CA037E"/>
    <w:rsid w:val="00CA042C"/>
    <w:rsid w:val="00CA1259"/>
    <w:rsid w:val="00CA1EC7"/>
    <w:rsid w:val="00CA2068"/>
    <w:rsid w:val="00CA2721"/>
    <w:rsid w:val="00CA3831"/>
    <w:rsid w:val="00CA3B6D"/>
    <w:rsid w:val="00CA41CC"/>
    <w:rsid w:val="00CA43F9"/>
    <w:rsid w:val="00CA4B53"/>
    <w:rsid w:val="00CA4E94"/>
    <w:rsid w:val="00CA72C5"/>
    <w:rsid w:val="00CB05CB"/>
    <w:rsid w:val="00CB0624"/>
    <w:rsid w:val="00CB1A00"/>
    <w:rsid w:val="00CB2C43"/>
    <w:rsid w:val="00CB36DF"/>
    <w:rsid w:val="00CB3B5A"/>
    <w:rsid w:val="00CB40DF"/>
    <w:rsid w:val="00CB467C"/>
    <w:rsid w:val="00CB4FB6"/>
    <w:rsid w:val="00CB5A3D"/>
    <w:rsid w:val="00CC05C4"/>
    <w:rsid w:val="00CC0ABD"/>
    <w:rsid w:val="00CC1821"/>
    <w:rsid w:val="00CC2423"/>
    <w:rsid w:val="00CC3280"/>
    <w:rsid w:val="00CC3887"/>
    <w:rsid w:val="00CC3F72"/>
    <w:rsid w:val="00CC6007"/>
    <w:rsid w:val="00CC79FD"/>
    <w:rsid w:val="00CD0196"/>
    <w:rsid w:val="00CD1946"/>
    <w:rsid w:val="00CD31FF"/>
    <w:rsid w:val="00CD3C69"/>
    <w:rsid w:val="00CD3D8D"/>
    <w:rsid w:val="00CD465D"/>
    <w:rsid w:val="00CD5412"/>
    <w:rsid w:val="00CD5714"/>
    <w:rsid w:val="00CD6285"/>
    <w:rsid w:val="00CD64A2"/>
    <w:rsid w:val="00CD6A25"/>
    <w:rsid w:val="00CD6A46"/>
    <w:rsid w:val="00CD7664"/>
    <w:rsid w:val="00CD7EE1"/>
    <w:rsid w:val="00CE0361"/>
    <w:rsid w:val="00CE4514"/>
    <w:rsid w:val="00CE590C"/>
    <w:rsid w:val="00CE5E43"/>
    <w:rsid w:val="00CE6D46"/>
    <w:rsid w:val="00CE7C58"/>
    <w:rsid w:val="00CF028A"/>
    <w:rsid w:val="00CF157B"/>
    <w:rsid w:val="00CF220C"/>
    <w:rsid w:val="00CF2389"/>
    <w:rsid w:val="00CF2A51"/>
    <w:rsid w:val="00CF2E2D"/>
    <w:rsid w:val="00CF4388"/>
    <w:rsid w:val="00CF43BE"/>
    <w:rsid w:val="00CF4588"/>
    <w:rsid w:val="00CF5740"/>
    <w:rsid w:val="00CF67B7"/>
    <w:rsid w:val="00CF69D5"/>
    <w:rsid w:val="00CF71EB"/>
    <w:rsid w:val="00CF7990"/>
    <w:rsid w:val="00CF7F41"/>
    <w:rsid w:val="00D01365"/>
    <w:rsid w:val="00D016C2"/>
    <w:rsid w:val="00D02882"/>
    <w:rsid w:val="00D02E63"/>
    <w:rsid w:val="00D03316"/>
    <w:rsid w:val="00D03F1D"/>
    <w:rsid w:val="00D041C2"/>
    <w:rsid w:val="00D04660"/>
    <w:rsid w:val="00D050B7"/>
    <w:rsid w:val="00D0529E"/>
    <w:rsid w:val="00D05664"/>
    <w:rsid w:val="00D05EFF"/>
    <w:rsid w:val="00D061D6"/>
    <w:rsid w:val="00D07214"/>
    <w:rsid w:val="00D11CF8"/>
    <w:rsid w:val="00D1305F"/>
    <w:rsid w:val="00D13089"/>
    <w:rsid w:val="00D14ADC"/>
    <w:rsid w:val="00D15D1F"/>
    <w:rsid w:val="00D16425"/>
    <w:rsid w:val="00D173EF"/>
    <w:rsid w:val="00D1E714"/>
    <w:rsid w:val="00D20503"/>
    <w:rsid w:val="00D209D0"/>
    <w:rsid w:val="00D21394"/>
    <w:rsid w:val="00D21C53"/>
    <w:rsid w:val="00D2295A"/>
    <w:rsid w:val="00D25ED2"/>
    <w:rsid w:val="00D262EA"/>
    <w:rsid w:val="00D26F3F"/>
    <w:rsid w:val="00D3007E"/>
    <w:rsid w:val="00D309CE"/>
    <w:rsid w:val="00D30E52"/>
    <w:rsid w:val="00D30F97"/>
    <w:rsid w:val="00D31927"/>
    <w:rsid w:val="00D32179"/>
    <w:rsid w:val="00D32BBF"/>
    <w:rsid w:val="00D33F42"/>
    <w:rsid w:val="00D34236"/>
    <w:rsid w:val="00D34CD0"/>
    <w:rsid w:val="00D35D36"/>
    <w:rsid w:val="00D372D6"/>
    <w:rsid w:val="00D43554"/>
    <w:rsid w:val="00D43F23"/>
    <w:rsid w:val="00D44C4A"/>
    <w:rsid w:val="00D45A7A"/>
    <w:rsid w:val="00D45C6F"/>
    <w:rsid w:val="00D4D178"/>
    <w:rsid w:val="00D529C8"/>
    <w:rsid w:val="00D54890"/>
    <w:rsid w:val="00D5520F"/>
    <w:rsid w:val="00D55224"/>
    <w:rsid w:val="00D6068B"/>
    <w:rsid w:val="00D63264"/>
    <w:rsid w:val="00D6357F"/>
    <w:rsid w:val="00D63EA0"/>
    <w:rsid w:val="00D661BB"/>
    <w:rsid w:val="00D664C4"/>
    <w:rsid w:val="00D66647"/>
    <w:rsid w:val="00D6711C"/>
    <w:rsid w:val="00D677B7"/>
    <w:rsid w:val="00D67DEC"/>
    <w:rsid w:val="00D708F3"/>
    <w:rsid w:val="00D72919"/>
    <w:rsid w:val="00D72FA6"/>
    <w:rsid w:val="00D7548F"/>
    <w:rsid w:val="00D757A8"/>
    <w:rsid w:val="00D75AB4"/>
    <w:rsid w:val="00D760F8"/>
    <w:rsid w:val="00D77E6E"/>
    <w:rsid w:val="00D80CA8"/>
    <w:rsid w:val="00D82E92"/>
    <w:rsid w:val="00D831E9"/>
    <w:rsid w:val="00D845DA"/>
    <w:rsid w:val="00D85A10"/>
    <w:rsid w:val="00D8647E"/>
    <w:rsid w:val="00D86D88"/>
    <w:rsid w:val="00D9178E"/>
    <w:rsid w:val="00D91E91"/>
    <w:rsid w:val="00D92AED"/>
    <w:rsid w:val="00D92F9F"/>
    <w:rsid w:val="00D94874"/>
    <w:rsid w:val="00DA11AD"/>
    <w:rsid w:val="00DA1358"/>
    <w:rsid w:val="00DA1EC5"/>
    <w:rsid w:val="00DA2EB1"/>
    <w:rsid w:val="00DA4453"/>
    <w:rsid w:val="00DA4916"/>
    <w:rsid w:val="00DA4CCC"/>
    <w:rsid w:val="00DA5181"/>
    <w:rsid w:val="00DA6660"/>
    <w:rsid w:val="00DA6C3F"/>
    <w:rsid w:val="00DA73C7"/>
    <w:rsid w:val="00DA743A"/>
    <w:rsid w:val="00DA78F0"/>
    <w:rsid w:val="00DB0A3F"/>
    <w:rsid w:val="00DB2636"/>
    <w:rsid w:val="00DB3775"/>
    <w:rsid w:val="00DB38DA"/>
    <w:rsid w:val="00DB3DCF"/>
    <w:rsid w:val="00DB3E09"/>
    <w:rsid w:val="00DC03E2"/>
    <w:rsid w:val="00DC04C3"/>
    <w:rsid w:val="00DC1934"/>
    <w:rsid w:val="00DC2439"/>
    <w:rsid w:val="00DC2683"/>
    <w:rsid w:val="00DC2909"/>
    <w:rsid w:val="00DC29DC"/>
    <w:rsid w:val="00DC428D"/>
    <w:rsid w:val="00DC4F99"/>
    <w:rsid w:val="00DC50BC"/>
    <w:rsid w:val="00DC5F56"/>
    <w:rsid w:val="00DC6214"/>
    <w:rsid w:val="00DC7387"/>
    <w:rsid w:val="00DC744D"/>
    <w:rsid w:val="00DC7DC1"/>
    <w:rsid w:val="00DD03E2"/>
    <w:rsid w:val="00DD07ED"/>
    <w:rsid w:val="00DD1D82"/>
    <w:rsid w:val="00DD2621"/>
    <w:rsid w:val="00DD29FD"/>
    <w:rsid w:val="00DD2E0F"/>
    <w:rsid w:val="00DD330A"/>
    <w:rsid w:val="00DD4211"/>
    <w:rsid w:val="00DD51F6"/>
    <w:rsid w:val="00DE0237"/>
    <w:rsid w:val="00DE073A"/>
    <w:rsid w:val="00DE0B13"/>
    <w:rsid w:val="00DE0C1F"/>
    <w:rsid w:val="00DE0F93"/>
    <w:rsid w:val="00DE1711"/>
    <w:rsid w:val="00DE295E"/>
    <w:rsid w:val="00DE425A"/>
    <w:rsid w:val="00DE46D9"/>
    <w:rsid w:val="00DE51FA"/>
    <w:rsid w:val="00DE52B7"/>
    <w:rsid w:val="00DE6522"/>
    <w:rsid w:val="00DE6CEA"/>
    <w:rsid w:val="00DF0898"/>
    <w:rsid w:val="00DF172E"/>
    <w:rsid w:val="00DF21C6"/>
    <w:rsid w:val="00DF27CF"/>
    <w:rsid w:val="00DF315F"/>
    <w:rsid w:val="00DF32C9"/>
    <w:rsid w:val="00DF40C6"/>
    <w:rsid w:val="00DF4F45"/>
    <w:rsid w:val="00DF5375"/>
    <w:rsid w:val="00DF75B8"/>
    <w:rsid w:val="00DF7AA6"/>
    <w:rsid w:val="00DF7E80"/>
    <w:rsid w:val="00E001D3"/>
    <w:rsid w:val="00E02610"/>
    <w:rsid w:val="00E02CB8"/>
    <w:rsid w:val="00E042AA"/>
    <w:rsid w:val="00E04457"/>
    <w:rsid w:val="00E04877"/>
    <w:rsid w:val="00E04BBA"/>
    <w:rsid w:val="00E052E5"/>
    <w:rsid w:val="00E05DFB"/>
    <w:rsid w:val="00E06310"/>
    <w:rsid w:val="00E06783"/>
    <w:rsid w:val="00E104C6"/>
    <w:rsid w:val="00E105C7"/>
    <w:rsid w:val="00E107D4"/>
    <w:rsid w:val="00E115FC"/>
    <w:rsid w:val="00E11762"/>
    <w:rsid w:val="00E11DFD"/>
    <w:rsid w:val="00E12110"/>
    <w:rsid w:val="00E12D05"/>
    <w:rsid w:val="00E1352D"/>
    <w:rsid w:val="00E13F02"/>
    <w:rsid w:val="00E14EF9"/>
    <w:rsid w:val="00E16C36"/>
    <w:rsid w:val="00E1743B"/>
    <w:rsid w:val="00E177A9"/>
    <w:rsid w:val="00E17AC4"/>
    <w:rsid w:val="00E17CC8"/>
    <w:rsid w:val="00E208DF"/>
    <w:rsid w:val="00E218E8"/>
    <w:rsid w:val="00E23AFA"/>
    <w:rsid w:val="00E24089"/>
    <w:rsid w:val="00E249F9"/>
    <w:rsid w:val="00E24ED5"/>
    <w:rsid w:val="00E26044"/>
    <w:rsid w:val="00E26199"/>
    <w:rsid w:val="00E321ED"/>
    <w:rsid w:val="00E3261E"/>
    <w:rsid w:val="00E33D65"/>
    <w:rsid w:val="00E33FC0"/>
    <w:rsid w:val="00E3546F"/>
    <w:rsid w:val="00E3569B"/>
    <w:rsid w:val="00E359A7"/>
    <w:rsid w:val="00E35B06"/>
    <w:rsid w:val="00E368C1"/>
    <w:rsid w:val="00E4045F"/>
    <w:rsid w:val="00E43237"/>
    <w:rsid w:val="00E437CE"/>
    <w:rsid w:val="00E43E90"/>
    <w:rsid w:val="00E44E9A"/>
    <w:rsid w:val="00E44F18"/>
    <w:rsid w:val="00E469FB"/>
    <w:rsid w:val="00E47E36"/>
    <w:rsid w:val="00E502EC"/>
    <w:rsid w:val="00E5069B"/>
    <w:rsid w:val="00E511E2"/>
    <w:rsid w:val="00E5146C"/>
    <w:rsid w:val="00E51D3E"/>
    <w:rsid w:val="00E5365F"/>
    <w:rsid w:val="00E53A06"/>
    <w:rsid w:val="00E54D3E"/>
    <w:rsid w:val="00E54EC9"/>
    <w:rsid w:val="00E56270"/>
    <w:rsid w:val="00E56B6B"/>
    <w:rsid w:val="00E5766C"/>
    <w:rsid w:val="00E602DA"/>
    <w:rsid w:val="00E607D7"/>
    <w:rsid w:val="00E61DE9"/>
    <w:rsid w:val="00E620E9"/>
    <w:rsid w:val="00E6249A"/>
    <w:rsid w:val="00E6298F"/>
    <w:rsid w:val="00E63364"/>
    <w:rsid w:val="00E64E8A"/>
    <w:rsid w:val="00E65DBC"/>
    <w:rsid w:val="00E66185"/>
    <w:rsid w:val="00E66961"/>
    <w:rsid w:val="00E67CF4"/>
    <w:rsid w:val="00E7176E"/>
    <w:rsid w:val="00E72E50"/>
    <w:rsid w:val="00E73C1E"/>
    <w:rsid w:val="00E740E2"/>
    <w:rsid w:val="00E749D4"/>
    <w:rsid w:val="00E77E81"/>
    <w:rsid w:val="00E80578"/>
    <w:rsid w:val="00E81827"/>
    <w:rsid w:val="00E819A1"/>
    <w:rsid w:val="00E82001"/>
    <w:rsid w:val="00E822CB"/>
    <w:rsid w:val="00E82CD3"/>
    <w:rsid w:val="00E85AF4"/>
    <w:rsid w:val="00E87512"/>
    <w:rsid w:val="00E91174"/>
    <w:rsid w:val="00E9375D"/>
    <w:rsid w:val="00E95FD9"/>
    <w:rsid w:val="00E96177"/>
    <w:rsid w:val="00E973DC"/>
    <w:rsid w:val="00EA1D0A"/>
    <w:rsid w:val="00EA1FB8"/>
    <w:rsid w:val="00EA21F9"/>
    <w:rsid w:val="00EA2AC3"/>
    <w:rsid w:val="00EA392A"/>
    <w:rsid w:val="00EA3AD4"/>
    <w:rsid w:val="00EA3CC1"/>
    <w:rsid w:val="00EA4856"/>
    <w:rsid w:val="00EA4D3D"/>
    <w:rsid w:val="00EA5664"/>
    <w:rsid w:val="00EA644D"/>
    <w:rsid w:val="00EA6603"/>
    <w:rsid w:val="00EB04E9"/>
    <w:rsid w:val="00EB1386"/>
    <w:rsid w:val="00EB197E"/>
    <w:rsid w:val="00EB2AEC"/>
    <w:rsid w:val="00EB4368"/>
    <w:rsid w:val="00EB4682"/>
    <w:rsid w:val="00EB4A35"/>
    <w:rsid w:val="00EC00BD"/>
    <w:rsid w:val="00EC0A4E"/>
    <w:rsid w:val="00EC23BD"/>
    <w:rsid w:val="00EC3A94"/>
    <w:rsid w:val="00EC5871"/>
    <w:rsid w:val="00ED0B6A"/>
    <w:rsid w:val="00ED2DA8"/>
    <w:rsid w:val="00ED3496"/>
    <w:rsid w:val="00ED4771"/>
    <w:rsid w:val="00ED5D75"/>
    <w:rsid w:val="00ED66CB"/>
    <w:rsid w:val="00EE2507"/>
    <w:rsid w:val="00EE34E4"/>
    <w:rsid w:val="00EE4A1D"/>
    <w:rsid w:val="00EE4E3C"/>
    <w:rsid w:val="00EE5210"/>
    <w:rsid w:val="00EE526B"/>
    <w:rsid w:val="00EE64E0"/>
    <w:rsid w:val="00EE789C"/>
    <w:rsid w:val="00EF08DC"/>
    <w:rsid w:val="00EF0996"/>
    <w:rsid w:val="00EF1341"/>
    <w:rsid w:val="00EF3215"/>
    <w:rsid w:val="00EF6012"/>
    <w:rsid w:val="00EF7472"/>
    <w:rsid w:val="00EF7B29"/>
    <w:rsid w:val="00EF7BFA"/>
    <w:rsid w:val="00EF7D9B"/>
    <w:rsid w:val="00EF7F4F"/>
    <w:rsid w:val="00F00BA8"/>
    <w:rsid w:val="00F01E9F"/>
    <w:rsid w:val="00F02C82"/>
    <w:rsid w:val="00F037C8"/>
    <w:rsid w:val="00F0456C"/>
    <w:rsid w:val="00F05BE8"/>
    <w:rsid w:val="00F07E4E"/>
    <w:rsid w:val="00F112C3"/>
    <w:rsid w:val="00F12495"/>
    <w:rsid w:val="00F12590"/>
    <w:rsid w:val="00F12FE1"/>
    <w:rsid w:val="00F13B8D"/>
    <w:rsid w:val="00F14548"/>
    <w:rsid w:val="00F14E32"/>
    <w:rsid w:val="00F16E74"/>
    <w:rsid w:val="00F178C8"/>
    <w:rsid w:val="00F17F53"/>
    <w:rsid w:val="00F21957"/>
    <w:rsid w:val="00F225F7"/>
    <w:rsid w:val="00F233CF"/>
    <w:rsid w:val="00F251C8"/>
    <w:rsid w:val="00F252CC"/>
    <w:rsid w:val="00F27FCF"/>
    <w:rsid w:val="00F3002A"/>
    <w:rsid w:val="00F30804"/>
    <w:rsid w:val="00F30CEF"/>
    <w:rsid w:val="00F33703"/>
    <w:rsid w:val="00F338E8"/>
    <w:rsid w:val="00F34513"/>
    <w:rsid w:val="00F34C19"/>
    <w:rsid w:val="00F37CFE"/>
    <w:rsid w:val="00F37F8E"/>
    <w:rsid w:val="00F42608"/>
    <w:rsid w:val="00F42A91"/>
    <w:rsid w:val="00F43860"/>
    <w:rsid w:val="00F44809"/>
    <w:rsid w:val="00F44FB5"/>
    <w:rsid w:val="00F45BB7"/>
    <w:rsid w:val="00F46E23"/>
    <w:rsid w:val="00F5128F"/>
    <w:rsid w:val="00F5214A"/>
    <w:rsid w:val="00F52247"/>
    <w:rsid w:val="00F549EA"/>
    <w:rsid w:val="00F54CE6"/>
    <w:rsid w:val="00F54E3D"/>
    <w:rsid w:val="00F55682"/>
    <w:rsid w:val="00F55AB0"/>
    <w:rsid w:val="00F55E77"/>
    <w:rsid w:val="00F56526"/>
    <w:rsid w:val="00F5672B"/>
    <w:rsid w:val="00F5675C"/>
    <w:rsid w:val="00F5726D"/>
    <w:rsid w:val="00F60386"/>
    <w:rsid w:val="00F6172A"/>
    <w:rsid w:val="00F618F7"/>
    <w:rsid w:val="00F62DD4"/>
    <w:rsid w:val="00F63677"/>
    <w:rsid w:val="00F63CE4"/>
    <w:rsid w:val="00F66A95"/>
    <w:rsid w:val="00F70B99"/>
    <w:rsid w:val="00F71F2E"/>
    <w:rsid w:val="00F7440B"/>
    <w:rsid w:val="00F774C0"/>
    <w:rsid w:val="00F779B5"/>
    <w:rsid w:val="00F7A568"/>
    <w:rsid w:val="00F80DE1"/>
    <w:rsid w:val="00F8138E"/>
    <w:rsid w:val="00F815A0"/>
    <w:rsid w:val="00F820D4"/>
    <w:rsid w:val="00F8254C"/>
    <w:rsid w:val="00F82C5A"/>
    <w:rsid w:val="00F83247"/>
    <w:rsid w:val="00F849B8"/>
    <w:rsid w:val="00F854CD"/>
    <w:rsid w:val="00F8655A"/>
    <w:rsid w:val="00F87A37"/>
    <w:rsid w:val="00F87CDA"/>
    <w:rsid w:val="00F904DD"/>
    <w:rsid w:val="00F908DC"/>
    <w:rsid w:val="00F90E78"/>
    <w:rsid w:val="00F90FC6"/>
    <w:rsid w:val="00F91EFB"/>
    <w:rsid w:val="00F91F0E"/>
    <w:rsid w:val="00F920EF"/>
    <w:rsid w:val="00F927CE"/>
    <w:rsid w:val="00F928E9"/>
    <w:rsid w:val="00F92D19"/>
    <w:rsid w:val="00F956FE"/>
    <w:rsid w:val="00F95A18"/>
    <w:rsid w:val="00F96D2B"/>
    <w:rsid w:val="00F96F1D"/>
    <w:rsid w:val="00F97EA2"/>
    <w:rsid w:val="00FA1D3D"/>
    <w:rsid w:val="00FA2A9B"/>
    <w:rsid w:val="00FA2D9F"/>
    <w:rsid w:val="00FA443B"/>
    <w:rsid w:val="00FA7E3B"/>
    <w:rsid w:val="00FB154C"/>
    <w:rsid w:val="00FB19F6"/>
    <w:rsid w:val="00FB28AA"/>
    <w:rsid w:val="00FB2CDE"/>
    <w:rsid w:val="00FB2D8A"/>
    <w:rsid w:val="00FB2E48"/>
    <w:rsid w:val="00FB38C3"/>
    <w:rsid w:val="00FB492B"/>
    <w:rsid w:val="00FB4E53"/>
    <w:rsid w:val="00FB4F05"/>
    <w:rsid w:val="00FC0071"/>
    <w:rsid w:val="00FC0470"/>
    <w:rsid w:val="00FC14D7"/>
    <w:rsid w:val="00FC19EB"/>
    <w:rsid w:val="00FC1B18"/>
    <w:rsid w:val="00FC1B7F"/>
    <w:rsid w:val="00FC1CB5"/>
    <w:rsid w:val="00FC27F0"/>
    <w:rsid w:val="00FC2997"/>
    <w:rsid w:val="00FC342B"/>
    <w:rsid w:val="00FC37F1"/>
    <w:rsid w:val="00FC40FC"/>
    <w:rsid w:val="00FC4CB8"/>
    <w:rsid w:val="00FC4F8E"/>
    <w:rsid w:val="00FC5D81"/>
    <w:rsid w:val="00FC6C64"/>
    <w:rsid w:val="00FC7E20"/>
    <w:rsid w:val="00FD35C8"/>
    <w:rsid w:val="00FD446A"/>
    <w:rsid w:val="00FD4B03"/>
    <w:rsid w:val="00FD59ED"/>
    <w:rsid w:val="00FD5B1B"/>
    <w:rsid w:val="00FD61E0"/>
    <w:rsid w:val="00FD6EA3"/>
    <w:rsid w:val="00FD72BF"/>
    <w:rsid w:val="00FD7F4B"/>
    <w:rsid w:val="00FE1847"/>
    <w:rsid w:val="00FE2A8B"/>
    <w:rsid w:val="00FE7EA5"/>
    <w:rsid w:val="00FF1E2E"/>
    <w:rsid w:val="00FF1ECA"/>
    <w:rsid w:val="00FF3426"/>
    <w:rsid w:val="00FF3B02"/>
    <w:rsid w:val="00FF4621"/>
    <w:rsid w:val="00FF4D3D"/>
    <w:rsid w:val="01080229"/>
    <w:rsid w:val="010EA76D"/>
    <w:rsid w:val="01307C1A"/>
    <w:rsid w:val="0143B5D9"/>
    <w:rsid w:val="019704F4"/>
    <w:rsid w:val="01A5FAA1"/>
    <w:rsid w:val="01C5C1AB"/>
    <w:rsid w:val="01E36374"/>
    <w:rsid w:val="01E4A9C5"/>
    <w:rsid w:val="01E4AEBF"/>
    <w:rsid w:val="01E4AF77"/>
    <w:rsid w:val="0200ADE0"/>
    <w:rsid w:val="0200FB39"/>
    <w:rsid w:val="020B58D5"/>
    <w:rsid w:val="021CF72B"/>
    <w:rsid w:val="02246A3B"/>
    <w:rsid w:val="02305969"/>
    <w:rsid w:val="0250ECEB"/>
    <w:rsid w:val="02ABA86C"/>
    <w:rsid w:val="02AEB711"/>
    <w:rsid w:val="02AF7B76"/>
    <w:rsid w:val="02B6B174"/>
    <w:rsid w:val="02CF88AC"/>
    <w:rsid w:val="02D37474"/>
    <w:rsid w:val="02D55726"/>
    <w:rsid w:val="02DB6BAD"/>
    <w:rsid w:val="02EC3E46"/>
    <w:rsid w:val="02ED7315"/>
    <w:rsid w:val="0338A94F"/>
    <w:rsid w:val="035304E3"/>
    <w:rsid w:val="0360FE87"/>
    <w:rsid w:val="0363A6AD"/>
    <w:rsid w:val="036ECECF"/>
    <w:rsid w:val="03703E55"/>
    <w:rsid w:val="037B9487"/>
    <w:rsid w:val="03CE62B1"/>
    <w:rsid w:val="03F53108"/>
    <w:rsid w:val="042D713A"/>
    <w:rsid w:val="0432E570"/>
    <w:rsid w:val="043417FC"/>
    <w:rsid w:val="043AD0DE"/>
    <w:rsid w:val="044AA18D"/>
    <w:rsid w:val="0451DFC5"/>
    <w:rsid w:val="045A5726"/>
    <w:rsid w:val="0478C1D2"/>
    <w:rsid w:val="048258B9"/>
    <w:rsid w:val="0487BAD3"/>
    <w:rsid w:val="04BB20F9"/>
    <w:rsid w:val="04CF2BEC"/>
    <w:rsid w:val="04E89371"/>
    <w:rsid w:val="050997DD"/>
    <w:rsid w:val="051E4130"/>
    <w:rsid w:val="053C103D"/>
    <w:rsid w:val="0547053A"/>
    <w:rsid w:val="054A6EA6"/>
    <w:rsid w:val="0564456D"/>
    <w:rsid w:val="056F854F"/>
    <w:rsid w:val="0570CBFA"/>
    <w:rsid w:val="057DB60E"/>
    <w:rsid w:val="05CBBFF8"/>
    <w:rsid w:val="05D15521"/>
    <w:rsid w:val="06103F50"/>
    <w:rsid w:val="0613CE09"/>
    <w:rsid w:val="061E806C"/>
    <w:rsid w:val="065BFB3A"/>
    <w:rsid w:val="06614081"/>
    <w:rsid w:val="066A2FBC"/>
    <w:rsid w:val="0678600B"/>
    <w:rsid w:val="067CF30C"/>
    <w:rsid w:val="06891C39"/>
    <w:rsid w:val="06969B78"/>
    <w:rsid w:val="06A7E037"/>
    <w:rsid w:val="06AAD97F"/>
    <w:rsid w:val="06B29028"/>
    <w:rsid w:val="06B40789"/>
    <w:rsid w:val="0718139B"/>
    <w:rsid w:val="072D2BD6"/>
    <w:rsid w:val="0738C3DC"/>
    <w:rsid w:val="0746A444"/>
    <w:rsid w:val="076D7E58"/>
    <w:rsid w:val="0781394B"/>
    <w:rsid w:val="0785632F"/>
    <w:rsid w:val="07A429E7"/>
    <w:rsid w:val="07D52E96"/>
    <w:rsid w:val="07DFB1C7"/>
    <w:rsid w:val="07EA191B"/>
    <w:rsid w:val="0807BD96"/>
    <w:rsid w:val="081B76B4"/>
    <w:rsid w:val="081D759C"/>
    <w:rsid w:val="088C6308"/>
    <w:rsid w:val="08920649"/>
    <w:rsid w:val="08A06A06"/>
    <w:rsid w:val="08AD2149"/>
    <w:rsid w:val="08AE7FC7"/>
    <w:rsid w:val="08C3F783"/>
    <w:rsid w:val="08D2CA25"/>
    <w:rsid w:val="08D629EF"/>
    <w:rsid w:val="0911AB0E"/>
    <w:rsid w:val="093B0839"/>
    <w:rsid w:val="093D33A4"/>
    <w:rsid w:val="093EFF5F"/>
    <w:rsid w:val="0957A2BA"/>
    <w:rsid w:val="0996AE91"/>
    <w:rsid w:val="099A285D"/>
    <w:rsid w:val="09C2459E"/>
    <w:rsid w:val="09CB989E"/>
    <w:rsid w:val="09CD9F10"/>
    <w:rsid w:val="09D43196"/>
    <w:rsid w:val="09E522AD"/>
    <w:rsid w:val="0A037BE5"/>
    <w:rsid w:val="0A17D901"/>
    <w:rsid w:val="0A2CBA65"/>
    <w:rsid w:val="0A6184AA"/>
    <w:rsid w:val="0A65D91A"/>
    <w:rsid w:val="0A679273"/>
    <w:rsid w:val="0A93D469"/>
    <w:rsid w:val="0A9DE05C"/>
    <w:rsid w:val="0A9DFC68"/>
    <w:rsid w:val="0AC9518B"/>
    <w:rsid w:val="0AD10510"/>
    <w:rsid w:val="0ADCAF19"/>
    <w:rsid w:val="0AE1D08F"/>
    <w:rsid w:val="0AFC5F7A"/>
    <w:rsid w:val="0B250347"/>
    <w:rsid w:val="0B3F0D65"/>
    <w:rsid w:val="0B6C3440"/>
    <w:rsid w:val="0BA6049C"/>
    <w:rsid w:val="0BD1E972"/>
    <w:rsid w:val="0BE91829"/>
    <w:rsid w:val="0BEFDB46"/>
    <w:rsid w:val="0BFA8E08"/>
    <w:rsid w:val="0BFDA41E"/>
    <w:rsid w:val="0C1CBD47"/>
    <w:rsid w:val="0C444E04"/>
    <w:rsid w:val="0C705076"/>
    <w:rsid w:val="0CA2186D"/>
    <w:rsid w:val="0CB658A0"/>
    <w:rsid w:val="0CBE4E47"/>
    <w:rsid w:val="0CC2BCD8"/>
    <w:rsid w:val="0CCC8788"/>
    <w:rsid w:val="0CE69EDF"/>
    <w:rsid w:val="0CE77F50"/>
    <w:rsid w:val="0CFD79FF"/>
    <w:rsid w:val="0D0A0E21"/>
    <w:rsid w:val="0D0BE8C3"/>
    <w:rsid w:val="0D0E8A01"/>
    <w:rsid w:val="0D149F11"/>
    <w:rsid w:val="0D169CE8"/>
    <w:rsid w:val="0D188BB6"/>
    <w:rsid w:val="0D25B426"/>
    <w:rsid w:val="0D5194CB"/>
    <w:rsid w:val="0D54C5F5"/>
    <w:rsid w:val="0D8890C2"/>
    <w:rsid w:val="0D92B5AE"/>
    <w:rsid w:val="0DA7D6AC"/>
    <w:rsid w:val="0DB5ACA9"/>
    <w:rsid w:val="0DDD07B3"/>
    <w:rsid w:val="0DE92563"/>
    <w:rsid w:val="0DF2FAC4"/>
    <w:rsid w:val="0DF360EC"/>
    <w:rsid w:val="0E204C4A"/>
    <w:rsid w:val="0E40B31F"/>
    <w:rsid w:val="0E595BD5"/>
    <w:rsid w:val="0E606444"/>
    <w:rsid w:val="0E68B873"/>
    <w:rsid w:val="0E8ACCA4"/>
    <w:rsid w:val="0ED28092"/>
    <w:rsid w:val="0EDB9D70"/>
    <w:rsid w:val="0EE18EC8"/>
    <w:rsid w:val="0F066F4C"/>
    <w:rsid w:val="0F0D6D4D"/>
    <w:rsid w:val="0F5B3B90"/>
    <w:rsid w:val="0F6E6EE8"/>
    <w:rsid w:val="0F860B5F"/>
    <w:rsid w:val="0F91D6FF"/>
    <w:rsid w:val="0F9D04D6"/>
    <w:rsid w:val="0FA4A41B"/>
    <w:rsid w:val="0FB9420D"/>
    <w:rsid w:val="0FCE42D1"/>
    <w:rsid w:val="0FD519A2"/>
    <w:rsid w:val="0FD56EBA"/>
    <w:rsid w:val="0FED0394"/>
    <w:rsid w:val="0FF415B9"/>
    <w:rsid w:val="0FF8811D"/>
    <w:rsid w:val="101E304D"/>
    <w:rsid w:val="1029DE1F"/>
    <w:rsid w:val="10302184"/>
    <w:rsid w:val="1031AEBC"/>
    <w:rsid w:val="10350535"/>
    <w:rsid w:val="1057B49F"/>
    <w:rsid w:val="10679746"/>
    <w:rsid w:val="106E8F0F"/>
    <w:rsid w:val="1076190E"/>
    <w:rsid w:val="10785A05"/>
    <w:rsid w:val="109ECED0"/>
    <w:rsid w:val="10A2C047"/>
    <w:rsid w:val="10A97EF1"/>
    <w:rsid w:val="10B2E729"/>
    <w:rsid w:val="10D3066D"/>
    <w:rsid w:val="1137D15C"/>
    <w:rsid w:val="11388FCF"/>
    <w:rsid w:val="11472A0A"/>
    <w:rsid w:val="117628D2"/>
    <w:rsid w:val="118A04CB"/>
    <w:rsid w:val="11A141E3"/>
    <w:rsid w:val="11A22228"/>
    <w:rsid w:val="11A2265B"/>
    <w:rsid w:val="11AAECB0"/>
    <w:rsid w:val="11CB4D93"/>
    <w:rsid w:val="11F5ED35"/>
    <w:rsid w:val="11F9D831"/>
    <w:rsid w:val="120F98DE"/>
    <w:rsid w:val="121622A4"/>
    <w:rsid w:val="1229CD90"/>
    <w:rsid w:val="122CD452"/>
    <w:rsid w:val="1240C087"/>
    <w:rsid w:val="124806E5"/>
    <w:rsid w:val="125920B3"/>
    <w:rsid w:val="126D8B4E"/>
    <w:rsid w:val="12D32D12"/>
    <w:rsid w:val="12E142D6"/>
    <w:rsid w:val="12E9007D"/>
    <w:rsid w:val="131CCD25"/>
    <w:rsid w:val="13231116"/>
    <w:rsid w:val="1340542A"/>
    <w:rsid w:val="1344C232"/>
    <w:rsid w:val="135DBDC9"/>
    <w:rsid w:val="1369977F"/>
    <w:rsid w:val="13716B11"/>
    <w:rsid w:val="1376340A"/>
    <w:rsid w:val="137C96E6"/>
    <w:rsid w:val="13832331"/>
    <w:rsid w:val="138CFCF2"/>
    <w:rsid w:val="13ACA33C"/>
    <w:rsid w:val="13B95BB8"/>
    <w:rsid w:val="13BFBC36"/>
    <w:rsid w:val="13E336F5"/>
    <w:rsid w:val="13EAC8AA"/>
    <w:rsid w:val="13FAD653"/>
    <w:rsid w:val="13FB8E02"/>
    <w:rsid w:val="14040350"/>
    <w:rsid w:val="140B7727"/>
    <w:rsid w:val="141E524D"/>
    <w:rsid w:val="144D6DE3"/>
    <w:rsid w:val="144E45A8"/>
    <w:rsid w:val="14727095"/>
    <w:rsid w:val="147A2149"/>
    <w:rsid w:val="14958436"/>
    <w:rsid w:val="1498402E"/>
    <w:rsid w:val="14AA34CD"/>
    <w:rsid w:val="14D668E8"/>
    <w:rsid w:val="14EFD2CE"/>
    <w:rsid w:val="15184F73"/>
    <w:rsid w:val="151C4E77"/>
    <w:rsid w:val="153AC1B4"/>
    <w:rsid w:val="15455049"/>
    <w:rsid w:val="15670CC9"/>
    <w:rsid w:val="1570311D"/>
    <w:rsid w:val="159BF6D3"/>
    <w:rsid w:val="15AFE414"/>
    <w:rsid w:val="15B3CC83"/>
    <w:rsid w:val="15D2A16F"/>
    <w:rsid w:val="15D36601"/>
    <w:rsid w:val="15E2B54D"/>
    <w:rsid w:val="15E4A134"/>
    <w:rsid w:val="15E54F1A"/>
    <w:rsid w:val="15E70E0C"/>
    <w:rsid w:val="1600DD4B"/>
    <w:rsid w:val="160ABD9E"/>
    <w:rsid w:val="160B4B71"/>
    <w:rsid w:val="160B7834"/>
    <w:rsid w:val="16360E66"/>
    <w:rsid w:val="1639D63C"/>
    <w:rsid w:val="16489E03"/>
    <w:rsid w:val="16613EEC"/>
    <w:rsid w:val="166303D8"/>
    <w:rsid w:val="166A6882"/>
    <w:rsid w:val="166D6378"/>
    <w:rsid w:val="168FDB7F"/>
    <w:rsid w:val="16A471C0"/>
    <w:rsid w:val="16AE74AB"/>
    <w:rsid w:val="16AF886E"/>
    <w:rsid w:val="1702F30F"/>
    <w:rsid w:val="171BE019"/>
    <w:rsid w:val="172A5BD6"/>
    <w:rsid w:val="1732F955"/>
    <w:rsid w:val="17747703"/>
    <w:rsid w:val="1793615D"/>
    <w:rsid w:val="179948B4"/>
    <w:rsid w:val="17A2190C"/>
    <w:rsid w:val="17CEE178"/>
    <w:rsid w:val="17D39EAF"/>
    <w:rsid w:val="17F23959"/>
    <w:rsid w:val="18011491"/>
    <w:rsid w:val="18047F60"/>
    <w:rsid w:val="18095579"/>
    <w:rsid w:val="1809C3D6"/>
    <w:rsid w:val="180F6F8B"/>
    <w:rsid w:val="18237566"/>
    <w:rsid w:val="182F41F9"/>
    <w:rsid w:val="1831AA2B"/>
    <w:rsid w:val="18449529"/>
    <w:rsid w:val="18659131"/>
    <w:rsid w:val="186AB123"/>
    <w:rsid w:val="188150C6"/>
    <w:rsid w:val="18828017"/>
    <w:rsid w:val="188996C9"/>
    <w:rsid w:val="188EAB9D"/>
    <w:rsid w:val="18984947"/>
    <w:rsid w:val="189D5351"/>
    <w:rsid w:val="18A34C03"/>
    <w:rsid w:val="18C37368"/>
    <w:rsid w:val="18D748BF"/>
    <w:rsid w:val="18DAB452"/>
    <w:rsid w:val="18EB3425"/>
    <w:rsid w:val="18F30EA5"/>
    <w:rsid w:val="18FB1798"/>
    <w:rsid w:val="18FC92D3"/>
    <w:rsid w:val="190543DC"/>
    <w:rsid w:val="1910C6C3"/>
    <w:rsid w:val="19129363"/>
    <w:rsid w:val="191F977C"/>
    <w:rsid w:val="193ECC53"/>
    <w:rsid w:val="1960172E"/>
    <w:rsid w:val="19622107"/>
    <w:rsid w:val="197DA609"/>
    <w:rsid w:val="197FF439"/>
    <w:rsid w:val="19AE6FF0"/>
    <w:rsid w:val="19D3AE47"/>
    <w:rsid w:val="19DAA5E6"/>
    <w:rsid w:val="19DB954F"/>
    <w:rsid w:val="19F4DB8B"/>
    <w:rsid w:val="1A0E2D6E"/>
    <w:rsid w:val="1A16EE0E"/>
    <w:rsid w:val="1A249F6E"/>
    <w:rsid w:val="1A446606"/>
    <w:rsid w:val="1A581154"/>
    <w:rsid w:val="1AA17F0B"/>
    <w:rsid w:val="1AB29195"/>
    <w:rsid w:val="1AB764F7"/>
    <w:rsid w:val="1AE2C5C6"/>
    <w:rsid w:val="1AE70D2F"/>
    <w:rsid w:val="1AE7D201"/>
    <w:rsid w:val="1B18FE23"/>
    <w:rsid w:val="1B446CCA"/>
    <w:rsid w:val="1B5D07EB"/>
    <w:rsid w:val="1B68DA03"/>
    <w:rsid w:val="1BA6171F"/>
    <w:rsid w:val="1BA8CEDF"/>
    <w:rsid w:val="1BDE297F"/>
    <w:rsid w:val="1C35744D"/>
    <w:rsid w:val="1C4470B8"/>
    <w:rsid w:val="1C5417F8"/>
    <w:rsid w:val="1C6288F0"/>
    <w:rsid w:val="1C7A6978"/>
    <w:rsid w:val="1C7B6EF9"/>
    <w:rsid w:val="1C8203F3"/>
    <w:rsid w:val="1C8A7FBC"/>
    <w:rsid w:val="1C901B8C"/>
    <w:rsid w:val="1CA00319"/>
    <w:rsid w:val="1CBD4A90"/>
    <w:rsid w:val="1D1A8AE4"/>
    <w:rsid w:val="1D31FF11"/>
    <w:rsid w:val="1D5E2BA5"/>
    <w:rsid w:val="1D60735A"/>
    <w:rsid w:val="1D62605E"/>
    <w:rsid w:val="1D6B97F9"/>
    <w:rsid w:val="1D6C9D7A"/>
    <w:rsid w:val="1D78711F"/>
    <w:rsid w:val="1D8031B8"/>
    <w:rsid w:val="1D85FD61"/>
    <w:rsid w:val="1D8E4CA5"/>
    <w:rsid w:val="1D8FC3C8"/>
    <w:rsid w:val="1D9A610F"/>
    <w:rsid w:val="1DA7220D"/>
    <w:rsid w:val="1DAF657D"/>
    <w:rsid w:val="1DBE0580"/>
    <w:rsid w:val="1DBF4EB8"/>
    <w:rsid w:val="1DC0556F"/>
    <w:rsid w:val="1DC2CDC1"/>
    <w:rsid w:val="1DC3228E"/>
    <w:rsid w:val="1DCD91AF"/>
    <w:rsid w:val="1DF0640D"/>
    <w:rsid w:val="1E555DC7"/>
    <w:rsid w:val="1E57845D"/>
    <w:rsid w:val="1E63B554"/>
    <w:rsid w:val="1E82249E"/>
    <w:rsid w:val="1E8A39BE"/>
    <w:rsid w:val="1EA7F9D0"/>
    <w:rsid w:val="1EB08DAD"/>
    <w:rsid w:val="1EBFA1EE"/>
    <w:rsid w:val="1ED5295A"/>
    <w:rsid w:val="1EDD2DA2"/>
    <w:rsid w:val="1EE480F6"/>
    <w:rsid w:val="1EF67F85"/>
    <w:rsid w:val="1F1B74AD"/>
    <w:rsid w:val="1F23F70D"/>
    <w:rsid w:val="1F34F342"/>
    <w:rsid w:val="1F5BD99C"/>
    <w:rsid w:val="1F82E4D3"/>
    <w:rsid w:val="1F86F2F0"/>
    <w:rsid w:val="1FA770CD"/>
    <w:rsid w:val="1FC0F57E"/>
    <w:rsid w:val="1FC5302F"/>
    <w:rsid w:val="1FEDEAF3"/>
    <w:rsid w:val="2001096F"/>
    <w:rsid w:val="2018FEE9"/>
    <w:rsid w:val="202A6F89"/>
    <w:rsid w:val="203D8F2D"/>
    <w:rsid w:val="204840CF"/>
    <w:rsid w:val="205AA92E"/>
    <w:rsid w:val="205F044B"/>
    <w:rsid w:val="206623BF"/>
    <w:rsid w:val="20763626"/>
    <w:rsid w:val="20AAFF30"/>
    <w:rsid w:val="20B16778"/>
    <w:rsid w:val="20DEA3F5"/>
    <w:rsid w:val="20E45200"/>
    <w:rsid w:val="20EC1EAA"/>
    <w:rsid w:val="213148B0"/>
    <w:rsid w:val="2132B4AD"/>
    <w:rsid w:val="2146ADEE"/>
    <w:rsid w:val="216A0358"/>
    <w:rsid w:val="2177372C"/>
    <w:rsid w:val="21C28F32"/>
    <w:rsid w:val="21DA0365"/>
    <w:rsid w:val="21E67D3F"/>
    <w:rsid w:val="21EC718C"/>
    <w:rsid w:val="2209463E"/>
    <w:rsid w:val="2238C8DB"/>
    <w:rsid w:val="224C7C20"/>
    <w:rsid w:val="2275A230"/>
    <w:rsid w:val="22A9C2EF"/>
    <w:rsid w:val="22CC236D"/>
    <w:rsid w:val="2303C940"/>
    <w:rsid w:val="230F5695"/>
    <w:rsid w:val="2316057B"/>
    <w:rsid w:val="231A43A7"/>
    <w:rsid w:val="233FB9E4"/>
    <w:rsid w:val="23449168"/>
    <w:rsid w:val="2349EEF0"/>
    <w:rsid w:val="235EA4A2"/>
    <w:rsid w:val="236370D6"/>
    <w:rsid w:val="2364DC20"/>
    <w:rsid w:val="2394E0BD"/>
    <w:rsid w:val="2397CEFE"/>
    <w:rsid w:val="23A691AD"/>
    <w:rsid w:val="23B0EE23"/>
    <w:rsid w:val="23E7A9FC"/>
    <w:rsid w:val="23F994A2"/>
    <w:rsid w:val="23FB7FAC"/>
    <w:rsid w:val="2417B655"/>
    <w:rsid w:val="242BBEEA"/>
    <w:rsid w:val="242D23CD"/>
    <w:rsid w:val="242FC9AE"/>
    <w:rsid w:val="24369C11"/>
    <w:rsid w:val="24B435BE"/>
    <w:rsid w:val="24C17026"/>
    <w:rsid w:val="24D37196"/>
    <w:rsid w:val="24D4ABE7"/>
    <w:rsid w:val="2524D61C"/>
    <w:rsid w:val="253563A4"/>
    <w:rsid w:val="2535C5F5"/>
    <w:rsid w:val="253EE4DA"/>
    <w:rsid w:val="254B0E1D"/>
    <w:rsid w:val="255CB320"/>
    <w:rsid w:val="25749930"/>
    <w:rsid w:val="258147C4"/>
    <w:rsid w:val="25856BB0"/>
    <w:rsid w:val="259C0ED6"/>
    <w:rsid w:val="25A15479"/>
    <w:rsid w:val="25A26340"/>
    <w:rsid w:val="25C2317B"/>
    <w:rsid w:val="25CDCBF2"/>
    <w:rsid w:val="25DF1C2B"/>
    <w:rsid w:val="25F3653A"/>
    <w:rsid w:val="25FA345D"/>
    <w:rsid w:val="25FC79B4"/>
    <w:rsid w:val="260E81F6"/>
    <w:rsid w:val="2618D2DC"/>
    <w:rsid w:val="2661F108"/>
    <w:rsid w:val="267A2556"/>
    <w:rsid w:val="2681A909"/>
    <w:rsid w:val="26A82F41"/>
    <w:rsid w:val="26C3EABE"/>
    <w:rsid w:val="26CA88E5"/>
    <w:rsid w:val="26D4669E"/>
    <w:rsid w:val="26DD1186"/>
    <w:rsid w:val="26F1B0F4"/>
    <w:rsid w:val="273039A6"/>
    <w:rsid w:val="2743887F"/>
    <w:rsid w:val="2745BB85"/>
    <w:rsid w:val="276D21F3"/>
    <w:rsid w:val="27738E44"/>
    <w:rsid w:val="27826D10"/>
    <w:rsid w:val="27951595"/>
    <w:rsid w:val="2797A7A9"/>
    <w:rsid w:val="279FA494"/>
    <w:rsid w:val="27AE3731"/>
    <w:rsid w:val="27C1D350"/>
    <w:rsid w:val="27CB1E2F"/>
    <w:rsid w:val="27F291D6"/>
    <w:rsid w:val="27FA29AD"/>
    <w:rsid w:val="2818C39F"/>
    <w:rsid w:val="282035F7"/>
    <w:rsid w:val="2840F5CF"/>
    <w:rsid w:val="2848EADA"/>
    <w:rsid w:val="284B78D1"/>
    <w:rsid w:val="28698FCB"/>
    <w:rsid w:val="28709BE7"/>
    <w:rsid w:val="28845130"/>
    <w:rsid w:val="2896C2EE"/>
    <w:rsid w:val="289BFBEA"/>
    <w:rsid w:val="28AAB4A3"/>
    <w:rsid w:val="28C0E6F5"/>
    <w:rsid w:val="28CF90C7"/>
    <w:rsid w:val="28D94034"/>
    <w:rsid w:val="28EB72B1"/>
    <w:rsid w:val="29250338"/>
    <w:rsid w:val="292B9532"/>
    <w:rsid w:val="294A252E"/>
    <w:rsid w:val="294DEB02"/>
    <w:rsid w:val="29529B2F"/>
    <w:rsid w:val="295A4B44"/>
    <w:rsid w:val="295B276C"/>
    <w:rsid w:val="295B7726"/>
    <w:rsid w:val="297BF3B4"/>
    <w:rsid w:val="29A96CA4"/>
    <w:rsid w:val="29E2EB1D"/>
    <w:rsid w:val="2A3522EC"/>
    <w:rsid w:val="2A52EAA1"/>
    <w:rsid w:val="2A58A3CA"/>
    <w:rsid w:val="2A73EC45"/>
    <w:rsid w:val="2A929C49"/>
    <w:rsid w:val="2A98D4C0"/>
    <w:rsid w:val="2AA5AF21"/>
    <w:rsid w:val="2ABA30F6"/>
    <w:rsid w:val="2ABEAFBA"/>
    <w:rsid w:val="2AC5E490"/>
    <w:rsid w:val="2AE24114"/>
    <w:rsid w:val="2B5DB147"/>
    <w:rsid w:val="2B777411"/>
    <w:rsid w:val="2B84975B"/>
    <w:rsid w:val="2BA4705D"/>
    <w:rsid w:val="2BB117AD"/>
    <w:rsid w:val="2BB3CA84"/>
    <w:rsid w:val="2BB9481C"/>
    <w:rsid w:val="2BE8809D"/>
    <w:rsid w:val="2C144F8E"/>
    <w:rsid w:val="2C1563DA"/>
    <w:rsid w:val="2C21FE90"/>
    <w:rsid w:val="2C33FEF4"/>
    <w:rsid w:val="2C35E401"/>
    <w:rsid w:val="2C96FF1B"/>
    <w:rsid w:val="2CAB596F"/>
    <w:rsid w:val="2CDFD62B"/>
    <w:rsid w:val="2CF18F52"/>
    <w:rsid w:val="2D1ED09F"/>
    <w:rsid w:val="2D27C102"/>
    <w:rsid w:val="2D32A203"/>
    <w:rsid w:val="2D3444EE"/>
    <w:rsid w:val="2D3889E0"/>
    <w:rsid w:val="2D3FD6D2"/>
    <w:rsid w:val="2D48506A"/>
    <w:rsid w:val="2D48AA5D"/>
    <w:rsid w:val="2D979F99"/>
    <w:rsid w:val="2DA3EBFB"/>
    <w:rsid w:val="2DA54986"/>
    <w:rsid w:val="2DAD97D6"/>
    <w:rsid w:val="2DC50E75"/>
    <w:rsid w:val="2DDD5393"/>
    <w:rsid w:val="2DEE2C4E"/>
    <w:rsid w:val="2DF1BD3B"/>
    <w:rsid w:val="2E0E159C"/>
    <w:rsid w:val="2E181910"/>
    <w:rsid w:val="2E19B2B2"/>
    <w:rsid w:val="2E1E67AF"/>
    <w:rsid w:val="2E26B69C"/>
    <w:rsid w:val="2E3285E6"/>
    <w:rsid w:val="2E3FE111"/>
    <w:rsid w:val="2E41659A"/>
    <w:rsid w:val="2E6CB054"/>
    <w:rsid w:val="2E8E6C32"/>
    <w:rsid w:val="2EAFB38A"/>
    <w:rsid w:val="2EBD5D0C"/>
    <w:rsid w:val="2EC0A3AE"/>
    <w:rsid w:val="2ECB68EB"/>
    <w:rsid w:val="2ECD37E9"/>
    <w:rsid w:val="2ED8EBF3"/>
    <w:rsid w:val="2EEE0F4F"/>
    <w:rsid w:val="2F0E9902"/>
    <w:rsid w:val="2F1A278D"/>
    <w:rsid w:val="2F251D6A"/>
    <w:rsid w:val="2F3AC7E0"/>
    <w:rsid w:val="2F447DF8"/>
    <w:rsid w:val="2F488C3F"/>
    <w:rsid w:val="2F4FC6B3"/>
    <w:rsid w:val="2F7C057F"/>
    <w:rsid w:val="2FAF6C15"/>
    <w:rsid w:val="2FD309DC"/>
    <w:rsid w:val="2FE47959"/>
    <w:rsid w:val="2FEAF549"/>
    <w:rsid w:val="2FED1238"/>
    <w:rsid w:val="2FFE97A0"/>
    <w:rsid w:val="3034FE90"/>
    <w:rsid w:val="303D4AB2"/>
    <w:rsid w:val="30530B38"/>
    <w:rsid w:val="30945020"/>
    <w:rsid w:val="3096F9A9"/>
    <w:rsid w:val="30A1693F"/>
    <w:rsid w:val="31020E83"/>
    <w:rsid w:val="31098D78"/>
    <w:rsid w:val="314D7934"/>
    <w:rsid w:val="3164E1BA"/>
    <w:rsid w:val="316724F4"/>
    <w:rsid w:val="316B31DB"/>
    <w:rsid w:val="31760DDF"/>
    <w:rsid w:val="3186627A"/>
    <w:rsid w:val="319E4186"/>
    <w:rsid w:val="31CA1A75"/>
    <w:rsid w:val="31EDE277"/>
    <w:rsid w:val="31F4734C"/>
    <w:rsid w:val="31FFB1C9"/>
    <w:rsid w:val="3208784D"/>
    <w:rsid w:val="32466A64"/>
    <w:rsid w:val="324A707F"/>
    <w:rsid w:val="325DF21B"/>
    <w:rsid w:val="32728C44"/>
    <w:rsid w:val="32852112"/>
    <w:rsid w:val="328AD151"/>
    <w:rsid w:val="3290ECDC"/>
    <w:rsid w:val="32AE52DF"/>
    <w:rsid w:val="32FE023F"/>
    <w:rsid w:val="33166836"/>
    <w:rsid w:val="3333753C"/>
    <w:rsid w:val="3369F87E"/>
    <w:rsid w:val="336F4576"/>
    <w:rsid w:val="3374E5DB"/>
    <w:rsid w:val="3377A958"/>
    <w:rsid w:val="339BDE27"/>
    <w:rsid w:val="33C0402C"/>
    <w:rsid w:val="340E5E7D"/>
    <w:rsid w:val="340F43C1"/>
    <w:rsid w:val="34356203"/>
    <w:rsid w:val="345A406C"/>
    <w:rsid w:val="348C5656"/>
    <w:rsid w:val="34937CBA"/>
    <w:rsid w:val="349D53F6"/>
    <w:rsid w:val="34C6ECE1"/>
    <w:rsid w:val="34E79852"/>
    <w:rsid w:val="34F1D176"/>
    <w:rsid w:val="34F4571A"/>
    <w:rsid w:val="350EB3BA"/>
    <w:rsid w:val="352A128A"/>
    <w:rsid w:val="352EC02C"/>
    <w:rsid w:val="353C7F8C"/>
    <w:rsid w:val="3576EE64"/>
    <w:rsid w:val="3578EB5B"/>
    <w:rsid w:val="3585C711"/>
    <w:rsid w:val="3587B53D"/>
    <w:rsid w:val="359C1BBB"/>
    <w:rsid w:val="35C4E00B"/>
    <w:rsid w:val="35D1BA6F"/>
    <w:rsid w:val="362F0FC6"/>
    <w:rsid w:val="36450E86"/>
    <w:rsid w:val="36568F00"/>
    <w:rsid w:val="365E3301"/>
    <w:rsid w:val="36771410"/>
    <w:rsid w:val="3684E45B"/>
    <w:rsid w:val="36BB50D3"/>
    <w:rsid w:val="36CB117E"/>
    <w:rsid w:val="36FC8FB0"/>
    <w:rsid w:val="3706CF54"/>
    <w:rsid w:val="37139D1E"/>
    <w:rsid w:val="37221ADA"/>
    <w:rsid w:val="3743A879"/>
    <w:rsid w:val="374A681E"/>
    <w:rsid w:val="3765A5F6"/>
    <w:rsid w:val="3766CDA2"/>
    <w:rsid w:val="377D92EE"/>
    <w:rsid w:val="37A75FA5"/>
    <w:rsid w:val="37C65BF9"/>
    <w:rsid w:val="37D09E81"/>
    <w:rsid w:val="37D8744A"/>
    <w:rsid w:val="37E2A268"/>
    <w:rsid w:val="37F8C88B"/>
    <w:rsid w:val="37FE5AD2"/>
    <w:rsid w:val="3803BAE7"/>
    <w:rsid w:val="38490AE7"/>
    <w:rsid w:val="38499730"/>
    <w:rsid w:val="384B8E49"/>
    <w:rsid w:val="384CACEA"/>
    <w:rsid w:val="386AB0E5"/>
    <w:rsid w:val="387C9381"/>
    <w:rsid w:val="388BADFA"/>
    <w:rsid w:val="38AD00A7"/>
    <w:rsid w:val="38ADC767"/>
    <w:rsid w:val="38E67764"/>
    <w:rsid w:val="38EDCF31"/>
    <w:rsid w:val="38F17F33"/>
    <w:rsid w:val="38F24F9B"/>
    <w:rsid w:val="390953C0"/>
    <w:rsid w:val="3925F4D8"/>
    <w:rsid w:val="39278F46"/>
    <w:rsid w:val="392FB263"/>
    <w:rsid w:val="3937EA48"/>
    <w:rsid w:val="39525AF8"/>
    <w:rsid w:val="3961B456"/>
    <w:rsid w:val="397107E9"/>
    <w:rsid w:val="398413C0"/>
    <w:rsid w:val="39A715CD"/>
    <w:rsid w:val="39B60A6B"/>
    <w:rsid w:val="39CD9926"/>
    <w:rsid w:val="3A1DACBD"/>
    <w:rsid w:val="3A41BF21"/>
    <w:rsid w:val="3A53B1AA"/>
    <w:rsid w:val="3A74A371"/>
    <w:rsid w:val="3AA5CD5F"/>
    <w:rsid w:val="3AC4CD63"/>
    <w:rsid w:val="3AFC2A71"/>
    <w:rsid w:val="3B2770C9"/>
    <w:rsid w:val="3B33BD00"/>
    <w:rsid w:val="3B4A25FB"/>
    <w:rsid w:val="3B4BB777"/>
    <w:rsid w:val="3B597A03"/>
    <w:rsid w:val="3B5FD396"/>
    <w:rsid w:val="3B653647"/>
    <w:rsid w:val="3B663A1F"/>
    <w:rsid w:val="3B6805C4"/>
    <w:rsid w:val="3B759A7E"/>
    <w:rsid w:val="3B7CE096"/>
    <w:rsid w:val="3B94255F"/>
    <w:rsid w:val="3B94BF35"/>
    <w:rsid w:val="3B9BFC5B"/>
    <w:rsid w:val="3B9E5AC7"/>
    <w:rsid w:val="3BB2079F"/>
    <w:rsid w:val="3BCE1EA7"/>
    <w:rsid w:val="3BD28ADA"/>
    <w:rsid w:val="3BE2727D"/>
    <w:rsid w:val="3BEBC125"/>
    <w:rsid w:val="3C0DF8DF"/>
    <w:rsid w:val="3C35C47A"/>
    <w:rsid w:val="3C3CAFFD"/>
    <w:rsid w:val="3C602752"/>
    <w:rsid w:val="3C8D5B7F"/>
    <w:rsid w:val="3CE9C615"/>
    <w:rsid w:val="3CF690B5"/>
    <w:rsid w:val="3D08749D"/>
    <w:rsid w:val="3D37AF7A"/>
    <w:rsid w:val="3D41F749"/>
    <w:rsid w:val="3D595DA1"/>
    <w:rsid w:val="3D689B22"/>
    <w:rsid w:val="3D7D04B3"/>
    <w:rsid w:val="3D918048"/>
    <w:rsid w:val="3DABB84E"/>
    <w:rsid w:val="3DB94607"/>
    <w:rsid w:val="3DDBC7B8"/>
    <w:rsid w:val="3DDD222D"/>
    <w:rsid w:val="3DECE0A1"/>
    <w:rsid w:val="3DED2BE5"/>
    <w:rsid w:val="3E1990CF"/>
    <w:rsid w:val="3E3C05E1"/>
    <w:rsid w:val="3E641C34"/>
    <w:rsid w:val="3E64C089"/>
    <w:rsid w:val="3E6BC58B"/>
    <w:rsid w:val="3E70C076"/>
    <w:rsid w:val="3E7EB234"/>
    <w:rsid w:val="3E8D1DA7"/>
    <w:rsid w:val="3EA04DF1"/>
    <w:rsid w:val="3EA95BD4"/>
    <w:rsid w:val="3EB34B08"/>
    <w:rsid w:val="3EB4D681"/>
    <w:rsid w:val="3EE99993"/>
    <w:rsid w:val="3EFB0F37"/>
    <w:rsid w:val="3F36E37B"/>
    <w:rsid w:val="3F37B5FE"/>
    <w:rsid w:val="3F677568"/>
    <w:rsid w:val="3F7B8E5D"/>
    <w:rsid w:val="3F85DD95"/>
    <w:rsid w:val="3F979439"/>
    <w:rsid w:val="3FDEC155"/>
    <w:rsid w:val="3FF39057"/>
    <w:rsid w:val="400912A8"/>
    <w:rsid w:val="40169B7B"/>
    <w:rsid w:val="40264243"/>
    <w:rsid w:val="4033C85C"/>
    <w:rsid w:val="4046E131"/>
    <w:rsid w:val="4049E609"/>
    <w:rsid w:val="40524A99"/>
    <w:rsid w:val="406ABC1B"/>
    <w:rsid w:val="4073415F"/>
    <w:rsid w:val="409419B8"/>
    <w:rsid w:val="4095AD92"/>
    <w:rsid w:val="4098D9DB"/>
    <w:rsid w:val="409E27B5"/>
    <w:rsid w:val="409F989B"/>
    <w:rsid w:val="40A0307D"/>
    <w:rsid w:val="40B029D8"/>
    <w:rsid w:val="40BC653A"/>
    <w:rsid w:val="40FB03A5"/>
    <w:rsid w:val="4100D8D5"/>
    <w:rsid w:val="411EEC6D"/>
    <w:rsid w:val="412381F3"/>
    <w:rsid w:val="412BDEB3"/>
    <w:rsid w:val="41362A5C"/>
    <w:rsid w:val="4145B255"/>
    <w:rsid w:val="415D5037"/>
    <w:rsid w:val="4160E310"/>
    <w:rsid w:val="41671374"/>
    <w:rsid w:val="416866D7"/>
    <w:rsid w:val="4171EFA5"/>
    <w:rsid w:val="418D1D7C"/>
    <w:rsid w:val="41AFC89C"/>
    <w:rsid w:val="41CBBDE6"/>
    <w:rsid w:val="41D04827"/>
    <w:rsid w:val="41F8A354"/>
    <w:rsid w:val="4200A475"/>
    <w:rsid w:val="4253CA4B"/>
    <w:rsid w:val="4262F471"/>
    <w:rsid w:val="42857ED1"/>
    <w:rsid w:val="42B6F85D"/>
    <w:rsid w:val="42BF8D5A"/>
    <w:rsid w:val="42CD2C44"/>
    <w:rsid w:val="42D2FF34"/>
    <w:rsid w:val="42E608AD"/>
    <w:rsid w:val="42E7AED3"/>
    <w:rsid w:val="42FC1EB3"/>
    <w:rsid w:val="4300137B"/>
    <w:rsid w:val="43076FEB"/>
    <w:rsid w:val="430D21D0"/>
    <w:rsid w:val="4314CE38"/>
    <w:rsid w:val="432682C1"/>
    <w:rsid w:val="4341DC92"/>
    <w:rsid w:val="43C54BFD"/>
    <w:rsid w:val="43D6CA8B"/>
    <w:rsid w:val="43E16E0A"/>
    <w:rsid w:val="43E83860"/>
    <w:rsid w:val="43F6AE52"/>
    <w:rsid w:val="440A5DB7"/>
    <w:rsid w:val="4411C19B"/>
    <w:rsid w:val="441EB862"/>
    <w:rsid w:val="44264277"/>
    <w:rsid w:val="4436D424"/>
    <w:rsid w:val="443D219E"/>
    <w:rsid w:val="4450D176"/>
    <w:rsid w:val="445412A9"/>
    <w:rsid w:val="446BFB9A"/>
    <w:rsid w:val="44B4410E"/>
    <w:rsid w:val="44B59174"/>
    <w:rsid w:val="44C5E654"/>
    <w:rsid w:val="44D36AAE"/>
    <w:rsid w:val="44EBAF89"/>
    <w:rsid w:val="4514A8A9"/>
    <w:rsid w:val="451F5993"/>
    <w:rsid w:val="4531C13C"/>
    <w:rsid w:val="45528293"/>
    <w:rsid w:val="45607BC7"/>
    <w:rsid w:val="4582C601"/>
    <w:rsid w:val="45916257"/>
    <w:rsid w:val="45BBF734"/>
    <w:rsid w:val="45C25243"/>
    <w:rsid w:val="45C437DC"/>
    <w:rsid w:val="45C9E01C"/>
    <w:rsid w:val="45D2EDAE"/>
    <w:rsid w:val="45DBA74A"/>
    <w:rsid w:val="45F509EC"/>
    <w:rsid w:val="45F5C227"/>
    <w:rsid w:val="4615C13F"/>
    <w:rsid w:val="4619348B"/>
    <w:rsid w:val="46258CC8"/>
    <w:rsid w:val="46299E1D"/>
    <w:rsid w:val="46400588"/>
    <w:rsid w:val="4663AC2D"/>
    <w:rsid w:val="46642DFB"/>
    <w:rsid w:val="467711B7"/>
    <w:rsid w:val="467F935C"/>
    <w:rsid w:val="46850D71"/>
    <w:rsid w:val="46D63F82"/>
    <w:rsid w:val="46F61209"/>
    <w:rsid w:val="470B7880"/>
    <w:rsid w:val="47110B66"/>
    <w:rsid w:val="4740D3EC"/>
    <w:rsid w:val="4744BD67"/>
    <w:rsid w:val="47458BE3"/>
    <w:rsid w:val="4749E11F"/>
    <w:rsid w:val="474CCD6F"/>
    <w:rsid w:val="475A9415"/>
    <w:rsid w:val="477B3343"/>
    <w:rsid w:val="47994772"/>
    <w:rsid w:val="479C4C32"/>
    <w:rsid w:val="47B42AB8"/>
    <w:rsid w:val="47CF16C3"/>
    <w:rsid w:val="47E18CCD"/>
    <w:rsid w:val="47F537A6"/>
    <w:rsid w:val="4830D8A6"/>
    <w:rsid w:val="4839DD03"/>
    <w:rsid w:val="4845790F"/>
    <w:rsid w:val="48476B9E"/>
    <w:rsid w:val="48538BD6"/>
    <w:rsid w:val="48932286"/>
    <w:rsid w:val="489C3822"/>
    <w:rsid w:val="48A90670"/>
    <w:rsid w:val="48B81479"/>
    <w:rsid w:val="48C5196C"/>
    <w:rsid w:val="48C91E6D"/>
    <w:rsid w:val="48DA32FC"/>
    <w:rsid w:val="48F84E18"/>
    <w:rsid w:val="4900B3F9"/>
    <w:rsid w:val="490DE397"/>
    <w:rsid w:val="49218D21"/>
    <w:rsid w:val="49238CD5"/>
    <w:rsid w:val="492952AE"/>
    <w:rsid w:val="492E5F05"/>
    <w:rsid w:val="4940E0B9"/>
    <w:rsid w:val="49447EDC"/>
    <w:rsid w:val="497CB989"/>
    <w:rsid w:val="49A682E7"/>
    <w:rsid w:val="49A7C6F1"/>
    <w:rsid w:val="49B0A777"/>
    <w:rsid w:val="49B8ED1E"/>
    <w:rsid w:val="49E5D3C2"/>
    <w:rsid w:val="4A0DED10"/>
    <w:rsid w:val="4A30958F"/>
    <w:rsid w:val="4A48CF1C"/>
    <w:rsid w:val="4A4FF4FD"/>
    <w:rsid w:val="4A6E21C6"/>
    <w:rsid w:val="4A9B45D3"/>
    <w:rsid w:val="4A9D4905"/>
    <w:rsid w:val="4ACF7D2A"/>
    <w:rsid w:val="4ADFA722"/>
    <w:rsid w:val="4AFBC558"/>
    <w:rsid w:val="4B09F69D"/>
    <w:rsid w:val="4B15DF37"/>
    <w:rsid w:val="4B27FD23"/>
    <w:rsid w:val="4B48A42F"/>
    <w:rsid w:val="4B4A4B50"/>
    <w:rsid w:val="4B537580"/>
    <w:rsid w:val="4B67BA88"/>
    <w:rsid w:val="4B739980"/>
    <w:rsid w:val="4B81FCF9"/>
    <w:rsid w:val="4B8E29BD"/>
    <w:rsid w:val="4BA63857"/>
    <w:rsid w:val="4BBD5979"/>
    <w:rsid w:val="4BCD93D1"/>
    <w:rsid w:val="4BD0F015"/>
    <w:rsid w:val="4BD22903"/>
    <w:rsid w:val="4BD2EFF6"/>
    <w:rsid w:val="4BD47853"/>
    <w:rsid w:val="4BE6F1B4"/>
    <w:rsid w:val="4BFB9B4A"/>
    <w:rsid w:val="4C0688A7"/>
    <w:rsid w:val="4C1B04DE"/>
    <w:rsid w:val="4C24C298"/>
    <w:rsid w:val="4C3F385E"/>
    <w:rsid w:val="4C538A00"/>
    <w:rsid w:val="4C801E7B"/>
    <w:rsid w:val="4C818929"/>
    <w:rsid w:val="4C8E0357"/>
    <w:rsid w:val="4CB5EB41"/>
    <w:rsid w:val="4CC84717"/>
    <w:rsid w:val="4CD691AE"/>
    <w:rsid w:val="4CE960E8"/>
    <w:rsid w:val="4D06C032"/>
    <w:rsid w:val="4D0DA9DD"/>
    <w:rsid w:val="4D24F097"/>
    <w:rsid w:val="4D251B29"/>
    <w:rsid w:val="4D28E0BA"/>
    <w:rsid w:val="4D297118"/>
    <w:rsid w:val="4D39581F"/>
    <w:rsid w:val="4D717426"/>
    <w:rsid w:val="4D81BF78"/>
    <w:rsid w:val="4D84E974"/>
    <w:rsid w:val="4D8AD8C2"/>
    <w:rsid w:val="4DA1AFC8"/>
    <w:rsid w:val="4DBD3874"/>
    <w:rsid w:val="4DC4546D"/>
    <w:rsid w:val="4DE1B762"/>
    <w:rsid w:val="4DE74B68"/>
    <w:rsid w:val="4E204EC1"/>
    <w:rsid w:val="4E3DEB07"/>
    <w:rsid w:val="4E4CA523"/>
    <w:rsid w:val="4E4CE4EA"/>
    <w:rsid w:val="4E530A5A"/>
    <w:rsid w:val="4E6DB390"/>
    <w:rsid w:val="4E7FEE33"/>
    <w:rsid w:val="4E98CFC8"/>
    <w:rsid w:val="4E9B85AD"/>
    <w:rsid w:val="4EC5DB22"/>
    <w:rsid w:val="4ED52463"/>
    <w:rsid w:val="4EE1CFA3"/>
    <w:rsid w:val="4EEE07E1"/>
    <w:rsid w:val="4F17BC0F"/>
    <w:rsid w:val="4F1D6DAE"/>
    <w:rsid w:val="4F214FB8"/>
    <w:rsid w:val="4F239F1E"/>
    <w:rsid w:val="4F316CCB"/>
    <w:rsid w:val="4F32227E"/>
    <w:rsid w:val="4F356E62"/>
    <w:rsid w:val="4F358662"/>
    <w:rsid w:val="4F47E145"/>
    <w:rsid w:val="4F593ADD"/>
    <w:rsid w:val="4F77BAB1"/>
    <w:rsid w:val="4F7F3AB7"/>
    <w:rsid w:val="4F832A6A"/>
    <w:rsid w:val="4F8F3AC8"/>
    <w:rsid w:val="4FB81EFB"/>
    <w:rsid w:val="4FC1E0BF"/>
    <w:rsid w:val="4FCFE7B2"/>
    <w:rsid w:val="500CF4F8"/>
    <w:rsid w:val="502728C8"/>
    <w:rsid w:val="503BA244"/>
    <w:rsid w:val="5047D67E"/>
    <w:rsid w:val="506AE064"/>
    <w:rsid w:val="50812CD4"/>
    <w:rsid w:val="509D16BD"/>
    <w:rsid w:val="50B0144F"/>
    <w:rsid w:val="50B0F1AD"/>
    <w:rsid w:val="50BCF324"/>
    <w:rsid w:val="50C892E3"/>
    <w:rsid w:val="50C90B97"/>
    <w:rsid w:val="50D38F0E"/>
    <w:rsid w:val="50DBE18F"/>
    <w:rsid w:val="50EDF8E7"/>
    <w:rsid w:val="5122E3D9"/>
    <w:rsid w:val="5152068B"/>
    <w:rsid w:val="5155C5F8"/>
    <w:rsid w:val="515AF3DB"/>
    <w:rsid w:val="5163AC87"/>
    <w:rsid w:val="516B6ED7"/>
    <w:rsid w:val="51786A14"/>
    <w:rsid w:val="517B86F0"/>
    <w:rsid w:val="51971AE7"/>
    <w:rsid w:val="51995114"/>
    <w:rsid w:val="51C18800"/>
    <w:rsid w:val="520721B2"/>
    <w:rsid w:val="52163AC5"/>
    <w:rsid w:val="52335990"/>
    <w:rsid w:val="5245BEE1"/>
    <w:rsid w:val="524647D1"/>
    <w:rsid w:val="524685EA"/>
    <w:rsid w:val="5252D60C"/>
    <w:rsid w:val="525B335D"/>
    <w:rsid w:val="5272B0E9"/>
    <w:rsid w:val="528A6C3A"/>
    <w:rsid w:val="52C6CF76"/>
    <w:rsid w:val="52D0B875"/>
    <w:rsid w:val="52DCDD42"/>
    <w:rsid w:val="52FED954"/>
    <w:rsid w:val="530E8596"/>
    <w:rsid w:val="53534B46"/>
    <w:rsid w:val="5353DD0F"/>
    <w:rsid w:val="536EB7AB"/>
    <w:rsid w:val="537706DB"/>
    <w:rsid w:val="537DA300"/>
    <w:rsid w:val="5388691F"/>
    <w:rsid w:val="5396A476"/>
    <w:rsid w:val="53D93D15"/>
    <w:rsid w:val="53DB029B"/>
    <w:rsid w:val="53ED88EF"/>
    <w:rsid w:val="5409F5EC"/>
    <w:rsid w:val="54126599"/>
    <w:rsid w:val="5441F6B0"/>
    <w:rsid w:val="54429046"/>
    <w:rsid w:val="54430D87"/>
    <w:rsid w:val="54596E2C"/>
    <w:rsid w:val="54AD0038"/>
    <w:rsid w:val="54B67E58"/>
    <w:rsid w:val="54D7F235"/>
    <w:rsid w:val="54DE671C"/>
    <w:rsid w:val="55009B8A"/>
    <w:rsid w:val="550E83D8"/>
    <w:rsid w:val="5527ECAC"/>
    <w:rsid w:val="552E2468"/>
    <w:rsid w:val="5530FBDC"/>
    <w:rsid w:val="5550898C"/>
    <w:rsid w:val="555A2E0D"/>
    <w:rsid w:val="557E1DEC"/>
    <w:rsid w:val="55817667"/>
    <w:rsid w:val="559EB112"/>
    <w:rsid w:val="55A16901"/>
    <w:rsid w:val="55B63DF5"/>
    <w:rsid w:val="55C78839"/>
    <w:rsid w:val="55F87C5B"/>
    <w:rsid w:val="55FA7A4B"/>
    <w:rsid w:val="55FBFDDB"/>
    <w:rsid w:val="55FFFF56"/>
    <w:rsid w:val="56032F1A"/>
    <w:rsid w:val="561A664E"/>
    <w:rsid w:val="5620F793"/>
    <w:rsid w:val="562350A6"/>
    <w:rsid w:val="563884EB"/>
    <w:rsid w:val="56609B68"/>
    <w:rsid w:val="566E5495"/>
    <w:rsid w:val="5676AACB"/>
    <w:rsid w:val="56A55E66"/>
    <w:rsid w:val="56A96D8A"/>
    <w:rsid w:val="56B27EB3"/>
    <w:rsid w:val="56B64AFF"/>
    <w:rsid w:val="56B7ADF9"/>
    <w:rsid w:val="56C38F22"/>
    <w:rsid w:val="56C3B17A"/>
    <w:rsid w:val="56E0B57A"/>
    <w:rsid w:val="56ECC9FA"/>
    <w:rsid w:val="56EEB3B0"/>
    <w:rsid w:val="56F5E493"/>
    <w:rsid w:val="56FEF268"/>
    <w:rsid w:val="571E91C2"/>
    <w:rsid w:val="57394223"/>
    <w:rsid w:val="573C2F9D"/>
    <w:rsid w:val="575BEFB7"/>
    <w:rsid w:val="575CE97B"/>
    <w:rsid w:val="575D6EE5"/>
    <w:rsid w:val="5764F97D"/>
    <w:rsid w:val="57D98627"/>
    <w:rsid w:val="57DA2F0E"/>
    <w:rsid w:val="58230064"/>
    <w:rsid w:val="585361A3"/>
    <w:rsid w:val="58649EBF"/>
    <w:rsid w:val="5872CCC9"/>
    <w:rsid w:val="58A563BD"/>
    <w:rsid w:val="58C55BF0"/>
    <w:rsid w:val="58D6D4B6"/>
    <w:rsid w:val="59082D0F"/>
    <w:rsid w:val="591D335B"/>
    <w:rsid w:val="5925F7D5"/>
    <w:rsid w:val="597544A9"/>
    <w:rsid w:val="597D5BF8"/>
    <w:rsid w:val="59A77B80"/>
    <w:rsid w:val="59BB2E82"/>
    <w:rsid w:val="59D95747"/>
    <w:rsid w:val="59DCAFCA"/>
    <w:rsid w:val="59F356E3"/>
    <w:rsid w:val="59FCB377"/>
    <w:rsid w:val="59FE3BE8"/>
    <w:rsid w:val="5A0CE831"/>
    <w:rsid w:val="5A0D0C88"/>
    <w:rsid w:val="5A1B1B21"/>
    <w:rsid w:val="5A1F6446"/>
    <w:rsid w:val="5A22B14A"/>
    <w:rsid w:val="5A54082A"/>
    <w:rsid w:val="5A7E0119"/>
    <w:rsid w:val="5A83390E"/>
    <w:rsid w:val="5A8D3838"/>
    <w:rsid w:val="5ACF2069"/>
    <w:rsid w:val="5AE82F2E"/>
    <w:rsid w:val="5B02DEF3"/>
    <w:rsid w:val="5B0CB6B2"/>
    <w:rsid w:val="5B1F9FD8"/>
    <w:rsid w:val="5B3102E5"/>
    <w:rsid w:val="5B3B97C8"/>
    <w:rsid w:val="5B4FFB06"/>
    <w:rsid w:val="5BC75393"/>
    <w:rsid w:val="5BD27B5C"/>
    <w:rsid w:val="5C041445"/>
    <w:rsid w:val="5C219800"/>
    <w:rsid w:val="5C470D2E"/>
    <w:rsid w:val="5C5A8BB1"/>
    <w:rsid w:val="5C75AB9C"/>
    <w:rsid w:val="5C7F1378"/>
    <w:rsid w:val="5C8BF8E9"/>
    <w:rsid w:val="5C912EBB"/>
    <w:rsid w:val="5CA8314E"/>
    <w:rsid w:val="5CCCF7CD"/>
    <w:rsid w:val="5CCF7210"/>
    <w:rsid w:val="5CD05C21"/>
    <w:rsid w:val="5CE396EF"/>
    <w:rsid w:val="5CED28DC"/>
    <w:rsid w:val="5D08BFD0"/>
    <w:rsid w:val="5D0F55EA"/>
    <w:rsid w:val="5D1649C0"/>
    <w:rsid w:val="5D16ED22"/>
    <w:rsid w:val="5D1ABDBD"/>
    <w:rsid w:val="5D255677"/>
    <w:rsid w:val="5D428DFB"/>
    <w:rsid w:val="5D60596E"/>
    <w:rsid w:val="5DA548DB"/>
    <w:rsid w:val="5DB0E7E2"/>
    <w:rsid w:val="5DE80EB0"/>
    <w:rsid w:val="5DFB6CB0"/>
    <w:rsid w:val="5E18B8CA"/>
    <w:rsid w:val="5E3B77CD"/>
    <w:rsid w:val="5E3EE633"/>
    <w:rsid w:val="5E5BE534"/>
    <w:rsid w:val="5E875E8C"/>
    <w:rsid w:val="5E8EA32B"/>
    <w:rsid w:val="5E9363CC"/>
    <w:rsid w:val="5EBBBCF4"/>
    <w:rsid w:val="5EC752B5"/>
    <w:rsid w:val="5F05D742"/>
    <w:rsid w:val="5F157714"/>
    <w:rsid w:val="5F2E3A41"/>
    <w:rsid w:val="5F37B38F"/>
    <w:rsid w:val="5F492E70"/>
    <w:rsid w:val="5F59DBF7"/>
    <w:rsid w:val="5F6EECFF"/>
    <w:rsid w:val="5F7605EA"/>
    <w:rsid w:val="5F89183C"/>
    <w:rsid w:val="5F9323FD"/>
    <w:rsid w:val="5FB96093"/>
    <w:rsid w:val="5FEC78D7"/>
    <w:rsid w:val="600511BB"/>
    <w:rsid w:val="6057D44A"/>
    <w:rsid w:val="605A33BF"/>
    <w:rsid w:val="608D99BB"/>
    <w:rsid w:val="60A3499B"/>
    <w:rsid w:val="60AF3C33"/>
    <w:rsid w:val="60D19DFB"/>
    <w:rsid w:val="60E6AF0B"/>
    <w:rsid w:val="60E6BADC"/>
    <w:rsid w:val="60EB9247"/>
    <w:rsid w:val="60F87626"/>
    <w:rsid w:val="61032753"/>
    <w:rsid w:val="611C6A33"/>
    <w:rsid w:val="612A01D1"/>
    <w:rsid w:val="6149FB96"/>
    <w:rsid w:val="616AACA3"/>
    <w:rsid w:val="617F2B0B"/>
    <w:rsid w:val="61B0F220"/>
    <w:rsid w:val="61B8C2A4"/>
    <w:rsid w:val="61CA1E81"/>
    <w:rsid w:val="61CEFA62"/>
    <w:rsid w:val="621201EF"/>
    <w:rsid w:val="621752C1"/>
    <w:rsid w:val="6220DDDC"/>
    <w:rsid w:val="624BD169"/>
    <w:rsid w:val="625A614F"/>
    <w:rsid w:val="626FEC79"/>
    <w:rsid w:val="6272B9F4"/>
    <w:rsid w:val="62878033"/>
    <w:rsid w:val="628F40C4"/>
    <w:rsid w:val="62A5C09C"/>
    <w:rsid w:val="62BF9C35"/>
    <w:rsid w:val="62C0D2BD"/>
    <w:rsid w:val="631A2EDE"/>
    <w:rsid w:val="631DA95A"/>
    <w:rsid w:val="63292867"/>
    <w:rsid w:val="63559A5B"/>
    <w:rsid w:val="635C1F1C"/>
    <w:rsid w:val="6393821A"/>
    <w:rsid w:val="63974956"/>
    <w:rsid w:val="639E13D3"/>
    <w:rsid w:val="63E89CB0"/>
    <w:rsid w:val="63F82548"/>
    <w:rsid w:val="64255A81"/>
    <w:rsid w:val="644837D3"/>
    <w:rsid w:val="645E571F"/>
    <w:rsid w:val="6461B087"/>
    <w:rsid w:val="647B8369"/>
    <w:rsid w:val="64918593"/>
    <w:rsid w:val="64A9C5C8"/>
    <w:rsid w:val="64CDB2A5"/>
    <w:rsid w:val="64D5A3F1"/>
    <w:rsid w:val="64D9D94F"/>
    <w:rsid w:val="64F6D99C"/>
    <w:rsid w:val="652D9EED"/>
    <w:rsid w:val="656B5C07"/>
    <w:rsid w:val="658F0516"/>
    <w:rsid w:val="6596EA8F"/>
    <w:rsid w:val="65AA8DB1"/>
    <w:rsid w:val="65C91194"/>
    <w:rsid w:val="65DCEA63"/>
    <w:rsid w:val="65E191FD"/>
    <w:rsid w:val="660F26E1"/>
    <w:rsid w:val="6614C11F"/>
    <w:rsid w:val="663FC219"/>
    <w:rsid w:val="66649F44"/>
    <w:rsid w:val="668E6A50"/>
    <w:rsid w:val="668E7353"/>
    <w:rsid w:val="66A219E2"/>
    <w:rsid w:val="66B99FBC"/>
    <w:rsid w:val="66DFF319"/>
    <w:rsid w:val="66E1399A"/>
    <w:rsid w:val="66EDDCCD"/>
    <w:rsid w:val="66F4F8AA"/>
    <w:rsid w:val="66FB14D7"/>
    <w:rsid w:val="670F636B"/>
    <w:rsid w:val="67334463"/>
    <w:rsid w:val="6733B441"/>
    <w:rsid w:val="67361BF0"/>
    <w:rsid w:val="674C3C77"/>
    <w:rsid w:val="675524A0"/>
    <w:rsid w:val="67610EE3"/>
    <w:rsid w:val="6767D7A1"/>
    <w:rsid w:val="678390D9"/>
    <w:rsid w:val="679EC8A1"/>
    <w:rsid w:val="67ABF9AF"/>
    <w:rsid w:val="67E593AB"/>
    <w:rsid w:val="67EC2801"/>
    <w:rsid w:val="681EFB70"/>
    <w:rsid w:val="6821F335"/>
    <w:rsid w:val="682364B7"/>
    <w:rsid w:val="68823DA1"/>
    <w:rsid w:val="68A2CECD"/>
    <w:rsid w:val="68AC7A4A"/>
    <w:rsid w:val="68B3C7BA"/>
    <w:rsid w:val="68B73278"/>
    <w:rsid w:val="68CFFA4B"/>
    <w:rsid w:val="68DAB154"/>
    <w:rsid w:val="68EE883D"/>
    <w:rsid w:val="68F913EB"/>
    <w:rsid w:val="69178144"/>
    <w:rsid w:val="692CB2AA"/>
    <w:rsid w:val="6939ED82"/>
    <w:rsid w:val="69631F22"/>
    <w:rsid w:val="697ACBFC"/>
    <w:rsid w:val="69BAE12E"/>
    <w:rsid w:val="69BCB8D3"/>
    <w:rsid w:val="6A00B710"/>
    <w:rsid w:val="6A0AE41F"/>
    <w:rsid w:val="6A274A67"/>
    <w:rsid w:val="6A930C4B"/>
    <w:rsid w:val="6A949585"/>
    <w:rsid w:val="6A9BA8ED"/>
    <w:rsid w:val="6AA402F8"/>
    <w:rsid w:val="6AB9893F"/>
    <w:rsid w:val="6AD36DD8"/>
    <w:rsid w:val="6AEE9FA2"/>
    <w:rsid w:val="6AEF9705"/>
    <w:rsid w:val="6B07ADEF"/>
    <w:rsid w:val="6B284B1E"/>
    <w:rsid w:val="6B295869"/>
    <w:rsid w:val="6B339D22"/>
    <w:rsid w:val="6B4A45FA"/>
    <w:rsid w:val="6B4B5D2D"/>
    <w:rsid w:val="6B5DD8A6"/>
    <w:rsid w:val="6B750DD5"/>
    <w:rsid w:val="6BA28BB1"/>
    <w:rsid w:val="6BB1CE42"/>
    <w:rsid w:val="6BBF22B4"/>
    <w:rsid w:val="6BC68CB9"/>
    <w:rsid w:val="6BD4873D"/>
    <w:rsid w:val="6BD9BD9D"/>
    <w:rsid w:val="6BE3B0F6"/>
    <w:rsid w:val="6C009893"/>
    <w:rsid w:val="6C0EAFBF"/>
    <w:rsid w:val="6C12F267"/>
    <w:rsid w:val="6C328418"/>
    <w:rsid w:val="6C595CC9"/>
    <w:rsid w:val="6C654189"/>
    <w:rsid w:val="6C99964F"/>
    <w:rsid w:val="6CBA8BDA"/>
    <w:rsid w:val="6CC1603F"/>
    <w:rsid w:val="6CED9A92"/>
    <w:rsid w:val="6CF4DE4F"/>
    <w:rsid w:val="6CFB39B7"/>
    <w:rsid w:val="6D1D9CC0"/>
    <w:rsid w:val="6D3D40A9"/>
    <w:rsid w:val="6D47B0D6"/>
    <w:rsid w:val="6D59B719"/>
    <w:rsid w:val="6D8A01A4"/>
    <w:rsid w:val="6E094A3C"/>
    <w:rsid w:val="6E113D47"/>
    <w:rsid w:val="6E212558"/>
    <w:rsid w:val="6E24AC01"/>
    <w:rsid w:val="6E45378F"/>
    <w:rsid w:val="6E51025B"/>
    <w:rsid w:val="6E64DD7A"/>
    <w:rsid w:val="6EA2CDBC"/>
    <w:rsid w:val="6EAD4278"/>
    <w:rsid w:val="6ECBE8DD"/>
    <w:rsid w:val="6EE599B2"/>
    <w:rsid w:val="6EE90332"/>
    <w:rsid w:val="6EF314DC"/>
    <w:rsid w:val="6EF51F4D"/>
    <w:rsid w:val="6EFC8092"/>
    <w:rsid w:val="6F09597D"/>
    <w:rsid w:val="6F1A1C77"/>
    <w:rsid w:val="6F663A21"/>
    <w:rsid w:val="6F762D41"/>
    <w:rsid w:val="6F7E1234"/>
    <w:rsid w:val="6F82C7E1"/>
    <w:rsid w:val="6F9647E2"/>
    <w:rsid w:val="6FB01996"/>
    <w:rsid w:val="6FB7C2D9"/>
    <w:rsid w:val="6FD5672A"/>
    <w:rsid w:val="6FE869CC"/>
    <w:rsid w:val="6FF7ADB7"/>
    <w:rsid w:val="700E2AF1"/>
    <w:rsid w:val="701BF74E"/>
    <w:rsid w:val="70496B67"/>
    <w:rsid w:val="706ACC86"/>
    <w:rsid w:val="707B4471"/>
    <w:rsid w:val="70A3F8D0"/>
    <w:rsid w:val="70B49A30"/>
    <w:rsid w:val="70C70071"/>
    <w:rsid w:val="70F0DC4D"/>
    <w:rsid w:val="71129CCE"/>
    <w:rsid w:val="7115FB2D"/>
    <w:rsid w:val="7116F3FB"/>
    <w:rsid w:val="712CD94D"/>
    <w:rsid w:val="712F8457"/>
    <w:rsid w:val="714569AC"/>
    <w:rsid w:val="715177EF"/>
    <w:rsid w:val="715A9EFD"/>
    <w:rsid w:val="71820CD9"/>
    <w:rsid w:val="71919A9A"/>
    <w:rsid w:val="7198394A"/>
    <w:rsid w:val="7198E2FD"/>
    <w:rsid w:val="71992039"/>
    <w:rsid w:val="71A7295E"/>
    <w:rsid w:val="71B4E3AD"/>
    <w:rsid w:val="71BB594A"/>
    <w:rsid w:val="71E3867B"/>
    <w:rsid w:val="72096D46"/>
    <w:rsid w:val="720D1862"/>
    <w:rsid w:val="72360DEE"/>
    <w:rsid w:val="72404E9E"/>
    <w:rsid w:val="7254EC0A"/>
    <w:rsid w:val="72743AA0"/>
    <w:rsid w:val="727C76A2"/>
    <w:rsid w:val="72852B99"/>
    <w:rsid w:val="728D76B4"/>
    <w:rsid w:val="729D5618"/>
    <w:rsid w:val="72A6CE59"/>
    <w:rsid w:val="72D02CEF"/>
    <w:rsid w:val="72D50795"/>
    <w:rsid w:val="72DA5463"/>
    <w:rsid w:val="72E09B4E"/>
    <w:rsid w:val="72F40538"/>
    <w:rsid w:val="7303AE26"/>
    <w:rsid w:val="7306A283"/>
    <w:rsid w:val="73220652"/>
    <w:rsid w:val="732AF1B6"/>
    <w:rsid w:val="73719D96"/>
    <w:rsid w:val="738B1EC9"/>
    <w:rsid w:val="73A99085"/>
    <w:rsid w:val="73BC4411"/>
    <w:rsid w:val="73F34801"/>
    <w:rsid w:val="740D77AF"/>
    <w:rsid w:val="741AD6A3"/>
    <w:rsid w:val="741F1BE6"/>
    <w:rsid w:val="7432905F"/>
    <w:rsid w:val="74387730"/>
    <w:rsid w:val="74420BE5"/>
    <w:rsid w:val="7454217C"/>
    <w:rsid w:val="74712284"/>
    <w:rsid w:val="74925CD2"/>
    <w:rsid w:val="749E37C6"/>
    <w:rsid w:val="749FE315"/>
    <w:rsid w:val="74B91ED2"/>
    <w:rsid w:val="74CB4A4E"/>
    <w:rsid w:val="74D3150C"/>
    <w:rsid w:val="74F4708D"/>
    <w:rsid w:val="750F4E64"/>
    <w:rsid w:val="751B95AD"/>
    <w:rsid w:val="754108B5"/>
    <w:rsid w:val="754637B8"/>
    <w:rsid w:val="755CB076"/>
    <w:rsid w:val="756D40ED"/>
    <w:rsid w:val="757DA23D"/>
    <w:rsid w:val="7583FA11"/>
    <w:rsid w:val="75EA4808"/>
    <w:rsid w:val="7614D17F"/>
    <w:rsid w:val="7614D9C1"/>
    <w:rsid w:val="7623ECF3"/>
    <w:rsid w:val="76271E4C"/>
    <w:rsid w:val="7632B9E6"/>
    <w:rsid w:val="763FA08D"/>
    <w:rsid w:val="766CADE9"/>
    <w:rsid w:val="766FD074"/>
    <w:rsid w:val="7670B707"/>
    <w:rsid w:val="768FA0E0"/>
    <w:rsid w:val="76A2C98A"/>
    <w:rsid w:val="76E0AA61"/>
    <w:rsid w:val="76EFA4C7"/>
    <w:rsid w:val="76EFC302"/>
    <w:rsid w:val="76F337B9"/>
    <w:rsid w:val="77023FA0"/>
    <w:rsid w:val="77180B04"/>
    <w:rsid w:val="771F276A"/>
    <w:rsid w:val="7725AE73"/>
    <w:rsid w:val="7758ABD5"/>
    <w:rsid w:val="775FF461"/>
    <w:rsid w:val="77749442"/>
    <w:rsid w:val="777D514E"/>
    <w:rsid w:val="77975468"/>
    <w:rsid w:val="77A51AF8"/>
    <w:rsid w:val="77B4313B"/>
    <w:rsid w:val="77CDA6B1"/>
    <w:rsid w:val="77EEA350"/>
    <w:rsid w:val="77F615AB"/>
    <w:rsid w:val="78003135"/>
    <w:rsid w:val="78015BF2"/>
    <w:rsid w:val="7826C78F"/>
    <w:rsid w:val="785A057C"/>
    <w:rsid w:val="785C2EFE"/>
    <w:rsid w:val="7880EF6F"/>
    <w:rsid w:val="788D305C"/>
    <w:rsid w:val="78B92D46"/>
    <w:rsid w:val="78C70EBA"/>
    <w:rsid w:val="78C8853E"/>
    <w:rsid w:val="7904CC01"/>
    <w:rsid w:val="796E529A"/>
    <w:rsid w:val="797869D8"/>
    <w:rsid w:val="797970EB"/>
    <w:rsid w:val="79A1D927"/>
    <w:rsid w:val="79B039BC"/>
    <w:rsid w:val="79FCC1F1"/>
    <w:rsid w:val="79FFE48D"/>
    <w:rsid w:val="7A26A2DA"/>
    <w:rsid w:val="7A405E20"/>
    <w:rsid w:val="7A5F05ED"/>
    <w:rsid w:val="7A741C10"/>
    <w:rsid w:val="7A9A0645"/>
    <w:rsid w:val="7AB8D1B4"/>
    <w:rsid w:val="7ABA3078"/>
    <w:rsid w:val="7ABD0DBC"/>
    <w:rsid w:val="7ACE8A19"/>
    <w:rsid w:val="7ACEC14A"/>
    <w:rsid w:val="7AD0BDBE"/>
    <w:rsid w:val="7AD16F0E"/>
    <w:rsid w:val="7AE5232D"/>
    <w:rsid w:val="7AF5FF95"/>
    <w:rsid w:val="7B088CA7"/>
    <w:rsid w:val="7B13B8EC"/>
    <w:rsid w:val="7B16AB44"/>
    <w:rsid w:val="7B3C77D2"/>
    <w:rsid w:val="7B3F1CFB"/>
    <w:rsid w:val="7B7A334F"/>
    <w:rsid w:val="7BA58258"/>
    <w:rsid w:val="7BA5F749"/>
    <w:rsid w:val="7BBA3550"/>
    <w:rsid w:val="7BD74B02"/>
    <w:rsid w:val="7BDEBEE7"/>
    <w:rsid w:val="7BE4F0A2"/>
    <w:rsid w:val="7BF27603"/>
    <w:rsid w:val="7C054C14"/>
    <w:rsid w:val="7C1DC711"/>
    <w:rsid w:val="7C1FD5BD"/>
    <w:rsid w:val="7C2236DD"/>
    <w:rsid w:val="7C24F59E"/>
    <w:rsid w:val="7C28A209"/>
    <w:rsid w:val="7C3474A5"/>
    <w:rsid w:val="7C3E69D3"/>
    <w:rsid w:val="7C483A38"/>
    <w:rsid w:val="7C4F6B5E"/>
    <w:rsid w:val="7C5BA613"/>
    <w:rsid w:val="7C6242EB"/>
    <w:rsid w:val="7C8D0868"/>
    <w:rsid w:val="7CB750B2"/>
    <w:rsid w:val="7CCBFA37"/>
    <w:rsid w:val="7CE83F52"/>
    <w:rsid w:val="7CF584AB"/>
    <w:rsid w:val="7CFEC265"/>
    <w:rsid w:val="7D04F5E2"/>
    <w:rsid w:val="7D0FB2E2"/>
    <w:rsid w:val="7D1EED3C"/>
    <w:rsid w:val="7D2F66D5"/>
    <w:rsid w:val="7D43D345"/>
    <w:rsid w:val="7D560621"/>
    <w:rsid w:val="7D5BBF1D"/>
    <w:rsid w:val="7D6225A6"/>
    <w:rsid w:val="7D8132A3"/>
    <w:rsid w:val="7D8EB862"/>
    <w:rsid w:val="7D950917"/>
    <w:rsid w:val="7D99680E"/>
    <w:rsid w:val="7DA09209"/>
    <w:rsid w:val="7DC2A1D7"/>
    <w:rsid w:val="7DD4A077"/>
    <w:rsid w:val="7DE57C8B"/>
    <w:rsid w:val="7DE811F0"/>
    <w:rsid w:val="7DF4F612"/>
    <w:rsid w:val="7E14A94F"/>
    <w:rsid w:val="7E21DDC5"/>
    <w:rsid w:val="7E247492"/>
    <w:rsid w:val="7E33E37C"/>
    <w:rsid w:val="7E392070"/>
    <w:rsid w:val="7E793FDE"/>
    <w:rsid w:val="7E8E86FA"/>
    <w:rsid w:val="7EB1BAD8"/>
    <w:rsid w:val="7EC5026F"/>
    <w:rsid w:val="7EDF5AC3"/>
    <w:rsid w:val="7EE1A21F"/>
    <w:rsid w:val="7F15816E"/>
    <w:rsid w:val="7F238B19"/>
    <w:rsid w:val="7F24B956"/>
    <w:rsid w:val="7F2DC524"/>
    <w:rsid w:val="7F39A4B8"/>
    <w:rsid w:val="7F4E5D1F"/>
    <w:rsid w:val="7F7BAC33"/>
    <w:rsid w:val="7FA8F1B6"/>
    <w:rsid w:val="7FC57CFC"/>
    <w:rsid w:val="7FEF23BF"/>
    <w:rsid w:val="7FF0F9BE"/>
    <w:rsid w:val="7FF41E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7635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1"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0EC"/>
  </w:style>
  <w:style w:type="paragraph" w:styleId="Heading1">
    <w:name w:val="heading 1"/>
    <w:basedOn w:val="Normal"/>
    <w:next w:val="Normal"/>
    <w:link w:val="Heading1Char"/>
    <w:uiPriority w:val="9"/>
    <w:qFormat/>
    <w:rsid w:val="008350FD"/>
    <w:pPr>
      <w:keepNext/>
      <w:keepLines/>
      <w:spacing w:before="480" w:after="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3E701B"/>
    <w:pPr>
      <w:keepNext/>
      <w:keepLines/>
      <w:spacing w:before="200" w:after="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unhideWhenUsed/>
    <w:qFormat/>
    <w:rsid w:val="004C00FA"/>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6010E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locked/>
    <w:rsid w:val="006010E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locked/>
    <w:rsid w:val="006010E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locked/>
    <w:rsid w:val="006010E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locked/>
    <w:rsid w:val="006010E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locked/>
    <w:rsid w:val="006010E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350FD"/>
    <w:rPr>
      <w:rFonts w:eastAsiaTheme="majorEastAsia" w:cstheme="majorBidi"/>
      <w:b/>
      <w:bCs/>
      <w:sz w:val="40"/>
      <w:szCs w:val="28"/>
    </w:rPr>
  </w:style>
  <w:style w:type="character" w:customStyle="1" w:styleId="Heading2Char">
    <w:name w:val="Heading 2 Char"/>
    <w:basedOn w:val="DefaultParagraphFont"/>
    <w:link w:val="Heading2"/>
    <w:uiPriority w:val="9"/>
    <w:locked/>
    <w:rsid w:val="003E701B"/>
    <w:rPr>
      <w:rFonts w:eastAsiaTheme="majorEastAsia" w:cstheme="majorBidi"/>
      <w:b/>
      <w:bCs/>
      <w:color w:val="4F81BD" w:themeColor="accent1"/>
      <w:sz w:val="28"/>
      <w:szCs w:val="26"/>
    </w:rPr>
  </w:style>
  <w:style w:type="character" w:customStyle="1" w:styleId="Heading3Char">
    <w:name w:val="Heading 3 Char"/>
    <w:basedOn w:val="DefaultParagraphFont"/>
    <w:link w:val="Heading3"/>
    <w:uiPriority w:val="9"/>
    <w:locked/>
    <w:rsid w:val="00625D37"/>
    <w:rPr>
      <w:rFonts w:eastAsiaTheme="majorEastAsia" w:cstheme="majorBidi"/>
      <w:b/>
      <w:bCs/>
      <w:color w:val="4F81BD" w:themeColor="accent1"/>
    </w:rPr>
  </w:style>
  <w:style w:type="character" w:customStyle="1" w:styleId="Heading4Char">
    <w:name w:val="Heading 4 Char"/>
    <w:basedOn w:val="DefaultParagraphFont"/>
    <w:link w:val="Heading4"/>
    <w:uiPriority w:val="9"/>
    <w:locked/>
    <w:rsid w:val="006010EC"/>
    <w:rPr>
      <w:rFonts w:asciiTheme="majorHAnsi" w:eastAsiaTheme="majorEastAsia" w:hAnsiTheme="majorHAnsi" w:cstheme="majorBidi"/>
      <w:b/>
      <w:bCs/>
      <w:i/>
      <w:iCs/>
      <w:color w:val="4F81BD" w:themeColor="accent1"/>
    </w:rPr>
  </w:style>
  <w:style w:type="character" w:customStyle="1" w:styleId="apple-converted-space">
    <w:name w:val="apple-converted-space"/>
    <w:uiPriority w:val="99"/>
    <w:rsid w:val="00BC7AB7"/>
    <w:rPr>
      <w:rFonts w:cs="Times New Roman"/>
    </w:rPr>
  </w:style>
  <w:style w:type="character" w:customStyle="1" w:styleId="highlight">
    <w:name w:val="highlight"/>
    <w:rsid w:val="00BC7AB7"/>
    <w:rPr>
      <w:rFonts w:cs="Times New Roman"/>
    </w:rPr>
  </w:style>
  <w:style w:type="paragraph" w:styleId="BalloonText">
    <w:name w:val="Balloon Text"/>
    <w:basedOn w:val="Normal"/>
    <w:link w:val="BalloonTextChar"/>
    <w:uiPriority w:val="99"/>
    <w:semiHidden/>
    <w:rsid w:val="002816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81628"/>
    <w:rPr>
      <w:rFonts w:ascii="Tahoma" w:hAnsi="Tahoma" w:cs="Tahoma"/>
      <w:sz w:val="16"/>
      <w:szCs w:val="16"/>
    </w:rPr>
  </w:style>
  <w:style w:type="character" w:styleId="Hyperlink">
    <w:name w:val="Hyperlink"/>
    <w:uiPriority w:val="99"/>
    <w:rsid w:val="00853E33"/>
    <w:rPr>
      <w:rFonts w:cs="Times New Roman"/>
      <w:color w:val="0000FF"/>
      <w:u w:val="single"/>
    </w:rPr>
  </w:style>
  <w:style w:type="paragraph" w:styleId="ListParagraph">
    <w:name w:val="List Paragraph"/>
    <w:basedOn w:val="Normal"/>
    <w:uiPriority w:val="34"/>
    <w:qFormat/>
    <w:rsid w:val="006010EC"/>
    <w:pPr>
      <w:ind w:left="720"/>
      <w:contextualSpacing/>
    </w:pPr>
  </w:style>
  <w:style w:type="character" w:customStyle="1" w:styleId="ui-ncbitoggler-master-text">
    <w:name w:val="ui-ncbitoggler-master-text"/>
    <w:uiPriority w:val="99"/>
    <w:rsid w:val="00704607"/>
    <w:rPr>
      <w:rFonts w:cs="Times New Roman"/>
    </w:rPr>
  </w:style>
  <w:style w:type="paragraph" w:styleId="NormalWeb">
    <w:name w:val="Normal (Web)"/>
    <w:basedOn w:val="Normal"/>
    <w:uiPriority w:val="99"/>
    <w:semiHidden/>
    <w:rsid w:val="00704607"/>
    <w:pPr>
      <w:spacing w:before="100" w:beforeAutospacing="1" w:after="100" w:afterAutospacing="1" w:line="240" w:lineRule="auto"/>
    </w:pPr>
    <w:rPr>
      <w:rFonts w:ascii="Times New Roman" w:eastAsia="Times New Roman" w:hAnsi="Times New Roman"/>
      <w:sz w:val="24"/>
      <w:szCs w:val="24"/>
    </w:rPr>
  </w:style>
  <w:style w:type="paragraph" w:customStyle="1" w:styleId="p">
    <w:name w:val="p"/>
    <w:basedOn w:val="Normal"/>
    <w:uiPriority w:val="99"/>
    <w:rsid w:val="005A3C7B"/>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99"/>
    <w:rsid w:val="00FD6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D08FF"/>
    <w:pPr>
      <w:tabs>
        <w:tab w:val="center" w:pos="4513"/>
        <w:tab w:val="right" w:pos="9026"/>
      </w:tabs>
      <w:spacing w:after="0" w:line="240" w:lineRule="auto"/>
    </w:pPr>
  </w:style>
  <w:style w:type="character" w:customStyle="1" w:styleId="HeaderChar">
    <w:name w:val="Header Char"/>
    <w:link w:val="Header"/>
    <w:uiPriority w:val="99"/>
    <w:locked/>
    <w:rsid w:val="004D08FF"/>
    <w:rPr>
      <w:rFonts w:cs="Times New Roman"/>
    </w:rPr>
  </w:style>
  <w:style w:type="paragraph" w:styleId="Footer">
    <w:name w:val="footer"/>
    <w:basedOn w:val="Normal"/>
    <w:link w:val="FooterChar"/>
    <w:uiPriority w:val="99"/>
    <w:rsid w:val="004D08FF"/>
    <w:pPr>
      <w:tabs>
        <w:tab w:val="center" w:pos="4513"/>
        <w:tab w:val="right" w:pos="9026"/>
      </w:tabs>
      <w:spacing w:after="0" w:line="240" w:lineRule="auto"/>
    </w:pPr>
  </w:style>
  <w:style w:type="character" w:customStyle="1" w:styleId="FooterChar">
    <w:name w:val="Footer Char"/>
    <w:link w:val="Footer"/>
    <w:uiPriority w:val="99"/>
    <w:locked/>
    <w:rsid w:val="004D08FF"/>
    <w:rPr>
      <w:rFonts w:cs="Times New Roman"/>
    </w:rPr>
  </w:style>
  <w:style w:type="character" w:customStyle="1" w:styleId="ecx259290811-20102010">
    <w:name w:val="ecx259290811-20102010"/>
    <w:uiPriority w:val="99"/>
    <w:rsid w:val="0081572A"/>
    <w:rPr>
      <w:rFonts w:cs="Times New Roman"/>
    </w:rPr>
  </w:style>
  <w:style w:type="character" w:styleId="FollowedHyperlink">
    <w:name w:val="FollowedHyperlink"/>
    <w:uiPriority w:val="99"/>
    <w:semiHidden/>
    <w:rsid w:val="00F774C0"/>
    <w:rPr>
      <w:rFonts w:cs="Times New Roman"/>
      <w:color w:val="800080"/>
      <w:u w:val="single"/>
    </w:rPr>
  </w:style>
  <w:style w:type="character" w:styleId="CommentReference">
    <w:name w:val="annotation reference"/>
    <w:uiPriority w:val="99"/>
    <w:semiHidden/>
    <w:rsid w:val="00FD35C8"/>
    <w:rPr>
      <w:rFonts w:cs="Times New Roman"/>
      <w:sz w:val="16"/>
      <w:szCs w:val="16"/>
    </w:rPr>
  </w:style>
  <w:style w:type="paragraph" w:styleId="CommentText">
    <w:name w:val="annotation text"/>
    <w:basedOn w:val="Normal"/>
    <w:link w:val="CommentTextChar"/>
    <w:uiPriority w:val="99"/>
    <w:semiHidden/>
    <w:rsid w:val="00FD35C8"/>
    <w:rPr>
      <w:sz w:val="20"/>
      <w:szCs w:val="20"/>
    </w:rPr>
  </w:style>
  <w:style w:type="character" w:customStyle="1" w:styleId="CommentTextChar">
    <w:name w:val="Comment Text Char"/>
    <w:link w:val="CommentText"/>
    <w:uiPriority w:val="99"/>
    <w:semiHidden/>
    <w:rsid w:val="006F3CC7"/>
    <w:rPr>
      <w:sz w:val="20"/>
      <w:szCs w:val="20"/>
      <w:lang w:eastAsia="en-US"/>
    </w:rPr>
  </w:style>
  <w:style w:type="paragraph" w:styleId="CommentSubject">
    <w:name w:val="annotation subject"/>
    <w:basedOn w:val="CommentText"/>
    <w:next w:val="CommentText"/>
    <w:link w:val="CommentSubjectChar"/>
    <w:uiPriority w:val="99"/>
    <w:semiHidden/>
    <w:rsid w:val="00FD35C8"/>
    <w:rPr>
      <w:b/>
      <w:bCs/>
    </w:rPr>
  </w:style>
  <w:style w:type="character" w:customStyle="1" w:styleId="CommentSubjectChar">
    <w:name w:val="Comment Subject Char"/>
    <w:link w:val="CommentSubject"/>
    <w:uiPriority w:val="99"/>
    <w:semiHidden/>
    <w:rsid w:val="006F3CC7"/>
    <w:rPr>
      <w:b/>
      <w:bCs/>
      <w:sz w:val="20"/>
      <w:szCs w:val="20"/>
      <w:lang w:eastAsia="en-US"/>
    </w:rPr>
  </w:style>
  <w:style w:type="paragraph" w:styleId="Revision">
    <w:name w:val="Revision"/>
    <w:hidden/>
    <w:uiPriority w:val="99"/>
    <w:semiHidden/>
    <w:rsid w:val="000C4A70"/>
    <w:rPr>
      <w:lang w:eastAsia="en-US"/>
    </w:rPr>
  </w:style>
  <w:style w:type="character" w:styleId="LineNumber">
    <w:name w:val="line number"/>
    <w:basedOn w:val="DefaultParagraphFont"/>
    <w:uiPriority w:val="99"/>
    <w:semiHidden/>
    <w:unhideWhenUsed/>
    <w:rsid w:val="005119FE"/>
  </w:style>
  <w:style w:type="paragraph" w:styleId="HTMLPreformatted">
    <w:name w:val="HTML Preformatted"/>
    <w:basedOn w:val="Normal"/>
    <w:link w:val="HTMLPreformattedChar"/>
    <w:uiPriority w:val="99"/>
    <w:semiHidden/>
    <w:unhideWhenUsed/>
    <w:rsid w:val="0032225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2225A"/>
    <w:rPr>
      <w:rFonts w:ascii="Consolas" w:hAnsi="Consolas" w:cs="Consolas"/>
      <w:lang w:eastAsia="en-US"/>
    </w:rPr>
  </w:style>
  <w:style w:type="paragraph" w:styleId="Subtitle">
    <w:name w:val="Subtitle"/>
    <w:basedOn w:val="Normal"/>
    <w:next w:val="Normal"/>
    <w:link w:val="SubtitleChar"/>
    <w:uiPriority w:val="11"/>
    <w:qFormat/>
    <w:locked/>
    <w:rsid w:val="006010E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010EC"/>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6010EC"/>
    <w:rPr>
      <w:b/>
      <w:bCs/>
      <w:i/>
      <w:iCs/>
      <w:color w:val="4F81BD" w:themeColor="accent1"/>
    </w:rPr>
  </w:style>
  <w:style w:type="paragraph" w:styleId="Title">
    <w:name w:val="Title"/>
    <w:basedOn w:val="Normal"/>
    <w:next w:val="Normal"/>
    <w:link w:val="TitleChar"/>
    <w:uiPriority w:val="10"/>
    <w:qFormat/>
    <w:locked/>
    <w:rsid w:val="006010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10EC"/>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locked/>
    <w:rsid w:val="006010EC"/>
    <w:rPr>
      <w:b/>
      <w:bCs/>
    </w:rPr>
  </w:style>
  <w:style w:type="character" w:customStyle="1" w:styleId="Heading5Char">
    <w:name w:val="Heading 5 Char"/>
    <w:basedOn w:val="DefaultParagraphFont"/>
    <w:link w:val="Heading5"/>
    <w:uiPriority w:val="9"/>
    <w:rsid w:val="006010EC"/>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locked/>
    <w:rsid w:val="006010EC"/>
    <w:rPr>
      <w:i/>
      <w:iCs/>
    </w:rPr>
  </w:style>
  <w:style w:type="character" w:customStyle="1" w:styleId="Heading6Char">
    <w:name w:val="Heading 6 Char"/>
    <w:basedOn w:val="DefaultParagraphFont"/>
    <w:link w:val="Heading6"/>
    <w:uiPriority w:val="9"/>
    <w:rsid w:val="006010EC"/>
    <w:rPr>
      <w:rFonts w:asciiTheme="majorHAnsi" w:eastAsiaTheme="majorEastAsia" w:hAnsiTheme="majorHAnsi" w:cstheme="majorBidi"/>
      <w:i/>
      <w:iCs/>
      <w:color w:val="243F60" w:themeColor="accent1" w:themeShade="7F"/>
    </w:rPr>
  </w:style>
  <w:style w:type="paragraph" w:customStyle="1" w:styleId="paragraph">
    <w:name w:val="paragraph"/>
    <w:basedOn w:val="Normal"/>
    <w:rsid w:val="009E7A2F"/>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9E7A2F"/>
  </w:style>
  <w:style w:type="character" w:customStyle="1" w:styleId="eop">
    <w:name w:val="eop"/>
    <w:basedOn w:val="DefaultParagraphFont"/>
    <w:rsid w:val="009E7A2F"/>
  </w:style>
  <w:style w:type="paragraph" w:styleId="PlainText">
    <w:name w:val="Plain Text"/>
    <w:basedOn w:val="Normal"/>
    <w:link w:val="PlainTextChar"/>
    <w:uiPriority w:val="99"/>
    <w:semiHidden/>
    <w:unhideWhenUsed/>
    <w:rsid w:val="0068107A"/>
    <w:pPr>
      <w:spacing w:after="0" w:line="240" w:lineRule="auto"/>
    </w:pPr>
    <w:rPr>
      <w:rFonts w:eastAsiaTheme="minorHAnsi"/>
      <w:szCs w:val="21"/>
    </w:rPr>
  </w:style>
  <w:style w:type="character" w:customStyle="1" w:styleId="PlainTextChar">
    <w:name w:val="Plain Text Char"/>
    <w:basedOn w:val="DefaultParagraphFont"/>
    <w:link w:val="PlainText"/>
    <w:uiPriority w:val="99"/>
    <w:semiHidden/>
    <w:rsid w:val="0068107A"/>
    <w:rPr>
      <w:rFonts w:eastAsiaTheme="minorHAnsi" w:cstheme="minorBidi"/>
      <w:sz w:val="22"/>
      <w:szCs w:val="21"/>
      <w:lang w:eastAsia="en-US"/>
    </w:rPr>
  </w:style>
  <w:style w:type="character" w:customStyle="1" w:styleId="Heading7Char">
    <w:name w:val="Heading 7 Char"/>
    <w:basedOn w:val="DefaultParagraphFont"/>
    <w:link w:val="Heading7"/>
    <w:uiPriority w:val="9"/>
    <w:rsid w:val="006010E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010E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010EC"/>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6010EC"/>
    <w:pPr>
      <w:spacing w:after="0" w:line="240" w:lineRule="auto"/>
    </w:pPr>
  </w:style>
  <w:style w:type="paragraph" w:styleId="Quote">
    <w:name w:val="Quote"/>
    <w:basedOn w:val="Normal"/>
    <w:next w:val="Normal"/>
    <w:link w:val="QuoteChar"/>
    <w:uiPriority w:val="29"/>
    <w:qFormat/>
    <w:rsid w:val="006010EC"/>
    <w:rPr>
      <w:i/>
      <w:iCs/>
      <w:color w:val="000000" w:themeColor="text1"/>
    </w:rPr>
  </w:style>
  <w:style w:type="character" w:customStyle="1" w:styleId="QuoteChar">
    <w:name w:val="Quote Char"/>
    <w:basedOn w:val="DefaultParagraphFont"/>
    <w:link w:val="Quote"/>
    <w:uiPriority w:val="29"/>
    <w:rsid w:val="006010EC"/>
    <w:rPr>
      <w:i/>
      <w:iCs/>
      <w:color w:val="000000" w:themeColor="text1"/>
    </w:rPr>
  </w:style>
  <w:style w:type="paragraph" w:styleId="IntenseQuote">
    <w:name w:val="Intense Quote"/>
    <w:basedOn w:val="Normal"/>
    <w:next w:val="Normal"/>
    <w:link w:val="IntenseQuoteChar"/>
    <w:uiPriority w:val="30"/>
    <w:qFormat/>
    <w:rsid w:val="006010E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010EC"/>
    <w:rPr>
      <w:b/>
      <w:bCs/>
      <w:i/>
      <w:iCs/>
      <w:color w:val="4F81BD" w:themeColor="accent1"/>
    </w:rPr>
  </w:style>
  <w:style w:type="character" w:styleId="SubtleEmphasis">
    <w:name w:val="Subtle Emphasis"/>
    <w:basedOn w:val="DefaultParagraphFont"/>
    <w:uiPriority w:val="19"/>
    <w:qFormat/>
    <w:rsid w:val="006010EC"/>
    <w:rPr>
      <w:i/>
      <w:iCs/>
      <w:color w:val="808080" w:themeColor="text1" w:themeTint="7F"/>
    </w:rPr>
  </w:style>
  <w:style w:type="character" w:styleId="SubtleReference">
    <w:name w:val="Subtle Reference"/>
    <w:basedOn w:val="DefaultParagraphFont"/>
    <w:uiPriority w:val="31"/>
    <w:qFormat/>
    <w:rsid w:val="006010EC"/>
    <w:rPr>
      <w:smallCaps/>
      <w:color w:val="C0504D" w:themeColor="accent2"/>
      <w:u w:val="single"/>
    </w:rPr>
  </w:style>
  <w:style w:type="character" w:styleId="IntenseReference">
    <w:name w:val="Intense Reference"/>
    <w:basedOn w:val="DefaultParagraphFont"/>
    <w:uiPriority w:val="32"/>
    <w:qFormat/>
    <w:rsid w:val="006010EC"/>
    <w:rPr>
      <w:b/>
      <w:bCs/>
      <w:smallCaps/>
      <w:color w:val="C0504D" w:themeColor="accent2"/>
      <w:spacing w:val="5"/>
      <w:u w:val="single"/>
    </w:rPr>
  </w:style>
  <w:style w:type="character" w:styleId="BookTitle">
    <w:name w:val="Book Title"/>
    <w:basedOn w:val="DefaultParagraphFont"/>
    <w:uiPriority w:val="33"/>
    <w:qFormat/>
    <w:rsid w:val="006010EC"/>
    <w:rPr>
      <w:b/>
      <w:bCs/>
      <w:smallCaps/>
      <w:spacing w:val="5"/>
    </w:rPr>
  </w:style>
  <w:style w:type="paragraph" w:styleId="TOCHeading">
    <w:name w:val="TOC Heading"/>
    <w:basedOn w:val="Heading1"/>
    <w:next w:val="Normal"/>
    <w:uiPriority w:val="39"/>
    <w:semiHidden/>
    <w:unhideWhenUsed/>
    <w:qFormat/>
    <w:rsid w:val="006010EC"/>
    <w:pPr>
      <w:outlineLvl w:val="9"/>
    </w:pPr>
  </w:style>
  <w:style w:type="paragraph" w:styleId="Caption">
    <w:name w:val="caption"/>
    <w:basedOn w:val="Normal"/>
    <w:next w:val="Normal"/>
    <w:uiPriority w:val="35"/>
    <w:semiHidden/>
    <w:unhideWhenUsed/>
    <w:qFormat/>
    <w:locked/>
    <w:rsid w:val="006010EC"/>
    <w:pPr>
      <w:spacing w:line="240" w:lineRule="auto"/>
    </w:pPr>
    <w:rPr>
      <w:b/>
      <w:bCs/>
      <w:color w:val="4F81BD" w:themeColor="accent1"/>
      <w:sz w:val="18"/>
      <w:szCs w:val="18"/>
    </w:rPr>
  </w:style>
  <w:style w:type="character" w:customStyle="1" w:styleId="rpc41">
    <w:name w:val="_rpc_41"/>
    <w:basedOn w:val="DefaultParagraphFont"/>
    <w:rsid w:val="00625D37"/>
  </w:style>
  <w:style w:type="character" w:styleId="HTMLCite">
    <w:name w:val="HTML Cite"/>
    <w:basedOn w:val="DefaultParagraphFont"/>
    <w:uiPriority w:val="99"/>
    <w:semiHidden/>
    <w:unhideWhenUsed/>
    <w:rsid w:val="00673FBA"/>
    <w:rPr>
      <w:i/>
      <w:iCs/>
    </w:rPr>
  </w:style>
  <w:style w:type="character" w:customStyle="1" w:styleId="spellingerror">
    <w:name w:val="spellingerror"/>
    <w:basedOn w:val="DefaultParagraphFont"/>
    <w:rsid w:val="001D5A98"/>
  </w:style>
  <w:style w:type="paragraph" w:customStyle="1" w:styleId="Default">
    <w:name w:val="Default"/>
    <w:rsid w:val="00B65CDA"/>
    <w:pPr>
      <w:autoSpaceDE w:val="0"/>
      <w:autoSpaceDN w:val="0"/>
      <w:adjustRightInd w:val="0"/>
      <w:spacing w:after="0" w:line="240" w:lineRule="auto"/>
    </w:pPr>
    <w:rPr>
      <w:rFonts w:ascii="Calibri" w:eastAsiaTheme="minorHAnsi" w:hAnsi="Calibri" w:cs="Calibri"/>
      <w:color w:val="000000"/>
      <w:sz w:val="24"/>
      <w:szCs w:val="24"/>
      <w:lang w:eastAsia="en-US"/>
    </w:r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rsid w:val="001D6064"/>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20">
    <w:name w:val="Grid Table 1 Light - Accent 120"/>
    <w:basedOn w:val="TableNormal"/>
    <w:uiPriority w:val="46"/>
    <w:rsid w:val="00230C38"/>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200">
    <w:name w:val="Grid Table 1 Light - Accent 1200"/>
    <w:basedOn w:val="TableNormal"/>
    <w:uiPriority w:val="46"/>
    <w:rsid w:val="00063A4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2000">
    <w:name w:val="Grid Table 1 Light - Accent 12000"/>
    <w:basedOn w:val="TableNormal"/>
    <w:uiPriority w:val="46"/>
    <w:rsid w:val="00AD164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20000">
    <w:name w:val="Grid Table 1 Light - Accent 120000"/>
    <w:basedOn w:val="TableNormal"/>
    <w:uiPriority w:val="46"/>
    <w:rsid w:val="00BE1148"/>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200000">
    <w:name w:val="Grid Table 1 Light - Accent 1200000"/>
    <w:basedOn w:val="TableNormal"/>
    <w:uiPriority w:val="46"/>
    <w:rsid w:val="0014757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2000000">
    <w:name w:val="Grid Table 1 Light - Accent 12000000"/>
    <w:basedOn w:val="TableNormal"/>
    <w:uiPriority w:val="46"/>
    <w:rsid w:val="0060746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20000000">
    <w:name w:val="Grid Table 1 Light - Accent 120000000"/>
    <w:basedOn w:val="TableNormal"/>
    <w:uiPriority w:val="46"/>
    <w:rsid w:val="00EB04E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EndnoteText">
    <w:name w:val="endnote text"/>
    <w:basedOn w:val="Normal"/>
    <w:link w:val="EndnoteTextChar"/>
    <w:uiPriority w:val="99"/>
    <w:semiHidden/>
    <w:unhideWhenUsed/>
    <w:rsid w:val="009B349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3495"/>
    <w:rPr>
      <w:sz w:val="20"/>
      <w:szCs w:val="20"/>
    </w:rPr>
  </w:style>
  <w:style w:type="character" w:styleId="EndnoteReference">
    <w:name w:val="endnote reference"/>
    <w:basedOn w:val="DefaultParagraphFont"/>
    <w:uiPriority w:val="99"/>
    <w:semiHidden/>
    <w:unhideWhenUsed/>
    <w:rsid w:val="009B3495"/>
    <w:rPr>
      <w:vertAlign w:val="superscript"/>
    </w:rPr>
  </w:style>
  <w:style w:type="paragraph" w:styleId="TOC2">
    <w:name w:val="toc 2"/>
    <w:basedOn w:val="Normal"/>
    <w:next w:val="Normal"/>
    <w:autoRedefine/>
    <w:locked/>
    <w:rsid w:val="00267503"/>
    <w:pPr>
      <w:spacing w:after="100"/>
      <w:ind w:left="220"/>
    </w:pPr>
  </w:style>
  <w:style w:type="paragraph" w:styleId="TOC3">
    <w:name w:val="toc 3"/>
    <w:basedOn w:val="Normal"/>
    <w:next w:val="Normal"/>
    <w:autoRedefine/>
    <w:locked/>
    <w:rsid w:val="00267503"/>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1"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0EC"/>
  </w:style>
  <w:style w:type="paragraph" w:styleId="Heading1">
    <w:name w:val="heading 1"/>
    <w:basedOn w:val="Normal"/>
    <w:next w:val="Normal"/>
    <w:link w:val="Heading1Char"/>
    <w:uiPriority w:val="9"/>
    <w:qFormat/>
    <w:rsid w:val="008350FD"/>
    <w:pPr>
      <w:keepNext/>
      <w:keepLines/>
      <w:spacing w:before="480" w:after="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3E701B"/>
    <w:pPr>
      <w:keepNext/>
      <w:keepLines/>
      <w:spacing w:before="200" w:after="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unhideWhenUsed/>
    <w:qFormat/>
    <w:rsid w:val="004C00FA"/>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6010E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locked/>
    <w:rsid w:val="006010E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locked/>
    <w:rsid w:val="006010E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locked/>
    <w:rsid w:val="006010E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locked/>
    <w:rsid w:val="006010E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locked/>
    <w:rsid w:val="006010E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350FD"/>
    <w:rPr>
      <w:rFonts w:eastAsiaTheme="majorEastAsia" w:cstheme="majorBidi"/>
      <w:b/>
      <w:bCs/>
      <w:sz w:val="40"/>
      <w:szCs w:val="28"/>
    </w:rPr>
  </w:style>
  <w:style w:type="character" w:customStyle="1" w:styleId="Heading2Char">
    <w:name w:val="Heading 2 Char"/>
    <w:basedOn w:val="DefaultParagraphFont"/>
    <w:link w:val="Heading2"/>
    <w:uiPriority w:val="9"/>
    <w:locked/>
    <w:rsid w:val="003E701B"/>
    <w:rPr>
      <w:rFonts w:eastAsiaTheme="majorEastAsia" w:cstheme="majorBidi"/>
      <w:b/>
      <w:bCs/>
      <w:color w:val="4F81BD" w:themeColor="accent1"/>
      <w:sz w:val="28"/>
      <w:szCs w:val="26"/>
    </w:rPr>
  </w:style>
  <w:style w:type="character" w:customStyle="1" w:styleId="Heading3Char">
    <w:name w:val="Heading 3 Char"/>
    <w:basedOn w:val="DefaultParagraphFont"/>
    <w:link w:val="Heading3"/>
    <w:uiPriority w:val="9"/>
    <w:locked/>
    <w:rsid w:val="00625D37"/>
    <w:rPr>
      <w:rFonts w:eastAsiaTheme="majorEastAsia" w:cstheme="majorBidi"/>
      <w:b/>
      <w:bCs/>
      <w:color w:val="4F81BD" w:themeColor="accent1"/>
    </w:rPr>
  </w:style>
  <w:style w:type="character" w:customStyle="1" w:styleId="Heading4Char">
    <w:name w:val="Heading 4 Char"/>
    <w:basedOn w:val="DefaultParagraphFont"/>
    <w:link w:val="Heading4"/>
    <w:uiPriority w:val="9"/>
    <w:locked/>
    <w:rsid w:val="006010EC"/>
    <w:rPr>
      <w:rFonts w:asciiTheme="majorHAnsi" w:eastAsiaTheme="majorEastAsia" w:hAnsiTheme="majorHAnsi" w:cstheme="majorBidi"/>
      <w:b/>
      <w:bCs/>
      <w:i/>
      <w:iCs/>
      <w:color w:val="4F81BD" w:themeColor="accent1"/>
    </w:rPr>
  </w:style>
  <w:style w:type="character" w:customStyle="1" w:styleId="apple-converted-space">
    <w:name w:val="apple-converted-space"/>
    <w:uiPriority w:val="99"/>
    <w:rsid w:val="00BC7AB7"/>
    <w:rPr>
      <w:rFonts w:cs="Times New Roman"/>
    </w:rPr>
  </w:style>
  <w:style w:type="character" w:customStyle="1" w:styleId="highlight">
    <w:name w:val="highlight"/>
    <w:rsid w:val="00BC7AB7"/>
    <w:rPr>
      <w:rFonts w:cs="Times New Roman"/>
    </w:rPr>
  </w:style>
  <w:style w:type="paragraph" w:styleId="BalloonText">
    <w:name w:val="Balloon Text"/>
    <w:basedOn w:val="Normal"/>
    <w:link w:val="BalloonTextChar"/>
    <w:uiPriority w:val="99"/>
    <w:semiHidden/>
    <w:rsid w:val="002816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81628"/>
    <w:rPr>
      <w:rFonts w:ascii="Tahoma" w:hAnsi="Tahoma" w:cs="Tahoma"/>
      <w:sz w:val="16"/>
      <w:szCs w:val="16"/>
    </w:rPr>
  </w:style>
  <w:style w:type="character" w:styleId="Hyperlink">
    <w:name w:val="Hyperlink"/>
    <w:uiPriority w:val="99"/>
    <w:rsid w:val="00853E33"/>
    <w:rPr>
      <w:rFonts w:cs="Times New Roman"/>
      <w:color w:val="0000FF"/>
      <w:u w:val="single"/>
    </w:rPr>
  </w:style>
  <w:style w:type="paragraph" w:styleId="ListParagraph">
    <w:name w:val="List Paragraph"/>
    <w:basedOn w:val="Normal"/>
    <w:uiPriority w:val="34"/>
    <w:qFormat/>
    <w:rsid w:val="006010EC"/>
    <w:pPr>
      <w:ind w:left="720"/>
      <w:contextualSpacing/>
    </w:pPr>
  </w:style>
  <w:style w:type="character" w:customStyle="1" w:styleId="ui-ncbitoggler-master-text">
    <w:name w:val="ui-ncbitoggler-master-text"/>
    <w:uiPriority w:val="99"/>
    <w:rsid w:val="00704607"/>
    <w:rPr>
      <w:rFonts w:cs="Times New Roman"/>
    </w:rPr>
  </w:style>
  <w:style w:type="paragraph" w:styleId="NormalWeb">
    <w:name w:val="Normal (Web)"/>
    <w:basedOn w:val="Normal"/>
    <w:uiPriority w:val="99"/>
    <w:semiHidden/>
    <w:rsid w:val="00704607"/>
    <w:pPr>
      <w:spacing w:before="100" w:beforeAutospacing="1" w:after="100" w:afterAutospacing="1" w:line="240" w:lineRule="auto"/>
    </w:pPr>
    <w:rPr>
      <w:rFonts w:ascii="Times New Roman" w:eastAsia="Times New Roman" w:hAnsi="Times New Roman"/>
      <w:sz w:val="24"/>
      <w:szCs w:val="24"/>
    </w:rPr>
  </w:style>
  <w:style w:type="paragraph" w:customStyle="1" w:styleId="p">
    <w:name w:val="p"/>
    <w:basedOn w:val="Normal"/>
    <w:uiPriority w:val="99"/>
    <w:rsid w:val="005A3C7B"/>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99"/>
    <w:rsid w:val="00FD6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D08FF"/>
    <w:pPr>
      <w:tabs>
        <w:tab w:val="center" w:pos="4513"/>
        <w:tab w:val="right" w:pos="9026"/>
      </w:tabs>
      <w:spacing w:after="0" w:line="240" w:lineRule="auto"/>
    </w:pPr>
  </w:style>
  <w:style w:type="character" w:customStyle="1" w:styleId="HeaderChar">
    <w:name w:val="Header Char"/>
    <w:link w:val="Header"/>
    <w:uiPriority w:val="99"/>
    <w:locked/>
    <w:rsid w:val="004D08FF"/>
    <w:rPr>
      <w:rFonts w:cs="Times New Roman"/>
    </w:rPr>
  </w:style>
  <w:style w:type="paragraph" w:styleId="Footer">
    <w:name w:val="footer"/>
    <w:basedOn w:val="Normal"/>
    <w:link w:val="FooterChar"/>
    <w:uiPriority w:val="99"/>
    <w:rsid w:val="004D08FF"/>
    <w:pPr>
      <w:tabs>
        <w:tab w:val="center" w:pos="4513"/>
        <w:tab w:val="right" w:pos="9026"/>
      </w:tabs>
      <w:spacing w:after="0" w:line="240" w:lineRule="auto"/>
    </w:pPr>
  </w:style>
  <w:style w:type="character" w:customStyle="1" w:styleId="FooterChar">
    <w:name w:val="Footer Char"/>
    <w:link w:val="Footer"/>
    <w:uiPriority w:val="99"/>
    <w:locked/>
    <w:rsid w:val="004D08FF"/>
    <w:rPr>
      <w:rFonts w:cs="Times New Roman"/>
    </w:rPr>
  </w:style>
  <w:style w:type="character" w:customStyle="1" w:styleId="ecx259290811-20102010">
    <w:name w:val="ecx259290811-20102010"/>
    <w:uiPriority w:val="99"/>
    <w:rsid w:val="0081572A"/>
    <w:rPr>
      <w:rFonts w:cs="Times New Roman"/>
    </w:rPr>
  </w:style>
  <w:style w:type="character" w:styleId="FollowedHyperlink">
    <w:name w:val="FollowedHyperlink"/>
    <w:uiPriority w:val="99"/>
    <w:semiHidden/>
    <w:rsid w:val="00F774C0"/>
    <w:rPr>
      <w:rFonts w:cs="Times New Roman"/>
      <w:color w:val="800080"/>
      <w:u w:val="single"/>
    </w:rPr>
  </w:style>
  <w:style w:type="character" w:styleId="CommentReference">
    <w:name w:val="annotation reference"/>
    <w:uiPriority w:val="99"/>
    <w:semiHidden/>
    <w:rsid w:val="00FD35C8"/>
    <w:rPr>
      <w:rFonts w:cs="Times New Roman"/>
      <w:sz w:val="16"/>
      <w:szCs w:val="16"/>
    </w:rPr>
  </w:style>
  <w:style w:type="paragraph" w:styleId="CommentText">
    <w:name w:val="annotation text"/>
    <w:basedOn w:val="Normal"/>
    <w:link w:val="CommentTextChar"/>
    <w:uiPriority w:val="99"/>
    <w:semiHidden/>
    <w:rsid w:val="00FD35C8"/>
    <w:rPr>
      <w:sz w:val="20"/>
      <w:szCs w:val="20"/>
    </w:rPr>
  </w:style>
  <w:style w:type="character" w:customStyle="1" w:styleId="CommentTextChar">
    <w:name w:val="Comment Text Char"/>
    <w:link w:val="CommentText"/>
    <w:uiPriority w:val="99"/>
    <w:semiHidden/>
    <w:rsid w:val="006F3CC7"/>
    <w:rPr>
      <w:sz w:val="20"/>
      <w:szCs w:val="20"/>
      <w:lang w:eastAsia="en-US"/>
    </w:rPr>
  </w:style>
  <w:style w:type="paragraph" w:styleId="CommentSubject">
    <w:name w:val="annotation subject"/>
    <w:basedOn w:val="CommentText"/>
    <w:next w:val="CommentText"/>
    <w:link w:val="CommentSubjectChar"/>
    <w:uiPriority w:val="99"/>
    <w:semiHidden/>
    <w:rsid w:val="00FD35C8"/>
    <w:rPr>
      <w:b/>
      <w:bCs/>
    </w:rPr>
  </w:style>
  <w:style w:type="character" w:customStyle="1" w:styleId="CommentSubjectChar">
    <w:name w:val="Comment Subject Char"/>
    <w:link w:val="CommentSubject"/>
    <w:uiPriority w:val="99"/>
    <w:semiHidden/>
    <w:rsid w:val="006F3CC7"/>
    <w:rPr>
      <w:b/>
      <w:bCs/>
      <w:sz w:val="20"/>
      <w:szCs w:val="20"/>
      <w:lang w:eastAsia="en-US"/>
    </w:rPr>
  </w:style>
  <w:style w:type="paragraph" w:styleId="Revision">
    <w:name w:val="Revision"/>
    <w:hidden/>
    <w:uiPriority w:val="99"/>
    <w:semiHidden/>
    <w:rsid w:val="000C4A70"/>
    <w:rPr>
      <w:lang w:eastAsia="en-US"/>
    </w:rPr>
  </w:style>
  <w:style w:type="character" w:styleId="LineNumber">
    <w:name w:val="line number"/>
    <w:basedOn w:val="DefaultParagraphFont"/>
    <w:uiPriority w:val="99"/>
    <w:semiHidden/>
    <w:unhideWhenUsed/>
    <w:rsid w:val="005119FE"/>
  </w:style>
  <w:style w:type="paragraph" w:styleId="HTMLPreformatted">
    <w:name w:val="HTML Preformatted"/>
    <w:basedOn w:val="Normal"/>
    <w:link w:val="HTMLPreformattedChar"/>
    <w:uiPriority w:val="99"/>
    <w:semiHidden/>
    <w:unhideWhenUsed/>
    <w:rsid w:val="0032225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2225A"/>
    <w:rPr>
      <w:rFonts w:ascii="Consolas" w:hAnsi="Consolas" w:cs="Consolas"/>
      <w:lang w:eastAsia="en-US"/>
    </w:rPr>
  </w:style>
  <w:style w:type="paragraph" w:styleId="Subtitle">
    <w:name w:val="Subtitle"/>
    <w:basedOn w:val="Normal"/>
    <w:next w:val="Normal"/>
    <w:link w:val="SubtitleChar"/>
    <w:uiPriority w:val="11"/>
    <w:qFormat/>
    <w:locked/>
    <w:rsid w:val="006010E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010EC"/>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6010EC"/>
    <w:rPr>
      <w:b/>
      <w:bCs/>
      <w:i/>
      <w:iCs/>
      <w:color w:val="4F81BD" w:themeColor="accent1"/>
    </w:rPr>
  </w:style>
  <w:style w:type="paragraph" w:styleId="Title">
    <w:name w:val="Title"/>
    <w:basedOn w:val="Normal"/>
    <w:next w:val="Normal"/>
    <w:link w:val="TitleChar"/>
    <w:uiPriority w:val="10"/>
    <w:qFormat/>
    <w:locked/>
    <w:rsid w:val="006010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10EC"/>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locked/>
    <w:rsid w:val="006010EC"/>
    <w:rPr>
      <w:b/>
      <w:bCs/>
    </w:rPr>
  </w:style>
  <w:style w:type="character" w:customStyle="1" w:styleId="Heading5Char">
    <w:name w:val="Heading 5 Char"/>
    <w:basedOn w:val="DefaultParagraphFont"/>
    <w:link w:val="Heading5"/>
    <w:uiPriority w:val="9"/>
    <w:rsid w:val="006010EC"/>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locked/>
    <w:rsid w:val="006010EC"/>
    <w:rPr>
      <w:i/>
      <w:iCs/>
    </w:rPr>
  </w:style>
  <w:style w:type="character" w:customStyle="1" w:styleId="Heading6Char">
    <w:name w:val="Heading 6 Char"/>
    <w:basedOn w:val="DefaultParagraphFont"/>
    <w:link w:val="Heading6"/>
    <w:uiPriority w:val="9"/>
    <w:rsid w:val="006010EC"/>
    <w:rPr>
      <w:rFonts w:asciiTheme="majorHAnsi" w:eastAsiaTheme="majorEastAsia" w:hAnsiTheme="majorHAnsi" w:cstheme="majorBidi"/>
      <w:i/>
      <w:iCs/>
      <w:color w:val="243F60" w:themeColor="accent1" w:themeShade="7F"/>
    </w:rPr>
  </w:style>
  <w:style w:type="paragraph" w:customStyle="1" w:styleId="paragraph">
    <w:name w:val="paragraph"/>
    <w:basedOn w:val="Normal"/>
    <w:rsid w:val="009E7A2F"/>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9E7A2F"/>
  </w:style>
  <w:style w:type="character" w:customStyle="1" w:styleId="eop">
    <w:name w:val="eop"/>
    <w:basedOn w:val="DefaultParagraphFont"/>
    <w:rsid w:val="009E7A2F"/>
  </w:style>
  <w:style w:type="paragraph" w:styleId="PlainText">
    <w:name w:val="Plain Text"/>
    <w:basedOn w:val="Normal"/>
    <w:link w:val="PlainTextChar"/>
    <w:uiPriority w:val="99"/>
    <w:semiHidden/>
    <w:unhideWhenUsed/>
    <w:rsid w:val="0068107A"/>
    <w:pPr>
      <w:spacing w:after="0" w:line="240" w:lineRule="auto"/>
    </w:pPr>
    <w:rPr>
      <w:rFonts w:eastAsiaTheme="minorHAnsi"/>
      <w:szCs w:val="21"/>
    </w:rPr>
  </w:style>
  <w:style w:type="character" w:customStyle="1" w:styleId="PlainTextChar">
    <w:name w:val="Plain Text Char"/>
    <w:basedOn w:val="DefaultParagraphFont"/>
    <w:link w:val="PlainText"/>
    <w:uiPriority w:val="99"/>
    <w:semiHidden/>
    <w:rsid w:val="0068107A"/>
    <w:rPr>
      <w:rFonts w:eastAsiaTheme="minorHAnsi" w:cstheme="minorBidi"/>
      <w:sz w:val="22"/>
      <w:szCs w:val="21"/>
      <w:lang w:eastAsia="en-US"/>
    </w:rPr>
  </w:style>
  <w:style w:type="character" w:customStyle="1" w:styleId="Heading7Char">
    <w:name w:val="Heading 7 Char"/>
    <w:basedOn w:val="DefaultParagraphFont"/>
    <w:link w:val="Heading7"/>
    <w:uiPriority w:val="9"/>
    <w:rsid w:val="006010E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010E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010EC"/>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6010EC"/>
    <w:pPr>
      <w:spacing w:after="0" w:line="240" w:lineRule="auto"/>
    </w:pPr>
  </w:style>
  <w:style w:type="paragraph" w:styleId="Quote">
    <w:name w:val="Quote"/>
    <w:basedOn w:val="Normal"/>
    <w:next w:val="Normal"/>
    <w:link w:val="QuoteChar"/>
    <w:uiPriority w:val="29"/>
    <w:qFormat/>
    <w:rsid w:val="006010EC"/>
    <w:rPr>
      <w:i/>
      <w:iCs/>
      <w:color w:val="000000" w:themeColor="text1"/>
    </w:rPr>
  </w:style>
  <w:style w:type="character" w:customStyle="1" w:styleId="QuoteChar">
    <w:name w:val="Quote Char"/>
    <w:basedOn w:val="DefaultParagraphFont"/>
    <w:link w:val="Quote"/>
    <w:uiPriority w:val="29"/>
    <w:rsid w:val="006010EC"/>
    <w:rPr>
      <w:i/>
      <w:iCs/>
      <w:color w:val="000000" w:themeColor="text1"/>
    </w:rPr>
  </w:style>
  <w:style w:type="paragraph" w:styleId="IntenseQuote">
    <w:name w:val="Intense Quote"/>
    <w:basedOn w:val="Normal"/>
    <w:next w:val="Normal"/>
    <w:link w:val="IntenseQuoteChar"/>
    <w:uiPriority w:val="30"/>
    <w:qFormat/>
    <w:rsid w:val="006010E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010EC"/>
    <w:rPr>
      <w:b/>
      <w:bCs/>
      <w:i/>
      <w:iCs/>
      <w:color w:val="4F81BD" w:themeColor="accent1"/>
    </w:rPr>
  </w:style>
  <w:style w:type="character" w:styleId="SubtleEmphasis">
    <w:name w:val="Subtle Emphasis"/>
    <w:basedOn w:val="DefaultParagraphFont"/>
    <w:uiPriority w:val="19"/>
    <w:qFormat/>
    <w:rsid w:val="006010EC"/>
    <w:rPr>
      <w:i/>
      <w:iCs/>
      <w:color w:val="808080" w:themeColor="text1" w:themeTint="7F"/>
    </w:rPr>
  </w:style>
  <w:style w:type="character" w:styleId="SubtleReference">
    <w:name w:val="Subtle Reference"/>
    <w:basedOn w:val="DefaultParagraphFont"/>
    <w:uiPriority w:val="31"/>
    <w:qFormat/>
    <w:rsid w:val="006010EC"/>
    <w:rPr>
      <w:smallCaps/>
      <w:color w:val="C0504D" w:themeColor="accent2"/>
      <w:u w:val="single"/>
    </w:rPr>
  </w:style>
  <w:style w:type="character" w:styleId="IntenseReference">
    <w:name w:val="Intense Reference"/>
    <w:basedOn w:val="DefaultParagraphFont"/>
    <w:uiPriority w:val="32"/>
    <w:qFormat/>
    <w:rsid w:val="006010EC"/>
    <w:rPr>
      <w:b/>
      <w:bCs/>
      <w:smallCaps/>
      <w:color w:val="C0504D" w:themeColor="accent2"/>
      <w:spacing w:val="5"/>
      <w:u w:val="single"/>
    </w:rPr>
  </w:style>
  <w:style w:type="character" w:styleId="BookTitle">
    <w:name w:val="Book Title"/>
    <w:basedOn w:val="DefaultParagraphFont"/>
    <w:uiPriority w:val="33"/>
    <w:qFormat/>
    <w:rsid w:val="006010EC"/>
    <w:rPr>
      <w:b/>
      <w:bCs/>
      <w:smallCaps/>
      <w:spacing w:val="5"/>
    </w:rPr>
  </w:style>
  <w:style w:type="paragraph" w:styleId="TOCHeading">
    <w:name w:val="TOC Heading"/>
    <w:basedOn w:val="Heading1"/>
    <w:next w:val="Normal"/>
    <w:uiPriority w:val="39"/>
    <w:semiHidden/>
    <w:unhideWhenUsed/>
    <w:qFormat/>
    <w:rsid w:val="006010EC"/>
    <w:pPr>
      <w:outlineLvl w:val="9"/>
    </w:pPr>
  </w:style>
  <w:style w:type="paragraph" w:styleId="Caption">
    <w:name w:val="caption"/>
    <w:basedOn w:val="Normal"/>
    <w:next w:val="Normal"/>
    <w:uiPriority w:val="35"/>
    <w:semiHidden/>
    <w:unhideWhenUsed/>
    <w:qFormat/>
    <w:locked/>
    <w:rsid w:val="006010EC"/>
    <w:pPr>
      <w:spacing w:line="240" w:lineRule="auto"/>
    </w:pPr>
    <w:rPr>
      <w:b/>
      <w:bCs/>
      <w:color w:val="4F81BD" w:themeColor="accent1"/>
      <w:sz w:val="18"/>
      <w:szCs w:val="18"/>
    </w:rPr>
  </w:style>
  <w:style w:type="character" w:customStyle="1" w:styleId="rpc41">
    <w:name w:val="_rpc_41"/>
    <w:basedOn w:val="DefaultParagraphFont"/>
    <w:rsid w:val="00625D37"/>
  </w:style>
  <w:style w:type="character" w:styleId="HTMLCite">
    <w:name w:val="HTML Cite"/>
    <w:basedOn w:val="DefaultParagraphFont"/>
    <w:uiPriority w:val="99"/>
    <w:semiHidden/>
    <w:unhideWhenUsed/>
    <w:rsid w:val="00673FBA"/>
    <w:rPr>
      <w:i/>
      <w:iCs/>
    </w:rPr>
  </w:style>
  <w:style w:type="character" w:customStyle="1" w:styleId="spellingerror">
    <w:name w:val="spellingerror"/>
    <w:basedOn w:val="DefaultParagraphFont"/>
    <w:rsid w:val="001D5A98"/>
  </w:style>
  <w:style w:type="paragraph" w:customStyle="1" w:styleId="Default">
    <w:name w:val="Default"/>
    <w:rsid w:val="00B65CDA"/>
    <w:pPr>
      <w:autoSpaceDE w:val="0"/>
      <w:autoSpaceDN w:val="0"/>
      <w:adjustRightInd w:val="0"/>
      <w:spacing w:after="0" w:line="240" w:lineRule="auto"/>
    </w:pPr>
    <w:rPr>
      <w:rFonts w:ascii="Calibri" w:eastAsiaTheme="minorHAnsi" w:hAnsi="Calibri" w:cs="Calibri"/>
      <w:color w:val="000000"/>
      <w:sz w:val="24"/>
      <w:szCs w:val="24"/>
      <w:lang w:eastAsia="en-US"/>
    </w:r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rsid w:val="001D6064"/>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20">
    <w:name w:val="Grid Table 1 Light - Accent 120"/>
    <w:basedOn w:val="TableNormal"/>
    <w:uiPriority w:val="46"/>
    <w:rsid w:val="00230C38"/>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200">
    <w:name w:val="Grid Table 1 Light - Accent 1200"/>
    <w:basedOn w:val="TableNormal"/>
    <w:uiPriority w:val="46"/>
    <w:rsid w:val="00063A4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2000">
    <w:name w:val="Grid Table 1 Light - Accent 12000"/>
    <w:basedOn w:val="TableNormal"/>
    <w:uiPriority w:val="46"/>
    <w:rsid w:val="00AD164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20000">
    <w:name w:val="Grid Table 1 Light - Accent 120000"/>
    <w:basedOn w:val="TableNormal"/>
    <w:uiPriority w:val="46"/>
    <w:rsid w:val="00BE1148"/>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200000">
    <w:name w:val="Grid Table 1 Light - Accent 1200000"/>
    <w:basedOn w:val="TableNormal"/>
    <w:uiPriority w:val="46"/>
    <w:rsid w:val="0014757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2000000">
    <w:name w:val="Grid Table 1 Light - Accent 12000000"/>
    <w:basedOn w:val="TableNormal"/>
    <w:uiPriority w:val="46"/>
    <w:rsid w:val="0060746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20000000">
    <w:name w:val="Grid Table 1 Light - Accent 120000000"/>
    <w:basedOn w:val="TableNormal"/>
    <w:uiPriority w:val="46"/>
    <w:rsid w:val="00EB04E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EndnoteText">
    <w:name w:val="endnote text"/>
    <w:basedOn w:val="Normal"/>
    <w:link w:val="EndnoteTextChar"/>
    <w:uiPriority w:val="99"/>
    <w:semiHidden/>
    <w:unhideWhenUsed/>
    <w:rsid w:val="009B349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3495"/>
    <w:rPr>
      <w:sz w:val="20"/>
      <w:szCs w:val="20"/>
    </w:rPr>
  </w:style>
  <w:style w:type="character" w:styleId="EndnoteReference">
    <w:name w:val="endnote reference"/>
    <w:basedOn w:val="DefaultParagraphFont"/>
    <w:uiPriority w:val="99"/>
    <w:semiHidden/>
    <w:unhideWhenUsed/>
    <w:rsid w:val="009B3495"/>
    <w:rPr>
      <w:vertAlign w:val="superscript"/>
    </w:rPr>
  </w:style>
  <w:style w:type="paragraph" w:styleId="TOC2">
    <w:name w:val="toc 2"/>
    <w:basedOn w:val="Normal"/>
    <w:next w:val="Normal"/>
    <w:autoRedefine/>
    <w:locked/>
    <w:rsid w:val="00267503"/>
    <w:pPr>
      <w:spacing w:after="100"/>
      <w:ind w:left="220"/>
    </w:pPr>
  </w:style>
  <w:style w:type="paragraph" w:styleId="TOC3">
    <w:name w:val="toc 3"/>
    <w:basedOn w:val="Normal"/>
    <w:next w:val="Normal"/>
    <w:autoRedefine/>
    <w:locked/>
    <w:rsid w:val="0026750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8631">
      <w:marLeft w:val="0"/>
      <w:marRight w:val="0"/>
      <w:marTop w:val="0"/>
      <w:marBottom w:val="0"/>
      <w:divBdr>
        <w:top w:val="none" w:sz="0" w:space="0" w:color="auto"/>
        <w:left w:val="none" w:sz="0" w:space="0" w:color="auto"/>
        <w:bottom w:val="none" w:sz="0" w:space="0" w:color="auto"/>
        <w:right w:val="none" w:sz="0" w:space="0" w:color="auto"/>
      </w:divBdr>
    </w:div>
    <w:div w:id="19359195">
      <w:marLeft w:val="0"/>
      <w:marRight w:val="0"/>
      <w:marTop w:val="0"/>
      <w:marBottom w:val="0"/>
      <w:divBdr>
        <w:top w:val="none" w:sz="0" w:space="0" w:color="auto"/>
        <w:left w:val="none" w:sz="0" w:space="0" w:color="auto"/>
        <w:bottom w:val="none" w:sz="0" w:space="0" w:color="auto"/>
        <w:right w:val="none" w:sz="0" w:space="0" w:color="auto"/>
      </w:divBdr>
    </w:div>
    <w:div w:id="21518709">
      <w:marLeft w:val="0"/>
      <w:marRight w:val="0"/>
      <w:marTop w:val="0"/>
      <w:marBottom w:val="0"/>
      <w:divBdr>
        <w:top w:val="none" w:sz="0" w:space="0" w:color="auto"/>
        <w:left w:val="none" w:sz="0" w:space="0" w:color="auto"/>
        <w:bottom w:val="none" w:sz="0" w:space="0" w:color="auto"/>
        <w:right w:val="none" w:sz="0" w:space="0" w:color="auto"/>
      </w:divBdr>
    </w:div>
    <w:div w:id="31999319">
      <w:bodyDiv w:val="1"/>
      <w:marLeft w:val="0"/>
      <w:marRight w:val="0"/>
      <w:marTop w:val="0"/>
      <w:marBottom w:val="0"/>
      <w:divBdr>
        <w:top w:val="none" w:sz="0" w:space="0" w:color="auto"/>
        <w:left w:val="none" w:sz="0" w:space="0" w:color="auto"/>
        <w:bottom w:val="none" w:sz="0" w:space="0" w:color="auto"/>
        <w:right w:val="none" w:sz="0" w:space="0" w:color="auto"/>
      </w:divBdr>
    </w:div>
    <w:div w:id="33702012">
      <w:marLeft w:val="0"/>
      <w:marRight w:val="0"/>
      <w:marTop w:val="0"/>
      <w:marBottom w:val="0"/>
      <w:divBdr>
        <w:top w:val="none" w:sz="0" w:space="0" w:color="auto"/>
        <w:left w:val="none" w:sz="0" w:space="0" w:color="auto"/>
        <w:bottom w:val="none" w:sz="0" w:space="0" w:color="auto"/>
        <w:right w:val="none" w:sz="0" w:space="0" w:color="auto"/>
      </w:divBdr>
      <w:divsChild>
        <w:div w:id="878321773">
          <w:marLeft w:val="0"/>
          <w:marRight w:val="0"/>
          <w:marTop w:val="0"/>
          <w:marBottom w:val="0"/>
          <w:divBdr>
            <w:top w:val="none" w:sz="0" w:space="0" w:color="auto"/>
            <w:left w:val="none" w:sz="0" w:space="0" w:color="auto"/>
            <w:bottom w:val="none" w:sz="0" w:space="0" w:color="auto"/>
            <w:right w:val="none" w:sz="0" w:space="0" w:color="auto"/>
          </w:divBdr>
        </w:div>
      </w:divsChild>
    </w:div>
    <w:div w:id="44958014">
      <w:marLeft w:val="0"/>
      <w:marRight w:val="0"/>
      <w:marTop w:val="0"/>
      <w:marBottom w:val="0"/>
      <w:divBdr>
        <w:top w:val="none" w:sz="0" w:space="0" w:color="auto"/>
        <w:left w:val="none" w:sz="0" w:space="0" w:color="auto"/>
        <w:bottom w:val="none" w:sz="0" w:space="0" w:color="auto"/>
        <w:right w:val="none" w:sz="0" w:space="0" w:color="auto"/>
      </w:divBdr>
    </w:div>
    <w:div w:id="53939249">
      <w:marLeft w:val="0"/>
      <w:marRight w:val="0"/>
      <w:marTop w:val="0"/>
      <w:marBottom w:val="0"/>
      <w:divBdr>
        <w:top w:val="none" w:sz="0" w:space="0" w:color="auto"/>
        <w:left w:val="none" w:sz="0" w:space="0" w:color="auto"/>
        <w:bottom w:val="none" w:sz="0" w:space="0" w:color="auto"/>
        <w:right w:val="none" w:sz="0" w:space="0" w:color="auto"/>
      </w:divBdr>
    </w:div>
    <w:div w:id="63259792">
      <w:bodyDiv w:val="1"/>
      <w:marLeft w:val="0"/>
      <w:marRight w:val="0"/>
      <w:marTop w:val="0"/>
      <w:marBottom w:val="0"/>
      <w:divBdr>
        <w:top w:val="none" w:sz="0" w:space="0" w:color="auto"/>
        <w:left w:val="none" w:sz="0" w:space="0" w:color="auto"/>
        <w:bottom w:val="none" w:sz="0" w:space="0" w:color="auto"/>
        <w:right w:val="none" w:sz="0" w:space="0" w:color="auto"/>
      </w:divBdr>
    </w:div>
    <w:div w:id="63915057">
      <w:marLeft w:val="0"/>
      <w:marRight w:val="0"/>
      <w:marTop w:val="0"/>
      <w:marBottom w:val="0"/>
      <w:divBdr>
        <w:top w:val="none" w:sz="0" w:space="0" w:color="auto"/>
        <w:left w:val="none" w:sz="0" w:space="0" w:color="auto"/>
        <w:bottom w:val="none" w:sz="0" w:space="0" w:color="auto"/>
        <w:right w:val="none" w:sz="0" w:space="0" w:color="auto"/>
      </w:divBdr>
    </w:div>
    <w:div w:id="69162396">
      <w:bodyDiv w:val="1"/>
      <w:marLeft w:val="0"/>
      <w:marRight w:val="0"/>
      <w:marTop w:val="0"/>
      <w:marBottom w:val="0"/>
      <w:divBdr>
        <w:top w:val="none" w:sz="0" w:space="0" w:color="auto"/>
        <w:left w:val="none" w:sz="0" w:space="0" w:color="auto"/>
        <w:bottom w:val="none" w:sz="0" w:space="0" w:color="auto"/>
        <w:right w:val="none" w:sz="0" w:space="0" w:color="auto"/>
      </w:divBdr>
    </w:div>
    <w:div w:id="75368806">
      <w:marLeft w:val="0"/>
      <w:marRight w:val="0"/>
      <w:marTop w:val="0"/>
      <w:marBottom w:val="0"/>
      <w:divBdr>
        <w:top w:val="none" w:sz="0" w:space="0" w:color="auto"/>
        <w:left w:val="none" w:sz="0" w:space="0" w:color="auto"/>
        <w:bottom w:val="none" w:sz="0" w:space="0" w:color="auto"/>
        <w:right w:val="none" w:sz="0" w:space="0" w:color="auto"/>
      </w:divBdr>
    </w:div>
    <w:div w:id="78334907">
      <w:marLeft w:val="0"/>
      <w:marRight w:val="0"/>
      <w:marTop w:val="0"/>
      <w:marBottom w:val="0"/>
      <w:divBdr>
        <w:top w:val="none" w:sz="0" w:space="0" w:color="auto"/>
        <w:left w:val="none" w:sz="0" w:space="0" w:color="auto"/>
        <w:bottom w:val="none" w:sz="0" w:space="0" w:color="auto"/>
        <w:right w:val="none" w:sz="0" w:space="0" w:color="auto"/>
      </w:divBdr>
    </w:div>
    <w:div w:id="100803743">
      <w:marLeft w:val="0"/>
      <w:marRight w:val="0"/>
      <w:marTop w:val="0"/>
      <w:marBottom w:val="0"/>
      <w:divBdr>
        <w:top w:val="none" w:sz="0" w:space="0" w:color="auto"/>
        <w:left w:val="none" w:sz="0" w:space="0" w:color="auto"/>
        <w:bottom w:val="none" w:sz="0" w:space="0" w:color="auto"/>
        <w:right w:val="none" w:sz="0" w:space="0" w:color="auto"/>
      </w:divBdr>
    </w:div>
    <w:div w:id="104468168">
      <w:bodyDiv w:val="1"/>
      <w:marLeft w:val="0"/>
      <w:marRight w:val="0"/>
      <w:marTop w:val="0"/>
      <w:marBottom w:val="0"/>
      <w:divBdr>
        <w:top w:val="none" w:sz="0" w:space="0" w:color="auto"/>
        <w:left w:val="none" w:sz="0" w:space="0" w:color="auto"/>
        <w:bottom w:val="none" w:sz="0" w:space="0" w:color="auto"/>
        <w:right w:val="none" w:sz="0" w:space="0" w:color="auto"/>
      </w:divBdr>
    </w:div>
    <w:div w:id="122776176">
      <w:marLeft w:val="0"/>
      <w:marRight w:val="0"/>
      <w:marTop w:val="0"/>
      <w:marBottom w:val="0"/>
      <w:divBdr>
        <w:top w:val="none" w:sz="0" w:space="0" w:color="auto"/>
        <w:left w:val="none" w:sz="0" w:space="0" w:color="auto"/>
        <w:bottom w:val="none" w:sz="0" w:space="0" w:color="auto"/>
        <w:right w:val="none" w:sz="0" w:space="0" w:color="auto"/>
      </w:divBdr>
    </w:div>
    <w:div w:id="128986088">
      <w:marLeft w:val="0"/>
      <w:marRight w:val="0"/>
      <w:marTop w:val="0"/>
      <w:marBottom w:val="0"/>
      <w:divBdr>
        <w:top w:val="none" w:sz="0" w:space="0" w:color="auto"/>
        <w:left w:val="none" w:sz="0" w:space="0" w:color="auto"/>
        <w:bottom w:val="none" w:sz="0" w:space="0" w:color="auto"/>
        <w:right w:val="none" w:sz="0" w:space="0" w:color="auto"/>
      </w:divBdr>
    </w:div>
    <w:div w:id="130753860">
      <w:bodyDiv w:val="1"/>
      <w:marLeft w:val="0"/>
      <w:marRight w:val="0"/>
      <w:marTop w:val="0"/>
      <w:marBottom w:val="0"/>
      <w:divBdr>
        <w:top w:val="none" w:sz="0" w:space="0" w:color="auto"/>
        <w:left w:val="none" w:sz="0" w:space="0" w:color="auto"/>
        <w:bottom w:val="none" w:sz="0" w:space="0" w:color="auto"/>
        <w:right w:val="none" w:sz="0" w:space="0" w:color="auto"/>
      </w:divBdr>
    </w:div>
    <w:div w:id="134757457">
      <w:marLeft w:val="0"/>
      <w:marRight w:val="0"/>
      <w:marTop w:val="0"/>
      <w:marBottom w:val="0"/>
      <w:divBdr>
        <w:top w:val="none" w:sz="0" w:space="0" w:color="auto"/>
        <w:left w:val="none" w:sz="0" w:space="0" w:color="auto"/>
        <w:bottom w:val="none" w:sz="0" w:space="0" w:color="auto"/>
        <w:right w:val="none" w:sz="0" w:space="0" w:color="auto"/>
      </w:divBdr>
    </w:div>
    <w:div w:id="157814522">
      <w:marLeft w:val="0"/>
      <w:marRight w:val="0"/>
      <w:marTop w:val="0"/>
      <w:marBottom w:val="0"/>
      <w:divBdr>
        <w:top w:val="none" w:sz="0" w:space="0" w:color="auto"/>
        <w:left w:val="none" w:sz="0" w:space="0" w:color="auto"/>
        <w:bottom w:val="none" w:sz="0" w:space="0" w:color="auto"/>
        <w:right w:val="none" w:sz="0" w:space="0" w:color="auto"/>
      </w:divBdr>
    </w:div>
    <w:div w:id="174422440">
      <w:bodyDiv w:val="1"/>
      <w:marLeft w:val="0"/>
      <w:marRight w:val="0"/>
      <w:marTop w:val="0"/>
      <w:marBottom w:val="0"/>
      <w:divBdr>
        <w:top w:val="none" w:sz="0" w:space="0" w:color="auto"/>
        <w:left w:val="none" w:sz="0" w:space="0" w:color="auto"/>
        <w:bottom w:val="none" w:sz="0" w:space="0" w:color="auto"/>
        <w:right w:val="none" w:sz="0" w:space="0" w:color="auto"/>
      </w:divBdr>
    </w:div>
    <w:div w:id="193232485">
      <w:bodyDiv w:val="1"/>
      <w:marLeft w:val="0"/>
      <w:marRight w:val="0"/>
      <w:marTop w:val="0"/>
      <w:marBottom w:val="0"/>
      <w:divBdr>
        <w:top w:val="none" w:sz="0" w:space="0" w:color="auto"/>
        <w:left w:val="none" w:sz="0" w:space="0" w:color="auto"/>
        <w:bottom w:val="none" w:sz="0" w:space="0" w:color="auto"/>
        <w:right w:val="none" w:sz="0" w:space="0" w:color="auto"/>
      </w:divBdr>
    </w:div>
    <w:div w:id="194079217">
      <w:marLeft w:val="0"/>
      <w:marRight w:val="0"/>
      <w:marTop w:val="0"/>
      <w:marBottom w:val="0"/>
      <w:divBdr>
        <w:top w:val="none" w:sz="0" w:space="0" w:color="auto"/>
        <w:left w:val="none" w:sz="0" w:space="0" w:color="auto"/>
        <w:bottom w:val="none" w:sz="0" w:space="0" w:color="auto"/>
        <w:right w:val="none" w:sz="0" w:space="0" w:color="auto"/>
      </w:divBdr>
    </w:div>
    <w:div w:id="198321872">
      <w:marLeft w:val="0"/>
      <w:marRight w:val="0"/>
      <w:marTop w:val="0"/>
      <w:marBottom w:val="0"/>
      <w:divBdr>
        <w:top w:val="none" w:sz="0" w:space="0" w:color="auto"/>
        <w:left w:val="none" w:sz="0" w:space="0" w:color="auto"/>
        <w:bottom w:val="none" w:sz="0" w:space="0" w:color="auto"/>
        <w:right w:val="none" w:sz="0" w:space="0" w:color="auto"/>
      </w:divBdr>
    </w:div>
    <w:div w:id="198705664">
      <w:marLeft w:val="0"/>
      <w:marRight w:val="0"/>
      <w:marTop w:val="0"/>
      <w:marBottom w:val="0"/>
      <w:divBdr>
        <w:top w:val="none" w:sz="0" w:space="0" w:color="auto"/>
        <w:left w:val="none" w:sz="0" w:space="0" w:color="auto"/>
        <w:bottom w:val="none" w:sz="0" w:space="0" w:color="auto"/>
        <w:right w:val="none" w:sz="0" w:space="0" w:color="auto"/>
      </w:divBdr>
    </w:div>
    <w:div w:id="199440791">
      <w:marLeft w:val="0"/>
      <w:marRight w:val="0"/>
      <w:marTop w:val="0"/>
      <w:marBottom w:val="0"/>
      <w:divBdr>
        <w:top w:val="none" w:sz="0" w:space="0" w:color="auto"/>
        <w:left w:val="none" w:sz="0" w:space="0" w:color="auto"/>
        <w:bottom w:val="none" w:sz="0" w:space="0" w:color="auto"/>
        <w:right w:val="none" w:sz="0" w:space="0" w:color="auto"/>
      </w:divBdr>
    </w:div>
    <w:div w:id="208348494">
      <w:marLeft w:val="0"/>
      <w:marRight w:val="0"/>
      <w:marTop w:val="0"/>
      <w:marBottom w:val="0"/>
      <w:divBdr>
        <w:top w:val="none" w:sz="0" w:space="0" w:color="auto"/>
        <w:left w:val="none" w:sz="0" w:space="0" w:color="auto"/>
        <w:bottom w:val="none" w:sz="0" w:space="0" w:color="auto"/>
        <w:right w:val="none" w:sz="0" w:space="0" w:color="auto"/>
      </w:divBdr>
    </w:div>
    <w:div w:id="220874311">
      <w:marLeft w:val="0"/>
      <w:marRight w:val="0"/>
      <w:marTop w:val="0"/>
      <w:marBottom w:val="0"/>
      <w:divBdr>
        <w:top w:val="none" w:sz="0" w:space="0" w:color="auto"/>
        <w:left w:val="none" w:sz="0" w:space="0" w:color="auto"/>
        <w:bottom w:val="none" w:sz="0" w:space="0" w:color="auto"/>
        <w:right w:val="none" w:sz="0" w:space="0" w:color="auto"/>
      </w:divBdr>
    </w:div>
    <w:div w:id="224683481">
      <w:marLeft w:val="0"/>
      <w:marRight w:val="0"/>
      <w:marTop w:val="0"/>
      <w:marBottom w:val="0"/>
      <w:divBdr>
        <w:top w:val="none" w:sz="0" w:space="0" w:color="auto"/>
        <w:left w:val="none" w:sz="0" w:space="0" w:color="auto"/>
        <w:bottom w:val="none" w:sz="0" w:space="0" w:color="auto"/>
        <w:right w:val="none" w:sz="0" w:space="0" w:color="auto"/>
      </w:divBdr>
    </w:div>
    <w:div w:id="226916543">
      <w:bodyDiv w:val="1"/>
      <w:marLeft w:val="0"/>
      <w:marRight w:val="0"/>
      <w:marTop w:val="0"/>
      <w:marBottom w:val="0"/>
      <w:divBdr>
        <w:top w:val="none" w:sz="0" w:space="0" w:color="auto"/>
        <w:left w:val="none" w:sz="0" w:space="0" w:color="auto"/>
        <w:bottom w:val="none" w:sz="0" w:space="0" w:color="auto"/>
        <w:right w:val="none" w:sz="0" w:space="0" w:color="auto"/>
      </w:divBdr>
    </w:div>
    <w:div w:id="227886462">
      <w:marLeft w:val="0"/>
      <w:marRight w:val="0"/>
      <w:marTop w:val="0"/>
      <w:marBottom w:val="0"/>
      <w:divBdr>
        <w:top w:val="none" w:sz="0" w:space="0" w:color="auto"/>
        <w:left w:val="none" w:sz="0" w:space="0" w:color="auto"/>
        <w:bottom w:val="none" w:sz="0" w:space="0" w:color="auto"/>
        <w:right w:val="none" w:sz="0" w:space="0" w:color="auto"/>
      </w:divBdr>
    </w:div>
    <w:div w:id="229967087">
      <w:marLeft w:val="0"/>
      <w:marRight w:val="0"/>
      <w:marTop w:val="0"/>
      <w:marBottom w:val="0"/>
      <w:divBdr>
        <w:top w:val="none" w:sz="0" w:space="0" w:color="auto"/>
        <w:left w:val="none" w:sz="0" w:space="0" w:color="auto"/>
        <w:bottom w:val="none" w:sz="0" w:space="0" w:color="auto"/>
        <w:right w:val="none" w:sz="0" w:space="0" w:color="auto"/>
      </w:divBdr>
    </w:div>
    <w:div w:id="244921554">
      <w:bodyDiv w:val="1"/>
      <w:marLeft w:val="0"/>
      <w:marRight w:val="0"/>
      <w:marTop w:val="0"/>
      <w:marBottom w:val="0"/>
      <w:divBdr>
        <w:top w:val="none" w:sz="0" w:space="0" w:color="auto"/>
        <w:left w:val="none" w:sz="0" w:space="0" w:color="auto"/>
        <w:bottom w:val="none" w:sz="0" w:space="0" w:color="auto"/>
        <w:right w:val="none" w:sz="0" w:space="0" w:color="auto"/>
      </w:divBdr>
    </w:div>
    <w:div w:id="253511368">
      <w:marLeft w:val="0"/>
      <w:marRight w:val="0"/>
      <w:marTop w:val="0"/>
      <w:marBottom w:val="0"/>
      <w:divBdr>
        <w:top w:val="none" w:sz="0" w:space="0" w:color="auto"/>
        <w:left w:val="none" w:sz="0" w:space="0" w:color="auto"/>
        <w:bottom w:val="none" w:sz="0" w:space="0" w:color="auto"/>
        <w:right w:val="none" w:sz="0" w:space="0" w:color="auto"/>
      </w:divBdr>
    </w:div>
    <w:div w:id="266735405">
      <w:marLeft w:val="0"/>
      <w:marRight w:val="0"/>
      <w:marTop w:val="0"/>
      <w:marBottom w:val="0"/>
      <w:divBdr>
        <w:top w:val="none" w:sz="0" w:space="0" w:color="auto"/>
        <w:left w:val="none" w:sz="0" w:space="0" w:color="auto"/>
        <w:bottom w:val="none" w:sz="0" w:space="0" w:color="auto"/>
        <w:right w:val="none" w:sz="0" w:space="0" w:color="auto"/>
      </w:divBdr>
    </w:div>
    <w:div w:id="292753998">
      <w:marLeft w:val="0"/>
      <w:marRight w:val="0"/>
      <w:marTop w:val="0"/>
      <w:marBottom w:val="0"/>
      <w:divBdr>
        <w:top w:val="none" w:sz="0" w:space="0" w:color="auto"/>
        <w:left w:val="none" w:sz="0" w:space="0" w:color="auto"/>
        <w:bottom w:val="none" w:sz="0" w:space="0" w:color="auto"/>
        <w:right w:val="none" w:sz="0" w:space="0" w:color="auto"/>
      </w:divBdr>
    </w:div>
    <w:div w:id="293564800">
      <w:marLeft w:val="0"/>
      <w:marRight w:val="0"/>
      <w:marTop w:val="0"/>
      <w:marBottom w:val="0"/>
      <w:divBdr>
        <w:top w:val="none" w:sz="0" w:space="0" w:color="auto"/>
        <w:left w:val="none" w:sz="0" w:space="0" w:color="auto"/>
        <w:bottom w:val="none" w:sz="0" w:space="0" w:color="auto"/>
        <w:right w:val="none" w:sz="0" w:space="0" w:color="auto"/>
      </w:divBdr>
    </w:div>
    <w:div w:id="294257281">
      <w:marLeft w:val="0"/>
      <w:marRight w:val="0"/>
      <w:marTop w:val="0"/>
      <w:marBottom w:val="0"/>
      <w:divBdr>
        <w:top w:val="none" w:sz="0" w:space="0" w:color="auto"/>
        <w:left w:val="none" w:sz="0" w:space="0" w:color="auto"/>
        <w:bottom w:val="none" w:sz="0" w:space="0" w:color="auto"/>
        <w:right w:val="none" w:sz="0" w:space="0" w:color="auto"/>
      </w:divBdr>
    </w:div>
    <w:div w:id="314336454">
      <w:marLeft w:val="0"/>
      <w:marRight w:val="0"/>
      <w:marTop w:val="0"/>
      <w:marBottom w:val="0"/>
      <w:divBdr>
        <w:top w:val="none" w:sz="0" w:space="0" w:color="auto"/>
        <w:left w:val="none" w:sz="0" w:space="0" w:color="auto"/>
        <w:bottom w:val="none" w:sz="0" w:space="0" w:color="auto"/>
        <w:right w:val="none" w:sz="0" w:space="0" w:color="auto"/>
      </w:divBdr>
    </w:div>
    <w:div w:id="315765429">
      <w:marLeft w:val="0"/>
      <w:marRight w:val="0"/>
      <w:marTop w:val="0"/>
      <w:marBottom w:val="0"/>
      <w:divBdr>
        <w:top w:val="none" w:sz="0" w:space="0" w:color="auto"/>
        <w:left w:val="none" w:sz="0" w:space="0" w:color="auto"/>
        <w:bottom w:val="none" w:sz="0" w:space="0" w:color="auto"/>
        <w:right w:val="none" w:sz="0" w:space="0" w:color="auto"/>
      </w:divBdr>
    </w:div>
    <w:div w:id="317727761">
      <w:marLeft w:val="0"/>
      <w:marRight w:val="0"/>
      <w:marTop w:val="0"/>
      <w:marBottom w:val="0"/>
      <w:divBdr>
        <w:top w:val="none" w:sz="0" w:space="0" w:color="auto"/>
        <w:left w:val="none" w:sz="0" w:space="0" w:color="auto"/>
        <w:bottom w:val="none" w:sz="0" w:space="0" w:color="auto"/>
        <w:right w:val="none" w:sz="0" w:space="0" w:color="auto"/>
      </w:divBdr>
    </w:div>
    <w:div w:id="319040315">
      <w:marLeft w:val="0"/>
      <w:marRight w:val="0"/>
      <w:marTop w:val="0"/>
      <w:marBottom w:val="0"/>
      <w:divBdr>
        <w:top w:val="none" w:sz="0" w:space="0" w:color="auto"/>
        <w:left w:val="none" w:sz="0" w:space="0" w:color="auto"/>
        <w:bottom w:val="none" w:sz="0" w:space="0" w:color="auto"/>
        <w:right w:val="none" w:sz="0" w:space="0" w:color="auto"/>
      </w:divBdr>
    </w:div>
    <w:div w:id="324212049">
      <w:marLeft w:val="0"/>
      <w:marRight w:val="0"/>
      <w:marTop w:val="0"/>
      <w:marBottom w:val="0"/>
      <w:divBdr>
        <w:top w:val="none" w:sz="0" w:space="0" w:color="auto"/>
        <w:left w:val="none" w:sz="0" w:space="0" w:color="auto"/>
        <w:bottom w:val="none" w:sz="0" w:space="0" w:color="auto"/>
        <w:right w:val="none" w:sz="0" w:space="0" w:color="auto"/>
      </w:divBdr>
    </w:div>
    <w:div w:id="332034975">
      <w:marLeft w:val="0"/>
      <w:marRight w:val="0"/>
      <w:marTop w:val="0"/>
      <w:marBottom w:val="0"/>
      <w:divBdr>
        <w:top w:val="none" w:sz="0" w:space="0" w:color="auto"/>
        <w:left w:val="none" w:sz="0" w:space="0" w:color="auto"/>
        <w:bottom w:val="none" w:sz="0" w:space="0" w:color="auto"/>
        <w:right w:val="none" w:sz="0" w:space="0" w:color="auto"/>
      </w:divBdr>
    </w:div>
    <w:div w:id="351611478">
      <w:bodyDiv w:val="1"/>
      <w:marLeft w:val="0"/>
      <w:marRight w:val="0"/>
      <w:marTop w:val="0"/>
      <w:marBottom w:val="0"/>
      <w:divBdr>
        <w:top w:val="none" w:sz="0" w:space="0" w:color="auto"/>
        <w:left w:val="none" w:sz="0" w:space="0" w:color="auto"/>
        <w:bottom w:val="none" w:sz="0" w:space="0" w:color="auto"/>
        <w:right w:val="none" w:sz="0" w:space="0" w:color="auto"/>
      </w:divBdr>
      <w:divsChild>
        <w:div w:id="45184760">
          <w:marLeft w:val="0"/>
          <w:marRight w:val="0"/>
          <w:marTop w:val="0"/>
          <w:marBottom w:val="0"/>
          <w:divBdr>
            <w:top w:val="none" w:sz="0" w:space="0" w:color="auto"/>
            <w:left w:val="none" w:sz="0" w:space="0" w:color="auto"/>
            <w:bottom w:val="none" w:sz="0" w:space="0" w:color="auto"/>
            <w:right w:val="none" w:sz="0" w:space="0" w:color="auto"/>
          </w:divBdr>
          <w:divsChild>
            <w:div w:id="379403005">
              <w:marLeft w:val="240"/>
              <w:marRight w:val="0"/>
              <w:marTop w:val="120"/>
              <w:marBottom w:val="0"/>
              <w:divBdr>
                <w:top w:val="none" w:sz="0" w:space="0" w:color="auto"/>
                <w:left w:val="none" w:sz="0" w:space="0" w:color="auto"/>
                <w:bottom w:val="none" w:sz="0" w:space="0" w:color="auto"/>
                <w:right w:val="none" w:sz="0" w:space="0" w:color="auto"/>
              </w:divBdr>
            </w:div>
          </w:divsChild>
        </w:div>
        <w:div w:id="327445302">
          <w:marLeft w:val="0"/>
          <w:marRight w:val="0"/>
          <w:marTop w:val="0"/>
          <w:marBottom w:val="0"/>
          <w:divBdr>
            <w:top w:val="none" w:sz="0" w:space="0" w:color="auto"/>
            <w:left w:val="none" w:sz="0" w:space="0" w:color="auto"/>
            <w:bottom w:val="none" w:sz="0" w:space="0" w:color="auto"/>
            <w:right w:val="none" w:sz="0" w:space="0" w:color="auto"/>
          </w:divBdr>
        </w:div>
      </w:divsChild>
    </w:div>
    <w:div w:id="352070945">
      <w:bodyDiv w:val="1"/>
      <w:marLeft w:val="0"/>
      <w:marRight w:val="0"/>
      <w:marTop w:val="0"/>
      <w:marBottom w:val="0"/>
      <w:divBdr>
        <w:top w:val="none" w:sz="0" w:space="0" w:color="auto"/>
        <w:left w:val="none" w:sz="0" w:space="0" w:color="auto"/>
        <w:bottom w:val="none" w:sz="0" w:space="0" w:color="auto"/>
        <w:right w:val="none" w:sz="0" w:space="0" w:color="auto"/>
      </w:divBdr>
    </w:div>
    <w:div w:id="356200338">
      <w:marLeft w:val="0"/>
      <w:marRight w:val="0"/>
      <w:marTop w:val="0"/>
      <w:marBottom w:val="0"/>
      <w:divBdr>
        <w:top w:val="none" w:sz="0" w:space="0" w:color="auto"/>
        <w:left w:val="none" w:sz="0" w:space="0" w:color="auto"/>
        <w:bottom w:val="none" w:sz="0" w:space="0" w:color="auto"/>
        <w:right w:val="none" w:sz="0" w:space="0" w:color="auto"/>
      </w:divBdr>
    </w:div>
    <w:div w:id="356202739">
      <w:bodyDiv w:val="1"/>
      <w:marLeft w:val="0"/>
      <w:marRight w:val="0"/>
      <w:marTop w:val="0"/>
      <w:marBottom w:val="0"/>
      <w:divBdr>
        <w:top w:val="none" w:sz="0" w:space="0" w:color="auto"/>
        <w:left w:val="none" w:sz="0" w:space="0" w:color="auto"/>
        <w:bottom w:val="none" w:sz="0" w:space="0" w:color="auto"/>
        <w:right w:val="none" w:sz="0" w:space="0" w:color="auto"/>
      </w:divBdr>
    </w:div>
    <w:div w:id="357128280">
      <w:marLeft w:val="0"/>
      <w:marRight w:val="0"/>
      <w:marTop w:val="0"/>
      <w:marBottom w:val="0"/>
      <w:divBdr>
        <w:top w:val="none" w:sz="0" w:space="0" w:color="auto"/>
        <w:left w:val="none" w:sz="0" w:space="0" w:color="auto"/>
        <w:bottom w:val="none" w:sz="0" w:space="0" w:color="auto"/>
        <w:right w:val="none" w:sz="0" w:space="0" w:color="auto"/>
      </w:divBdr>
    </w:div>
    <w:div w:id="377819571">
      <w:marLeft w:val="0"/>
      <w:marRight w:val="0"/>
      <w:marTop w:val="0"/>
      <w:marBottom w:val="0"/>
      <w:divBdr>
        <w:top w:val="none" w:sz="0" w:space="0" w:color="auto"/>
        <w:left w:val="none" w:sz="0" w:space="0" w:color="auto"/>
        <w:bottom w:val="none" w:sz="0" w:space="0" w:color="auto"/>
        <w:right w:val="none" w:sz="0" w:space="0" w:color="auto"/>
      </w:divBdr>
    </w:div>
    <w:div w:id="377969606">
      <w:marLeft w:val="0"/>
      <w:marRight w:val="0"/>
      <w:marTop w:val="0"/>
      <w:marBottom w:val="0"/>
      <w:divBdr>
        <w:top w:val="none" w:sz="0" w:space="0" w:color="auto"/>
        <w:left w:val="none" w:sz="0" w:space="0" w:color="auto"/>
        <w:bottom w:val="none" w:sz="0" w:space="0" w:color="auto"/>
        <w:right w:val="none" w:sz="0" w:space="0" w:color="auto"/>
      </w:divBdr>
    </w:div>
    <w:div w:id="388843577">
      <w:marLeft w:val="0"/>
      <w:marRight w:val="0"/>
      <w:marTop w:val="0"/>
      <w:marBottom w:val="0"/>
      <w:divBdr>
        <w:top w:val="none" w:sz="0" w:space="0" w:color="auto"/>
        <w:left w:val="none" w:sz="0" w:space="0" w:color="auto"/>
        <w:bottom w:val="none" w:sz="0" w:space="0" w:color="auto"/>
        <w:right w:val="none" w:sz="0" w:space="0" w:color="auto"/>
      </w:divBdr>
    </w:div>
    <w:div w:id="402870514">
      <w:marLeft w:val="0"/>
      <w:marRight w:val="0"/>
      <w:marTop w:val="0"/>
      <w:marBottom w:val="0"/>
      <w:divBdr>
        <w:top w:val="none" w:sz="0" w:space="0" w:color="auto"/>
        <w:left w:val="none" w:sz="0" w:space="0" w:color="auto"/>
        <w:bottom w:val="none" w:sz="0" w:space="0" w:color="auto"/>
        <w:right w:val="none" w:sz="0" w:space="0" w:color="auto"/>
      </w:divBdr>
    </w:div>
    <w:div w:id="404300439">
      <w:bodyDiv w:val="1"/>
      <w:marLeft w:val="0"/>
      <w:marRight w:val="0"/>
      <w:marTop w:val="0"/>
      <w:marBottom w:val="0"/>
      <w:divBdr>
        <w:top w:val="none" w:sz="0" w:space="0" w:color="auto"/>
        <w:left w:val="none" w:sz="0" w:space="0" w:color="auto"/>
        <w:bottom w:val="none" w:sz="0" w:space="0" w:color="auto"/>
        <w:right w:val="none" w:sz="0" w:space="0" w:color="auto"/>
      </w:divBdr>
    </w:div>
    <w:div w:id="420488227">
      <w:marLeft w:val="0"/>
      <w:marRight w:val="0"/>
      <w:marTop w:val="0"/>
      <w:marBottom w:val="0"/>
      <w:divBdr>
        <w:top w:val="none" w:sz="0" w:space="0" w:color="auto"/>
        <w:left w:val="none" w:sz="0" w:space="0" w:color="auto"/>
        <w:bottom w:val="none" w:sz="0" w:space="0" w:color="auto"/>
        <w:right w:val="none" w:sz="0" w:space="0" w:color="auto"/>
      </w:divBdr>
    </w:div>
    <w:div w:id="424696117">
      <w:marLeft w:val="0"/>
      <w:marRight w:val="0"/>
      <w:marTop w:val="0"/>
      <w:marBottom w:val="0"/>
      <w:divBdr>
        <w:top w:val="none" w:sz="0" w:space="0" w:color="auto"/>
        <w:left w:val="none" w:sz="0" w:space="0" w:color="auto"/>
        <w:bottom w:val="none" w:sz="0" w:space="0" w:color="auto"/>
        <w:right w:val="none" w:sz="0" w:space="0" w:color="auto"/>
      </w:divBdr>
    </w:div>
    <w:div w:id="436826992">
      <w:marLeft w:val="0"/>
      <w:marRight w:val="0"/>
      <w:marTop w:val="0"/>
      <w:marBottom w:val="0"/>
      <w:divBdr>
        <w:top w:val="none" w:sz="0" w:space="0" w:color="auto"/>
        <w:left w:val="none" w:sz="0" w:space="0" w:color="auto"/>
        <w:bottom w:val="none" w:sz="0" w:space="0" w:color="auto"/>
        <w:right w:val="none" w:sz="0" w:space="0" w:color="auto"/>
      </w:divBdr>
    </w:div>
    <w:div w:id="437987582">
      <w:marLeft w:val="0"/>
      <w:marRight w:val="0"/>
      <w:marTop w:val="0"/>
      <w:marBottom w:val="0"/>
      <w:divBdr>
        <w:top w:val="none" w:sz="0" w:space="0" w:color="auto"/>
        <w:left w:val="none" w:sz="0" w:space="0" w:color="auto"/>
        <w:bottom w:val="none" w:sz="0" w:space="0" w:color="auto"/>
        <w:right w:val="none" w:sz="0" w:space="0" w:color="auto"/>
      </w:divBdr>
    </w:div>
    <w:div w:id="442503855">
      <w:marLeft w:val="0"/>
      <w:marRight w:val="0"/>
      <w:marTop w:val="0"/>
      <w:marBottom w:val="0"/>
      <w:divBdr>
        <w:top w:val="none" w:sz="0" w:space="0" w:color="auto"/>
        <w:left w:val="none" w:sz="0" w:space="0" w:color="auto"/>
        <w:bottom w:val="none" w:sz="0" w:space="0" w:color="auto"/>
        <w:right w:val="none" w:sz="0" w:space="0" w:color="auto"/>
      </w:divBdr>
    </w:div>
    <w:div w:id="463161891">
      <w:marLeft w:val="0"/>
      <w:marRight w:val="0"/>
      <w:marTop w:val="0"/>
      <w:marBottom w:val="0"/>
      <w:divBdr>
        <w:top w:val="none" w:sz="0" w:space="0" w:color="auto"/>
        <w:left w:val="none" w:sz="0" w:space="0" w:color="auto"/>
        <w:bottom w:val="none" w:sz="0" w:space="0" w:color="auto"/>
        <w:right w:val="none" w:sz="0" w:space="0" w:color="auto"/>
      </w:divBdr>
    </w:div>
    <w:div w:id="472334494">
      <w:bodyDiv w:val="1"/>
      <w:marLeft w:val="0"/>
      <w:marRight w:val="0"/>
      <w:marTop w:val="0"/>
      <w:marBottom w:val="0"/>
      <w:divBdr>
        <w:top w:val="none" w:sz="0" w:space="0" w:color="auto"/>
        <w:left w:val="none" w:sz="0" w:space="0" w:color="auto"/>
        <w:bottom w:val="none" w:sz="0" w:space="0" w:color="auto"/>
        <w:right w:val="none" w:sz="0" w:space="0" w:color="auto"/>
      </w:divBdr>
    </w:div>
    <w:div w:id="476142255">
      <w:marLeft w:val="0"/>
      <w:marRight w:val="0"/>
      <w:marTop w:val="0"/>
      <w:marBottom w:val="0"/>
      <w:divBdr>
        <w:top w:val="none" w:sz="0" w:space="0" w:color="auto"/>
        <w:left w:val="none" w:sz="0" w:space="0" w:color="auto"/>
        <w:bottom w:val="none" w:sz="0" w:space="0" w:color="auto"/>
        <w:right w:val="none" w:sz="0" w:space="0" w:color="auto"/>
      </w:divBdr>
    </w:div>
    <w:div w:id="478420948">
      <w:marLeft w:val="0"/>
      <w:marRight w:val="0"/>
      <w:marTop w:val="0"/>
      <w:marBottom w:val="0"/>
      <w:divBdr>
        <w:top w:val="none" w:sz="0" w:space="0" w:color="auto"/>
        <w:left w:val="none" w:sz="0" w:space="0" w:color="auto"/>
        <w:bottom w:val="none" w:sz="0" w:space="0" w:color="auto"/>
        <w:right w:val="none" w:sz="0" w:space="0" w:color="auto"/>
      </w:divBdr>
    </w:div>
    <w:div w:id="491679319">
      <w:bodyDiv w:val="1"/>
      <w:marLeft w:val="0"/>
      <w:marRight w:val="0"/>
      <w:marTop w:val="0"/>
      <w:marBottom w:val="0"/>
      <w:divBdr>
        <w:top w:val="none" w:sz="0" w:space="0" w:color="auto"/>
        <w:left w:val="none" w:sz="0" w:space="0" w:color="auto"/>
        <w:bottom w:val="none" w:sz="0" w:space="0" w:color="auto"/>
        <w:right w:val="none" w:sz="0" w:space="0" w:color="auto"/>
      </w:divBdr>
    </w:div>
    <w:div w:id="510920048">
      <w:bodyDiv w:val="1"/>
      <w:marLeft w:val="0"/>
      <w:marRight w:val="0"/>
      <w:marTop w:val="0"/>
      <w:marBottom w:val="0"/>
      <w:divBdr>
        <w:top w:val="none" w:sz="0" w:space="0" w:color="auto"/>
        <w:left w:val="none" w:sz="0" w:space="0" w:color="auto"/>
        <w:bottom w:val="none" w:sz="0" w:space="0" w:color="auto"/>
        <w:right w:val="none" w:sz="0" w:space="0" w:color="auto"/>
      </w:divBdr>
    </w:div>
    <w:div w:id="517039652">
      <w:marLeft w:val="0"/>
      <w:marRight w:val="0"/>
      <w:marTop w:val="0"/>
      <w:marBottom w:val="0"/>
      <w:divBdr>
        <w:top w:val="none" w:sz="0" w:space="0" w:color="auto"/>
        <w:left w:val="none" w:sz="0" w:space="0" w:color="auto"/>
        <w:bottom w:val="none" w:sz="0" w:space="0" w:color="auto"/>
        <w:right w:val="none" w:sz="0" w:space="0" w:color="auto"/>
      </w:divBdr>
    </w:div>
    <w:div w:id="517886237">
      <w:marLeft w:val="0"/>
      <w:marRight w:val="0"/>
      <w:marTop w:val="0"/>
      <w:marBottom w:val="0"/>
      <w:divBdr>
        <w:top w:val="none" w:sz="0" w:space="0" w:color="auto"/>
        <w:left w:val="none" w:sz="0" w:space="0" w:color="auto"/>
        <w:bottom w:val="none" w:sz="0" w:space="0" w:color="auto"/>
        <w:right w:val="none" w:sz="0" w:space="0" w:color="auto"/>
      </w:divBdr>
    </w:div>
    <w:div w:id="521090603">
      <w:marLeft w:val="0"/>
      <w:marRight w:val="0"/>
      <w:marTop w:val="0"/>
      <w:marBottom w:val="0"/>
      <w:divBdr>
        <w:top w:val="none" w:sz="0" w:space="0" w:color="auto"/>
        <w:left w:val="none" w:sz="0" w:space="0" w:color="auto"/>
        <w:bottom w:val="none" w:sz="0" w:space="0" w:color="auto"/>
        <w:right w:val="none" w:sz="0" w:space="0" w:color="auto"/>
      </w:divBdr>
    </w:div>
    <w:div w:id="529999326">
      <w:bodyDiv w:val="1"/>
      <w:marLeft w:val="0"/>
      <w:marRight w:val="0"/>
      <w:marTop w:val="0"/>
      <w:marBottom w:val="0"/>
      <w:divBdr>
        <w:top w:val="none" w:sz="0" w:space="0" w:color="auto"/>
        <w:left w:val="none" w:sz="0" w:space="0" w:color="auto"/>
        <w:bottom w:val="none" w:sz="0" w:space="0" w:color="auto"/>
        <w:right w:val="none" w:sz="0" w:space="0" w:color="auto"/>
      </w:divBdr>
      <w:divsChild>
        <w:div w:id="2004041408">
          <w:marLeft w:val="0"/>
          <w:marRight w:val="0"/>
          <w:marTop w:val="0"/>
          <w:marBottom w:val="0"/>
          <w:divBdr>
            <w:top w:val="none" w:sz="0" w:space="0" w:color="auto"/>
            <w:left w:val="none" w:sz="0" w:space="0" w:color="auto"/>
            <w:bottom w:val="none" w:sz="0" w:space="0" w:color="auto"/>
            <w:right w:val="none" w:sz="0" w:space="0" w:color="auto"/>
          </w:divBdr>
        </w:div>
        <w:div w:id="402683037">
          <w:marLeft w:val="0"/>
          <w:marRight w:val="0"/>
          <w:marTop w:val="0"/>
          <w:marBottom w:val="0"/>
          <w:divBdr>
            <w:top w:val="none" w:sz="0" w:space="0" w:color="auto"/>
            <w:left w:val="none" w:sz="0" w:space="0" w:color="auto"/>
            <w:bottom w:val="none" w:sz="0" w:space="0" w:color="auto"/>
            <w:right w:val="none" w:sz="0" w:space="0" w:color="auto"/>
          </w:divBdr>
        </w:div>
        <w:div w:id="810367764">
          <w:marLeft w:val="0"/>
          <w:marRight w:val="0"/>
          <w:marTop w:val="0"/>
          <w:marBottom w:val="0"/>
          <w:divBdr>
            <w:top w:val="none" w:sz="0" w:space="0" w:color="auto"/>
            <w:left w:val="none" w:sz="0" w:space="0" w:color="auto"/>
            <w:bottom w:val="none" w:sz="0" w:space="0" w:color="auto"/>
            <w:right w:val="none" w:sz="0" w:space="0" w:color="auto"/>
          </w:divBdr>
        </w:div>
        <w:div w:id="356273846">
          <w:marLeft w:val="0"/>
          <w:marRight w:val="0"/>
          <w:marTop w:val="0"/>
          <w:marBottom w:val="0"/>
          <w:divBdr>
            <w:top w:val="none" w:sz="0" w:space="0" w:color="auto"/>
            <w:left w:val="none" w:sz="0" w:space="0" w:color="auto"/>
            <w:bottom w:val="none" w:sz="0" w:space="0" w:color="auto"/>
            <w:right w:val="none" w:sz="0" w:space="0" w:color="auto"/>
          </w:divBdr>
        </w:div>
        <w:div w:id="1270579156">
          <w:marLeft w:val="0"/>
          <w:marRight w:val="0"/>
          <w:marTop w:val="0"/>
          <w:marBottom w:val="0"/>
          <w:divBdr>
            <w:top w:val="none" w:sz="0" w:space="0" w:color="auto"/>
            <w:left w:val="none" w:sz="0" w:space="0" w:color="auto"/>
            <w:bottom w:val="none" w:sz="0" w:space="0" w:color="auto"/>
            <w:right w:val="none" w:sz="0" w:space="0" w:color="auto"/>
          </w:divBdr>
        </w:div>
      </w:divsChild>
    </w:div>
    <w:div w:id="532496348">
      <w:marLeft w:val="0"/>
      <w:marRight w:val="0"/>
      <w:marTop w:val="0"/>
      <w:marBottom w:val="0"/>
      <w:divBdr>
        <w:top w:val="none" w:sz="0" w:space="0" w:color="auto"/>
        <w:left w:val="none" w:sz="0" w:space="0" w:color="auto"/>
        <w:bottom w:val="none" w:sz="0" w:space="0" w:color="auto"/>
        <w:right w:val="none" w:sz="0" w:space="0" w:color="auto"/>
      </w:divBdr>
    </w:div>
    <w:div w:id="539971703">
      <w:bodyDiv w:val="1"/>
      <w:marLeft w:val="0"/>
      <w:marRight w:val="0"/>
      <w:marTop w:val="0"/>
      <w:marBottom w:val="0"/>
      <w:divBdr>
        <w:top w:val="none" w:sz="0" w:space="0" w:color="auto"/>
        <w:left w:val="none" w:sz="0" w:space="0" w:color="auto"/>
        <w:bottom w:val="none" w:sz="0" w:space="0" w:color="auto"/>
        <w:right w:val="none" w:sz="0" w:space="0" w:color="auto"/>
      </w:divBdr>
    </w:div>
    <w:div w:id="547760660">
      <w:bodyDiv w:val="1"/>
      <w:marLeft w:val="0"/>
      <w:marRight w:val="0"/>
      <w:marTop w:val="0"/>
      <w:marBottom w:val="0"/>
      <w:divBdr>
        <w:top w:val="none" w:sz="0" w:space="0" w:color="auto"/>
        <w:left w:val="none" w:sz="0" w:space="0" w:color="auto"/>
        <w:bottom w:val="none" w:sz="0" w:space="0" w:color="auto"/>
        <w:right w:val="none" w:sz="0" w:space="0" w:color="auto"/>
      </w:divBdr>
      <w:divsChild>
        <w:div w:id="1850825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472797">
              <w:marLeft w:val="0"/>
              <w:marRight w:val="0"/>
              <w:marTop w:val="0"/>
              <w:marBottom w:val="0"/>
              <w:divBdr>
                <w:top w:val="none" w:sz="0" w:space="0" w:color="auto"/>
                <w:left w:val="none" w:sz="0" w:space="0" w:color="auto"/>
                <w:bottom w:val="none" w:sz="0" w:space="0" w:color="auto"/>
                <w:right w:val="none" w:sz="0" w:space="0" w:color="auto"/>
              </w:divBdr>
              <w:divsChild>
                <w:div w:id="1065881911">
                  <w:marLeft w:val="0"/>
                  <w:marRight w:val="0"/>
                  <w:marTop w:val="0"/>
                  <w:marBottom w:val="0"/>
                  <w:divBdr>
                    <w:top w:val="none" w:sz="0" w:space="0" w:color="auto"/>
                    <w:left w:val="none" w:sz="0" w:space="0" w:color="auto"/>
                    <w:bottom w:val="none" w:sz="0" w:space="0" w:color="auto"/>
                    <w:right w:val="none" w:sz="0" w:space="0" w:color="auto"/>
                  </w:divBdr>
                  <w:divsChild>
                    <w:div w:id="2067489207">
                      <w:marLeft w:val="0"/>
                      <w:marRight w:val="0"/>
                      <w:marTop w:val="0"/>
                      <w:marBottom w:val="0"/>
                      <w:divBdr>
                        <w:top w:val="none" w:sz="0" w:space="0" w:color="auto"/>
                        <w:left w:val="none" w:sz="0" w:space="0" w:color="auto"/>
                        <w:bottom w:val="none" w:sz="0" w:space="0" w:color="auto"/>
                        <w:right w:val="none" w:sz="0" w:space="0" w:color="auto"/>
                      </w:divBdr>
                      <w:divsChild>
                        <w:div w:id="1564872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074211">
      <w:marLeft w:val="0"/>
      <w:marRight w:val="0"/>
      <w:marTop w:val="0"/>
      <w:marBottom w:val="0"/>
      <w:divBdr>
        <w:top w:val="none" w:sz="0" w:space="0" w:color="auto"/>
        <w:left w:val="none" w:sz="0" w:space="0" w:color="auto"/>
        <w:bottom w:val="none" w:sz="0" w:space="0" w:color="auto"/>
        <w:right w:val="none" w:sz="0" w:space="0" w:color="auto"/>
      </w:divBdr>
    </w:div>
    <w:div w:id="550385275">
      <w:bodyDiv w:val="1"/>
      <w:marLeft w:val="0"/>
      <w:marRight w:val="0"/>
      <w:marTop w:val="0"/>
      <w:marBottom w:val="0"/>
      <w:divBdr>
        <w:top w:val="none" w:sz="0" w:space="0" w:color="auto"/>
        <w:left w:val="none" w:sz="0" w:space="0" w:color="auto"/>
        <w:bottom w:val="none" w:sz="0" w:space="0" w:color="auto"/>
        <w:right w:val="none" w:sz="0" w:space="0" w:color="auto"/>
      </w:divBdr>
    </w:div>
    <w:div w:id="556279726">
      <w:marLeft w:val="0"/>
      <w:marRight w:val="0"/>
      <w:marTop w:val="0"/>
      <w:marBottom w:val="0"/>
      <w:divBdr>
        <w:top w:val="none" w:sz="0" w:space="0" w:color="auto"/>
        <w:left w:val="none" w:sz="0" w:space="0" w:color="auto"/>
        <w:bottom w:val="none" w:sz="0" w:space="0" w:color="auto"/>
        <w:right w:val="none" w:sz="0" w:space="0" w:color="auto"/>
      </w:divBdr>
    </w:div>
    <w:div w:id="576789964">
      <w:bodyDiv w:val="1"/>
      <w:marLeft w:val="0"/>
      <w:marRight w:val="0"/>
      <w:marTop w:val="0"/>
      <w:marBottom w:val="0"/>
      <w:divBdr>
        <w:top w:val="none" w:sz="0" w:space="0" w:color="auto"/>
        <w:left w:val="none" w:sz="0" w:space="0" w:color="auto"/>
        <w:bottom w:val="none" w:sz="0" w:space="0" w:color="auto"/>
        <w:right w:val="none" w:sz="0" w:space="0" w:color="auto"/>
      </w:divBdr>
    </w:div>
    <w:div w:id="581254412">
      <w:marLeft w:val="0"/>
      <w:marRight w:val="0"/>
      <w:marTop w:val="0"/>
      <w:marBottom w:val="0"/>
      <w:divBdr>
        <w:top w:val="none" w:sz="0" w:space="0" w:color="auto"/>
        <w:left w:val="none" w:sz="0" w:space="0" w:color="auto"/>
        <w:bottom w:val="none" w:sz="0" w:space="0" w:color="auto"/>
        <w:right w:val="none" w:sz="0" w:space="0" w:color="auto"/>
      </w:divBdr>
    </w:div>
    <w:div w:id="584456440">
      <w:marLeft w:val="0"/>
      <w:marRight w:val="0"/>
      <w:marTop w:val="0"/>
      <w:marBottom w:val="0"/>
      <w:divBdr>
        <w:top w:val="none" w:sz="0" w:space="0" w:color="auto"/>
        <w:left w:val="none" w:sz="0" w:space="0" w:color="auto"/>
        <w:bottom w:val="none" w:sz="0" w:space="0" w:color="auto"/>
        <w:right w:val="none" w:sz="0" w:space="0" w:color="auto"/>
      </w:divBdr>
    </w:div>
    <w:div w:id="585383133">
      <w:marLeft w:val="0"/>
      <w:marRight w:val="0"/>
      <w:marTop w:val="0"/>
      <w:marBottom w:val="0"/>
      <w:divBdr>
        <w:top w:val="none" w:sz="0" w:space="0" w:color="auto"/>
        <w:left w:val="none" w:sz="0" w:space="0" w:color="auto"/>
        <w:bottom w:val="none" w:sz="0" w:space="0" w:color="auto"/>
        <w:right w:val="none" w:sz="0" w:space="0" w:color="auto"/>
      </w:divBdr>
    </w:div>
    <w:div w:id="602612257">
      <w:bodyDiv w:val="1"/>
      <w:marLeft w:val="0"/>
      <w:marRight w:val="0"/>
      <w:marTop w:val="0"/>
      <w:marBottom w:val="0"/>
      <w:divBdr>
        <w:top w:val="none" w:sz="0" w:space="0" w:color="auto"/>
        <w:left w:val="none" w:sz="0" w:space="0" w:color="auto"/>
        <w:bottom w:val="none" w:sz="0" w:space="0" w:color="auto"/>
        <w:right w:val="none" w:sz="0" w:space="0" w:color="auto"/>
      </w:divBdr>
    </w:div>
    <w:div w:id="617300455">
      <w:marLeft w:val="0"/>
      <w:marRight w:val="0"/>
      <w:marTop w:val="0"/>
      <w:marBottom w:val="0"/>
      <w:divBdr>
        <w:top w:val="none" w:sz="0" w:space="0" w:color="auto"/>
        <w:left w:val="none" w:sz="0" w:space="0" w:color="auto"/>
        <w:bottom w:val="none" w:sz="0" w:space="0" w:color="auto"/>
        <w:right w:val="none" w:sz="0" w:space="0" w:color="auto"/>
      </w:divBdr>
    </w:div>
    <w:div w:id="618879407">
      <w:marLeft w:val="0"/>
      <w:marRight w:val="0"/>
      <w:marTop w:val="0"/>
      <w:marBottom w:val="0"/>
      <w:divBdr>
        <w:top w:val="none" w:sz="0" w:space="0" w:color="auto"/>
        <w:left w:val="none" w:sz="0" w:space="0" w:color="auto"/>
        <w:bottom w:val="none" w:sz="0" w:space="0" w:color="auto"/>
        <w:right w:val="none" w:sz="0" w:space="0" w:color="auto"/>
      </w:divBdr>
    </w:div>
    <w:div w:id="619847563">
      <w:marLeft w:val="0"/>
      <w:marRight w:val="0"/>
      <w:marTop w:val="0"/>
      <w:marBottom w:val="0"/>
      <w:divBdr>
        <w:top w:val="none" w:sz="0" w:space="0" w:color="auto"/>
        <w:left w:val="none" w:sz="0" w:space="0" w:color="auto"/>
        <w:bottom w:val="none" w:sz="0" w:space="0" w:color="auto"/>
        <w:right w:val="none" w:sz="0" w:space="0" w:color="auto"/>
      </w:divBdr>
    </w:div>
    <w:div w:id="632911360">
      <w:marLeft w:val="0"/>
      <w:marRight w:val="0"/>
      <w:marTop w:val="0"/>
      <w:marBottom w:val="0"/>
      <w:divBdr>
        <w:top w:val="none" w:sz="0" w:space="0" w:color="auto"/>
        <w:left w:val="none" w:sz="0" w:space="0" w:color="auto"/>
        <w:bottom w:val="none" w:sz="0" w:space="0" w:color="auto"/>
        <w:right w:val="none" w:sz="0" w:space="0" w:color="auto"/>
      </w:divBdr>
    </w:div>
    <w:div w:id="643046143">
      <w:marLeft w:val="0"/>
      <w:marRight w:val="0"/>
      <w:marTop w:val="0"/>
      <w:marBottom w:val="0"/>
      <w:divBdr>
        <w:top w:val="none" w:sz="0" w:space="0" w:color="auto"/>
        <w:left w:val="none" w:sz="0" w:space="0" w:color="auto"/>
        <w:bottom w:val="none" w:sz="0" w:space="0" w:color="auto"/>
        <w:right w:val="none" w:sz="0" w:space="0" w:color="auto"/>
      </w:divBdr>
    </w:div>
    <w:div w:id="674695713">
      <w:marLeft w:val="0"/>
      <w:marRight w:val="0"/>
      <w:marTop w:val="0"/>
      <w:marBottom w:val="0"/>
      <w:divBdr>
        <w:top w:val="none" w:sz="0" w:space="0" w:color="auto"/>
        <w:left w:val="none" w:sz="0" w:space="0" w:color="auto"/>
        <w:bottom w:val="none" w:sz="0" w:space="0" w:color="auto"/>
        <w:right w:val="none" w:sz="0" w:space="0" w:color="auto"/>
      </w:divBdr>
    </w:div>
    <w:div w:id="680937536">
      <w:marLeft w:val="0"/>
      <w:marRight w:val="0"/>
      <w:marTop w:val="0"/>
      <w:marBottom w:val="0"/>
      <w:divBdr>
        <w:top w:val="none" w:sz="0" w:space="0" w:color="auto"/>
        <w:left w:val="none" w:sz="0" w:space="0" w:color="auto"/>
        <w:bottom w:val="none" w:sz="0" w:space="0" w:color="auto"/>
        <w:right w:val="none" w:sz="0" w:space="0" w:color="auto"/>
      </w:divBdr>
    </w:div>
    <w:div w:id="690960048">
      <w:marLeft w:val="0"/>
      <w:marRight w:val="0"/>
      <w:marTop w:val="0"/>
      <w:marBottom w:val="0"/>
      <w:divBdr>
        <w:top w:val="none" w:sz="0" w:space="0" w:color="auto"/>
        <w:left w:val="none" w:sz="0" w:space="0" w:color="auto"/>
        <w:bottom w:val="none" w:sz="0" w:space="0" w:color="auto"/>
        <w:right w:val="none" w:sz="0" w:space="0" w:color="auto"/>
      </w:divBdr>
    </w:div>
    <w:div w:id="692458575">
      <w:marLeft w:val="0"/>
      <w:marRight w:val="0"/>
      <w:marTop w:val="0"/>
      <w:marBottom w:val="0"/>
      <w:divBdr>
        <w:top w:val="none" w:sz="0" w:space="0" w:color="auto"/>
        <w:left w:val="none" w:sz="0" w:space="0" w:color="auto"/>
        <w:bottom w:val="none" w:sz="0" w:space="0" w:color="auto"/>
        <w:right w:val="none" w:sz="0" w:space="0" w:color="auto"/>
      </w:divBdr>
    </w:div>
    <w:div w:id="698507003">
      <w:bodyDiv w:val="1"/>
      <w:marLeft w:val="0"/>
      <w:marRight w:val="0"/>
      <w:marTop w:val="0"/>
      <w:marBottom w:val="0"/>
      <w:divBdr>
        <w:top w:val="none" w:sz="0" w:space="0" w:color="auto"/>
        <w:left w:val="none" w:sz="0" w:space="0" w:color="auto"/>
        <w:bottom w:val="none" w:sz="0" w:space="0" w:color="auto"/>
        <w:right w:val="none" w:sz="0" w:space="0" w:color="auto"/>
      </w:divBdr>
    </w:div>
    <w:div w:id="703024178">
      <w:marLeft w:val="0"/>
      <w:marRight w:val="0"/>
      <w:marTop w:val="0"/>
      <w:marBottom w:val="0"/>
      <w:divBdr>
        <w:top w:val="none" w:sz="0" w:space="0" w:color="auto"/>
        <w:left w:val="none" w:sz="0" w:space="0" w:color="auto"/>
        <w:bottom w:val="none" w:sz="0" w:space="0" w:color="auto"/>
        <w:right w:val="none" w:sz="0" w:space="0" w:color="auto"/>
      </w:divBdr>
    </w:div>
    <w:div w:id="736057158">
      <w:bodyDiv w:val="1"/>
      <w:marLeft w:val="0"/>
      <w:marRight w:val="0"/>
      <w:marTop w:val="0"/>
      <w:marBottom w:val="0"/>
      <w:divBdr>
        <w:top w:val="none" w:sz="0" w:space="0" w:color="auto"/>
        <w:left w:val="none" w:sz="0" w:space="0" w:color="auto"/>
        <w:bottom w:val="none" w:sz="0" w:space="0" w:color="auto"/>
        <w:right w:val="none" w:sz="0" w:space="0" w:color="auto"/>
      </w:divBdr>
    </w:div>
    <w:div w:id="756753038">
      <w:marLeft w:val="0"/>
      <w:marRight w:val="0"/>
      <w:marTop w:val="0"/>
      <w:marBottom w:val="0"/>
      <w:divBdr>
        <w:top w:val="none" w:sz="0" w:space="0" w:color="auto"/>
        <w:left w:val="none" w:sz="0" w:space="0" w:color="auto"/>
        <w:bottom w:val="none" w:sz="0" w:space="0" w:color="auto"/>
        <w:right w:val="none" w:sz="0" w:space="0" w:color="auto"/>
      </w:divBdr>
    </w:div>
    <w:div w:id="761296716">
      <w:marLeft w:val="0"/>
      <w:marRight w:val="0"/>
      <w:marTop w:val="0"/>
      <w:marBottom w:val="0"/>
      <w:divBdr>
        <w:top w:val="none" w:sz="0" w:space="0" w:color="auto"/>
        <w:left w:val="none" w:sz="0" w:space="0" w:color="auto"/>
        <w:bottom w:val="none" w:sz="0" w:space="0" w:color="auto"/>
        <w:right w:val="none" w:sz="0" w:space="0" w:color="auto"/>
      </w:divBdr>
    </w:div>
    <w:div w:id="769161459">
      <w:marLeft w:val="0"/>
      <w:marRight w:val="0"/>
      <w:marTop w:val="0"/>
      <w:marBottom w:val="0"/>
      <w:divBdr>
        <w:top w:val="none" w:sz="0" w:space="0" w:color="auto"/>
        <w:left w:val="none" w:sz="0" w:space="0" w:color="auto"/>
        <w:bottom w:val="none" w:sz="0" w:space="0" w:color="auto"/>
        <w:right w:val="none" w:sz="0" w:space="0" w:color="auto"/>
      </w:divBdr>
    </w:div>
    <w:div w:id="773936703">
      <w:marLeft w:val="0"/>
      <w:marRight w:val="0"/>
      <w:marTop w:val="0"/>
      <w:marBottom w:val="0"/>
      <w:divBdr>
        <w:top w:val="none" w:sz="0" w:space="0" w:color="auto"/>
        <w:left w:val="none" w:sz="0" w:space="0" w:color="auto"/>
        <w:bottom w:val="none" w:sz="0" w:space="0" w:color="auto"/>
        <w:right w:val="none" w:sz="0" w:space="0" w:color="auto"/>
      </w:divBdr>
    </w:div>
    <w:div w:id="780076980">
      <w:marLeft w:val="0"/>
      <w:marRight w:val="0"/>
      <w:marTop w:val="0"/>
      <w:marBottom w:val="0"/>
      <w:divBdr>
        <w:top w:val="none" w:sz="0" w:space="0" w:color="auto"/>
        <w:left w:val="none" w:sz="0" w:space="0" w:color="auto"/>
        <w:bottom w:val="none" w:sz="0" w:space="0" w:color="auto"/>
        <w:right w:val="none" w:sz="0" w:space="0" w:color="auto"/>
      </w:divBdr>
    </w:div>
    <w:div w:id="781338870">
      <w:marLeft w:val="0"/>
      <w:marRight w:val="0"/>
      <w:marTop w:val="0"/>
      <w:marBottom w:val="0"/>
      <w:divBdr>
        <w:top w:val="none" w:sz="0" w:space="0" w:color="auto"/>
        <w:left w:val="none" w:sz="0" w:space="0" w:color="auto"/>
        <w:bottom w:val="none" w:sz="0" w:space="0" w:color="auto"/>
        <w:right w:val="none" w:sz="0" w:space="0" w:color="auto"/>
      </w:divBdr>
    </w:div>
    <w:div w:id="786314077">
      <w:bodyDiv w:val="1"/>
      <w:marLeft w:val="0"/>
      <w:marRight w:val="0"/>
      <w:marTop w:val="0"/>
      <w:marBottom w:val="0"/>
      <w:divBdr>
        <w:top w:val="none" w:sz="0" w:space="0" w:color="auto"/>
        <w:left w:val="none" w:sz="0" w:space="0" w:color="auto"/>
        <w:bottom w:val="none" w:sz="0" w:space="0" w:color="auto"/>
        <w:right w:val="none" w:sz="0" w:space="0" w:color="auto"/>
      </w:divBdr>
    </w:div>
    <w:div w:id="786434382">
      <w:bodyDiv w:val="1"/>
      <w:marLeft w:val="0"/>
      <w:marRight w:val="0"/>
      <w:marTop w:val="0"/>
      <w:marBottom w:val="0"/>
      <w:divBdr>
        <w:top w:val="none" w:sz="0" w:space="0" w:color="auto"/>
        <w:left w:val="none" w:sz="0" w:space="0" w:color="auto"/>
        <w:bottom w:val="none" w:sz="0" w:space="0" w:color="auto"/>
        <w:right w:val="none" w:sz="0" w:space="0" w:color="auto"/>
      </w:divBdr>
    </w:div>
    <w:div w:id="787705399">
      <w:bodyDiv w:val="1"/>
      <w:marLeft w:val="0"/>
      <w:marRight w:val="0"/>
      <w:marTop w:val="0"/>
      <w:marBottom w:val="0"/>
      <w:divBdr>
        <w:top w:val="none" w:sz="0" w:space="0" w:color="auto"/>
        <w:left w:val="none" w:sz="0" w:space="0" w:color="auto"/>
        <w:bottom w:val="none" w:sz="0" w:space="0" w:color="auto"/>
        <w:right w:val="none" w:sz="0" w:space="0" w:color="auto"/>
      </w:divBdr>
    </w:div>
    <w:div w:id="792476192">
      <w:marLeft w:val="0"/>
      <w:marRight w:val="0"/>
      <w:marTop w:val="0"/>
      <w:marBottom w:val="0"/>
      <w:divBdr>
        <w:top w:val="none" w:sz="0" w:space="0" w:color="auto"/>
        <w:left w:val="none" w:sz="0" w:space="0" w:color="auto"/>
        <w:bottom w:val="none" w:sz="0" w:space="0" w:color="auto"/>
        <w:right w:val="none" w:sz="0" w:space="0" w:color="auto"/>
      </w:divBdr>
    </w:div>
    <w:div w:id="804547765">
      <w:marLeft w:val="0"/>
      <w:marRight w:val="0"/>
      <w:marTop w:val="0"/>
      <w:marBottom w:val="0"/>
      <w:divBdr>
        <w:top w:val="none" w:sz="0" w:space="0" w:color="auto"/>
        <w:left w:val="none" w:sz="0" w:space="0" w:color="auto"/>
        <w:bottom w:val="none" w:sz="0" w:space="0" w:color="auto"/>
        <w:right w:val="none" w:sz="0" w:space="0" w:color="auto"/>
      </w:divBdr>
    </w:div>
    <w:div w:id="819535874">
      <w:marLeft w:val="0"/>
      <w:marRight w:val="0"/>
      <w:marTop w:val="0"/>
      <w:marBottom w:val="0"/>
      <w:divBdr>
        <w:top w:val="none" w:sz="0" w:space="0" w:color="auto"/>
        <w:left w:val="none" w:sz="0" w:space="0" w:color="auto"/>
        <w:bottom w:val="none" w:sz="0" w:space="0" w:color="auto"/>
        <w:right w:val="none" w:sz="0" w:space="0" w:color="auto"/>
      </w:divBdr>
    </w:div>
    <w:div w:id="827014483">
      <w:marLeft w:val="0"/>
      <w:marRight w:val="0"/>
      <w:marTop w:val="0"/>
      <w:marBottom w:val="0"/>
      <w:divBdr>
        <w:top w:val="none" w:sz="0" w:space="0" w:color="auto"/>
        <w:left w:val="none" w:sz="0" w:space="0" w:color="auto"/>
        <w:bottom w:val="none" w:sz="0" w:space="0" w:color="auto"/>
        <w:right w:val="none" w:sz="0" w:space="0" w:color="auto"/>
      </w:divBdr>
    </w:div>
    <w:div w:id="827750377">
      <w:marLeft w:val="0"/>
      <w:marRight w:val="0"/>
      <w:marTop w:val="0"/>
      <w:marBottom w:val="0"/>
      <w:divBdr>
        <w:top w:val="none" w:sz="0" w:space="0" w:color="auto"/>
        <w:left w:val="none" w:sz="0" w:space="0" w:color="auto"/>
        <w:bottom w:val="none" w:sz="0" w:space="0" w:color="auto"/>
        <w:right w:val="none" w:sz="0" w:space="0" w:color="auto"/>
      </w:divBdr>
    </w:div>
    <w:div w:id="834568148">
      <w:bodyDiv w:val="1"/>
      <w:marLeft w:val="0"/>
      <w:marRight w:val="0"/>
      <w:marTop w:val="0"/>
      <w:marBottom w:val="0"/>
      <w:divBdr>
        <w:top w:val="none" w:sz="0" w:space="0" w:color="auto"/>
        <w:left w:val="none" w:sz="0" w:space="0" w:color="auto"/>
        <w:bottom w:val="none" w:sz="0" w:space="0" w:color="auto"/>
        <w:right w:val="none" w:sz="0" w:space="0" w:color="auto"/>
      </w:divBdr>
    </w:div>
    <w:div w:id="840852362">
      <w:bodyDiv w:val="1"/>
      <w:marLeft w:val="0"/>
      <w:marRight w:val="0"/>
      <w:marTop w:val="0"/>
      <w:marBottom w:val="0"/>
      <w:divBdr>
        <w:top w:val="none" w:sz="0" w:space="0" w:color="auto"/>
        <w:left w:val="none" w:sz="0" w:space="0" w:color="auto"/>
        <w:bottom w:val="none" w:sz="0" w:space="0" w:color="auto"/>
        <w:right w:val="none" w:sz="0" w:space="0" w:color="auto"/>
      </w:divBdr>
    </w:div>
    <w:div w:id="849294342">
      <w:marLeft w:val="0"/>
      <w:marRight w:val="0"/>
      <w:marTop w:val="0"/>
      <w:marBottom w:val="0"/>
      <w:divBdr>
        <w:top w:val="none" w:sz="0" w:space="0" w:color="auto"/>
        <w:left w:val="none" w:sz="0" w:space="0" w:color="auto"/>
        <w:bottom w:val="none" w:sz="0" w:space="0" w:color="auto"/>
        <w:right w:val="none" w:sz="0" w:space="0" w:color="auto"/>
      </w:divBdr>
    </w:div>
    <w:div w:id="849562883">
      <w:bodyDiv w:val="1"/>
      <w:marLeft w:val="0"/>
      <w:marRight w:val="0"/>
      <w:marTop w:val="0"/>
      <w:marBottom w:val="0"/>
      <w:divBdr>
        <w:top w:val="none" w:sz="0" w:space="0" w:color="auto"/>
        <w:left w:val="none" w:sz="0" w:space="0" w:color="auto"/>
        <w:bottom w:val="none" w:sz="0" w:space="0" w:color="auto"/>
        <w:right w:val="none" w:sz="0" w:space="0" w:color="auto"/>
      </w:divBdr>
    </w:div>
    <w:div w:id="854659391">
      <w:marLeft w:val="0"/>
      <w:marRight w:val="0"/>
      <w:marTop w:val="0"/>
      <w:marBottom w:val="0"/>
      <w:divBdr>
        <w:top w:val="none" w:sz="0" w:space="0" w:color="auto"/>
        <w:left w:val="none" w:sz="0" w:space="0" w:color="auto"/>
        <w:bottom w:val="none" w:sz="0" w:space="0" w:color="auto"/>
        <w:right w:val="none" w:sz="0" w:space="0" w:color="auto"/>
      </w:divBdr>
    </w:div>
    <w:div w:id="867110058">
      <w:marLeft w:val="0"/>
      <w:marRight w:val="0"/>
      <w:marTop w:val="0"/>
      <w:marBottom w:val="0"/>
      <w:divBdr>
        <w:top w:val="none" w:sz="0" w:space="0" w:color="auto"/>
        <w:left w:val="none" w:sz="0" w:space="0" w:color="auto"/>
        <w:bottom w:val="none" w:sz="0" w:space="0" w:color="auto"/>
        <w:right w:val="none" w:sz="0" w:space="0" w:color="auto"/>
      </w:divBdr>
    </w:div>
    <w:div w:id="875506815">
      <w:marLeft w:val="0"/>
      <w:marRight w:val="0"/>
      <w:marTop w:val="0"/>
      <w:marBottom w:val="0"/>
      <w:divBdr>
        <w:top w:val="none" w:sz="0" w:space="0" w:color="auto"/>
        <w:left w:val="none" w:sz="0" w:space="0" w:color="auto"/>
        <w:bottom w:val="none" w:sz="0" w:space="0" w:color="auto"/>
        <w:right w:val="none" w:sz="0" w:space="0" w:color="auto"/>
      </w:divBdr>
    </w:div>
    <w:div w:id="877820295">
      <w:marLeft w:val="0"/>
      <w:marRight w:val="0"/>
      <w:marTop w:val="0"/>
      <w:marBottom w:val="0"/>
      <w:divBdr>
        <w:top w:val="none" w:sz="0" w:space="0" w:color="auto"/>
        <w:left w:val="none" w:sz="0" w:space="0" w:color="auto"/>
        <w:bottom w:val="none" w:sz="0" w:space="0" w:color="auto"/>
        <w:right w:val="none" w:sz="0" w:space="0" w:color="auto"/>
      </w:divBdr>
    </w:div>
    <w:div w:id="882401738">
      <w:marLeft w:val="0"/>
      <w:marRight w:val="0"/>
      <w:marTop w:val="0"/>
      <w:marBottom w:val="0"/>
      <w:divBdr>
        <w:top w:val="none" w:sz="0" w:space="0" w:color="auto"/>
        <w:left w:val="none" w:sz="0" w:space="0" w:color="auto"/>
        <w:bottom w:val="none" w:sz="0" w:space="0" w:color="auto"/>
        <w:right w:val="none" w:sz="0" w:space="0" w:color="auto"/>
      </w:divBdr>
    </w:div>
    <w:div w:id="898057163">
      <w:bodyDiv w:val="1"/>
      <w:marLeft w:val="0"/>
      <w:marRight w:val="0"/>
      <w:marTop w:val="0"/>
      <w:marBottom w:val="0"/>
      <w:divBdr>
        <w:top w:val="none" w:sz="0" w:space="0" w:color="auto"/>
        <w:left w:val="none" w:sz="0" w:space="0" w:color="auto"/>
        <w:bottom w:val="none" w:sz="0" w:space="0" w:color="auto"/>
        <w:right w:val="none" w:sz="0" w:space="0" w:color="auto"/>
      </w:divBdr>
    </w:div>
    <w:div w:id="910625651">
      <w:marLeft w:val="0"/>
      <w:marRight w:val="0"/>
      <w:marTop w:val="0"/>
      <w:marBottom w:val="0"/>
      <w:divBdr>
        <w:top w:val="none" w:sz="0" w:space="0" w:color="auto"/>
        <w:left w:val="none" w:sz="0" w:space="0" w:color="auto"/>
        <w:bottom w:val="none" w:sz="0" w:space="0" w:color="auto"/>
        <w:right w:val="none" w:sz="0" w:space="0" w:color="auto"/>
      </w:divBdr>
    </w:div>
    <w:div w:id="920917639">
      <w:bodyDiv w:val="1"/>
      <w:marLeft w:val="0"/>
      <w:marRight w:val="0"/>
      <w:marTop w:val="0"/>
      <w:marBottom w:val="0"/>
      <w:divBdr>
        <w:top w:val="none" w:sz="0" w:space="0" w:color="auto"/>
        <w:left w:val="none" w:sz="0" w:space="0" w:color="auto"/>
        <w:bottom w:val="none" w:sz="0" w:space="0" w:color="auto"/>
        <w:right w:val="none" w:sz="0" w:space="0" w:color="auto"/>
      </w:divBdr>
    </w:div>
    <w:div w:id="925379569">
      <w:marLeft w:val="0"/>
      <w:marRight w:val="0"/>
      <w:marTop w:val="0"/>
      <w:marBottom w:val="0"/>
      <w:divBdr>
        <w:top w:val="none" w:sz="0" w:space="0" w:color="auto"/>
        <w:left w:val="none" w:sz="0" w:space="0" w:color="auto"/>
        <w:bottom w:val="none" w:sz="0" w:space="0" w:color="auto"/>
        <w:right w:val="none" w:sz="0" w:space="0" w:color="auto"/>
      </w:divBdr>
    </w:div>
    <w:div w:id="929047888">
      <w:bodyDiv w:val="1"/>
      <w:marLeft w:val="0"/>
      <w:marRight w:val="0"/>
      <w:marTop w:val="0"/>
      <w:marBottom w:val="0"/>
      <w:divBdr>
        <w:top w:val="none" w:sz="0" w:space="0" w:color="auto"/>
        <w:left w:val="none" w:sz="0" w:space="0" w:color="auto"/>
        <w:bottom w:val="none" w:sz="0" w:space="0" w:color="auto"/>
        <w:right w:val="none" w:sz="0" w:space="0" w:color="auto"/>
      </w:divBdr>
    </w:div>
    <w:div w:id="929699132">
      <w:marLeft w:val="0"/>
      <w:marRight w:val="0"/>
      <w:marTop w:val="0"/>
      <w:marBottom w:val="0"/>
      <w:divBdr>
        <w:top w:val="none" w:sz="0" w:space="0" w:color="auto"/>
        <w:left w:val="none" w:sz="0" w:space="0" w:color="auto"/>
        <w:bottom w:val="none" w:sz="0" w:space="0" w:color="auto"/>
        <w:right w:val="none" w:sz="0" w:space="0" w:color="auto"/>
      </w:divBdr>
    </w:div>
    <w:div w:id="931939303">
      <w:marLeft w:val="0"/>
      <w:marRight w:val="0"/>
      <w:marTop w:val="0"/>
      <w:marBottom w:val="0"/>
      <w:divBdr>
        <w:top w:val="none" w:sz="0" w:space="0" w:color="auto"/>
        <w:left w:val="none" w:sz="0" w:space="0" w:color="auto"/>
        <w:bottom w:val="none" w:sz="0" w:space="0" w:color="auto"/>
        <w:right w:val="none" w:sz="0" w:space="0" w:color="auto"/>
      </w:divBdr>
    </w:div>
    <w:div w:id="965502211">
      <w:marLeft w:val="0"/>
      <w:marRight w:val="0"/>
      <w:marTop w:val="0"/>
      <w:marBottom w:val="0"/>
      <w:divBdr>
        <w:top w:val="none" w:sz="0" w:space="0" w:color="auto"/>
        <w:left w:val="none" w:sz="0" w:space="0" w:color="auto"/>
        <w:bottom w:val="none" w:sz="0" w:space="0" w:color="auto"/>
        <w:right w:val="none" w:sz="0" w:space="0" w:color="auto"/>
      </w:divBdr>
    </w:div>
    <w:div w:id="973560801">
      <w:marLeft w:val="0"/>
      <w:marRight w:val="0"/>
      <w:marTop w:val="0"/>
      <w:marBottom w:val="0"/>
      <w:divBdr>
        <w:top w:val="none" w:sz="0" w:space="0" w:color="auto"/>
        <w:left w:val="none" w:sz="0" w:space="0" w:color="auto"/>
        <w:bottom w:val="none" w:sz="0" w:space="0" w:color="auto"/>
        <w:right w:val="none" w:sz="0" w:space="0" w:color="auto"/>
      </w:divBdr>
      <w:divsChild>
        <w:div w:id="225452433">
          <w:marLeft w:val="0"/>
          <w:marRight w:val="0"/>
          <w:marTop w:val="0"/>
          <w:marBottom w:val="0"/>
          <w:divBdr>
            <w:top w:val="none" w:sz="0" w:space="0" w:color="auto"/>
            <w:left w:val="none" w:sz="0" w:space="0" w:color="auto"/>
            <w:bottom w:val="none" w:sz="0" w:space="0" w:color="auto"/>
            <w:right w:val="none" w:sz="0" w:space="0" w:color="auto"/>
          </w:divBdr>
        </w:div>
      </w:divsChild>
    </w:div>
    <w:div w:id="978074337">
      <w:bodyDiv w:val="1"/>
      <w:marLeft w:val="0"/>
      <w:marRight w:val="0"/>
      <w:marTop w:val="0"/>
      <w:marBottom w:val="0"/>
      <w:divBdr>
        <w:top w:val="none" w:sz="0" w:space="0" w:color="auto"/>
        <w:left w:val="none" w:sz="0" w:space="0" w:color="auto"/>
        <w:bottom w:val="none" w:sz="0" w:space="0" w:color="auto"/>
        <w:right w:val="none" w:sz="0" w:space="0" w:color="auto"/>
      </w:divBdr>
    </w:div>
    <w:div w:id="978877867">
      <w:marLeft w:val="0"/>
      <w:marRight w:val="0"/>
      <w:marTop w:val="0"/>
      <w:marBottom w:val="0"/>
      <w:divBdr>
        <w:top w:val="none" w:sz="0" w:space="0" w:color="auto"/>
        <w:left w:val="none" w:sz="0" w:space="0" w:color="auto"/>
        <w:bottom w:val="none" w:sz="0" w:space="0" w:color="auto"/>
        <w:right w:val="none" w:sz="0" w:space="0" w:color="auto"/>
      </w:divBdr>
    </w:div>
    <w:div w:id="986082778">
      <w:marLeft w:val="0"/>
      <w:marRight w:val="0"/>
      <w:marTop w:val="0"/>
      <w:marBottom w:val="0"/>
      <w:divBdr>
        <w:top w:val="none" w:sz="0" w:space="0" w:color="auto"/>
        <w:left w:val="none" w:sz="0" w:space="0" w:color="auto"/>
        <w:bottom w:val="none" w:sz="0" w:space="0" w:color="auto"/>
        <w:right w:val="none" w:sz="0" w:space="0" w:color="auto"/>
      </w:divBdr>
    </w:div>
    <w:div w:id="992758266">
      <w:marLeft w:val="0"/>
      <w:marRight w:val="0"/>
      <w:marTop w:val="0"/>
      <w:marBottom w:val="0"/>
      <w:divBdr>
        <w:top w:val="none" w:sz="0" w:space="0" w:color="auto"/>
        <w:left w:val="none" w:sz="0" w:space="0" w:color="auto"/>
        <w:bottom w:val="none" w:sz="0" w:space="0" w:color="auto"/>
        <w:right w:val="none" w:sz="0" w:space="0" w:color="auto"/>
      </w:divBdr>
    </w:div>
    <w:div w:id="995645881">
      <w:marLeft w:val="0"/>
      <w:marRight w:val="0"/>
      <w:marTop w:val="0"/>
      <w:marBottom w:val="0"/>
      <w:divBdr>
        <w:top w:val="none" w:sz="0" w:space="0" w:color="auto"/>
        <w:left w:val="none" w:sz="0" w:space="0" w:color="auto"/>
        <w:bottom w:val="none" w:sz="0" w:space="0" w:color="auto"/>
        <w:right w:val="none" w:sz="0" w:space="0" w:color="auto"/>
      </w:divBdr>
    </w:div>
    <w:div w:id="1005287833">
      <w:marLeft w:val="0"/>
      <w:marRight w:val="0"/>
      <w:marTop w:val="0"/>
      <w:marBottom w:val="0"/>
      <w:divBdr>
        <w:top w:val="none" w:sz="0" w:space="0" w:color="auto"/>
        <w:left w:val="none" w:sz="0" w:space="0" w:color="auto"/>
        <w:bottom w:val="none" w:sz="0" w:space="0" w:color="auto"/>
        <w:right w:val="none" w:sz="0" w:space="0" w:color="auto"/>
      </w:divBdr>
    </w:div>
    <w:div w:id="1007244701">
      <w:bodyDiv w:val="1"/>
      <w:marLeft w:val="0"/>
      <w:marRight w:val="0"/>
      <w:marTop w:val="0"/>
      <w:marBottom w:val="0"/>
      <w:divBdr>
        <w:top w:val="none" w:sz="0" w:space="0" w:color="auto"/>
        <w:left w:val="none" w:sz="0" w:space="0" w:color="auto"/>
        <w:bottom w:val="none" w:sz="0" w:space="0" w:color="auto"/>
        <w:right w:val="none" w:sz="0" w:space="0" w:color="auto"/>
      </w:divBdr>
    </w:div>
    <w:div w:id="1011495920">
      <w:bodyDiv w:val="1"/>
      <w:marLeft w:val="0"/>
      <w:marRight w:val="0"/>
      <w:marTop w:val="0"/>
      <w:marBottom w:val="0"/>
      <w:divBdr>
        <w:top w:val="none" w:sz="0" w:space="0" w:color="auto"/>
        <w:left w:val="none" w:sz="0" w:space="0" w:color="auto"/>
        <w:bottom w:val="none" w:sz="0" w:space="0" w:color="auto"/>
        <w:right w:val="none" w:sz="0" w:space="0" w:color="auto"/>
      </w:divBdr>
    </w:div>
    <w:div w:id="1040931587">
      <w:marLeft w:val="0"/>
      <w:marRight w:val="0"/>
      <w:marTop w:val="0"/>
      <w:marBottom w:val="0"/>
      <w:divBdr>
        <w:top w:val="none" w:sz="0" w:space="0" w:color="auto"/>
        <w:left w:val="none" w:sz="0" w:space="0" w:color="auto"/>
        <w:bottom w:val="none" w:sz="0" w:space="0" w:color="auto"/>
        <w:right w:val="none" w:sz="0" w:space="0" w:color="auto"/>
      </w:divBdr>
    </w:div>
    <w:div w:id="1046367204">
      <w:marLeft w:val="0"/>
      <w:marRight w:val="0"/>
      <w:marTop w:val="0"/>
      <w:marBottom w:val="0"/>
      <w:divBdr>
        <w:top w:val="none" w:sz="0" w:space="0" w:color="auto"/>
        <w:left w:val="none" w:sz="0" w:space="0" w:color="auto"/>
        <w:bottom w:val="none" w:sz="0" w:space="0" w:color="auto"/>
        <w:right w:val="none" w:sz="0" w:space="0" w:color="auto"/>
      </w:divBdr>
    </w:div>
    <w:div w:id="1047337847">
      <w:marLeft w:val="0"/>
      <w:marRight w:val="0"/>
      <w:marTop w:val="0"/>
      <w:marBottom w:val="0"/>
      <w:divBdr>
        <w:top w:val="none" w:sz="0" w:space="0" w:color="auto"/>
        <w:left w:val="none" w:sz="0" w:space="0" w:color="auto"/>
        <w:bottom w:val="none" w:sz="0" w:space="0" w:color="auto"/>
        <w:right w:val="none" w:sz="0" w:space="0" w:color="auto"/>
      </w:divBdr>
    </w:div>
    <w:div w:id="1052534478">
      <w:bodyDiv w:val="1"/>
      <w:marLeft w:val="0"/>
      <w:marRight w:val="0"/>
      <w:marTop w:val="0"/>
      <w:marBottom w:val="0"/>
      <w:divBdr>
        <w:top w:val="none" w:sz="0" w:space="0" w:color="auto"/>
        <w:left w:val="none" w:sz="0" w:space="0" w:color="auto"/>
        <w:bottom w:val="none" w:sz="0" w:space="0" w:color="auto"/>
        <w:right w:val="none" w:sz="0" w:space="0" w:color="auto"/>
      </w:divBdr>
    </w:div>
    <w:div w:id="1054892245">
      <w:marLeft w:val="0"/>
      <w:marRight w:val="0"/>
      <w:marTop w:val="0"/>
      <w:marBottom w:val="0"/>
      <w:divBdr>
        <w:top w:val="none" w:sz="0" w:space="0" w:color="auto"/>
        <w:left w:val="none" w:sz="0" w:space="0" w:color="auto"/>
        <w:bottom w:val="none" w:sz="0" w:space="0" w:color="auto"/>
        <w:right w:val="none" w:sz="0" w:space="0" w:color="auto"/>
      </w:divBdr>
    </w:div>
    <w:div w:id="1057053647">
      <w:bodyDiv w:val="1"/>
      <w:marLeft w:val="0"/>
      <w:marRight w:val="0"/>
      <w:marTop w:val="0"/>
      <w:marBottom w:val="0"/>
      <w:divBdr>
        <w:top w:val="none" w:sz="0" w:space="0" w:color="auto"/>
        <w:left w:val="none" w:sz="0" w:space="0" w:color="auto"/>
        <w:bottom w:val="none" w:sz="0" w:space="0" w:color="auto"/>
        <w:right w:val="none" w:sz="0" w:space="0" w:color="auto"/>
      </w:divBdr>
    </w:div>
    <w:div w:id="1058279911">
      <w:marLeft w:val="0"/>
      <w:marRight w:val="0"/>
      <w:marTop w:val="0"/>
      <w:marBottom w:val="0"/>
      <w:divBdr>
        <w:top w:val="none" w:sz="0" w:space="0" w:color="auto"/>
        <w:left w:val="none" w:sz="0" w:space="0" w:color="auto"/>
        <w:bottom w:val="none" w:sz="0" w:space="0" w:color="auto"/>
        <w:right w:val="none" w:sz="0" w:space="0" w:color="auto"/>
      </w:divBdr>
    </w:div>
    <w:div w:id="1059205724">
      <w:marLeft w:val="0"/>
      <w:marRight w:val="0"/>
      <w:marTop w:val="0"/>
      <w:marBottom w:val="0"/>
      <w:divBdr>
        <w:top w:val="none" w:sz="0" w:space="0" w:color="auto"/>
        <w:left w:val="none" w:sz="0" w:space="0" w:color="auto"/>
        <w:bottom w:val="none" w:sz="0" w:space="0" w:color="auto"/>
        <w:right w:val="none" w:sz="0" w:space="0" w:color="auto"/>
      </w:divBdr>
    </w:div>
    <w:div w:id="1064521751">
      <w:marLeft w:val="0"/>
      <w:marRight w:val="0"/>
      <w:marTop w:val="0"/>
      <w:marBottom w:val="0"/>
      <w:divBdr>
        <w:top w:val="none" w:sz="0" w:space="0" w:color="auto"/>
        <w:left w:val="none" w:sz="0" w:space="0" w:color="auto"/>
        <w:bottom w:val="none" w:sz="0" w:space="0" w:color="auto"/>
        <w:right w:val="none" w:sz="0" w:space="0" w:color="auto"/>
      </w:divBdr>
    </w:div>
    <w:div w:id="1071930270">
      <w:marLeft w:val="0"/>
      <w:marRight w:val="0"/>
      <w:marTop w:val="0"/>
      <w:marBottom w:val="0"/>
      <w:divBdr>
        <w:top w:val="none" w:sz="0" w:space="0" w:color="auto"/>
        <w:left w:val="none" w:sz="0" w:space="0" w:color="auto"/>
        <w:bottom w:val="none" w:sz="0" w:space="0" w:color="auto"/>
        <w:right w:val="none" w:sz="0" w:space="0" w:color="auto"/>
      </w:divBdr>
    </w:div>
    <w:div w:id="1087313753">
      <w:marLeft w:val="0"/>
      <w:marRight w:val="0"/>
      <w:marTop w:val="0"/>
      <w:marBottom w:val="0"/>
      <w:divBdr>
        <w:top w:val="none" w:sz="0" w:space="0" w:color="auto"/>
        <w:left w:val="none" w:sz="0" w:space="0" w:color="auto"/>
        <w:bottom w:val="none" w:sz="0" w:space="0" w:color="auto"/>
        <w:right w:val="none" w:sz="0" w:space="0" w:color="auto"/>
      </w:divBdr>
    </w:div>
    <w:div w:id="1088430553">
      <w:marLeft w:val="0"/>
      <w:marRight w:val="0"/>
      <w:marTop w:val="0"/>
      <w:marBottom w:val="0"/>
      <w:divBdr>
        <w:top w:val="none" w:sz="0" w:space="0" w:color="auto"/>
        <w:left w:val="none" w:sz="0" w:space="0" w:color="auto"/>
        <w:bottom w:val="none" w:sz="0" w:space="0" w:color="auto"/>
        <w:right w:val="none" w:sz="0" w:space="0" w:color="auto"/>
      </w:divBdr>
    </w:div>
    <w:div w:id="1094518785">
      <w:bodyDiv w:val="1"/>
      <w:marLeft w:val="0"/>
      <w:marRight w:val="0"/>
      <w:marTop w:val="0"/>
      <w:marBottom w:val="0"/>
      <w:divBdr>
        <w:top w:val="none" w:sz="0" w:space="0" w:color="auto"/>
        <w:left w:val="none" w:sz="0" w:space="0" w:color="auto"/>
        <w:bottom w:val="none" w:sz="0" w:space="0" w:color="auto"/>
        <w:right w:val="none" w:sz="0" w:space="0" w:color="auto"/>
      </w:divBdr>
    </w:div>
    <w:div w:id="1096828282">
      <w:marLeft w:val="0"/>
      <w:marRight w:val="0"/>
      <w:marTop w:val="0"/>
      <w:marBottom w:val="0"/>
      <w:divBdr>
        <w:top w:val="none" w:sz="0" w:space="0" w:color="auto"/>
        <w:left w:val="none" w:sz="0" w:space="0" w:color="auto"/>
        <w:bottom w:val="none" w:sz="0" w:space="0" w:color="auto"/>
        <w:right w:val="none" w:sz="0" w:space="0" w:color="auto"/>
      </w:divBdr>
    </w:div>
    <w:div w:id="1096943674">
      <w:marLeft w:val="0"/>
      <w:marRight w:val="0"/>
      <w:marTop w:val="0"/>
      <w:marBottom w:val="0"/>
      <w:divBdr>
        <w:top w:val="none" w:sz="0" w:space="0" w:color="auto"/>
        <w:left w:val="none" w:sz="0" w:space="0" w:color="auto"/>
        <w:bottom w:val="none" w:sz="0" w:space="0" w:color="auto"/>
        <w:right w:val="none" w:sz="0" w:space="0" w:color="auto"/>
      </w:divBdr>
    </w:div>
    <w:div w:id="1134523419">
      <w:marLeft w:val="0"/>
      <w:marRight w:val="0"/>
      <w:marTop w:val="0"/>
      <w:marBottom w:val="0"/>
      <w:divBdr>
        <w:top w:val="none" w:sz="0" w:space="0" w:color="auto"/>
        <w:left w:val="none" w:sz="0" w:space="0" w:color="auto"/>
        <w:bottom w:val="none" w:sz="0" w:space="0" w:color="auto"/>
        <w:right w:val="none" w:sz="0" w:space="0" w:color="auto"/>
      </w:divBdr>
    </w:div>
    <w:div w:id="1142161916">
      <w:bodyDiv w:val="1"/>
      <w:marLeft w:val="0"/>
      <w:marRight w:val="0"/>
      <w:marTop w:val="0"/>
      <w:marBottom w:val="0"/>
      <w:divBdr>
        <w:top w:val="none" w:sz="0" w:space="0" w:color="auto"/>
        <w:left w:val="none" w:sz="0" w:space="0" w:color="auto"/>
        <w:bottom w:val="none" w:sz="0" w:space="0" w:color="auto"/>
        <w:right w:val="none" w:sz="0" w:space="0" w:color="auto"/>
      </w:divBdr>
    </w:div>
    <w:div w:id="1168323534">
      <w:marLeft w:val="0"/>
      <w:marRight w:val="0"/>
      <w:marTop w:val="0"/>
      <w:marBottom w:val="0"/>
      <w:divBdr>
        <w:top w:val="none" w:sz="0" w:space="0" w:color="auto"/>
        <w:left w:val="none" w:sz="0" w:space="0" w:color="auto"/>
        <w:bottom w:val="none" w:sz="0" w:space="0" w:color="auto"/>
        <w:right w:val="none" w:sz="0" w:space="0" w:color="auto"/>
      </w:divBdr>
    </w:div>
    <w:div w:id="1174875154">
      <w:marLeft w:val="0"/>
      <w:marRight w:val="0"/>
      <w:marTop w:val="0"/>
      <w:marBottom w:val="0"/>
      <w:divBdr>
        <w:top w:val="none" w:sz="0" w:space="0" w:color="auto"/>
        <w:left w:val="none" w:sz="0" w:space="0" w:color="auto"/>
        <w:bottom w:val="none" w:sz="0" w:space="0" w:color="auto"/>
        <w:right w:val="none" w:sz="0" w:space="0" w:color="auto"/>
      </w:divBdr>
    </w:div>
    <w:div w:id="1184133492">
      <w:marLeft w:val="0"/>
      <w:marRight w:val="0"/>
      <w:marTop w:val="0"/>
      <w:marBottom w:val="0"/>
      <w:divBdr>
        <w:top w:val="none" w:sz="0" w:space="0" w:color="auto"/>
        <w:left w:val="none" w:sz="0" w:space="0" w:color="auto"/>
        <w:bottom w:val="none" w:sz="0" w:space="0" w:color="auto"/>
        <w:right w:val="none" w:sz="0" w:space="0" w:color="auto"/>
      </w:divBdr>
    </w:div>
    <w:div w:id="1192763772">
      <w:marLeft w:val="0"/>
      <w:marRight w:val="0"/>
      <w:marTop w:val="0"/>
      <w:marBottom w:val="0"/>
      <w:divBdr>
        <w:top w:val="none" w:sz="0" w:space="0" w:color="auto"/>
        <w:left w:val="none" w:sz="0" w:space="0" w:color="auto"/>
        <w:bottom w:val="none" w:sz="0" w:space="0" w:color="auto"/>
        <w:right w:val="none" w:sz="0" w:space="0" w:color="auto"/>
      </w:divBdr>
    </w:div>
    <w:div w:id="1199782167">
      <w:bodyDiv w:val="1"/>
      <w:marLeft w:val="0"/>
      <w:marRight w:val="0"/>
      <w:marTop w:val="0"/>
      <w:marBottom w:val="0"/>
      <w:divBdr>
        <w:top w:val="none" w:sz="0" w:space="0" w:color="auto"/>
        <w:left w:val="none" w:sz="0" w:space="0" w:color="auto"/>
        <w:bottom w:val="none" w:sz="0" w:space="0" w:color="auto"/>
        <w:right w:val="none" w:sz="0" w:space="0" w:color="auto"/>
      </w:divBdr>
    </w:div>
    <w:div w:id="1202405162">
      <w:marLeft w:val="0"/>
      <w:marRight w:val="0"/>
      <w:marTop w:val="0"/>
      <w:marBottom w:val="0"/>
      <w:divBdr>
        <w:top w:val="none" w:sz="0" w:space="0" w:color="auto"/>
        <w:left w:val="none" w:sz="0" w:space="0" w:color="auto"/>
        <w:bottom w:val="none" w:sz="0" w:space="0" w:color="auto"/>
        <w:right w:val="none" w:sz="0" w:space="0" w:color="auto"/>
      </w:divBdr>
    </w:div>
    <w:div w:id="1203248488">
      <w:bodyDiv w:val="1"/>
      <w:marLeft w:val="0"/>
      <w:marRight w:val="0"/>
      <w:marTop w:val="0"/>
      <w:marBottom w:val="0"/>
      <w:divBdr>
        <w:top w:val="none" w:sz="0" w:space="0" w:color="auto"/>
        <w:left w:val="none" w:sz="0" w:space="0" w:color="auto"/>
        <w:bottom w:val="none" w:sz="0" w:space="0" w:color="auto"/>
        <w:right w:val="none" w:sz="0" w:space="0" w:color="auto"/>
      </w:divBdr>
    </w:div>
    <w:div w:id="1208494241">
      <w:bodyDiv w:val="1"/>
      <w:marLeft w:val="0"/>
      <w:marRight w:val="0"/>
      <w:marTop w:val="0"/>
      <w:marBottom w:val="0"/>
      <w:divBdr>
        <w:top w:val="none" w:sz="0" w:space="0" w:color="auto"/>
        <w:left w:val="none" w:sz="0" w:space="0" w:color="auto"/>
        <w:bottom w:val="none" w:sz="0" w:space="0" w:color="auto"/>
        <w:right w:val="none" w:sz="0" w:space="0" w:color="auto"/>
      </w:divBdr>
    </w:div>
    <w:div w:id="1218013224">
      <w:marLeft w:val="0"/>
      <w:marRight w:val="0"/>
      <w:marTop w:val="0"/>
      <w:marBottom w:val="0"/>
      <w:divBdr>
        <w:top w:val="none" w:sz="0" w:space="0" w:color="auto"/>
        <w:left w:val="none" w:sz="0" w:space="0" w:color="auto"/>
        <w:bottom w:val="none" w:sz="0" w:space="0" w:color="auto"/>
        <w:right w:val="none" w:sz="0" w:space="0" w:color="auto"/>
      </w:divBdr>
    </w:div>
    <w:div w:id="1236670063">
      <w:marLeft w:val="0"/>
      <w:marRight w:val="0"/>
      <w:marTop w:val="0"/>
      <w:marBottom w:val="0"/>
      <w:divBdr>
        <w:top w:val="none" w:sz="0" w:space="0" w:color="auto"/>
        <w:left w:val="none" w:sz="0" w:space="0" w:color="auto"/>
        <w:bottom w:val="none" w:sz="0" w:space="0" w:color="auto"/>
        <w:right w:val="none" w:sz="0" w:space="0" w:color="auto"/>
      </w:divBdr>
    </w:div>
    <w:div w:id="1242301323">
      <w:bodyDiv w:val="1"/>
      <w:marLeft w:val="0"/>
      <w:marRight w:val="0"/>
      <w:marTop w:val="0"/>
      <w:marBottom w:val="0"/>
      <w:divBdr>
        <w:top w:val="none" w:sz="0" w:space="0" w:color="auto"/>
        <w:left w:val="none" w:sz="0" w:space="0" w:color="auto"/>
        <w:bottom w:val="none" w:sz="0" w:space="0" w:color="auto"/>
        <w:right w:val="none" w:sz="0" w:space="0" w:color="auto"/>
      </w:divBdr>
      <w:divsChild>
        <w:div w:id="1472479202">
          <w:marLeft w:val="45"/>
          <w:marRight w:val="45"/>
          <w:marTop w:val="15"/>
          <w:marBottom w:val="0"/>
          <w:divBdr>
            <w:top w:val="none" w:sz="0" w:space="0" w:color="auto"/>
            <w:left w:val="none" w:sz="0" w:space="0" w:color="auto"/>
            <w:bottom w:val="none" w:sz="0" w:space="0" w:color="auto"/>
            <w:right w:val="none" w:sz="0" w:space="0" w:color="auto"/>
          </w:divBdr>
          <w:divsChild>
            <w:div w:id="131749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29236">
      <w:bodyDiv w:val="1"/>
      <w:marLeft w:val="0"/>
      <w:marRight w:val="0"/>
      <w:marTop w:val="0"/>
      <w:marBottom w:val="0"/>
      <w:divBdr>
        <w:top w:val="none" w:sz="0" w:space="0" w:color="auto"/>
        <w:left w:val="none" w:sz="0" w:space="0" w:color="auto"/>
        <w:bottom w:val="none" w:sz="0" w:space="0" w:color="auto"/>
        <w:right w:val="none" w:sz="0" w:space="0" w:color="auto"/>
      </w:divBdr>
    </w:div>
    <w:div w:id="1263882365">
      <w:marLeft w:val="0"/>
      <w:marRight w:val="0"/>
      <w:marTop w:val="0"/>
      <w:marBottom w:val="0"/>
      <w:divBdr>
        <w:top w:val="none" w:sz="0" w:space="0" w:color="auto"/>
        <w:left w:val="none" w:sz="0" w:space="0" w:color="auto"/>
        <w:bottom w:val="none" w:sz="0" w:space="0" w:color="auto"/>
        <w:right w:val="none" w:sz="0" w:space="0" w:color="auto"/>
      </w:divBdr>
    </w:div>
    <w:div w:id="1270775148">
      <w:bodyDiv w:val="1"/>
      <w:marLeft w:val="0"/>
      <w:marRight w:val="0"/>
      <w:marTop w:val="0"/>
      <w:marBottom w:val="0"/>
      <w:divBdr>
        <w:top w:val="none" w:sz="0" w:space="0" w:color="auto"/>
        <w:left w:val="none" w:sz="0" w:space="0" w:color="auto"/>
        <w:bottom w:val="none" w:sz="0" w:space="0" w:color="auto"/>
        <w:right w:val="none" w:sz="0" w:space="0" w:color="auto"/>
      </w:divBdr>
    </w:div>
    <w:div w:id="1275556470">
      <w:bodyDiv w:val="1"/>
      <w:marLeft w:val="0"/>
      <w:marRight w:val="0"/>
      <w:marTop w:val="0"/>
      <w:marBottom w:val="0"/>
      <w:divBdr>
        <w:top w:val="none" w:sz="0" w:space="0" w:color="auto"/>
        <w:left w:val="none" w:sz="0" w:space="0" w:color="auto"/>
        <w:bottom w:val="none" w:sz="0" w:space="0" w:color="auto"/>
        <w:right w:val="none" w:sz="0" w:space="0" w:color="auto"/>
      </w:divBdr>
    </w:div>
    <w:div w:id="1285847212">
      <w:bodyDiv w:val="1"/>
      <w:marLeft w:val="0"/>
      <w:marRight w:val="0"/>
      <w:marTop w:val="0"/>
      <w:marBottom w:val="0"/>
      <w:divBdr>
        <w:top w:val="none" w:sz="0" w:space="0" w:color="auto"/>
        <w:left w:val="none" w:sz="0" w:space="0" w:color="auto"/>
        <w:bottom w:val="none" w:sz="0" w:space="0" w:color="auto"/>
        <w:right w:val="none" w:sz="0" w:space="0" w:color="auto"/>
      </w:divBdr>
    </w:div>
    <w:div w:id="1286616658">
      <w:marLeft w:val="0"/>
      <w:marRight w:val="0"/>
      <w:marTop w:val="0"/>
      <w:marBottom w:val="0"/>
      <w:divBdr>
        <w:top w:val="none" w:sz="0" w:space="0" w:color="auto"/>
        <w:left w:val="none" w:sz="0" w:space="0" w:color="auto"/>
        <w:bottom w:val="none" w:sz="0" w:space="0" w:color="auto"/>
        <w:right w:val="none" w:sz="0" w:space="0" w:color="auto"/>
      </w:divBdr>
    </w:div>
    <w:div w:id="1286931711">
      <w:marLeft w:val="0"/>
      <w:marRight w:val="0"/>
      <w:marTop w:val="0"/>
      <w:marBottom w:val="0"/>
      <w:divBdr>
        <w:top w:val="none" w:sz="0" w:space="0" w:color="auto"/>
        <w:left w:val="none" w:sz="0" w:space="0" w:color="auto"/>
        <w:bottom w:val="none" w:sz="0" w:space="0" w:color="auto"/>
        <w:right w:val="none" w:sz="0" w:space="0" w:color="auto"/>
      </w:divBdr>
    </w:div>
    <w:div w:id="1290553178">
      <w:bodyDiv w:val="1"/>
      <w:marLeft w:val="0"/>
      <w:marRight w:val="0"/>
      <w:marTop w:val="0"/>
      <w:marBottom w:val="0"/>
      <w:divBdr>
        <w:top w:val="none" w:sz="0" w:space="0" w:color="auto"/>
        <w:left w:val="none" w:sz="0" w:space="0" w:color="auto"/>
        <w:bottom w:val="none" w:sz="0" w:space="0" w:color="auto"/>
        <w:right w:val="none" w:sz="0" w:space="0" w:color="auto"/>
      </w:divBdr>
    </w:div>
    <w:div w:id="1303385671">
      <w:marLeft w:val="0"/>
      <w:marRight w:val="0"/>
      <w:marTop w:val="0"/>
      <w:marBottom w:val="0"/>
      <w:divBdr>
        <w:top w:val="none" w:sz="0" w:space="0" w:color="auto"/>
        <w:left w:val="none" w:sz="0" w:space="0" w:color="auto"/>
        <w:bottom w:val="none" w:sz="0" w:space="0" w:color="auto"/>
        <w:right w:val="none" w:sz="0" w:space="0" w:color="auto"/>
      </w:divBdr>
    </w:div>
    <w:div w:id="1306398327">
      <w:marLeft w:val="0"/>
      <w:marRight w:val="0"/>
      <w:marTop w:val="0"/>
      <w:marBottom w:val="0"/>
      <w:divBdr>
        <w:top w:val="none" w:sz="0" w:space="0" w:color="auto"/>
        <w:left w:val="none" w:sz="0" w:space="0" w:color="auto"/>
        <w:bottom w:val="none" w:sz="0" w:space="0" w:color="auto"/>
        <w:right w:val="none" w:sz="0" w:space="0" w:color="auto"/>
      </w:divBdr>
    </w:div>
    <w:div w:id="1307004053">
      <w:marLeft w:val="0"/>
      <w:marRight w:val="0"/>
      <w:marTop w:val="0"/>
      <w:marBottom w:val="0"/>
      <w:divBdr>
        <w:top w:val="none" w:sz="0" w:space="0" w:color="auto"/>
        <w:left w:val="none" w:sz="0" w:space="0" w:color="auto"/>
        <w:bottom w:val="none" w:sz="0" w:space="0" w:color="auto"/>
        <w:right w:val="none" w:sz="0" w:space="0" w:color="auto"/>
      </w:divBdr>
    </w:div>
    <w:div w:id="1348750471">
      <w:marLeft w:val="0"/>
      <w:marRight w:val="0"/>
      <w:marTop w:val="0"/>
      <w:marBottom w:val="0"/>
      <w:divBdr>
        <w:top w:val="none" w:sz="0" w:space="0" w:color="auto"/>
        <w:left w:val="none" w:sz="0" w:space="0" w:color="auto"/>
        <w:bottom w:val="none" w:sz="0" w:space="0" w:color="auto"/>
        <w:right w:val="none" w:sz="0" w:space="0" w:color="auto"/>
      </w:divBdr>
    </w:div>
    <w:div w:id="1363284734">
      <w:marLeft w:val="0"/>
      <w:marRight w:val="0"/>
      <w:marTop w:val="0"/>
      <w:marBottom w:val="0"/>
      <w:divBdr>
        <w:top w:val="none" w:sz="0" w:space="0" w:color="auto"/>
        <w:left w:val="none" w:sz="0" w:space="0" w:color="auto"/>
        <w:bottom w:val="none" w:sz="0" w:space="0" w:color="auto"/>
        <w:right w:val="none" w:sz="0" w:space="0" w:color="auto"/>
      </w:divBdr>
    </w:div>
    <w:div w:id="1363901447">
      <w:bodyDiv w:val="1"/>
      <w:marLeft w:val="0"/>
      <w:marRight w:val="0"/>
      <w:marTop w:val="0"/>
      <w:marBottom w:val="0"/>
      <w:divBdr>
        <w:top w:val="none" w:sz="0" w:space="0" w:color="auto"/>
        <w:left w:val="none" w:sz="0" w:space="0" w:color="auto"/>
        <w:bottom w:val="none" w:sz="0" w:space="0" w:color="auto"/>
        <w:right w:val="none" w:sz="0" w:space="0" w:color="auto"/>
      </w:divBdr>
    </w:div>
    <w:div w:id="1367289874">
      <w:bodyDiv w:val="1"/>
      <w:marLeft w:val="0"/>
      <w:marRight w:val="0"/>
      <w:marTop w:val="0"/>
      <w:marBottom w:val="0"/>
      <w:divBdr>
        <w:top w:val="none" w:sz="0" w:space="0" w:color="auto"/>
        <w:left w:val="none" w:sz="0" w:space="0" w:color="auto"/>
        <w:bottom w:val="none" w:sz="0" w:space="0" w:color="auto"/>
        <w:right w:val="none" w:sz="0" w:space="0" w:color="auto"/>
      </w:divBdr>
    </w:div>
    <w:div w:id="1371488895">
      <w:bodyDiv w:val="1"/>
      <w:marLeft w:val="0"/>
      <w:marRight w:val="0"/>
      <w:marTop w:val="0"/>
      <w:marBottom w:val="0"/>
      <w:divBdr>
        <w:top w:val="none" w:sz="0" w:space="0" w:color="auto"/>
        <w:left w:val="none" w:sz="0" w:space="0" w:color="auto"/>
        <w:bottom w:val="none" w:sz="0" w:space="0" w:color="auto"/>
        <w:right w:val="none" w:sz="0" w:space="0" w:color="auto"/>
      </w:divBdr>
      <w:divsChild>
        <w:div w:id="106705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207782">
              <w:marLeft w:val="0"/>
              <w:marRight w:val="0"/>
              <w:marTop w:val="0"/>
              <w:marBottom w:val="0"/>
              <w:divBdr>
                <w:top w:val="none" w:sz="0" w:space="0" w:color="auto"/>
                <w:left w:val="none" w:sz="0" w:space="0" w:color="auto"/>
                <w:bottom w:val="none" w:sz="0" w:space="0" w:color="auto"/>
                <w:right w:val="none" w:sz="0" w:space="0" w:color="auto"/>
              </w:divBdr>
              <w:divsChild>
                <w:div w:id="786503432">
                  <w:marLeft w:val="0"/>
                  <w:marRight w:val="0"/>
                  <w:marTop w:val="0"/>
                  <w:marBottom w:val="0"/>
                  <w:divBdr>
                    <w:top w:val="none" w:sz="0" w:space="0" w:color="auto"/>
                    <w:left w:val="none" w:sz="0" w:space="0" w:color="auto"/>
                    <w:bottom w:val="none" w:sz="0" w:space="0" w:color="auto"/>
                    <w:right w:val="none" w:sz="0" w:space="0" w:color="auto"/>
                  </w:divBdr>
                  <w:divsChild>
                    <w:div w:id="1604148899">
                      <w:marLeft w:val="0"/>
                      <w:marRight w:val="0"/>
                      <w:marTop w:val="0"/>
                      <w:marBottom w:val="0"/>
                      <w:divBdr>
                        <w:top w:val="none" w:sz="0" w:space="0" w:color="auto"/>
                        <w:left w:val="none" w:sz="0" w:space="0" w:color="auto"/>
                        <w:bottom w:val="none" w:sz="0" w:space="0" w:color="auto"/>
                        <w:right w:val="none" w:sz="0" w:space="0" w:color="auto"/>
                      </w:divBdr>
                      <w:divsChild>
                        <w:div w:id="51053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4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263347">
      <w:bodyDiv w:val="1"/>
      <w:marLeft w:val="0"/>
      <w:marRight w:val="0"/>
      <w:marTop w:val="0"/>
      <w:marBottom w:val="0"/>
      <w:divBdr>
        <w:top w:val="none" w:sz="0" w:space="0" w:color="auto"/>
        <w:left w:val="none" w:sz="0" w:space="0" w:color="auto"/>
        <w:bottom w:val="none" w:sz="0" w:space="0" w:color="auto"/>
        <w:right w:val="none" w:sz="0" w:space="0" w:color="auto"/>
      </w:divBdr>
    </w:div>
    <w:div w:id="1375350647">
      <w:marLeft w:val="0"/>
      <w:marRight w:val="0"/>
      <w:marTop w:val="0"/>
      <w:marBottom w:val="0"/>
      <w:divBdr>
        <w:top w:val="none" w:sz="0" w:space="0" w:color="auto"/>
        <w:left w:val="none" w:sz="0" w:space="0" w:color="auto"/>
        <w:bottom w:val="none" w:sz="0" w:space="0" w:color="auto"/>
        <w:right w:val="none" w:sz="0" w:space="0" w:color="auto"/>
      </w:divBdr>
    </w:div>
    <w:div w:id="1375808685">
      <w:marLeft w:val="0"/>
      <w:marRight w:val="0"/>
      <w:marTop w:val="0"/>
      <w:marBottom w:val="0"/>
      <w:divBdr>
        <w:top w:val="none" w:sz="0" w:space="0" w:color="auto"/>
        <w:left w:val="none" w:sz="0" w:space="0" w:color="auto"/>
        <w:bottom w:val="none" w:sz="0" w:space="0" w:color="auto"/>
        <w:right w:val="none" w:sz="0" w:space="0" w:color="auto"/>
      </w:divBdr>
    </w:div>
    <w:div w:id="1377120614">
      <w:marLeft w:val="0"/>
      <w:marRight w:val="0"/>
      <w:marTop w:val="0"/>
      <w:marBottom w:val="0"/>
      <w:divBdr>
        <w:top w:val="none" w:sz="0" w:space="0" w:color="auto"/>
        <w:left w:val="none" w:sz="0" w:space="0" w:color="auto"/>
        <w:bottom w:val="none" w:sz="0" w:space="0" w:color="auto"/>
        <w:right w:val="none" w:sz="0" w:space="0" w:color="auto"/>
      </w:divBdr>
    </w:div>
    <w:div w:id="1380351341">
      <w:bodyDiv w:val="1"/>
      <w:marLeft w:val="0"/>
      <w:marRight w:val="0"/>
      <w:marTop w:val="0"/>
      <w:marBottom w:val="0"/>
      <w:divBdr>
        <w:top w:val="none" w:sz="0" w:space="0" w:color="auto"/>
        <w:left w:val="none" w:sz="0" w:space="0" w:color="auto"/>
        <w:bottom w:val="none" w:sz="0" w:space="0" w:color="auto"/>
        <w:right w:val="none" w:sz="0" w:space="0" w:color="auto"/>
      </w:divBdr>
    </w:div>
    <w:div w:id="1388988537">
      <w:bodyDiv w:val="1"/>
      <w:marLeft w:val="0"/>
      <w:marRight w:val="0"/>
      <w:marTop w:val="0"/>
      <w:marBottom w:val="0"/>
      <w:divBdr>
        <w:top w:val="none" w:sz="0" w:space="0" w:color="auto"/>
        <w:left w:val="none" w:sz="0" w:space="0" w:color="auto"/>
        <w:bottom w:val="none" w:sz="0" w:space="0" w:color="auto"/>
        <w:right w:val="none" w:sz="0" w:space="0" w:color="auto"/>
      </w:divBdr>
    </w:div>
    <w:div w:id="1418135767">
      <w:marLeft w:val="0"/>
      <w:marRight w:val="0"/>
      <w:marTop w:val="0"/>
      <w:marBottom w:val="0"/>
      <w:divBdr>
        <w:top w:val="none" w:sz="0" w:space="0" w:color="auto"/>
        <w:left w:val="none" w:sz="0" w:space="0" w:color="auto"/>
        <w:bottom w:val="none" w:sz="0" w:space="0" w:color="auto"/>
        <w:right w:val="none" w:sz="0" w:space="0" w:color="auto"/>
      </w:divBdr>
    </w:div>
    <w:div w:id="1423448653">
      <w:bodyDiv w:val="1"/>
      <w:marLeft w:val="0"/>
      <w:marRight w:val="0"/>
      <w:marTop w:val="0"/>
      <w:marBottom w:val="0"/>
      <w:divBdr>
        <w:top w:val="none" w:sz="0" w:space="0" w:color="auto"/>
        <w:left w:val="none" w:sz="0" w:space="0" w:color="auto"/>
        <w:bottom w:val="none" w:sz="0" w:space="0" w:color="auto"/>
        <w:right w:val="none" w:sz="0" w:space="0" w:color="auto"/>
      </w:divBdr>
    </w:div>
    <w:div w:id="1424452439">
      <w:marLeft w:val="0"/>
      <w:marRight w:val="0"/>
      <w:marTop w:val="0"/>
      <w:marBottom w:val="0"/>
      <w:divBdr>
        <w:top w:val="none" w:sz="0" w:space="0" w:color="auto"/>
        <w:left w:val="none" w:sz="0" w:space="0" w:color="auto"/>
        <w:bottom w:val="none" w:sz="0" w:space="0" w:color="auto"/>
        <w:right w:val="none" w:sz="0" w:space="0" w:color="auto"/>
      </w:divBdr>
    </w:div>
    <w:div w:id="1428119024">
      <w:marLeft w:val="0"/>
      <w:marRight w:val="0"/>
      <w:marTop w:val="0"/>
      <w:marBottom w:val="0"/>
      <w:divBdr>
        <w:top w:val="none" w:sz="0" w:space="0" w:color="auto"/>
        <w:left w:val="none" w:sz="0" w:space="0" w:color="auto"/>
        <w:bottom w:val="none" w:sz="0" w:space="0" w:color="auto"/>
        <w:right w:val="none" w:sz="0" w:space="0" w:color="auto"/>
      </w:divBdr>
      <w:divsChild>
        <w:div w:id="1817452605">
          <w:marLeft w:val="0"/>
          <w:marRight w:val="0"/>
          <w:marTop w:val="0"/>
          <w:marBottom w:val="0"/>
          <w:divBdr>
            <w:top w:val="none" w:sz="0" w:space="0" w:color="auto"/>
            <w:left w:val="none" w:sz="0" w:space="0" w:color="auto"/>
            <w:bottom w:val="none" w:sz="0" w:space="0" w:color="auto"/>
            <w:right w:val="none" w:sz="0" w:space="0" w:color="auto"/>
          </w:divBdr>
        </w:div>
      </w:divsChild>
    </w:div>
    <w:div w:id="1428624108">
      <w:bodyDiv w:val="1"/>
      <w:marLeft w:val="0"/>
      <w:marRight w:val="0"/>
      <w:marTop w:val="0"/>
      <w:marBottom w:val="0"/>
      <w:divBdr>
        <w:top w:val="none" w:sz="0" w:space="0" w:color="auto"/>
        <w:left w:val="none" w:sz="0" w:space="0" w:color="auto"/>
        <w:bottom w:val="none" w:sz="0" w:space="0" w:color="auto"/>
        <w:right w:val="none" w:sz="0" w:space="0" w:color="auto"/>
      </w:divBdr>
    </w:div>
    <w:div w:id="1438327497">
      <w:bodyDiv w:val="1"/>
      <w:marLeft w:val="0"/>
      <w:marRight w:val="0"/>
      <w:marTop w:val="0"/>
      <w:marBottom w:val="0"/>
      <w:divBdr>
        <w:top w:val="none" w:sz="0" w:space="0" w:color="auto"/>
        <w:left w:val="none" w:sz="0" w:space="0" w:color="auto"/>
        <w:bottom w:val="none" w:sz="0" w:space="0" w:color="auto"/>
        <w:right w:val="none" w:sz="0" w:space="0" w:color="auto"/>
      </w:divBdr>
    </w:div>
    <w:div w:id="1438595381">
      <w:marLeft w:val="0"/>
      <w:marRight w:val="0"/>
      <w:marTop w:val="0"/>
      <w:marBottom w:val="0"/>
      <w:divBdr>
        <w:top w:val="none" w:sz="0" w:space="0" w:color="auto"/>
        <w:left w:val="none" w:sz="0" w:space="0" w:color="auto"/>
        <w:bottom w:val="none" w:sz="0" w:space="0" w:color="auto"/>
        <w:right w:val="none" w:sz="0" w:space="0" w:color="auto"/>
      </w:divBdr>
    </w:div>
    <w:div w:id="1468888799">
      <w:bodyDiv w:val="1"/>
      <w:marLeft w:val="0"/>
      <w:marRight w:val="0"/>
      <w:marTop w:val="0"/>
      <w:marBottom w:val="0"/>
      <w:divBdr>
        <w:top w:val="none" w:sz="0" w:space="0" w:color="auto"/>
        <w:left w:val="none" w:sz="0" w:space="0" w:color="auto"/>
        <w:bottom w:val="none" w:sz="0" w:space="0" w:color="auto"/>
        <w:right w:val="none" w:sz="0" w:space="0" w:color="auto"/>
      </w:divBdr>
      <w:divsChild>
        <w:div w:id="68309310">
          <w:marLeft w:val="0"/>
          <w:marRight w:val="0"/>
          <w:marTop w:val="0"/>
          <w:marBottom w:val="0"/>
          <w:divBdr>
            <w:top w:val="none" w:sz="0" w:space="0" w:color="auto"/>
            <w:left w:val="none" w:sz="0" w:space="0" w:color="auto"/>
            <w:bottom w:val="none" w:sz="0" w:space="0" w:color="auto"/>
            <w:right w:val="none" w:sz="0" w:space="0" w:color="auto"/>
          </w:divBdr>
          <w:divsChild>
            <w:div w:id="247274581">
              <w:marLeft w:val="0"/>
              <w:marRight w:val="0"/>
              <w:marTop w:val="0"/>
              <w:marBottom w:val="0"/>
              <w:divBdr>
                <w:top w:val="none" w:sz="0" w:space="0" w:color="auto"/>
                <w:left w:val="none" w:sz="0" w:space="0" w:color="auto"/>
                <w:bottom w:val="none" w:sz="0" w:space="0" w:color="auto"/>
                <w:right w:val="none" w:sz="0" w:space="0" w:color="auto"/>
              </w:divBdr>
            </w:div>
          </w:divsChild>
        </w:div>
        <w:div w:id="85735397">
          <w:marLeft w:val="0"/>
          <w:marRight w:val="0"/>
          <w:marTop w:val="0"/>
          <w:marBottom w:val="0"/>
          <w:divBdr>
            <w:top w:val="none" w:sz="0" w:space="0" w:color="auto"/>
            <w:left w:val="none" w:sz="0" w:space="0" w:color="auto"/>
            <w:bottom w:val="none" w:sz="0" w:space="0" w:color="auto"/>
            <w:right w:val="none" w:sz="0" w:space="0" w:color="auto"/>
          </w:divBdr>
          <w:divsChild>
            <w:div w:id="2128154612">
              <w:marLeft w:val="0"/>
              <w:marRight w:val="0"/>
              <w:marTop w:val="0"/>
              <w:marBottom w:val="0"/>
              <w:divBdr>
                <w:top w:val="none" w:sz="0" w:space="0" w:color="auto"/>
                <w:left w:val="none" w:sz="0" w:space="0" w:color="auto"/>
                <w:bottom w:val="none" w:sz="0" w:space="0" w:color="auto"/>
                <w:right w:val="none" w:sz="0" w:space="0" w:color="auto"/>
              </w:divBdr>
            </w:div>
          </w:divsChild>
        </w:div>
        <w:div w:id="133179740">
          <w:marLeft w:val="0"/>
          <w:marRight w:val="0"/>
          <w:marTop w:val="0"/>
          <w:marBottom w:val="0"/>
          <w:divBdr>
            <w:top w:val="none" w:sz="0" w:space="0" w:color="auto"/>
            <w:left w:val="none" w:sz="0" w:space="0" w:color="auto"/>
            <w:bottom w:val="none" w:sz="0" w:space="0" w:color="auto"/>
            <w:right w:val="none" w:sz="0" w:space="0" w:color="auto"/>
          </w:divBdr>
          <w:divsChild>
            <w:div w:id="404107885">
              <w:marLeft w:val="0"/>
              <w:marRight w:val="0"/>
              <w:marTop w:val="0"/>
              <w:marBottom w:val="0"/>
              <w:divBdr>
                <w:top w:val="none" w:sz="0" w:space="0" w:color="auto"/>
                <w:left w:val="none" w:sz="0" w:space="0" w:color="auto"/>
                <w:bottom w:val="none" w:sz="0" w:space="0" w:color="auto"/>
                <w:right w:val="none" w:sz="0" w:space="0" w:color="auto"/>
              </w:divBdr>
            </w:div>
          </w:divsChild>
        </w:div>
        <w:div w:id="186600130">
          <w:marLeft w:val="0"/>
          <w:marRight w:val="0"/>
          <w:marTop w:val="0"/>
          <w:marBottom w:val="0"/>
          <w:divBdr>
            <w:top w:val="none" w:sz="0" w:space="0" w:color="auto"/>
            <w:left w:val="none" w:sz="0" w:space="0" w:color="auto"/>
            <w:bottom w:val="none" w:sz="0" w:space="0" w:color="auto"/>
            <w:right w:val="none" w:sz="0" w:space="0" w:color="auto"/>
          </w:divBdr>
          <w:divsChild>
            <w:div w:id="150565015">
              <w:marLeft w:val="0"/>
              <w:marRight w:val="0"/>
              <w:marTop w:val="0"/>
              <w:marBottom w:val="0"/>
              <w:divBdr>
                <w:top w:val="none" w:sz="0" w:space="0" w:color="auto"/>
                <w:left w:val="none" w:sz="0" w:space="0" w:color="auto"/>
                <w:bottom w:val="none" w:sz="0" w:space="0" w:color="auto"/>
                <w:right w:val="none" w:sz="0" w:space="0" w:color="auto"/>
              </w:divBdr>
            </w:div>
          </w:divsChild>
        </w:div>
        <w:div w:id="246765270">
          <w:marLeft w:val="0"/>
          <w:marRight w:val="0"/>
          <w:marTop w:val="0"/>
          <w:marBottom w:val="0"/>
          <w:divBdr>
            <w:top w:val="none" w:sz="0" w:space="0" w:color="auto"/>
            <w:left w:val="none" w:sz="0" w:space="0" w:color="auto"/>
            <w:bottom w:val="none" w:sz="0" w:space="0" w:color="auto"/>
            <w:right w:val="none" w:sz="0" w:space="0" w:color="auto"/>
          </w:divBdr>
          <w:divsChild>
            <w:div w:id="594166212">
              <w:marLeft w:val="0"/>
              <w:marRight w:val="0"/>
              <w:marTop w:val="0"/>
              <w:marBottom w:val="0"/>
              <w:divBdr>
                <w:top w:val="none" w:sz="0" w:space="0" w:color="auto"/>
                <w:left w:val="none" w:sz="0" w:space="0" w:color="auto"/>
                <w:bottom w:val="none" w:sz="0" w:space="0" w:color="auto"/>
                <w:right w:val="none" w:sz="0" w:space="0" w:color="auto"/>
              </w:divBdr>
            </w:div>
          </w:divsChild>
        </w:div>
        <w:div w:id="429282022">
          <w:marLeft w:val="0"/>
          <w:marRight w:val="0"/>
          <w:marTop w:val="0"/>
          <w:marBottom w:val="0"/>
          <w:divBdr>
            <w:top w:val="none" w:sz="0" w:space="0" w:color="auto"/>
            <w:left w:val="none" w:sz="0" w:space="0" w:color="auto"/>
            <w:bottom w:val="none" w:sz="0" w:space="0" w:color="auto"/>
            <w:right w:val="none" w:sz="0" w:space="0" w:color="auto"/>
          </w:divBdr>
          <w:divsChild>
            <w:div w:id="1732844730">
              <w:marLeft w:val="0"/>
              <w:marRight w:val="0"/>
              <w:marTop w:val="0"/>
              <w:marBottom w:val="0"/>
              <w:divBdr>
                <w:top w:val="none" w:sz="0" w:space="0" w:color="auto"/>
                <w:left w:val="none" w:sz="0" w:space="0" w:color="auto"/>
                <w:bottom w:val="none" w:sz="0" w:space="0" w:color="auto"/>
                <w:right w:val="none" w:sz="0" w:space="0" w:color="auto"/>
              </w:divBdr>
            </w:div>
          </w:divsChild>
        </w:div>
        <w:div w:id="469396790">
          <w:marLeft w:val="0"/>
          <w:marRight w:val="0"/>
          <w:marTop w:val="0"/>
          <w:marBottom w:val="0"/>
          <w:divBdr>
            <w:top w:val="none" w:sz="0" w:space="0" w:color="auto"/>
            <w:left w:val="none" w:sz="0" w:space="0" w:color="auto"/>
            <w:bottom w:val="none" w:sz="0" w:space="0" w:color="auto"/>
            <w:right w:val="none" w:sz="0" w:space="0" w:color="auto"/>
          </w:divBdr>
          <w:divsChild>
            <w:div w:id="66415491">
              <w:marLeft w:val="0"/>
              <w:marRight w:val="0"/>
              <w:marTop w:val="0"/>
              <w:marBottom w:val="0"/>
              <w:divBdr>
                <w:top w:val="none" w:sz="0" w:space="0" w:color="auto"/>
                <w:left w:val="none" w:sz="0" w:space="0" w:color="auto"/>
                <w:bottom w:val="none" w:sz="0" w:space="0" w:color="auto"/>
                <w:right w:val="none" w:sz="0" w:space="0" w:color="auto"/>
              </w:divBdr>
            </w:div>
          </w:divsChild>
        </w:div>
        <w:div w:id="537279206">
          <w:marLeft w:val="0"/>
          <w:marRight w:val="0"/>
          <w:marTop w:val="0"/>
          <w:marBottom w:val="0"/>
          <w:divBdr>
            <w:top w:val="none" w:sz="0" w:space="0" w:color="auto"/>
            <w:left w:val="none" w:sz="0" w:space="0" w:color="auto"/>
            <w:bottom w:val="none" w:sz="0" w:space="0" w:color="auto"/>
            <w:right w:val="none" w:sz="0" w:space="0" w:color="auto"/>
          </w:divBdr>
          <w:divsChild>
            <w:div w:id="484276126">
              <w:marLeft w:val="0"/>
              <w:marRight w:val="0"/>
              <w:marTop w:val="0"/>
              <w:marBottom w:val="0"/>
              <w:divBdr>
                <w:top w:val="none" w:sz="0" w:space="0" w:color="auto"/>
                <w:left w:val="none" w:sz="0" w:space="0" w:color="auto"/>
                <w:bottom w:val="none" w:sz="0" w:space="0" w:color="auto"/>
                <w:right w:val="none" w:sz="0" w:space="0" w:color="auto"/>
              </w:divBdr>
            </w:div>
          </w:divsChild>
        </w:div>
        <w:div w:id="599604301">
          <w:marLeft w:val="0"/>
          <w:marRight w:val="0"/>
          <w:marTop w:val="0"/>
          <w:marBottom w:val="0"/>
          <w:divBdr>
            <w:top w:val="none" w:sz="0" w:space="0" w:color="auto"/>
            <w:left w:val="none" w:sz="0" w:space="0" w:color="auto"/>
            <w:bottom w:val="none" w:sz="0" w:space="0" w:color="auto"/>
            <w:right w:val="none" w:sz="0" w:space="0" w:color="auto"/>
          </w:divBdr>
          <w:divsChild>
            <w:div w:id="135419651">
              <w:marLeft w:val="0"/>
              <w:marRight w:val="0"/>
              <w:marTop w:val="0"/>
              <w:marBottom w:val="0"/>
              <w:divBdr>
                <w:top w:val="none" w:sz="0" w:space="0" w:color="auto"/>
                <w:left w:val="none" w:sz="0" w:space="0" w:color="auto"/>
                <w:bottom w:val="none" w:sz="0" w:space="0" w:color="auto"/>
                <w:right w:val="none" w:sz="0" w:space="0" w:color="auto"/>
              </w:divBdr>
            </w:div>
          </w:divsChild>
        </w:div>
        <w:div w:id="681589306">
          <w:marLeft w:val="0"/>
          <w:marRight w:val="0"/>
          <w:marTop w:val="0"/>
          <w:marBottom w:val="0"/>
          <w:divBdr>
            <w:top w:val="none" w:sz="0" w:space="0" w:color="auto"/>
            <w:left w:val="none" w:sz="0" w:space="0" w:color="auto"/>
            <w:bottom w:val="none" w:sz="0" w:space="0" w:color="auto"/>
            <w:right w:val="none" w:sz="0" w:space="0" w:color="auto"/>
          </w:divBdr>
          <w:divsChild>
            <w:div w:id="208804180">
              <w:marLeft w:val="0"/>
              <w:marRight w:val="0"/>
              <w:marTop w:val="0"/>
              <w:marBottom w:val="0"/>
              <w:divBdr>
                <w:top w:val="none" w:sz="0" w:space="0" w:color="auto"/>
                <w:left w:val="none" w:sz="0" w:space="0" w:color="auto"/>
                <w:bottom w:val="none" w:sz="0" w:space="0" w:color="auto"/>
                <w:right w:val="none" w:sz="0" w:space="0" w:color="auto"/>
              </w:divBdr>
            </w:div>
          </w:divsChild>
        </w:div>
        <w:div w:id="690451652">
          <w:marLeft w:val="0"/>
          <w:marRight w:val="0"/>
          <w:marTop w:val="0"/>
          <w:marBottom w:val="0"/>
          <w:divBdr>
            <w:top w:val="none" w:sz="0" w:space="0" w:color="auto"/>
            <w:left w:val="none" w:sz="0" w:space="0" w:color="auto"/>
            <w:bottom w:val="none" w:sz="0" w:space="0" w:color="auto"/>
            <w:right w:val="none" w:sz="0" w:space="0" w:color="auto"/>
          </w:divBdr>
          <w:divsChild>
            <w:div w:id="1075392236">
              <w:marLeft w:val="0"/>
              <w:marRight w:val="0"/>
              <w:marTop w:val="0"/>
              <w:marBottom w:val="0"/>
              <w:divBdr>
                <w:top w:val="none" w:sz="0" w:space="0" w:color="auto"/>
                <w:left w:val="none" w:sz="0" w:space="0" w:color="auto"/>
                <w:bottom w:val="none" w:sz="0" w:space="0" w:color="auto"/>
                <w:right w:val="none" w:sz="0" w:space="0" w:color="auto"/>
              </w:divBdr>
            </w:div>
          </w:divsChild>
        </w:div>
        <w:div w:id="862089798">
          <w:marLeft w:val="0"/>
          <w:marRight w:val="0"/>
          <w:marTop w:val="0"/>
          <w:marBottom w:val="0"/>
          <w:divBdr>
            <w:top w:val="none" w:sz="0" w:space="0" w:color="auto"/>
            <w:left w:val="none" w:sz="0" w:space="0" w:color="auto"/>
            <w:bottom w:val="none" w:sz="0" w:space="0" w:color="auto"/>
            <w:right w:val="none" w:sz="0" w:space="0" w:color="auto"/>
          </w:divBdr>
          <w:divsChild>
            <w:div w:id="1349454336">
              <w:marLeft w:val="0"/>
              <w:marRight w:val="0"/>
              <w:marTop w:val="0"/>
              <w:marBottom w:val="0"/>
              <w:divBdr>
                <w:top w:val="none" w:sz="0" w:space="0" w:color="auto"/>
                <w:left w:val="none" w:sz="0" w:space="0" w:color="auto"/>
                <w:bottom w:val="none" w:sz="0" w:space="0" w:color="auto"/>
                <w:right w:val="none" w:sz="0" w:space="0" w:color="auto"/>
              </w:divBdr>
            </w:div>
          </w:divsChild>
        </w:div>
        <w:div w:id="891422630">
          <w:marLeft w:val="0"/>
          <w:marRight w:val="0"/>
          <w:marTop w:val="0"/>
          <w:marBottom w:val="0"/>
          <w:divBdr>
            <w:top w:val="none" w:sz="0" w:space="0" w:color="auto"/>
            <w:left w:val="none" w:sz="0" w:space="0" w:color="auto"/>
            <w:bottom w:val="none" w:sz="0" w:space="0" w:color="auto"/>
            <w:right w:val="none" w:sz="0" w:space="0" w:color="auto"/>
          </w:divBdr>
          <w:divsChild>
            <w:div w:id="1245451240">
              <w:marLeft w:val="0"/>
              <w:marRight w:val="0"/>
              <w:marTop w:val="0"/>
              <w:marBottom w:val="0"/>
              <w:divBdr>
                <w:top w:val="none" w:sz="0" w:space="0" w:color="auto"/>
                <w:left w:val="none" w:sz="0" w:space="0" w:color="auto"/>
                <w:bottom w:val="none" w:sz="0" w:space="0" w:color="auto"/>
                <w:right w:val="none" w:sz="0" w:space="0" w:color="auto"/>
              </w:divBdr>
            </w:div>
          </w:divsChild>
        </w:div>
        <w:div w:id="1034497892">
          <w:marLeft w:val="0"/>
          <w:marRight w:val="0"/>
          <w:marTop w:val="0"/>
          <w:marBottom w:val="0"/>
          <w:divBdr>
            <w:top w:val="none" w:sz="0" w:space="0" w:color="auto"/>
            <w:left w:val="none" w:sz="0" w:space="0" w:color="auto"/>
            <w:bottom w:val="none" w:sz="0" w:space="0" w:color="auto"/>
            <w:right w:val="none" w:sz="0" w:space="0" w:color="auto"/>
          </w:divBdr>
          <w:divsChild>
            <w:div w:id="939917617">
              <w:marLeft w:val="0"/>
              <w:marRight w:val="0"/>
              <w:marTop w:val="0"/>
              <w:marBottom w:val="0"/>
              <w:divBdr>
                <w:top w:val="none" w:sz="0" w:space="0" w:color="auto"/>
                <w:left w:val="none" w:sz="0" w:space="0" w:color="auto"/>
                <w:bottom w:val="none" w:sz="0" w:space="0" w:color="auto"/>
                <w:right w:val="none" w:sz="0" w:space="0" w:color="auto"/>
              </w:divBdr>
            </w:div>
          </w:divsChild>
        </w:div>
        <w:div w:id="1042096236">
          <w:marLeft w:val="0"/>
          <w:marRight w:val="0"/>
          <w:marTop w:val="0"/>
          <w:marBottom w:val="0"/>
          <w:divBdr>
            <w:top w:val="none" w:sz="0" w:space="0" w:color="auto"/>
            <w:left w:val="none" w:sz="0" w:space="0" w:color="auto"/>
            <w:bottom w:val="none" w:sz="0" w:space="0" w:color="auto"/>
            <w:right w:val="none" w:sz="0" w:space="0" w:color="auto"/>
          </w:divBdr>
          <w:divsChild>
            <w:div w:id="1480489997">
              <w:marLeft w:val="0"/>
              <w:marRight w:val="0"/>
              <w:marTop w:val="0"/>
              <w:marBottom w:val="0"/>
              <w:divBdr>
                <w:top w:val="none" w:sz="0" w:space="0" w:color="auto"/>
                <w:left w:val="none" w:sz="0" w:space="0" w:color="auto"/>
                <w:bottom w:val="none" w:sz="0" w:space="0" w:color="auto"/>
                <w:right w:val="none" w:sz="0" w:space="0" w:color="auto"/>
              </w:divBdr>
            </w:div>
          </w:divsChild>
        </w:div>
        <w:div w:id="1079668536">
          <w:marLeft w:val="0"/>
          <w:marRight w:val="0"/>
          <w:marTop w:val="0"/>
          <w:marBottom w:val="0"/>
          <w:divBdr>
            <w:top w:val="none" w:sz="0" w:space="0" w:color="auto"/>
            <w:left w:val="none" w:sz="0" w:space="0" w:color="auto"/>
            <w:bottom w:val="none" w:sz="0" w:space="0" w:color="auto"/>
            <w:right w:val="none" w:sz="0" w:space="0" w:color="auto"/>
          </w:divBdr>
          <w:divsChild>
            <w:div w:id="1855266760">
              <w:marLeft w:val="0"/>
              <w:marRight w:val="0"/>
              <w:marTop w:val="0"/>
              <w:marBottom w:val="0"/>
              <w:divBdr>
                <w:top w:val="none" w:sz="0" w:space="0" w:color="auto"/>
                <w:left w:val="none" w:sz="0" w:space="0" w:color="auto"/>
                <w:bottom w:val="none" w:sz="0" w:space="0" w:color="auto"/>
                <w:right w:val="none" w:sz="0" w:space="0" w:color="auto"/>
              </w:divBdr>
            </w:div>
          </w:divsChild>
        </w:div>
        <w:div w:id="1111361052">
          <w:marLeft w:val="0"/>
          <w:marRight w:val="0"/>
          <w:marTop w:val="0"/>
          <w:marBottom w:val="0"/>
          <w:divBdr>
            <w:top w:val="none" w:sz="0" w:space="0" w:color="auto"/>
            <w:left w:val="none" w:sz="0" w:space="0" w:color="auto"/>
            <w:bottom w:val="none" w:sz="0" w:space="0" w:color="auto"/>
            <w:right w:val="none" w:sz="0" w:space="0" w:color="auto"/>
          </w:divBdr>
          <w:divsChild>
            <w:div w:id="1583565287">
              <w:marLeft w:val="0"/>
              <w:marRight w:val="0"/>
              <w:marTop w:val="0"/>
              <w:marBottom w:val="0"/>
              <w:divBdr>
                <w:top w:val="none" w:sz="0" w:space="0" w:color="auto"/>
                <w:left w:val="none" w:sz="0" w:space="0" w:color="auto"/>
                <w:bottom w:val="none" w:sz="0" w:space="0" w:color="auto"/>
                <w:right w:val="none" w:sz="0" w:space="0" w:color="auto"/>
              </w:divBdr>
            </w:div>
          </w:divsChild>
        </w:div>
        <w:div w:id="1124080755">
          <w:marLeft w:val="0"/>
          <w:marRight w:val="0"/>
          <w:marTop w:val="0"/>
          <w:marBottom w:val="0"/>
          <w:divBdr>
            <w:top w:val="none" w:sz="0" w:space="0" w:color="auto"/>
            <w:left w:val="none" w:sz="0" w:space="0" w:color="auto"/>
            <w:bottom w:val="none" w:sz="0" w:space="0" w:color="auto"/>
            <w:right w:val="none" w:sz="0" w:space="0" w:color="auto"/>
          </w:divBdr>
          <w:divsChild>
            <w:div w:id="347027952">
              <w:marLeft w:val="0"/>
              <w:marRight w:val="0"/>
              <w:marTop w:val="0"/>
              <w:marBottom w:val="0"/>
              <w:divBdr>
                <w:top w:val="none" w:sz="0" w:space="0" w:color="auto"/>
                <w:left w:val="none" w:sz="0" w:space="0" w:color="auto"/>
                <w:bottom w:val="none" w:sz="0" w:space="0" w:color="auto"/>
                <w:right w:val="none" w:sz="0" w:space="0" w:color="auto"/>
              </w:divBdr>
            </w:div>
          </w:divsChild>
        </w:div>
        <w:div w:id="1132790581">
          <w:marLeft w:val="0"/>
          <w:marRight w:val="0"/>
          <w:marTop w:val="0"/>
          <w:marBottom w:val="0"/>
          <w:divBdr>
            <w:top w:val="none" w:sz="0" w:space="0" w:color="auto"/>
            <w:left w:val="none" w:sz="0" w:space="0" w:color="auto"/>
            <w:bottom w:val="none" w:sz="0" w:space="0" w:color="auto"/>
            <w:right w:val="none" w:sz="0" w:space="0" w:color="auto"/>
          </w:divBdr>
          <w:divsChild>
            <w:div w:id="547376375">
              <w:marLeft w:val="0"/>
              <w:marRight w:val="0"/>
              <w:marTop w:val="0"/>
              <w:marBottom w:val="0"/>
              <w:divBdr>
                <w:top w:val="none" w:sz="0" w:space="0" w:color="auto"/>
                <w:left w:val="none" w:sz="0" w:space="0" w:color="auto"/>
                <w:bottom w:val="none" w:sz="0" w:space="0" w:color="auto"/>
                <w:right w:val="none" w:sz="0" w:space="0" w:color="auto"/>
              </w:divBdr>
            </w:div>
          </w:divsChild>
        </w:div>
        <w:div w:id="1139880693">
          <w:marLeft w:val="0"/>
          <w:marRight w:val="0"/>
          <w:marTop w:val="0"/>
          <w:marBottom w:val="0"/>
          <w:divBdr>
            <w:top w:val="none" w:sz="0" w:space="0" w:color="auto"/>
            <w:left w:val="none" w:sz="0" w:space="0" w:color="auto"/>
            <w:bottom w:val="none" w:sz="0" w:space="0" w:color="auto"/>
            <w:right w:val="none" w:sz="0" w:space="0" w:color="auto"/>
          </w:divBdr>
          <w:divsChild>
            <w:div w:id="1335960210">
              <w:marLeft w:val="0"/>
              <w:marRight w:val="0"/>
              <w:marTop w:val="0"/>
              <w:marBottom w:val="0"/>
              <w:divBdr>
                <w:top w:val="none" w:sz="0" w:space="0" w:color="auto"/>
                <w:left w:val="none" w:sz="0" w:space="0" w:color="auto"/>
                <w:bottom w:val="none" w:sz="0" w:space="0" w:color="auto"/>
                <w:right w:val="none" w:sz="0" w:space="0" w:color="auto"/>
              </w:divBdr>
            </w:div>
          </w:divsChild>
        </w:div>
        <w:div w:id="1166363686">
          <w:marLeft w:val="0"/>
          <w:marRight w:val="0"/>
          <w:marTop w:val="0"/>
          <w:marBottom w:val="0"/>
          <w:divBdr>
            <w:top w:val="none" w:sz="0" w:space="0" w:color="auto"/>
            <w:left w:val="none" w:sz="0" w:space="0" w:color="auto"/>
            <w:bottom w:val="none" w:sz="0" w:space="0" w:color="auto"/>
            <w:right w:val="none" w:sz="0" w:space="0" w:color="auto"/>
          </w:divBdr>
          <w:divsChild>
            <w:div w:id="1698043437">
              <w:marLeft w:val="0"/>
              <w:marRight w:val="0"/>
              <w:marTop w:val="0"/>
              <w:marBottom w:val="0"/>
              <w:divBdr>
                <w:top w:val="none" w:sz="0" w:space="0" w:color="auto"/>
                <w:left w:val="none" w:sz="0" w:space="0" w:color="auto"/>
                <w:bottom w:val="none" w:sz="0" w:space="0" w:color="auto"/>
                <w:right w:val="none" w:sz="0" w:space="0" w:color="auto"/>
              </w:divBdr>
            </w:div>
          </w:divsChild>
        </w:div>
        <w:div w:id="1200506248">
          <w:marLeft w:val="0"/>
          <w:marRight w:val="0"/>
          <w:marTop w:val="0"/>
          <w:marBottom w:val="0"/>
          <w:divBdr>
            <w:top w:val="none" w:sz="0" w:space="0" w:color="auto"/>
            <w:left w:val="none" w:sz="0" w:space="0" w:color="auto"/>
            <w:bottom w:val="none" w:sz="0" w:space="0" w:color="auto"/>
            <w:right w:val="none" w:sz="0" w:space="0" w:color="auto"/>
          </w:divBdr>
          <w:divsChild>
            <w:div w:id="791167900">
              <w:marLeft w:val="0"/>
              <w:marRight w:val="0"/>
              <w:marTop w:val="0"/>
              <w:marBottom w:val="0"/>
              <w:divBdr>
                <w:top w:val="none" w:sz="0" w:space="0" w:color="auto"/>
                <w:left w:val="none" w:sz="0" w:space="0" w:color="auto"/>
                <w:bottom w:val="none" w:sz="0" w:space="0" w:color="auto"/>
                <w:right w:val="none" w:sz="0" w:space="0" w:color="auto"/>
              </w:divBdr>
            </w:div>
          </w:divsChild>
        </w:div>
        <w:div w:id="1238127662">
          <w:marLeft w:val="0"/>
          <w:marRight w:val="0"/>
          <w:marTop w:val="0"/>
          <w:marBottom w:val="0"/>
          <w:divBdr>
            <w:top w:val="none" w:sz="0" w:space="0" w:color="auto"/>
            <w:left w:val="none" w:sz="0" w:space="0" w:color="auto"/>
            <w:bottom w:val="none" w:sz="0" w:space="0" w:color="auto"/>
            <w:right w:val="none" w:sz="0" w:space="0" w:color="auto"/>
          </w:divBdr>
          <w:divsChild>
            <w:div w:id="1348213290">
              <w:marLeft w:val="0"/>
              <w:marRight w:val="0"/>
              <w:marTop w:val="0"/>
              <w:marBottom w:val="0"/>
              <w:divBdr>
                <w:top w:val="none" w:sz="0" w:space="0" w:color="auto"/>
                <w:left w:val="none" w:sz="0" w:space="0" w:color="auto"/>
                <w:bottom w:val="none" w:sz="0" w:space="0" w:color="auto"/>
                <w:right w:val="none" w:sz="0" w:space="0" w:color="auto"/>
              </w:divBdr>
            </w:div>
          </w:divsChild>
        </w:div>
        <w:div w:id="1268544836">
          <w:marLeft w:val="0"/>
          <w:marRight w:val="0"/>
          <w:marTop w:val="0"/>
          <w:marBottom w:val="0"/>
          <w:divBdr>
            <w:top w:val="none" w:sz="0" w:space="0" w:color="auto"/>
            <w:left w:val="none" w:sz="0" w:space="0" w:color="auto"/>
            <w:bottom w:val="none" w:sz="0" w:space="0" w:color="auto"/>
            <w:right w:val="none" w:sz="0" w:space="0" w:color="auto"/>
          </w:divBdr>
          <w:divsChild>
            <w:div w:id="1517310530">
              <w:marLeft w:val="0"/>
              <w:marRight w:val="0"/>
              <w:marTop w:val="0"/>
              <w:marBottom w:val="0"/>
              <w:divBdr>
                <w:top w:val="none" w:sz="0" w:space="0" w:color="auto"/>
                <w:left w:val="none" w:sz="0" w:space="0" w:color="auto"/>
                <w:bottom w:val="none" w:sz="0" w:space="0" w:color="auto"/>
                <w:right w:val="none" w:sz="0" w:space="0" w:color="auto"/>
              </w:divBdr>
            </w:div>
          </w:divsChild>
        </w:div>
        <w:div w:id="1377271738">
          <w:marLeft w:val="0"/>
          <w:marRight w:val="0"/>
          <w:marTop w:val="0"/>
          <w:marBottom w:val="0"/>
          <w:divBdr>
            <w:top w:val="none" w:sz="0" w:space="0" w:color="auto"/>
            <w:left w:val="none" w:sz="0" w:space="0" w:color="auto"/>
            <w:bottom w:val="none" w:sz="0" w:space="0" w:color="auto"/>
            <w:right w:val="none" w:sz="0" w:space="0" w:color="auto"/>
          </w:divBdr>
          <w:divsChild>
            <w:div w:id="885216731">
              <w:marLeft w:val="0"/>
              <w:marRight w:val="0"/>
              <w:marTop w:val="0"/>
              <w:marBottom w:val="0"/>
              <w:divBdr>
                <w:top w:val="none" w:sz="0" w:space="0" w:color="auto"/>
                <w:left w:val="none" w:sz="0" w:space="0" w:color="auto"/>
                <w:bottom w:val="none" w:sz="0" w:space="0" w:color="auto"/>
                <w:right w:val="none" w:sz="0" w:space="0" w:color="auto"/>
              </w:divBdr>
            </w:div>
          </w:divsChild>
        </w:div>
        <w:div w:id="1380320668">
          <w:marLeft w:val="0"/>
          <w:marRight w:val="0"/>
          <w:marTop w:val="0"/>
          <w:marBottom w:val="0"/>
          <w:divBdr>
            <w:top w:val="none" w:sz="0" w:space="0" w:color="auto"/>
            <w:left w:val="none" w:sz="0" w:space="0" w:color="auto"/>
            <w:bottom w:val="none" w:sz="0" w:space="0" w:color="auto"/>
            <w:right w:val="none" w:sz="0" w:space="0" w:color="auto"/>
          </w:divBdr>
          <w:divsChild>
            <w:div w:id="1916628948">
              <w:marLeft w:val="0"/>
              <w:marRight w:val="0"/>
              <w:marTop w:val="0"/>
              <w:marBottom w:val="0"/>
              <w:divBdr>
                <w:top w:val="none" w:sz="0" w:space="0" w:color="auto"/>
                <w:left w:val="none" w:sz="0" w:space="0" w:color="auto"/>
                <w:bottom w:val="none" w:sz="0" w:space="0" w:color="auto"/>
                <w:right w:val="none" w:sz="0" w:space="0" w:color="auto"/>
              </w:divBdr>
            </w:div>
          </w:divsChild>
        </w:div>
        <w:div w:id="1554388360">
          <w:marLeft w:val="0"/>
          <w:marRight w:val="0"/>
          <w:marTop w:val="0"/>
          <w:marBottom w:val="0"/>
          <w:divBdr>
            <w:top w:val="none" w:sz="0" w:space="0" w:color="auto"/>
            <w:left w:val="none" w:sz="0" w:space="0" w:color="auto"/>
            <w:bottom w:val="none" w:sz="0" w:space="0" w:color="auto"/>
            <w:right w:val="none" w:sz="0" w:space="0" w:color="auto"/>
          </w:divBdr>
          <w:divsChild>
            <w:div w:id="1681083560">
              <w:marLeft w:val="0"/>
              <w:marRight w:val="0"/>
              <w:marTop w:val="0"/>
              <w:marBottom w:val="0"/>
              <w:divBdr>
                <w:top w:val="none" w:sz="0" w:space="0" w:color="auto"/>
                <w:left w:val="none" w:sz="0" w:space="0" w:color="auto"/>
                <w:bottom w:val="none" w:sz="0" w:space="0" w:color="auto"/>
                <w:right w:val="none" w:sz="0" w:space="0" w:color="auto"/>
              </w:divBdr>
            </w:div>
          </w:divsChild>
        </w:div>
        <w:div w:id="1668632516">
          <w:marLeft w:val="0"/>
          <w:marRight w:val="0"/>
          <w:marTop w:val="0"/>
          <w:marBottom w:val="0"/>
          <w:divBdr>
            <w:top w:val="none" w:sz="0" w:space="0" w:color="auto"/>
            <w:left w:val="none" w:sz="0" w:space="0" w:color="auto"/>
            <w:bottom w:val="none" w:sz="0" w:space="0" w:color="auto"/>
            <w:right w:val="none" w:sz="0" w:space="0" w:color="auto"/>
          </w:divBdr>
          <w:divsChild>
            <w:div w:id="172841409">
              <w:marLeft w:val="0"/>
              <w:marRight w:val="0"/>
              <w:marTop w:val="0"/>
              <w:marBottom w:val="0"/>
              <w:divBdr>
                <w:top w:val="none" w:sz="0" w:space="0" w:color="auto"/>
                <w:left w:val="none" w:sz="0" w:space="0" w:color="auto"/>
                <w:bottom w:val="none" w:sz="0" w:space="0" w:color="auto"/>
                <w:right w:val="none" w:sz="0" w:space="0" w:color="auto"/>
              </w:divBdr>
            </w:div>
          </w:divsChild>
        </w:div>
        <w:div w:id="1682858755">
          <w:marLeft w:val="0"/>
          <w:marRight w:val="0"/>
          <w:marTop w:val="0"/>
          <w:marBottom w:val="0"/>
          <w:divBdr>
            <w:top w:val="none" w:sz="0" w:space="0" w:color="auto"/>
            <w:left w:val="none" w:sz="0" w:space="0" w:color="auto"/>
            <w:bottom w:val="none" w:sz="0" w:space="0" w:color="auto"/>
            <w:right w:val="none" w:sz="0" w:space="0" w:color="auto"/>
          </w:divBdr>
          <w:divsChild>
            <w:div w:id="1971475651">
              <w:marLeft w:val="0"/>
              <w:marRight w:val="0"/>
              <w:marTop w:val="0"/>
              <w:marBottom w:val="0"/>
              <w:divBdr>
                <w:top w:val="none" w:sz="0" w:space="0" w:color="auto"/>
                <w:left w:val="none" w:sz="0" w:space="0" w:color="auto"/>
                <w:bottom w:val="none" w:sz="0" w:space="0" w:color="auto"/>
                <w:right w:val="none" w:sz="0" w:space="0" w:color="auto"/>
              </w:divBdr>
            </w:div>
          </w:divsChild>
        </w:div>
        <w:div w:id="1694645638">
          <w:marLeft w:val="0"/>
          <w:marRight w:val="0"/>
          <w:marTop w:val="0"/>
          <w:marBottom w:val="0"/>
          <w:divBdr>
            <w:top w:val="none" w:sz="0" w:space="0" w:color="auto"/>
            <w:left w:val="none" w:sz="0" w:space="0" w:color="auto"/>
            <w:bottom w:val="none" w:sz="0" w:space="0" w:color="auto"/>
            <w:right w:val="none" w:sz="0" w:space="0" w:color="auto"/>
          </w:divBdr>
          <w:divsChild>
            <w:div w:id="316148436">
              <w:marLeft w:val="0"/>
              <w:marRight w:val="0"/>
              <w:marTop w:val="0"/>
              <w:marBottom w:val="0"/>
              <w:divBdr>
                <w:top w:val="none" w:sz="0" w:space="0" w:color="auto"/>
                <w:left w:val="none" w:sz="0" w:space="0" w:color="auto"/>
                <w:bottom w:val="none" w:sz="0" w:space="0" w:color="auto"/>
                <w:right w:val="none" w:sz="0" w:space="0" w:color="auto"/>
              </w:divBdr>
            </w:div>
          </w:divsChild>
        </w:div>
        <w:div w:id="1857033539">
          <w:marLeft w:val="0"/>
          <w:marRight w:val="0"/>
          <w:marTop w:val="0"/>
          <w:marBottom w:val="0"/>
          <w:divBdr>
            <w:top w:val="none" w:sz="0" w:space="0" w:color="auto"/>
            <w:left w:val="none" w:sz="0" w:space="0" w:color="auto"/>
            <w:bottom w:val="none" w:sz="0" w:space="0" w:color="auto"/>
            <w:right w:val="none" w:sz="0" w:space="0" w:color="auto"/>
          </w:divBdr>
          <w:divsChild>
            <w:div w:id="1996645703">
              <w:marLeft w:val="0"/>
              <w:marRight w:val="0"/>
              <w:marTop w:val="0"/>
              <w:marBottom w:val="0"/>
              <w:divBdr>
                <w:top w:val="none" w:sz="0" w:space="0" w:color="auto"/>
                <w:left w:val="none" w:sz="0" w:space="0" w:color="auto"/>
                <w:bottom w:val="none" w:sz="0" w:space="0" w:color="auto"/>
                <w:right w:val="none" w:sz="0" w:space="0" w:color="auto"/>
              </w:divBdr>
            </w:div>
          </w:divsChild>
        </w:div>
        <w:div w:id="1880242213">
          <w:marLeft w:val="0"/>
          <w:marRight w:val="0"/>
          <w:marTop w:val="0"/>
          <w:marBottom w:val="0"/>
          <w:divBdr>
            <w:top w:val="none" w:sz="0" w:space="0" w:color="auto"/>
            <w:left w:val="none" w:sz="0" w:space="0" w:color="auto"/>
            <w:bottom w:val="none" w:sz="0" w:space="0" w:color="auto"/>
            <w:right w:val="none" w:sz="0" w:space="0" w:color="auto"/>
          </w:divBdr>
          <w:divsChild>
            <w:div w:id="1162356968">
              <w:marLeft w:val="0"/>
              <w:marRight w:val="0"/>
              <w:marTop w:val="0"/>
              <w:marBottom w:val="0"/>
              <w:divBdr>
                <w:top w:val="none" w:sz="0" w:space="0" w:color="auto"/>
                <w:left w:val="none" w:sz="0" w:space="0" w:color="auto"/>
                <w:bottom w:val="none" w:sz="0" w:space="0" w:color="auto"/>
                <w:right w:val="none" w:sz="0" w:space="0" w:color="auto"/>
              </w:divBdr>
            </w:div>
          </w:divsChild>
        </w:div>
        <w:div w:id="1905021219">
          <w:marLeft w:val="0"/>
          <w:marRight w:val="0"/>
          <w:marTop w:val="0"/>
          <w:marBottom w:val="0"/>
          <w:divBdr>
            <w:top w:val="none" w:sz="0" w:space="0" w:color="auto"/>
            <w:left w:val="none" w:sz="0" w:space="0" w:color="auto"/>
            <w:bottom w:val="none" w:sz="0" w:space="0" w:color="auto"/>
            <w:right w:val="none" w:sz="0" w:space="0" w:color="auto"/>
          </w:divBdr>
          <w:divsChild>
            <w:div w:id="1962492005">
              <w:marLeft w:val="0"/>
              <w:marRight w:val="0"/>
              <w:marTop w:val="0"/>
              <w:marBottom w:val="0"/>
              <w:divBdr>
                <w:top w:val="none" w:sz="0" w:space="0" w:color="auto"/>
                <w:left w:val="none" w:sz="0" w:space="0" w:color="auto"/>
                <w:bottom w:val="none" w:sz="0" w:space="0" w:color="auto"/>
                <w:right w:val="none" w:sz="0" w:space="0" w:color="auto"/>
              </w:divBdr>
            </w:div>
          </w:divsChild>
        </w:div>
        <w:div w:id="1910846947">
          <w:marLeft w:val="0"/>
          <w:marRight w:val="0"/>
          <w:marTop w:val="0"/>
          <w:marBottom w:val="0"/>
          <w:divBdr>
            <w:top w:val="none" w:sz="0" w:space="0" w:color="auto"/>
            <w:left w:val="none" w:sz="0" w:space="0" w:color="auto"/>
            <w:bottom w:val="none" w:sz="0" w:space="0" w:color="auto"/>
            <w:right w:val="none" w:sz="0" w:space="0" w:color="auto"/>
          </w:divBdr>
          <w:divsChild>
            <w:div w:id="1577933940">
              <w:marLeft w:val="0"/>
              <w:marRight w:val="0"/>
              <w:marTop w:val="0"/>
              <w:marBottom w:val="0"/>
              <w:divBdr>
                <w:top w:val="none" w:sz="0" w:space="0" w:color="auto"/>
                <w:left w:val="none" w:sz="0" w:space="0" w:color="auto"/>
                <w:bottom w:val="none" w:sz="0" w:space="0" w:color="auto"/>
                <w:right w:val="none" w:sz="0" w:space="0" w:color="auto"/>
              </w:divBdr>
            </w:div>
          </w:divsChild>
        </w:div>
        <w:div w:id="1963806582">
          <w:marLeft w:val="0"/>
          <w:marRight w:val="0"/>
          <w:marTop w:val="0"/>
          <w:marBottom w:val="0"/>
          <w:divBdr>
            <w:top w:val="none" w:sz="0" w:space="0" w:color="auto"/>
            <w:left w:val="none" w:sz="0" w:space="0" w:color="auto"/>
            <w:bottom w:val="none" w:sz="0" w:space="0" w:color="auto"/>
            <w:right w:val="none" w:sz="0" w:space="0" w:color="auto"/>
          </w:divBdr>
          <w:divsChild>
            <w:div w:id="889076203">
              <w:marLeft w:val="0"/>
              <w:marRight w:val="0"/>
              <w:marTop w:val="0"/>
              <w:marBottom w:val="0"/>
              <w:divBdr>
                <w:top w:val="none" w:sz="0" w:space="0" w:color="auto"/>
                <w:left w:val="none" w:sz="0" w:space="0" w:color="auto"/>
                <w:bottom w:val="none" w:sz="0" w:space="0" w:color="auto"/>
                <w:right w:val="none" w:sz="0" w:space="0" w:color="auto"/>
              </w:divBdr>
            </w:div>
          </w:divsChild>
        </w:div>
        <w:div w:id="1993484823">
          <w:marLeft w:val="0"/>
          <w:marRight w:val="0"/>
          <w:marTop w:val="0"/>
          <w:marBottom w:val="0"/>
          <w:divBdr>
            <w:top w:val="none" w:sz="0" w:space="0" w:color="auto"/>
            <w:left w:val="none" w:sz="0" w:space="0" w:color="auto"/>
            <w:bottom w:val="none" w:sz="0" w:space="0" w:color="auto"/>
            <w:right w:val="none" w:sz="0" w:space="0" w:color="auto"/>
          </w:divBdr>
          <w:divsChild>
            <w:div w:id="540824405">
              <w:marLeft w:val="0"/>
              <w:marRight w:val="0"/>
              <w:marTop w:val="0"/>
              <w:marBottom w:val="0"/>
              <w:divBdr>
                <w:top w:val="none" w:sz="0" w:space="0" w:color="auto"/>
                <w:left w:val="none" w:sz="0" w:space="0" w:color="auto"/>
                <w:bottom w:val="none" w:sz="0" w:space="0" w:color="auto"/>
                <w:right w:val="none" w:sz="0" w:space="0" w:color="auto"/>
              </w:divBdr>
            </w:div>
          </w:divsChild>
        </w:div>
        <w:div w:id="2052338302">
          <w:marLeft w:val="0"/>
          <w:marRight w:val="0"/>
          <w:marTop w:val="0"/>
          <w:marBottom w:val="0"/>
          <w:divBdr>
            <w:top w:val="none" w:sz="0" w:space="0" w:color="auto"/>
            <w:left w:val="none" w:sz="0" w:space="0" w:color="auto"/>
            <w:bottom w:val="none" w:sz="0" w:space="0" w:color="auto"/>
            <w:right w:val="none" w:sz="0" w:space="0" w:color="auto"/>
          </w:divBdr>
          <w:divsChild>
            <w:div w:id="1833793097">
              <w:marLeft w:val="0"/>
              <w:marRight w:val="0"/>
              <w:marTop w:val="0"/>
              <w:marBottom w:val="0"/>
              <w:divBdr>
                <w:top w:val="none" w:sz="0" w:space="0" w:color="auto"/>
                <w:left w:val="none" w:sz="0" w:space="0" w:color="auto"/>
                <w:bottom w:val="none" w:sz="0" w:space="0" w:color="auto"/>
                <w:right w:val="none" w:sz="0" w:space="0" w:color="auto"/>
              </w:divBdr>
            </w:div>
          </w:divsChild>
        </w:div>
        <w:div w:id="2135564026">
          <w:marLeft w:val="0"/>
          <w:marRight w:val="0"/>
          <w:marTop w:val="0"/>
          <w:marBottom w:val="0"/>
          <w:divBdr>
            <w:top w:val="none" w:sz="0" w:space="0" w:color="auto"/>
            <w:left w:val="none" w:sz="0" w:space="0" w:color="auto"/>
            <w:bottom w:val="none" w:sz="0" w:space="0" w:color="auto"/>
            <w:right w:val="none" w:sz="0" w:space="0" w:color="auto"/>
          </w:divBdr>
          <w:divsChild>
            <w:div w:id="2145805239">
              <w:marLeft w:val="0"/>
              <w:marRight w:val="0"/>
              <w:marTop w:val="0"/>
              <w:marBottom w:val="0"/>
              <w:divBdr>
                <w:top w:val="none" w:sz="0" w:space="0" w:color="auto"/>
                <w:left w:val="none" w:sz="0" w:space="0" w:color="auto"/>
                <w:bottom w:val="none" w:sz="0" w:space="0" w:color="auto"/>
                <w:right w:val="none" w:sz="0" w:space="0" w:color="auto"/>
              </w:divBdr>
            </w:div>
          </w:divsChild>
        </w:div>
        <w:div w:id="2146966349">
          <w:marLeft w:val="0"/>
          <w:marRight w:val="0"/>
          <w:marTop w:val="0"/>
          <w:marBottom w:val="0"/>
          <w:divBdr>
            <w:top w:val="none" w:sz="0" w:space="0" w:color="auto"/>
            <w:left w:val="none" w:sz="0" w:space="0" w:color="auto"/>
            <w:bottom w:val="none" w:sz="0" w:space="0" w:color="auto"/>
            <w:right w:val="none" w:sz="0" w:space="0" w:color="auto"/>
          </w:divBdr>
          <w:divsChild>
            <w:div w:id="6397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79744">
      <w:marLeft w:val="0"/>
      <w:marRight w:val="0"/>
      <w:marTop w:val="0"/>
      <w:marBottom w:val="0"/>
      <w:divBdr>
        <w:top w:val="none" w:sz="0" w:space="0" w:color="auto"/>
        <w:left w:val="none" w:sz="0" w:space="0" w:color="auto"/>
        <w:bottom w:val="none" w:sz="0" w:space="0" w:color="auto"/>
        <w:right w:val="none" w:sz="0" w:space="0" w:color="auto"/>
      </w:divBdr>
    </w:div>
    <w:div w:id="1469979746">
      <w:marLeft w:val="0"/>
      <w:marRight w:val="0"/>
      <w:marTop w:val="0"/>
      <w:marBottom w:val="0"/>
      <w:divBdr>
        <w:top w:val="none" w:sz="0" w:space="0" w:color="auto"/>
        <w:left w:val="none" w:sz="0" w:space="0" w:color="auto"/>
        <w:bottom w:val="none" w:sz="0" w:space="0" w:color="auto"/>
        <w:right w:val="none" w:sz="0" w:space="0" w:color="auto"/>
      </w:divBdr>
    </w:div>
    <w:div w:id="1469979747">
      <w:marLeft w:val="0"/>
      <w:marRight w:val="0"/>
      <w:marTop w:val="0"/>
      <w:marBottom w:val="0"/>
      <w:divBdr>
        <w:top w:val="none" w:sz="0" w:space="0" w:color="auto"/>
        <w:left w:val="none" w:sz="0" w:space="0" w:color="auto"/>
        <w:bottom w:val="none" w:sz="0" w:space="0" w:color="auto"/>
        <w:right w:val="none" w:sz="0" w:space="0" w:color="auto"/>
      </w:divBdr>
    </w:div>
    <w:div w:id="1469979748">
      <w:marLeft w:val="0"/>
      <w:marRight w:val="0"/>
      <w:marTop w:val="0"/>
      <w:marBottom w:val="0"/>
      <w:divBdr>
        <w:top w:val="none" w:sz="0" w:space="0" w:color="auto"/>
        <w:left w:val="none" w:sz="0" w:space="0" w:color="auto"/>
        <w:bottom w:val="none" w:sz="0" w:space="0" w:color="auto"/>
        <w:right w:val="none" w:sz="0" w:space="0" w:color="auto"/>
      </w:divBdr>
    </w:div>
    <w:div w:id="1469979749">
      <w:marLeft w:val="0"/>
      <w:marRight w:val="0"/>
      <w:marTop w:val="0"/>
      <w:marBottom w:val="0"/>
      <w:divBdr>
        <w:top w:val="none" w:sz="0" w:space="0" w:color="auto"/>
        <w:left w:val="none" w:sz="0" w:space="0" w:color="auto"/>
        <w:bottom w:val="none" w:sz="0" w:space="0" w:color="auto"/>
        <w:right w:val="none" w:sz="0" w:space="0" w:color="auto"/>
      </w:divBdr>
    </w:div>
    <w:div w:id="1469979750">
      <w:marLeft w:val="0"/>
      <w:marRight w:val="0"/>
      <w:marTop w:val="0"/>
      <w:marBottom w:val="0"/>
      <w:divBdr>
        <w:top w:val="none" w:sz="0" w:space="0" w:color="auto"/>
        <w:left w:val="none" w:sz="0" w:space="0" w:color="auto"/>
        <w:bottom w:val="none" w:sz="0" w:space="0" w:color="auto"/>
        <w:right w:val="none" w:sz="0" w:space="0" w:color="auto"/>
      </w:divBdr>
    </w:div>
    <w:div w:id="1469979751">
      <w:marLeft w:val="0"/>
      <w:marRight w:val="0"/>
      <w:marTop w:val="0"/>
      <w:marBottom w:val="0"/>
      <w:divBdr>
        <w:top w:val="none" w:sz="0" w:space="0" w:color="auto"/>
        <w:left w:val="none" w:sz="0" w:space="0" w:color="auto"/>
        <w:bottom w:val="none" w:sz="0" w:space="0" w:color="auto"/>
        <w:right w:val="none" w:sz="0" w:space="0" w:color="auto"/>
      </w:divBdr>
      <w:divsChild>
        <w:div w:id="1469979745">
          <w:marLeft w:val="0"/>
          <w:marRight w:val="0"/>
          <w:marTop w:val="120"/>
          <w:marBottom w:val="360"/>
          <w:divBdr>
            <w:top w:val="none" w:sz="0" w:space="0" w:color="auto"/>
            <w:left w:val="none" w:sz="0" w:space="0" w:color="auto"/>
            <w:bottom w:val="none" w:sz="0" w:space="0" w:color="auto"/>
            <w:right w:val="none" w:sz="0" w:space="0" w:color="auto"/>
          </w:divBdr>
          <w:divsChild>
            <w:div w:id="1469979743">
              <w:marLeft w:val="0"/>
              <w:marRight w:val="0"/>
              <w:marTop w:val="0"/>
              <w:marBottom w:val="0"/>
              <w:divBdr>
                <w:top w:val="none" w:sz="0" w:space="0" w:color="auto"/>
                <w:left w:val="none" w:sz="0" w:space="0" w:color="auto"/>
                <w:bottom w:val="none" w:sz="0" w:space="0" w:color="auto"/>
                <w:right w:val="none" w:sz="0" w:space="0" w:color="auto"/>
              </w:divBdr>
            </w:div>
            <w:div w:id="1469979752">
              <w:marLeft w:val="0"/>
              <w:marRight w:val="0"/>
              <w:marTop w:val="0"/>
              <w:marBottom w:val="0"/>
              <w:divBdr>
                <w:top w:val="none" w:sz="0" w:space="0" w:color="auto"/>
                <w:left w:val="none" w:sz="0" w:space="0" w:color="auto"/>
                <w:bottom w:val="none" w:sz="0" w:space="0" w:color="auto"/>
                <w:right w:val="none" w:sz="0" w:space="0" w:color="auto"/>
              </w:divBdr>
            </w:div>
            <w:div w:id="1469979753">
              <w:marLeft w:val="0"/>
              <w:marRight w:val="0"/>
              <w:marTop w:val="240"/>
              <w:marBottom w:val="100"/>
              <w:divBdr>
                <w:top w:val="none" w:sz="0" w:space="0" w:color="auto"/>
                <w:left w:val="none" w:sz="0" w:space="0" w:color="auto"/>
                <w:bottom w:val="none" w:sz="0" w:space="0" w:color="auto"/>
                <w:right w:val="none" w:sz="0" w:space="0" w:color="auto"/>
              </w:divBdr>
              <w:divsChild>
                <w:div w:id="1469979764">
                  <w:marLeft w:val="0"/>
                  <w:marRight w:val="0"/>
                  <w:marTop w:val="0"/>
                  <w:marBottom w:val="0"/>
                  <w:divBdr>
                    <w:top w:val="none" w:sz="0" w:space="0" w:color="auto"/>
                    <w:left w:val="none" w:sz="0" w:space="0" w:color="auto"/>
                    <w:bottom w:val="none" w:sz="0" w:space="0" w:color="auto"/>
                    <w:right w:val="none" w:sz="0" w:space="0" w:color="auto"/>
                  </w:divBdr>
                </w:div>
              </w:divsChild>
            </w:div>
            <w:div w:id="14699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79754">
      <w:marLeft w:val="0"/>
      <w:marRight w:val="0"/>
      <w:marTop w:val="0"/>
      <w:marBottom w:val="0"/>
      <w:divBdr>
        <w:top w:val="none" w:sz="0" w:space="0" w:color="auto"/>
        <w:left w:val="none" w:sz="0" w:space="0" w:color="auto"/>
        <w:bottom w:val="none" w:sz="0" w:space="0" w:color="auto"/>
        <w:right w:val="none" w:sz="0" w:space="0" w:color="auto"/>
      </w:divBdr>
    </w:div>
    <w:div w:id="1469979755">
      <w:marLeft w:val="0"/>
      <w:marRight w:val="0"/>
      <w:marTop w:val="0"/>
      <w:marBottom w:val="0"/>
      <w:divBdr>
        <w:top w:val="none" w:sz="0" w:space="0" w:color="auto"/>
        <w:left w:val="none" w:sz="0" w:space="0" w:color="auto"/>
        <w:bottom w:val="none" w:sz="0" w:space="0" w:color="auto"/>
        <w:right w:val="none" w:sz="0" w:space="0" w:color="auto"/>
      </w:divBdr>
    </w:div>
    <w:div w:id="1469979756">
      <w:marLeft w:val="0"/>
      <w:marRight w:val="0"/>
      <w:marTop w:val="0"/>
      <w:marBottom w:val="0"/>
      <w:divBdr>
        <w:top w:val="none" w:sz="0" w:space="0" w:color="auto"/>
        <w:left w:val="none" w:sz="0" w:space="0" w:color="auto"/>
        <w:bottom w:val="none" w:sz="0" w:space="0" w:color="auto"/>
        <w:right w:val="none" w:sz="0" w:space="0" w:color="auto"/>
      </w:divBdr>
    </w:div>
    <w:div w:id="1469979757">
      <w:marLeft w:val="0"/>
      <w:marRight w:val="0"/>
      <w:marTop w:val="0"/>
      <w:marBottom w:val="0"/>
      <w:divBdr>
        <w:top w:val="none" w:sz="0" w:space="0" w:color="auto"/>
        <w:left w:val="none" w:sz="0" w:space="0" w:color="auto"/>
        <w:bottom w:val="none" w:sz="0" w:space="0" w:color="auto"/>
        <w:right w:val="none" w:sz="0" w:space="0" w:color="auto"/>
      </w:divBdr>
    </w:div>
    <w:div w:id="1469979758">
      <w:marLeft w:val="0"/>
      <w:marRight w:val="0"/>
      <w:marTop w:val="0"/>
      <w:marBottom w:val="0"/>
      <w:divBdr>
        <w:top w:val="none" w:sz="0" w:space="0" w:color="auto"/>
        <w:left w:val="none" w:sz="0" w:space="0" w:color="auto"/>
        <w:bottom w:val="none" w:sz="0" w:space="0" w:color="auto"/>
        <w:right w:val="none" w:sz="0" w:space="0" w:color="auto"/>
      </w:divBdr>
    </w:div>
    <w:div w:id="1469979759">
      <w:marLeft w:val="0"/>
      <w:marRight w:val="0"/>
      <w:marTop w:val="0"/>
      <w:marBottom w:val="0"/>
      <w:divBdr>
        <w:top w:val="none" w:sz="0" w:space="0" w:color="auto"/>
        <w:left w:val="none" w:sz="0" w:space="0" w:color="auto"/>
        <w:bottom w:val="none" w:sz="0" w:space="0" w:color="auto"/>
        <w:right w:val="none" w:sz="0" w:space="0" w:color="auto"/>
      </w:divBdr>
    </w:div>
    <w:div w:id="1469979761">
      <w:marLeft w:val="0"/>
      <w:marRight w:val="0"/>
      <w:marTop w:val="0"/>
      <w:marBottom w:val="0"/>
      <w:divBdr>
        <w:top w:val="none" w:sz="0" w:space="0" w:color="auto"/>
        <w:left w:val="none" w:sz="0" w:space="0" w:color="auto"/>
        <w:bottom w:val="none" w:sz="0" w:space="0" w:color="auto"/>
        <w:right w:val="none" w:sz="0" w:space="0" w:color="auto"/>
      </w:divBdr>
    </w:div>
    <w:div w:id="1469979762">
      <w:marLeft w:val="0"/>
      <w:marRight w:val="0"/>
      <w:marTop w:val="0"/>
      <w:marBottom w:val="0"/>
      <w:divBdr>
        <w:top w:val="none" w:sz="0" w:space="0" w:color="auto"/>
        <w:left w:val="none" w:sz="0" w:space="0" w:color="auto"/>
        <w:bottom w:val="none" w:sz="0" w:space="0" w:color="auto"/>
        <w:right w:val="none" w:sz="0" w:space="0" w:color="auto"/>
      </w:divBdr>
    </w:div>
    <w:div w:id="1469979763">
      <w:marLeft w:val="0"/>
      <w:marRight w:val="0"/>
      <w:marTop w:val="0"/>
      <w:marBottom w:val="0"/>
      <w:divBdr>
        <w:top w:val="none" w:sz="0" w:space="0" w:color="auto"/>
        <w:left w:val="none" w:sz="0" w:space="0" w:color="auto"/>
        <w:bottom w:val="none" w:sz="0" w:space="0" w:color="auto"/>
        <w:right w:val="none" w:sz="0" w:space="0" w:color="auto"/>
      </w:divBdr>
    </w:div>
    <w:div w:id="1482691893">
      <w:marLeft w:val="0"/>
      <w:marRight w:val="0"/>
      <w:marTop w:val="0"/>
      <w:marBottom w:val="0"/>
      <w:divBdr>
        <w:top w:val="none" w:sz="0" w:space="0" w:color="auto"/>
        <w:left w:val="none" w:sz="0" w:space="0" w:color="auto"/>
        <w:bottom w:val="none" w:sz="0" w:space="0" w:color="auto"/>
        <w:right w:val="none" w:sz="0" w:space="0" w:color="auto"/>
      </w:divBdr>
    </w:div>
    <w:div w:id="1488209253">
      <w:bodyDiv w:val="1"/>
      <w:marLeft w:val="0"/>
      <w:marRight w:val="0"/>
      <w:marTop w:val="0"/>
      <w:marBottom w:val="0"/>
      <w:divBdr>
        <w:top w:val="none" w:sz="0" w:space="0" w:color="auto"/>
        <w:left w:val="none" w:sz="0" w:space="0" w:color="auto"/>
        <w:bottom w:val="none" w:sz="0" w:space="0" w:color="auto"/>
        <w:right w:val="none" w:sz="0" w:space="0" w:color="auto"/>
      </w:divBdr>
    </w:div>
    <w:div w:id="1505054305">
      <w:marLeft w:val="0"/>
      <w:marRight w:val="0"/>
      <w:marTop w:val="0"/>
      <w:marBottom w:val="0"/>
      <w:divBdr>
        <w:top w:val="none" w:sz="0" w:space="0" w:color="auto"/>
        <w:left w:val="none" w:sz="0" w:space="0" w:color="auto"/>
        <w:bottom w:val="none" w:sz="0" w:space="0" w:color="auto"/>
        <w:right w:val="none" w:sz="0" w:space="0" w:color="auto"/>
      </w:divBdr>
    </w:div>
    <w:div w:id="1517963708">
      <w:bodyDiv w:val="1"/>
      <w:marLeft w:val="0"/>
      <w:marRight w:val="0"/>
      <w:marTop w:val="0"/>
      <w:marBottom w:val="0"/>
      <w:divBdr>
        <w:top w:val="none" w:sz="0" w:space="0" w:color="auto"/>
        <w:left w:val="none" w:sz="0" w:space="0" w:color="auto"/>
        <w:bottom w:val="none" w:sz="0" w:space="0" w:color="auto"/>
        <w:right w:val="none" w:sz="0" w:space="0" w:color="auto"/>
      </w:divBdr>
    </w:div>
    <w:div w:id="1532064955">
      <w:bodyDiv w:val="1"/>
      <w:marLeft w:val="0"/>
      <w:marRight w:val="0"/>
      <w:marTop w:val="0"/>
      <w:marBottom w:val="0"/>
      <w:divBdr>
        <w:top w:val="none" w:sz="0" w:space="0" w:color="auto"/>
        <w:left w:val="none" w:sz="0" w:space="0" w:color="auto"/>
        <w:bottom w:val="none" w:sz="0" w:space="0" w:color="auto"/>
        <w:right w:val="none" w:sz="0" w:space="0" w:color="auto"/>
      </w:divBdr>
    </w:div>
    <w:div w:id="1533491399">
      <w:bodyDiv w:val="1"/>
      <w:marLeft w:val="0"/>
      <w:marRight w:val="0"/>
      <w:marTop w:val="0"/>
      <w:marBottom w:val="0"/>
      <w:divBdr>
        <w:top w:val="none" w:sz="0" w:space="0" w:color="auto"/>
        <w:left w:val="none" w:sz="0" w:space="0" w:color="auto"/>
        <w:bottom w:val="none" w:sz="0" w:space="0" w:color="auto"/>
        <w:right w:val="none" w:sz="0" w:space="0" w:color="auto"/>
      </w:divBdr>
    </w:div>
    <w:div w:id="1538279430">
      <w:bodyDiv w:val="1"/>
      <w:marLeft w:val="0"/>
      <w:marRight w:val="0"/>
      <w:marTop w:val="0"/>
      <w:marBottom w:val="0"/>
      <w:divBdr>
        <w:top w:val="none" w:sz="0" w:space="0" w:color="auto"/>
        <w:left w:val="none" w:sz="0" w:space="0" w:color="auto"/>
        <w:bottom w:val="none" w:sz="0" w:space="0" w:color="auto"/>
        <w:right w:val="none" w:sz="0" w:space="0" w:color="auto"/>
      </w:divBdr>
    </w:div>
    <w:div w:id="1541238512">
      <w:marLeft w:val="0"/>
      <w:marRight w:val="0"/>
      <w:marTop w:val="0"/>
      <w:marBottom w:val="0"/>
      <w:divBdr>
        <w:top w:val="none" w:sz="0" w:space="0" w:color="auto"/>
        <w:left w:val="none" w:sz="0" w:space="0" w:color="auto"/>
        <w:bottom w:val="none" w:sz="0" w:space="0" w:color="auto"/>
        <w:right w:val="none" w:sz="0" w:space="0" w:color="auto"/>
      </w:divBdr>
    </w:div>
    <w:div w:id="1545480521">
      <w:marLeft w:val="0"/>
      <w:marRight w:val="0"/>
      <w:marTop w:val="0"/>
      <w:marBottom w:val="0"/>
      <w:divBdr>
        <w:top w:val="none" w:sz="0" w:space="0" w:color="auto"/>
        <w:left w:val="none" w:sz="0" w:space="0" w:color="auto"/>
        <w:bottom w:val="none" w:sz="0" w:space="0" w:color="auto"/>
        <w:right w:val="none" w:sz="0" w:space="0" w:color="auto"/>
      </w:divBdr>
      <w:divsChild>
        <w:div w:id="705443936">
          <w:marLeft w:val="0"/>
          <w:marRight w:val="0"/>
          <w:marTop w:val="0"/>
          <w:marBottom w:val="0"/>
          <w:divBdr>
            <w:top w:val="none" w:sz="0" w:space="0" w:color="auto"/>
            <w:left w:val="none" w:sz="0" w:space="0" w:color="auto"/>
            <w:bottom w:val="none" w:sz="0" w:space="0" w:color="auto"/>
            <w:right w:val="none" w:sz="0" w:space="0" w:color="auto"/>
          </w:divBdr>
        </w:div>
      </w:divsChild>
    </w:div>
    <w:div w:id="1549955637">
      <w:marLeft w:val="0"/>
      <w:marRight w:val="0"/>
      <w:marTop w:val="0"/>
      <w:marBottom w:val="0"/>
      <w:divBdr>
        <w:top w:val="none" w:sz="0" w:space="0" w:color="auto"/>
        <w:left w:val="none" w:sz="0" w:space="0" w:color="auto"/>
        <w:bottom w:val="none" w:sz="0" w:space="0" w:color="auto"/>
        <w:right w:val="none" w:sz="0" w:space="0" w:color="auto"/>
      </w:divBdr>
    </w:div>
    <w:div w:id="1555390191">
      <w:marLeft w:val="0"/>
      <w:marRight w:val="0"/>
      <w:marTop w:val="0"/>
      <w:marBottom w:val="0"/>
      <w:divBdr>
        <w:top w:val="none" w:sz="0" w:space="0" w:color="auto"/>
        <w:left w:val="none" w:sz="0" w:space="0" w:color="auto"/>
        <w:bottom w:val="none" w:sz="0" w:space="0" w:color="auto"/>
        <w:right w:val="none" w:sz="0" w:space="0" w:color="auto"/>
      </w:divBdr>
    </w:div>
    <w:div w:id="1557005484">
      <w:marLeft w:val="0"/>
      <w:marRight w:val="0"/>
      <w:marTop w:val="0"/>
      <w:marBottom w:val="0"/>
      <w:divBdr>
        <w:top w:val="none" w:sz="0" w:space="0" w:color="auto"/>
        <w:left w:val="none" w:sz="0" w:space="0" w:color="auto"/>
        <w:bottom w:val="none" w:sz="0" w:space="0" w:color="auto"/>
        <w:right w:val="none" w:sz="0" w:space="0" w:color="auto"/>
      </w:divBdr>
    </w:div>
    <w:div w:id="1558931766">
      <w:bodyDiv w:val="1"/>
      <w:marLeft w:val="0"/>
      <w:marRight w:val="0"/>
      <w:marTop w:val="0"/>
      <w:marBottom w:val="0"/>
      <w:divBdr>
        <w:top w:val="none" w:sz="0" w:space="0" w:color="auto"/>
        <w:left w:val="none" w:sz="0" w:space="0" w:color="auto"/>
        <w:bottom w:val="none" w:sz="0" w:space="0" w:color="auto"/>
        <w:right w:val="none" w:sz="0" w:space="0" w:color="auto"/>
      </w:divBdr>
    </w:div>
    <w:div w:id="1560703334">
      <w:bodyDiv w:val="1"/>
      <w:marLeft w:val="0"/>
      <w:marRight w:val="0"/>
      <w:marTop w:val="0"/>
      <w:marBottom w:val="0"/>
      <w:divBdr>
        <w:top w:val="none" w:sz="0" w:space="0" w:color="auto"/>
        <w:left w:val="none" w:sz="0" w:space="0" w:color="auto"/>
        <w:bottom w:val="none" w:sz="0" w:space="0" w:color="auto"/>
        <w:right w:val="none" w:sz="0" w:space="0" w:color="auto"/>
      </w:divBdr>
    </w:div>
    <w:div w:id="1574004014">
      <w:bodyDiv w:val="1"/>
      <w:marLeft w:val="0"/>
      <w:marRight w:val="0"/>
      <w:marTop w:val="0"/>
      <w:marBottom w:val="0"/>
      <w:divBdr>
        <w:top w:val="none" w:sz="0" w:space="0" w:color="auto"/>
        <w:left w:val="none" w:sz="0" w:space="0" w:color="auto"/>
        <w:bottom w:val="none" w:sz="0" w:space="0" w:color="auto"/>
        <w:right w:val="none" w:sz="0" w:space="0" w:color="auto"/>
      </w:divBdr>
    </w:div>
    <w:div w:id="1579095043">
      <w:bodyDiv w:val="1"/>
      <w:marLeft w:val="0"/>
      <w:marRight w:val="0"/>
      <w:marTop w:val="0"/>
      <w:marBottom w:val="0"/>
      <w:divBdr>
        <w:top w:val="none" w:sz="0" w:space="0" w:color="auto"/>
        <w:left w:val="none" w:sz="0" w:space="0" w:color="auto"/>
        <w:bottom w:val="none" w:sz="0" w:space="0" w:color="auto"/>
        <w:right w:val="none" w:sz="0" w:space="0" w:color="auto"/>
      </w:divBdr>
    </w:div>
    <w:div w:id="1579554097">
      <w:marLeft w:val="0"/>
      <w:marRight w:val="0"/>
      <w:marTop w:val="0"/>
      <w:marBottom w:val="0"/>
      <w:divBdr>
        <w:top w:val="none" w:sz="0" w:space="0" w:color="auto"/>
        <w:left w:val="none" w:sz="0" w:space="0" w:color="auto"/>
        <w:bottom w:val="none" w:sz="0" w:space="0" w:color="auto"/>
        <w:right w:val="none" w:sz="0" w:space="0" w:color="auto"/>
      </w:divBdr>
    </w:div>
    <w:div w:id="1595017707">
      <w:bodyDiv w:val="1"/>
      <w:marLeft w:val="0"/>
      <w:marRight w:val="0"/>
      <w:marTop w:val="0"/>
      <w:marBottom w:val="0"/>
      <w:divBdr>
        <w:top w:val="none" w:sz="0" w:space="0" w:color="auto"/>
        <w:left w:val="none" w:sz="0" w:space="0" w:color="auto"/>
        <w:bottom w:val="none" w:sz="0" w:space="0" w:color="auto"/>
        <w:right w:val="none" w:sz="0" w:space="0" w:color="auto"/>
      </w:divBdr>
    </w:div>
    <w:div w:id="1600337211">
      <w:marLeft w:val="0"/>
      <w:marRight w:val="0"/>
      <w:marTop w:val="0"/>
      <w:marBottom w:val="0"/>
      <w:divBdr>
        <w:top w:val="none" w:sz="0" w:space="0" w:color="auto"/>
        <w:left w:val="none" w:sz="0" w:space="0" w:color="auto"/>
        <w:bottom w:val="none" w:sz="0" w:space="0" w:color="auto"/>
        <w:right w:val="none" w:sz="0" w:space="0" w:color="auto"/>
      </w:divBdr>
    </w:div>
    <w:div w:id="1603299044">
      <w:bodyDiv w:val="1"/>
      <w:marLeft w:val="0"/>
      <w:marRight w:val="0"/>
      <w:marTop w:val="0"/>
      <w:marBottom w:val="0"/>
      <w:divBdr>
        <w:top w:val="none" w:sz="0" w:space="0" w:color="auto"/>
        <w:left w:val="none" w:sz="0" w:space="0" w:color="auto"/>
        <w:bottom w:val="none" w:sz="0" w:space="0" w:color="auto"/>
        <w:right w:val="none" w:sz="0" w:space="0" w:color="auto"/>
      </w:divBdr>
    </w:div>
    <w:div w:id="1617985132">
      <w:marLeft w:val="0"/>
      <w:marRight w:val="0"/>
      <w:marTop w:val="0"/>
      <w:marBottom w:val="0"/>
      <w:divBdr>
        <w:top w:val="none" w:sz="0" w:space="0" w:color="auto"/>
        <w:left w:val="none" w:sz="0" w:space="0" w:color="auto"/>
        <w:bottom w:val="none" w:sz="0" w:space="0" w:color="auto"/>
        <w:right w:val="none" w:sz="0" w:space="0" w:color="auto"/>
      </w:divBdr>
    </w:div>
    <w:div w:id="1619871218">
      <w:bodyDiv w:val="1"/>
      <w:marLeft w:val="0"/>
      <w:marRight w:val="0"/>
      <w:marTop w:val="0"/>
      <w:marBottom w:val="0"/>
      <w:divBdr>
        <w:top w:val="none" w:sz="0" w:space="0" w:color="auto"/>
        <w:left w:val="none" w:sz="0" w:space="0" w:color="auto"/>
        <w:bottom w:val="none" w:sz="0" w:space="0" w:color="auto"/>
        <w:right w:val="none" w:sz="0" w:space="0" w:color="auto"/>
      </w:divBdr>
    </w:div>
    <w:div w:id="1627807875">
      <w:marLeft w:val="0"/>
      <w:marRight w:val="0"/>
      <w:marTop w:val="0"/>
      <w:marBottom w:val="0"/>
      <w:divBdr>
        <w:top w:val="none" w:sz="0" w:space="0" w:color="auto"/>
        <w:left w:val="none" w:sz="0" w:space="0" w:color="auto"/>
        <w:bottom w:val="none" w:sz="0" w:space="0" w:color="auto"/>
        <w:right w:val="none" w:sz="0" w:space="0" w:color="auto"/>
      </w:divBdr>
    </w:div>
    <w:div w:id="1634096461">
      <w:bodyDiv w:val="1"/>
      <w:marLeft w:val="0"/>
      <w:marRight w:val="0"/>
      <w:marTop w:val="0"/>
      <w:marBottom w:val="0"/>
      <w:divBdr>
        <w:top w:val="none" w:sz="0" w:space="0" w:color="auto"/>
        <w:left w:val="none" w:sz="0" w:space="0" w:color="auto"/>
        <w:bottom w:val="none" w:sz="0" w:space="0" w:color="auto"/>
        <w:right w:val="none" w:sz="0" w:space="0" w:color="auto"/>
      </w:divBdr>
    </w:div>
    <w:div w:id="1635939451">
      <w:bodyDiv w:val="1"/>
      <w:marLeft w:val="0"/>
      <w:marRight w:val="0"/>
      <w:marTop w:val="0"/>
      <w:marBottom w:val="0"/>
      <w:divBdr>
        <w:top w:val="none" w:sz="0" w:space="0" w:color="auto"/>
        <w:left w:val="none" w:sz="0" w:space="0" w:color="auto"/>
        <w:bottom w:val="none" w:sz="0" w:space="0" w:color="auto"/>
        <w:right w:val="none" w:sz="0" w:space="0" w:color="auto"/>
      </w:divBdr>
    </w:div>
    <w:div w:id="1647737036">
      <w:marLeft w:val="0"/>
      <w:marRight w:val="0"/>
      <w:marTop w:val="0"/>
      <w:marBottom w:val="0"/>
      <w:divBdr>
        <w:top w:val="none" w:sz="0" w:space="0" w:color="auto"/>
        <w:left w:val="none" w:sz="0" w:space="0" w:color="auto"/>
        <w:bottom w:val="none" w:sz="0" w:space="0" w:color="auto"/>
        <w:right w:val="none" w:sz="0" w:space="0" w:color="auto"/>
      </w:divBdr>
    </w:div>
    <w:div w:id="1675111427">
      <w:marLeft w:val="0"/>
      <w:marRight w:val="0"/>
      <w:marTop w:val="0"/>
      <w:marBottom w:val="0"/>
      <w:divBdr>
        <w:top w:val="none" w:sz="0" w:space="0" w:color="auto"/>
        <w:left w:val="none" w:sz="0" w:space="0" w:color="auto"/>
        <w:bottom w:val="none" w:sz="0" w:space="0" w:color="auto"/>
        <w:right w:val="none" w:sz="0" w:space="0" w:color="auto"/>
      </w:divBdr>
    </w:div>
    <w:div w:id="1677537020">
      <w:marLeft w:val="0"/>
      <w:marRight w:val="0"/>
      <w:marTop w:val="0"/>
      <w:marBottom w:val="0"/>
      <w:divBdr>
        <w:top w:val="none" w:sz="0" w:space="0" w:color="auto"/>
        <w:left w:val="none" w:sz="0" w:space="0" w:color="auto"/>
        <w:bottom w:val="none" w:sz="0" w:space="0" w:color="auto"/>
        <w:right w:val="none" w:sz="0" w:space="0" w:color="auto"/>
      </w:divBdr>
    </w:div>
    <w:div w:id="1684237475">
      <w:marLeft w:val="0"/>
      <w:marRight w:val="0"/>
      <w:marTop w:val="0"/>
      <w:marBottom w:val="0"/>
      <w:divBdr>
        <w:top w:val="none" w:sz="0" w:space="0" w:color="auto"/>
        <w:left w:val="none" w:sz="0" w:space="0" w:color="auto"/>
        <w:bottom w:val="none" w:sz="0" w:space="0" w:color="auto"/>
        <w:right w:val="none" w:sz="0" w:space="0" w:color="auto"/>
      </w:divBdr>
    </w:div>
    <w:div w:id="1685475063">
      <w:bodyDiv w:val="1"/>
      <w:marLeft w:val="0"/>
      <w:marRight w:val="0"/>
      <w:marTop w:val="0"/>
      <w:marBottom w:val="0"/>
      <w:divBdr>
        <w:top w:val="none" w:sz="0" w:space="0" w:color="auto"/>
        <w:left w:val="none" w:sz="0" w:space="0" w:color="auto"/>
        <w:bottom w:val="none" w:sz="0" w:space="0" w:color="auto"/>
        <w:right w:val="none" w:sz="0" w:space="0" w:color="auto"/>
      </w:divBdr>
    </w:div>
    <w:div w:id="1695840923">
      <w:bodyDiv w:val="1"/>
      <w:marLeft w:val="0"/>
      <w:marRight w:val="0"/>
      <w:marTop w:val="0"/>
      <w:marBottom w:val="0"/>
      <w:divBdr>
        <w:top w:val="none" w:sz="0" w:space="0" w:color="auto"/>
        <w:left w:val="none" w:sz="0" w:space="0" w:color="auto"/>
        <w:bottom w:val="none" w:sz="0" w:space="0" w:color="auto"/>
        <w:right w:val="none" w:sz="0" w:space="0" w:color="auto"/>
      </w:divBdr>
    </w:div>
    <w:div w:id="1712073355">
      <w:marLeft w:val="0"/>
      <w:marRight w:val="0"/>
      <w:marTop w:val="0"/>
      <w:marBottom w:val="0"/>
      <w:divBdr>
        <w:top w:val="none" w:sz="0" w:space="0" w:color="auto"/>
        <w:left w:val="none" w:sz="0" w:space="0" w:color="auto"/>
        <w:bottom w:val="none" w:sz="0" w:space="0" w:color="auto"/>
        <w:right w:val="none" w:sz="0" w:space="0" w:color="auto"/>
      </w:divBdr>
    </w:div>
    <w:div w:id="1712269400">
      <w:bodyDiv w:val="1"/>
      <w:marLeft w:val="0"/>
      <w:marRight w:val="0"/>
      <w:marTop w:val="0"/>
      <w:marBottom w:val="0"/>
      <w:divBdr>
        <w:top w:val="none" w:sz="0" w:space="0" w:color="auto"/>
        <w:left w:val="none" w:sz="0" w:space="0" w:color="auto"/>
        <w:bottom w:val="none" w:sz="0" w:space="0" w:color="auto"/>
        <w:right w:val="none" w:sz="0" w:space="0" w:color="auto"/>
      </w:divBdr>
    </w:div>
    <w:div w:id="1714571099">
      <w:marLeft w:val="0"/>
      <w:marRight w:val="0"/>
      <w:marTop w:val="0"/>
      <w:marBottom w:val="0"/>
      <w:divBdr>
        <w:top w:val="none" w:sz="0" w:space="0" w:color="auto"/>
        <w:left w:val="none" w:sz="0" w:space="0" w:color="auto"/>
        <w:bottom w:val="none" w:sz="0" w:space="0" w:color="auto"/>
        <w:right w:val="none" w:sz="0" w:space="0" w:color="auto"/>
      </w:divBdr>
    </w:div>
    <w:div w:id="1717780088">
      <w:marLeft w:val="0"/>
      <w:marRight w:val="0"/>
      <w:marTop w:val="0"/>
      <w:marBottom w:val="0"/>
      <w:divBdr>
        <w:top w:val="none" w:sz="0" w:space="0" w:color="auto"/>
        <w:left w:val="none" w:sz="0" w:space="0" w:color="auto"/>
        <w:bottom w:val="none" w:sz="0" w:space="0" w:color="auto"/>
        <w:right w:val="none" w:sz="0" w:space="0" w:color="auto"/>
      </w:divBdr>
    </w:div>
    <w:div w:id="1724792781">
      <w:bodyDiv w:val="1"/>
      <w:marLeft w:val="0"/>
      <w:marRight w:val="0"/>
      <w:marTop w:val="0"/>
      <w:marBottom w:val="0"/>
      <w:divBdr>
        <w:top w:val="none" w:sz="0" w:space="0" w:color="auto"/>
        <w:left w:val="none" w:sz="0" w:space="0" w:color="auto"/>
        <w:bottom w:val="none" w:sz="0" w:space="0" w:color="auto"/>
        <w:right w:val="none" w:sz="0" w:space="0" w:color="auto"/>
      </w:divBdr>
    </w:div>
    <w:div w:id="1727491066">
      <w:marLeft w:val="0"/>
      <w:marRight w:val="0"/>
      <w:marTop w:val="0"/>
      <w:marBottom w:val="0"/>
      <w:divBdr>
        <w:top w:val="none" w:sz="0" w:space="0" w:color="auto"/>
        <w:left w:val="none" w:sz="0" w:space="0" w:color="auto"/>
        <w:bottom w:val="none" w:sz="0" w:space="0" w:color="auto"/>
        <w:right w:val="none" w:sz="0" w:space="0" w:color="auto"/>
      </w:divBdr>
    </w:div>
    <w:div w:id="1742751646">
      <w:marLeft w:val="0"/>
      <w:marRight w:val="0"/>
      <w:marTop w:val="0"/>
      <w:marBottom w:val="0"/>
      <w:divBdr>
        <w:top w:val="none" w:sz="0" w:space="0" w:color="auto"/>
        <w:left w:val="none" w:sz="0" w:space="0" w:color="auto"/>
        <w:bottom w:val="none" w:sz="0" w:space="0" w:color="auto"/>
        <w:right w:val="none" w:sz="0" w:space="0" w:color="auto"/>
      </w:divBdr>
    </w:div>
    <w:div w:id="1743285526">
      <w:marLeft w:val="0"/>
      <w:marRight w:val="0"/>
      <w:marTop w:val="0"/>
      <w:marBottom w:val="0"/>
      <w:divBdr>
        <w:top w:val="none" w:sz="0" w:space="0" w:color="auto"/>
        <w:left w:val="none" w:sz="0" w:space="0" w:color="auto"/>
        <w:bottom w:val="none" w:sz="0" w:space="0" w:color="auto"/>
        <w:right w:val="none" w:sz="0" w:space="0" w:color="auto"/>
      </w:divBdr>
    </w:div>
    <w:div w:id="1753550811">
      <w:marLeft w:val="0"/>
      <w:marRight w:val="0"/>
      <w:marTop w:val="0"/>
      <w:marBottom w:val="0"/>
      <w:divBdr>
        <w:top w:val="none" w:sz="0" w:space="0" w:color="auto"/>
        <w:left w:val="none" w:sz="0" w:space="0" w:color="auto"/>
        <w:bottom w:val="none" w:sz="0" w:space="0" w:color="auto"/>
        <w:right w:val="none" w:sz="0" w:space="0" w:color="auto"/>
      </w:divBdr>
    </w:div>
    <w:div w:id="1760759751">
      <w:bodyDiv w:val="1"/>
      <w:marLeft w:val="0"/>
      <w:marRight w:val="0"/>
      <w:marTop w:val="0"/>
      <w:marBottom w:val="0"/>
      <w:divBdr>
        <w:top w:val="none" w:sz="0" w:space="0" w:color="auto"/>
        <w:left w:val="none" w:sz="0" w:space="0" w:color="auto"/>
        <w:bottom w:val="none" w:sz="0" w:space="0" w:color="auto"/>
        <w:right w:val="none" w:sz="0" w:space="0" w:color="auto"/>
      </w:divBdr>
    </w:div>
    <w:div w:id="1769232953">
      <w:marLeft w:val="0"/>
      <w:marRight w:val="0"/>
      <w:marTop w:val="0"/>
      <w:marBottom w:val="0"/>
      <w:divBdr>
        <w:top w:val="none" w:sz="0" w:space="0" w:color="auto"/>
        <w:left w:val="none" w:sz="0" w:space="0" w:color="auto"/>
        <w:bottom w:val="none" w:sz="0" w:space="0" w:color="auto"/>
        <w:right w:val="none" w:sz="0" w:space="0" w:color="auto"/>
      </w:divBdr>
    </w:div>
    <w:div w:id="1775978151">
      <w:marLeft w:val="0"/>
      <w:marRight w:val="0"/>
      <w:marTop w:val="0"/>
      <w:marBottom w:val="0"/>
      <w:divBdr>
        <w:top w:val="none" w:sz="0" w:space="0" w:color="auto"/>
        <w:left w:val="none" w:sz="0" w:space="0" w:color="auto"/>
        <w:bottom w:val="none" w:sz="0" w:space="0" w:color="auto"/>
        <w:right w:val="none" w:sz="0" w:space="0" w:color="auto"/>
      </w:divBdr>
    </w:div>
    <w:div w:id="1779328958">
      <w:bodyDiv w:val="1"/>
      <w:marLeft w:val="0"/>
      <w:marRight w:val="0"/>
      <w:marTop w:val="0"/>
      <w:marBottom w:val="0"/>
      <w:divBdr>
        <w:top w:val="none" w:sz="0" w:space="0" w:color="auto"/>
        <w:left w:val="none" w:sz="0" w:space="0" w:color="auto"/>
        <w:bottom w:val="none" w:sz="0" w:space="0" w:color="auto"/>
        <w:right w:val="none" w:sz="0" w:space="0" w:color="auto"/>
      </w:divBdr>
    </w:div>
    <w:div w:id="1781491061">
      <w:bodyDiv w:val="1"/>
      <w:marLeft w:val="0"/>
      <w:marRight w:val="0"/>
      <w:marTop w:val="0"/>
      <w:marBottom w:val="0"/>
      <w:divBdr>
        <w:top w:val="none" w:sz="0" w:space="0" w:color="auto"/>
        <w:left w:val="none" w:sz="0" w:space="0" w:color="auto"/>
        <w:bottom w:val="none" w:sz="0" w:space="0" w:color="auto"/>
        <w:right w:val="none" w:sz="0" w:space="0" w:color="auto"/>
      </w:divBdr>
    </w:div>
    <w:div w:id="1811046024">
      <w:marLeft w:val="0"/>
      <w:marRight w:val="0"/>
      <w:marTop w:val="0"/>
      <w:marBottom w:val="0"/>
      <w:divBdr>
        <w:top w:val="none" w:sz="0" w:space="0" w:color="auto"/>
        <w:left w:val="none" w:sz="0" w:space="0" w:color="auto"/>
        <w:bottom w:val="none" w:sz="0" w:space="0" w:color="auto"/>
        <w:right w:val="none" w:sz="0" w:space="0" w:color="auto"/>
      </w:divBdr>
    </w:div>
    <w:div w:id="1813212479">
      <w:bodyDiv w:val="1"/>
      <w:marLeft w:val="0"/>
      <w:marRight w:val="0"/>
      <w:marTop w:val="0"/>
      <w:marBottom w:val="0"/>
      <w:divBdr>
        <w:top w:val="none" w:sz="0" w:space="0" w:color="auto"/>
        <w:left w:val="none" w:sz="0" w:space="0" w:color="auto"/>
        <w:bottom w:val="none" w:sz="0" w:space="0" w:color="auto"/>
        <w:right w:val="none" w:sz="0" w:space="0" w:color="auto"/>
      </w:divBdr>
      <w:divsChild>
        <w:div w:id="51660397">
          <w:marLeft w:val="0"/>
          <w:marRight w:val="0"/>
          <w:marTop w:val="0"/>
          <w:marBottom w:val="0"/>
          <w:divBdr>
            <w:top w:val="none" w:sz="0" w:space="0" w:color="auto"/>
            <w:left w:val="none" w:sz="0" w:space="0" w:color="auto"/>
            <w:bottom w:val="none" w:sz="0" w:space="0" w:color="auto"/>
            <w:right w:val="none" w:sz="0" w:space="0" w:color="auto"/>
          </w:divBdr>
          <w:divsChild>
            <w:div w:id="1353612173">
              <w:marLeft w:val="0"/>
              <w:marRight w:val="0"/>
              <w:marTop w:val="0"/>
              <w:marBottom w:val="0"/>
              <w:divBdr>
                <w:top w:val="none" w:sz="0" w:space="0" w:color="auto"/>
                <w:left w:val="none" w:sz="0" w:space="0" w:color="auto"/>
                <w:bottom w:val="none" w:sz="0" w:space="0" w:color="auto"/>
                <w:right w:val="none" w:sz="0" w:space="0" w:color="auto"/>
              </w:divBdr>
            </w:div>
          </w:divsChild>
        </w:div>
        <w:div w:id="56901431">
          <w:marLeft w:val="0"/>
          <w:marRight w:val="0"/>
          <w:marTop w:val="0"/>
          <w:marBottom w:val="0"/>
          <w:divBdr>
            <w:top w:val="none" w:sz="0" w:space="0" w:color="auto"/>
            <w:left w:val="none" w:sz="0" w:space="0" w:color="auto"/>
            <w:bottom w:val="none" w:sz="0" w:space="0" w:color="auto"/>
            <w:right w:val="none" w:sz="0" w:space="0" w:color="auto"/>
          </w:divBdr>
          <w:divsChild>
            <w:div w:id="1747609787">
              <w:marLeft w:val="0"/>
              <w:marRight w:val="0"/>
              <w:marTop w:val="0"/>
              <w:marBottom w:val="0"/>
              <w:divBdr>
                <w:top w:val="none" w:sz="0" w:space="0" w:color="auto"/>
                <w:left w:val="none" w:sz="0" w:space="0" w:color="auto"/>
                <w:bottom w:val="none" w:sz="0" w:space="0" w:color="auto"/>
                <w:right w:val="none" w:sz="0" w:space="0" w:color="auto"/>
              </w:divBdr>
            </w:div>
          </w:divsChild>
        </w:div>
        <w:div w:id="57020430">
          <w:marLeft w:val="0"/>
          <w:marRight w:val="0"/>
          <w:marTop w:val="0"/>
          <w:marBottom w:val="0"/>
          <w:divBdr>
            <w:top w:val="none" w:sz="0" w:space="0" w:color="auto"/>
            <w:left w:val="none" w:sz="0" w:space="0" w:color="auto"/>
            <w:bottom w:val="none" w:sz="0" w:space="0" w:color="auto"/>
            <w:right w:val="none" w:sz="0" w:space="0" w:color="auto"/>
          </w:divBdr>
          <w:divsChild>
            <w:div w:id="1354768570">
              <w:marLeft w:val="0"/>
              <w:marRight w:val="0"/>
              <w:marTop w:val="0"/>
              <w:marBottom w:val="0"/>
              <w:divBdr>
                <w:top w:val="none" w:sz="0" w:space="0" w:color="auto"/>
                <w:left w:val="none" w:sz="0" w:space="0" w:color="auto"/>
                <w:bottom w:val="none" w:sz="0" w:space="0" w:color="auto"/>
                <w:right w:val="none" w:sz="0" w:space="0" w:color="auto"/>
              </w:divBdr>
            </w:div>
          </w:divsChild>
        </w:div>
        <w:div w:id="98573006">
          <w:marLeft w:val="0"/>
          <w:marRight w:val="0"/>
          <w:marTop w:val="0"/>
          <w:marBottom w:val="0"/>
          <w:divBdr>
            <w:top w:val="none" w:sz="0" w:space="0" w:color="auto"/>
            <w:left w:val="none" w:sz="0" w:space="0" w:color="auto"/>
            <w:bottom w:val="none" w:sz="0" w:space="0" w:color="auto"/>
            <w:right w:val="none" w:sz="0" w:space="0" w:color="auto"/>
          </w:divBdr>
          <w:divsChild>
            <w:div w:id="1925263490">
              <w:marLeft w:val="0"/>
              <w:marRight w:val="0"/>
              <w:marTop w:val="0"/>
              <w:marBottom w:val="0"/>
              <w:divBdr>
                <w:top w:val="none" w:sz="0" w:space="0" w:color="auto"/>
                <w:left w:val="none" w:sz="0" w:space="0" w:color="auto"/>
                <w:bottom w:val="none" w:sz="0" w:space="0" w:color="auto"/>
                <w:right w:val="none" w:sz="0" w:space="0" w:color="auto"/>
              </w:divBdr>
            </w:div>
          </w:divsChild>
        </w:div>
        <w:div w:id="102582074">
          <w:marLeft w:val="0"/>
          <w:marRight w:val="0"/>
          <w:marTop w:val="0"/>
          <w:marBottom w:val="0"/>
          <w:divBdr>
            <w:top w:val="none" w:sz="0" w:space="0" w:color="auto"/>
            <w:left w:val="none" w:sz="0" w:space="0" w:color="auto"/>
            <w:bottom w:val="none" w:sz="0" w:space="0" w:color="auto"/>
            <w:right w:val="none" w:sz="0" w:space="0" w:color="auto"/>
          </w:divBdr>
          <w:divsChild>
            <w:div w:id="303390446">
              <w:marLeft w:val="0"/>
              <w:marRight w:val="0"/>
              <w:marTop w:val="0"/>
              <w:marBottom w:val="0"/>
              <w:divBdr>
                <w:top w:val="none" w:sz="0" w:space="0" w:color="auto"/>
                <w:left w:val="none" w:sz="0" w:space="0" w:color="auto"/>
                <w:bottom w:val="none" w:sz="0" w:space="0" w:color="auto"/>
                <w:right w:val="none" w:sz="0" w:space="0" w:color="auto"/>
              </w:divBdr>
            </w:div>
          </w:divsChild>
        </w:div>
        <w:div w:id="149252921">
          <w:marLeft w:val="0"/>
          <w:marRight w:val="0"/>
          <w:marTop w:val="0"/>
          <w:marBottom w:val="0"/>
          <w:divBdr>
            <w:top w:val="none" w:sz="0" w:space="0" w:color="auto"/>
            <w:left w:val="none" w:sz="0" w:space="0" w:color="auto"/>
            <w:bottom w:val="none" w:sz="0" w:space="0" w:color="auto"/>
            <w:right w:val="none" w:sz="0" w:space="0" w:color="auto"/>
          </w:divBdr>
          <w:divsChild>
            <w:div w:id="45296026">
              <w:marLeft w:val="0"/>
              <w:marRight w:val="0"/>
              <w:marTop w:val="0"/>
              <w:marBottom w:val="0"/>
              <w:divBdr>
                <w:top w:val="none" w:sz="0" w:space="0" w:color="auto"/>
                <w:left w:val="none" w:sz="0" w:space="0" w:color="auto"/>
                <w:bottom w:val="none" w:sz="0" w:space="0" w:color="auto"/>
                <w:right w:val="none" w:sz="0" w:space="0" w:color="auto"/>
              </w:divBdr>
            </w:div>
          </w:divsChild>
        </w:div>
        <w:div w:id="191264893">
          <w:marLeft w:val="0"/>
          <w:marRight w:val="0"/>
          <w:marTop w:val="0"/>
          <w:marBottom w:val="0"/>
          <w:divBdr>
            <w:top w:val="none" w:sz="0" w:space="0" w:color="auto"/>
            <w:left w:val="none" w:sz="0" w:space="0" w:color="auto"/>
            <w:bottom w:val="none" w:sz="0" w:space="0" w:color="auto"/>
            <w:right w:val="none" w:sz="0" w:space="0" w:color="auto"/>
          </w:divBdr>
          <w:divsChild>
            <w:div w:id="1001087063">
              <w:marLeft w:val="0"/>
              <w:marRight w:val="0"/>
              <w:marTop w:val="0"/>
              <w:marBottom w:val="0"/>
              <w:divBdr>
                <w:top w:val="none" w:sz="0" w:space="0" w:color="auto"/>
                <w:left w:val="none" w:sz="0" w:space="0" w:color="auto"/>
                <w:bottom w:val="none" w:sz="0" w:space="0" w:color="auto"/>
                <w:right w:val="none" w:sz="0" w:space="0" w:color="auto"/>
              </w:divBdr>
            </w:div>
          </w:divsChild>
        </w:div>
        <w:div w:id="225772118">
          <w:marLeft w:val="0"/>
          <w:marRight w:val="0"/>
          <w:marTop w:val="0"/>
          <w:marBottom w:val="0"/>
          <w:divBdr>
            <w:top w:val="none" w:sz="0" w:space="0" w:color="auto"/>
            <w:left w:val="none" w:sz="0" w:space="0" w:color="auto"/>
            <w:bottom w:val="none" w:sz="0" w:space="0" w:color="auto"/>
            <w:right w:val="none" w:sz="0" w:space="0" w:color="auto"/>
          </w:divBdr>
          <w:divsChild>
            <w:div w:id="1833107947">
              <w:marLeft w:val="0"/>
              <w:marRight w:val="0"/>
              <w:marTop w:val="0"/>
              <w:marBottom w:val="0"/>
              <w:divBdr>
                <w:top w:val="none" w:sz="0" w:space="0" w:color="auto"/>
                <w:left w:val="none" w:sz="0" w:space="0" w:color="auto"/>
                <w:bottom w:val="none" w:sz="0" w:space="0" w:color="auto"/>
                <w:right w:val="none" w:sz="0" w:space="0" w:color="auto"/>
              </w:divBdr>
            </w:div>
          </w:divsChild>
        </w:div>
        <w:div w:id="229924949">
          <w:marLeft w:val="0"/>
          <w:marRight w:val="0"/>
          <w:marTop w:val="0"/>
          <w:marBottom w:val="0"/>
          <w:divBdr>
            <w:top w:val="none" w:sz="0" w:space="0" w:color="auto"/>
            <w:left w:val="none" w:sz="0" w:space="0" w:color="auto"/>
            <w:bottom w:val="none" w:sz="0" w:space="0" w:color="auto"/>
            <w:right w:val="none" w:sz="0" w:space="0" w:color="auto"/>
          </w:divBdr>
          <w:divsChild>
            <w:div w:id="1179738076">
              <w:marLeft w:val="0"/>
              <w:marRight w:val="0"/>
              <w:marTop w:val="0"/>
              <w:marBottom w:val="0"/>
              <w:divBdr>
                <w:top w:val="none" w:sz="0" w:space="0" w:color="auto"/>
                <w:left w:val="none" w:sz="0" w:space="0" w:color="auto"/>
                <w:bottom w:val="none" w:sz="0" w:space="0" w:color="auto"/>
                <w:right w:val="none" w:sz="0" w:space="0" w:color="auto"/>
              </w:divBdr>
            </w:div>
          </w:divsChild>
        </w:div>
        <w:div w:id="409229016">
          <w:marLeft w:val="0"/>
          <w:marRight w:val="0"/>
          <w:marTop w:val="0"/>
          <w:marBottom w:val="0"/>
          <w:divBdr>
            <w:top w:val="none" w:sz="0" w:space="0" w:color="auto"/>
            <w:left w:val="none" w:sz="0" w:space="0" w:color="auto"/>
            <w:bottom w:val="none" w:sz="0" w:space="0" w:color="auto"/>
            <w:right w:val="none" w:sz="0" w:space="0" w:color="auto"/>
          </w:divBdr>
          <w:divsChild>
            <w:div w:id="328487018">
              <w:marLeft w:val="0"/>
              <w:marRight w:val="0"/>
              <w:marTop w:val="0"/>
              <w:marBottom w:val="0"/>
              <w:divBdr>
                <w:top w:val="none" w:sz="0" w:space="0" w:color="auto"/>
                <w:left w:val="none" w:sz="0" w:space="0" w:color="auto"/>
                <w:bottom w:val="none" w:sz="0" w:space="0" w:color="auto"/>
                <w:right w:val="none" w:sz="0" w:space="0" w:color="auto"/>
              </w:divBdr>
            </w:div>
          </w:divsChild>
        </w:div>
        <w:div w:id="448478720">
          <w:marLeft w:val="0"/>
          <w:marRight w:val="0"/>
          <w:marTop w:val="0"/>
          <w:marBottom w:val="0"/>
          <w:divBdr>
            <w:top w:val="none" w:sz="0" w:space="0" w:color="auto"/>
            <w:left w:val="none" w:sz="0" w:space="0" w:color="auto"/>
            <w:bottom w:val="none" w:sz="0" w:space="0" w:color="auto"/>
            <w:right w:val="none" w:sz="0" w:space="0" w:color="auto"/>
          </w:divBdr>
          <w:divsChild>
            <w:div w:id="905147594">
              <w:marLeft w:val="0"/>
              <w:marRight w:val="0"/>
              <w:marTop w:val="0"/>
              <w:marBottom w:val="0"/>
              <w:divBdr>
                <w:top w:val="none" w:sz="0" w:space="0" w:color="auto"/>
                <w:left w:val="none" w:sz="0" w:space="0" w:color="auto"/>
                <w:bottom w:val="none" w:sz="0" w:space="0" w:color="auto"/>
                <w:right w:val="none" w:sz="0" w:space="0" w:color="auto"/>
              </w:divBdr>
            </w:div>
          </w:divsChild>
        </w:div>
        <w:div w:id="504243801">
          <w:marLeft w:val="0"/>
          <w:marRight w:val="0"/>
          <w:marTop w:val="0"/>
          <w:marBottom w:val="0"/>
          <w:divBdr>
            <w:top w:val="none" w:sz="0" w:space="0" w:color="auto"/>
            <w:left w:val="none" w:sz="0" w:space="0" w:color="auto"/>
            <w:bottom w:val="none" w:sz="0" w:space="0" w:color="auto"/>
            <w:right w:val="none" w:sz="0" w:space="0" w:color="auto"/>
          </w:divBdr>
          <w:divsChild>
            <w:div w:id="812604617">
              <w:marLeft w:val="0"/>
              <w:marRight w:val="0"/>
              <w:marTop w:val="0"/>
              <w:marBottom w:val="0"/>
              <w:divBdr>
                <w:top w:val="none" w:sz="0" w:space="0" w:color="auto"/>
                <w:left w:val="none" w:sz="0" w:space="0" w:color="auto"/>
                <w:bottom w:val="none" w:sz="0" w:space="0" w:color="auto"/>
                <w:right w:val="none" w:sz="0" w:space="0" w:color="auto"/>
              </w:divBdr>
            </w:div>
          </w:divsChild>
        </w:div>
        <w:div w:id="512305195">
          <w:marLeft w:val="0"/>
          <w:marRight w:val="0"/>
          <w:marTop w:val="0"/>
          <w:marBottom w:val="0"/>
          <w:divBdr>
            <w:top w:val="none" w:sz="0" w:space="0" w:color="auto"/>
            <w:left w:val="none" w:sz="0" w:space="0" w:color="auto"/>
            <w:bottom w:val="none" w:sz="0" w:space="0" w:color="auto"/>
            <w:right w:val="none" w:sz="0" w:space="0" w:color="auto"/>
          </w:divBdr>
          <w:divsChild>
            <w:div w:id="516193963">
              <w:marLeft w:val="0"/>
              <w:marRight w:val="0"/>
              <w:marTop w:val="0"/>
              <w:marBottom w:val="0"/>
              <w:divBdr>
                <w:top w:val="none" w:sz="0" w:space="0" w:color="auto"/>
                <w:left w:val="none" w:sz="0" w:space="0" w:color="auto"/>
                <w:bottom w:val="none" w:sz="0" w:space="0" w:color="auto"/>
                <w:right w:val="none" w:sz="0" w:space="0" w:color="auto"/>
              </w:divBdr>
            </w:div>
          </w:divsChild>
        </w:div>
        <w:div w:id="573395124">
          <w:marLeft w:val="0"/>
          <w:marRight w:val="0"/>
          <w:marTop w:val="0"/>
          <w:marBottom w:val="0"/>
          <w:divBdr>
            <w:top w:val="none" w:sz="0" w:space="0" w:color="auto"/>
            <w:left w:val="none" w:sz="0" w:space="0" w:color="auto"/>
            <w:bottom w:val="none" w:sz="0" w:space="0" w:color="auto"/>
            <w:right w:val="none" w:sz="0" w:space="0" w:color="auto"/>
          </w:divBdr>
          <w:divsChild>
            <w:div w:id="439492304">
              <w:marLeft w:val="0"/>
              <w:marRight w:val="0"/>
              <w:marTop w:val="0"/>
              <w:marBottom w:val="0"/>
              <w:divBdr>
                <w:top w:val="none" w:sz="0" w:space="0" w:color="auto"/>
                <w:left w:val="none" w:sz="0" w:space="0" w:color="auto"/>
                <w:bottom w:val="none" w:sz="0" w:space="0" w:color="auto"/>
                <w:right w:val="none" w:sz="0" w:space="0" w:color="auto"/>
              </w:divBdr>
            </w:div>
          </w:divsChild>
        </w:div>
        <w:div w:id="611211425">
          <w:marLeft w:val="0"/>
          <w:marRight w:val="0"/>
          <w:marTop w:val="0"/>
          <w:marBottom w:val="0"/>
          <w:divBdr>
            <w:top w:val="none" w:sz="0" w:space="0" w:color="auto"/>
            <w:left w:val="none" w:sz="0" w:space="0" w:color="auto"/>
            <w:bottom w:val="none" w:sz="0" w:space="0" w:color="auto"/>
            <w:right w:val="none" w:sz="0" w:space="0" w:color="auto"/>
          </w:divBdr>
          <w:divsChild>
            <w:div w:id="1454397994">
              <w:marLeft w:val="0"/>
              <w:marRight w:val="0"/>
              <w:marTop w:val="0"/>
              <w:marBottom w:val="0"/>
              <w:divBdr>
                <w:top w:val="none" w:sz="0" w:space="0" w:color="auto"/>
                <w:left w:val="none" w:sz="0" w:space="0" w:color="auto"/>
                <w:bottom w:val="none" w:sz="0" w:space="0" w:color="auto"/>
                <w:right w:val="none" w:sz="0" w:space="0" w:color="auto"/>
              </w:divBdr>
            </w:div>
          </w:divsChild>
        </w:div>
        <w:div w:id="645277695">
          <w:marLeft w:val="0"/>
          <w:marRight w:val="0"/>
          <w:marTop w:val="0"/>
          <w:marBottom w:val="0"/>
          <w:divBdr>
            <w:top w:val="none" w:sz="0" w:space="0" w:color="auto"/>
            <w:left w:val="none" w:sz="0" w:space="0" w:color="auto"/>
            <w:bottom w:val="none" w:sz="0" w:space="0" w:color="auto"/>
            <w:right w:val="none" w:sz="0" w:space="0" w:color="auto"/>
          </w:divBdr>
          <w:divsChild>
            <w:div w:id="621226255">
              <w:marLeft w:val="0"/>
              <w:marRight w:val="0"/>
              <w:marTop w:val="0"/>
              <w:marBottom w:val="0"/>
              <w:divBdr>
                <w:top w:val="none" w:sz="0" w:space="0" w:color="auto"/>
                <w:left w:val="none" w:sz="0" w:space="0" w:color="auto"/>
                <w:bottom w:val="none" w:sz="0" w:space="0" w:color="auto"/>
                <w:right w:val="none" w:sz="0" w:space="0" w:color="auto"/>
              </w:divBdr>
            </w:div>
          </w:divsChild>
        </w:div>
        <w:div w:id="646325333">
          <w:marLeft w:val="0"/>
          <w:marRight w:val="0"/>
          <w:marTop w:val="0"/>
          <w:marBottom w:val="0"/>
          <w:divBdr>
            <w:top w:val="none" w:sz="0" w:space="0" w:color="auto"/>
            <w:left w:val="none" w:sz="0" w:space="0" w:color="auto"/>
            <w:bottom w:val="none" w:sz="0" w:space="0" w:color="auto"/>
            <w:right w:val="none" w:sz="0" w:space="0" w:color="auto"/>
          </w:divBdr>
          <w:divsChild>
            <w:div w:id="728266708">
              <w:marLeft w:val="0"/>
              <w:marRight w:val="0"/>
              <w:marTop w:val="0"/>
              <w:marBottom w:val="0"/>
              <w:divBdr>
                <w:top w:val="none" w:sz="0" w:space="0" w:color="auto"/>
                <w:left w:val="none" w:sz="0" w:space="0" w:color="auto"/>
                <w:bottom w:val="none" w:sz="0" w:space="0" w:color="auto"/>
                <w:right w:val="none" w:sz="0" w:space="0" w:color="auto"/>
              </w:divBdr>
            </w:div>
          </w:divsChild>
        </w:div>
        <w:div w:id="647322874">
          <w:marLeft w:val="0"/>
          <w:marRight w:val="0"/>
          <w:marTop w:val="0"/>
          <w:marBottom w:val="0"/>
          <w:divBdr>
            <w:top w:val="none" w:sz="0" w:space="0" w:color="auto"/>
            <w:left w:val="none" w:sz="0" w:space="0" w:color="auto"/>
            <w:bottom w:val="none" w:sz="0" w:space="0" w:color="auto"/>
            <w:right w:val="none" w:sz="0" w:space="0" w:color="auto"/>
          </w:divBdr>
          <w:divsChild>
            <w:div w:id="757751892">
              <w:marLeft w:val="0"/>
              <w:marRight w:val="0"/>
              <w:marTop w:val="0"/>
              <w:marBottom w:val="0"/>
              <w:divBdr>
                <w:top w:val="none" w:sz="0" w:space="0" w:color="auto"/>
                <w:left w:val="none" w:sz="0" w:space="0" w:color="auto"/>
                <w:bottom w:val="none" w:sz="0" w:space="0" w:color="auto"/>
                <w:right w:val="none" w:sz="0" w:space="0" w:color="auto"/>
              </w:divBdr>
            </w:div>
          </w:divsChild>
        </w:div>
        <w:div w:id="682976876">
          <w:marLeft w:val="0"/>
          <w:marRight w:val="0"/>
          <w:marTop w:val="0"/>
          <w:marBottom w:val="0"/>
          <w:divBdr>
            <w:top w:val="none" w:sz="0" w:space="0" w:color="auto"/>
            <w:left w:val="none" w:sz="0" w:space="0" w:color="auto"/>
            <w:bottom w:val="none" w:sz="0" w:space="0" w:color="auto"/>
            <w:right w:val="none" w:sz="0" w:space="0" w:color="auto"/>
          </w:divBdr>
          <w:divsChild>
            <w:div w:id="1136223056">
              <w:marLeft w:val="0"/>
              <w:marRight w:val="0"/>
              <w:marTop w:val="0"/>
              <w:marBottom w:val="0"/>
              <w:divBdr>
                <w:top w:val="none" w:sz="0" w:space="0" w:color="auto"/>
                <w:left w:val="none" w:sz="0" w:space="0" w:color="auto"/>
                <w:bottom w:val="none" w:sz="0" w:space="0" w:color="auto"/>
                <w:right w:val="none" w:sz="0" w:space="0" w:color="auto"/>
              </w:divBdr>
            </w:div>
          </w:divsChild>
        </w:div>
        <w:div w:id="716902774">
          <w:marLeft w:val="0"/>
          <w:marRight w:val="0"/>
          <w:marTop w:val="0"/>
          <w:marBottom w:val="0"/>
          <w:divBdr>
            <w:top w:val="none" w:sz="0" w:space="0" w:color="auto"/>
            <w:left w:val="none" w:sz="0" w:space="0" w:color="auto"/>
            <w:bottom w:val="none" w:sz="0" w:space="0" w:color="auto"/>
            <w:right w:val="none" w:sz="0" w:space="0" w:color="auto"/>
          </w:divBdr>
          <w:divsChild>
            <w:div w:id="498814325">
              <w:marLeft w:val="0"/>
              <w:marRight w:val="0"/>
              <w:marTop w:val="0"/>
              <w:marBottom w:val="0"/>
              <w:divBdr>
                <w:top w:val="none" w:sz="0" w:space="0" w:color="auto"/>
                <w:left w:val="none" w:sz="0" w:space="0" w:color="auto"/>
                <w:bottom w:val="none" w:sz="0" w:space="0" w:color="auto"/>
                <w:right w:val="none" w:sz="0" w:space="0" w:color="auto"/>
              </w:divBdr>
            </w:div>
          </w:divsChild>
        </w:div>
        <w:div w:id="734354906">
          <w:marLeft w:val="0"/>
          <w:marRight w:val="0"/>
          <w:marTop w:val="0"/>
          <w:marBottom w:val="0"/>
          <w:divBdr>
            <w:top w:val="none" w:sz="0" w:space="0" w:color="auto"/>
            <w:left w:val="none" w:sz="0" w:space="0" w:color="auto"/>
            <w:bottom w:val="none" w:sz="0" w:space="0" w:color="auto"/>
            <w:right w:val="none" w:sz="0" w:space="0" w:color="auto"/>
          </w:divBdr>
          <w:divsChild>
            <w:div w:id="587470197">
              <w:marLeft w:val="0"/>
              <w:marRight w:val="0"/>
              <w:marTop w:val="0"/>
              <w:marBottom w:val="0"/>
              <w:divBdr>
                <w:top w:val="none" w:sz="0" w:space="0" w:color="auto"/>
                <w:left w:val="none" w:sz="0" w:space="0" w:color="auto"/>
                <w:bottom w:val="none" w:sz="0" w:space="0" w:color="auto"/>
                <w:right w:val="none" w:sz="0" w:space="0" w:color="auto"/>
              </w:divBdr>
            </w:div>
          </w:divsChild>
        </w:div>
        <w:div w:id="735082506">
          <w:marLeft w:val="0"/>
          <w:marRight w:val="0"/>
          <w:marTop w:val="0"/>
          <w:marBottom w:val="0"/>
          <w:divBdr>
            <w:top w:val="none" w:sz="0" w:space="0" w:color="auto"/>
            <w:left w:val="none" w:sz="0" w:space="0" w:color="auto"/>
            <w:bottom w:val="none" w:sz="0" w:space="0" w:color="auto"/>
            <w:right w:val="none" w:sz="0" w:space="0" w:color="auto"/>
          </w:divBdr>
          <w:divsChild>
            <w:div w:id="1231572011">
              <w:marLeft w:val="0"/>
              <w:marRight w:val="0"/>
              <w:marTop w:val="0"/>
              <w:marBottom w:val="0"/>
              <w:divBdr>
                <w:top w:val="none" w:sz="0" w:space="0" w:color="auto"/>
                <w:left w:val="none" w:sz="0" w:space="0" w:color="auto"/>
                <w:bottom w:val="none" w:sz="0" w:space="0" w:color="auto"/>
                <w:right w:val="none" w:sz="0" w:space="0" w:color="auto"/>
              </w:divBdr>
            </w:div>
          </w:divsChild>
        </w:div>
        <w:div w:id="737633003">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sChild>
        </w:div>
        <w:div w:id="738094062">
          <w:marLeft w:val="0"/>
          <w:marRight w:val="0"/>
          <w:marTop w:val="0"/>
          <w:marBottom w:val="0"/>
          <w:divBdr>
            <w:top w:val="none" w:sz="0" w:space="0" w:color="auto"/>
            <w:left w:val="none" w:sz="0" w:space="0" w:color="auto"/>
            <w:bottom w:val="none" w:sz="0" w:space="0" w:color="auto"/>
            <w:right w:val="none" w:sz="0" w:space="0" w:color="auto"/>
          </w:divBdr>
          <w:divsChild>
            <w:div w:id="841429293">
              <w:marLeft w:val="0"/>
              <w:marRight w:val="0"/>
              <w:marTop w:val="0"/>
              <w:marBottom w:val="0"/>
              <w:divBdr>
                <w:top w:val="none" w:sz="0" w:space="0" w:color="auto"/>
                <w:left w:val="none" w:sz="0" w:space="0" w:color="auto"/>
                <w:bottom w:val="none" w:sz="0" w:space="0" w:color="auto"/>
                <w:right w:val="none" w:sz="0" w:space="0" w:color="auto"/>
              </w:divBdr>
            </w:div>
          </w:divsChild>
        </w:div>
        <w:div w:id="757212024">
          <w:marLeft w:val="0"/>
          <w:marRight w:val="0"/>
          <w:marTop w:val="0"/>
          <w:marBottom w:val="0"/>
          <w:divBdr>
            <w:top w:val="none" w:sz="0" w:space="0" w:color="auto"/>
            <w:left w:val="none" w:sz="0" w:space="0" w:color="auto"/>
            <w:bottom w:val="none" w:sz="0" w:space="0" w:color="auto"/>
            <w:right w:val="none" w:sz="0" w:space="0" w:color="auto"/>
          </w:divBdr>
          <w:divsChild>
            <w:div w:id="1182430678">
              <w:marLeft w:val="0"/>
              <w:marRight w:val="0"/>
              <w:marTop w:val="0"/>
              <w:marBottom w:val="0"/>
              <w:divBdr>
                <w:top w:val="none" w:sz="0" w:space="0" w:color="auto"/>
                <w:left w:val="none" w:sz="0" w:space="0" w:color="auto"/>
                <w:bottom w:val="none" w:sz="0" w:space="0" w:color="auto"/>
                <w:right w:val="none" w:sz="0" w:space="0" w:color="auto"/>
              </w:divBdr>
            </w:div>
          </w:divsChild>
        </w:div>
        <w:div w:id="778838279">
          <w:marLeft w:val="0"/>
          <w:marRight w:val="0"/>
          <w:marTop w:val="0"/>
          <w:marBottom w:val="0"/>
          <w:divBdr>
            <w:top w:val="none" w:sz="0" w:space="0" w:color="auto"/>
            <w:left w:val="none" w:sz="0" w:space="0" w:color="auto"/>
            <w:bottom w:val="none" w:sz="0" w:space="0" w:color="auto"/>
            <w:right w:val="none" w:sz="0" w:space="0" w:color="auto"/>
          </w:divBdr>
          <w:divsChild>
            <w:div w:id="1931044152">
              <w:marLeft w:val="0"/>
              <w:marRight w:val="0"/>
              <w:marTop w:val="0"/>
              <w:marBottom w:val="0"/>
              <w:divBdr>
                <w:top w:val="none" w:sz="0" w:space="0" w:color="auto"/>
                <w:left w:val="none" w:sz="0" w:space="0" w:color="auto"/>
                <w:bottom w:val="none" w:sz="0" w:space="0" w:color="auto"/>
                <w:right w:val="none" w:sz="0" w:space="0" w:color="auto"/>
              </w:divBdr>
            </w:div>
          </w:divsChild>
        </w:div>
        <w:div w:id="831262076">
          <w:marLeft w:val="0"/>
          <w:marRight w:val="0"/>
          <w:marTop w:val="0"/>
          <w:marBottom w:val="0"/>
          <w:divBdr>
            <w:top w:val="none" w:sz="0" w:space="0" w:color="auto"/>
            <w:left w:val="none" w:sz="0" w:space="0" w:color="auto"/>
            <w:bottom w:val="none" w:sz="0" w:space="0" w:color="auto"/>
            <w:right w:val="none" w:sz="0" w:space="0" w:color="auto"/>
          </w:divBdr>
          <w:divsChild>
            <w:div w:id="823668080">
              <w:marLeft w:val="0"/>
              <w:marRight w:val="0"/>
              <w:marTop w:val="0"/>
              <w:marBottom w:val="0"/>
              <w:divBdr>
                <w:top w:val="none" w:sz="0" w:space="0" w:color="auto"/>
                <w:left w:val="none" w:sz="0" w:space="0" w:color="auto"/>
                <w:bottom w:val="none" w:sz="0" w:space="0" w:color="auto"/>
                <w:right w:val="none" w:sz="0" w:space="0" w:color="auto"/>
              </w:divBdr>
            </w:div>
          </w:divsChild>
        </w:div>
        <w:div w:id="929586959">
          <w:marLeft w:val="0"/>
          <w:marRight w:val="0"/>
          <w:marTop w:val="0"/>
          <w:marBottom w:val="0"/>
          <w:divBdr>
            <w:top w:val="none" w:sz="0" w:space="0" w:color="auto"/>
            <w:left w:val="none" w:sz="0" w:space="0" w:color="auto"/>
            <w:bottom w:val="none" w:sz="0" w:space="0" w:color="auto"/>
            <w:right w:val="none" w:sz="0" w:space="0" w:color="auto"/>
          </w:divBdr>
          <w:divsChild>
            <w:div w:id="2081100736">
              <w:marLeft w:val="0"/>
              <w:marRight w:val="0"/>
              <w:marTop w:val="0"/>
              <w:marBottom w:val="0"/>
              <w:divBdr>
                <w:top w:val="none" w:sz="0" w:space="0" w:color="auto"/>
                <w:left w:val="none" w:sz="0" w:space="0" w:color="auto"/>
                <w:bottom w:val="none" w:sz="0" w:space="0" w:color="auto"/>
                <w:right w:val="none" w:sz="0" w:space="0" w:color="auto"/>
              </w:divBdr>
            </w:div>
          </w:divsChild>
        </w:div>
        <w:div w:id="971130231">
          <w:marLeft w:val="0"/>
          <w:marRight w:val="0"/>
          <w:marTop w:val="0"/>
          <w:marBottom w:val="0"/>
          <w:divBdr>
            <w:top w:val="none" w:sz="0" w:space="0" w:color="auto"/>
            <w:left w:val="none" w:sz="0" w:space="0" w:color="auto"/>
            <w:bottom w:val="none" w:sz="0" w:space="0" w:color="auto"/>
            <w:right w:val="none" w:sz="0" w:space="0" w:color="auto"/>
          </w:divBdr>
          <w:divsChild>
            <w:div w:id="2067410321">
              <w:marLeft w:val="0"/>
              <w:marRight w:val="0"/>
              <w:marTop w:val="0"/>
              <w:marBottom w:val="0"/>
              <w:divBdr>
                <w:top w:val="none" w:sz="0" w:space="0" w:color="auto"/>
                <w:left w:val="none" w:sz="0" w:space="0" w:color="auto"/>
                <w:bottom w:val="none" w:sz="0" w:space="0" w:color="auto"/>
                <w:right w:val="none" w:sz="0" w:space="0" w:color="auto"/>
              </w:divBdr>
            </w:div>
          </w:divsChild>
        </w:div>
        <w:div w:id="982733569">
          <w:marLeft w:val="0"/>
          <w:marRight w:val="0"/>
          <w:marTop w:val="0"/>
          <w:marBottom w:val="0"/>
          <w:divBdr>
            <w:top w:val="none" w:sz="0" w:space="0" w:color="auto"/>
            <w:left w:val="none" w:sz="0" w:space="0" w:color="auto"/>
            <w:bottom w:val="none" w:sz="0" w:space="0" w:color="auto"/>
            <w:right w:val="none" w:sz="0" w:space="0" w:color="auto"/>
          </w:divBdr>
          <w:divsChild>
            <w:div w:id="2023967334">
              <w:marLeft w:val="0"/>
              <w:marRight w:val="0"/>
              <w:marTop w:val="0"/>
              <w:marBottom w:val="0"/>
              <w:divBdr>
                <w:top w:val="none" w:sz="0" w:space="0" w:color="auto"/>
                <w:left w:val="none" w:sz="0" w:space="0" w:color="auto"/>
                <w:bottom w:val="none" w:sz="0" w:space="0" w:color="auto"/>
                <w:right w:val="none" w:sz="0" w:space="0" w:color="auto"/>
              </w:divBdr>
            </w:div>
          </w:divsChild>
        </w:div>
        <w:div w:id="1032607404">
          <w:marLeft w:val="0"/>
          <w:marRight w:val="0"/>
          <w:marTop w:val="0"/>
          <w:marBottom w:val="0"/>
          <w:divBdr>
            <w:top w:val="none" w:sz="0" w:space="0" w:color="auto"/>
            <w:left w:val="none" w:sz="0" w:space="0" w:color="auto"/>
            <w:bottom w:val="none" w:sz="0" w:space="0" w:color="auto"/>
            <w:right w:val="none" w:sz="0" w:space="0" w:color="auto"/>
          </w:divBdr>
          <w:divsChild>
            <w:div w:id="1468084035">
              <w:marLeft w:val="0"/>
              <w:marRight w:val="0"/>
              <w:marTop w:val="0"/>
              <w:marBottom w:val="0"/>
              <w:divBdr>
                <w:top w:val="none" w:sz="0" w:space="0" w:color="auto"/>
                <w:left w:val="none" w:sz="0" w:space="0" w:color="auto"/>
                <w:bottom w:val="none" w:sz="0" w:space="0" w:color="auto"/>
                <w:right w:val="none" w:sz="0" w:space="0" w:color="auto"/>
              </w:divBdr>
            </w:div>
          </w:divsChild>
        </w:div>
        <w:div w:id="1040589925">
          <w:marLeft w:val="0"/>
          <w:marRight w:val="0"/>
          <w:marTop w:val="0"/>
          <w:marBottom w:val="0"/>
          <w:divBdr>
            <w:top w:val="none" w:sz="0" w:space="0" w:color="auto"/>
            <w:left w:val="none" w:sz="0" w:space="0" w:color="auto"/>
            <w:bottom w:val="none" w:sz="0" w:space="0" w:color="auto"/>
            <w:right w:val="none" w:sz="0" w:space="0" w:color="auto"/>
          </w:divBdr>
          <w:divsChild>
            <w:div w:id="1310593103">
              <w:marLeft w:val="0"/>
              <w:marRight w:val="0"/>
              <w:marTop w:val="0"/>
              <w:marBottom w:val="0"/>
              <w:divBdr>
                <w:top w:val="none" w:sz="0" w:space="0" w:color="auto"/>
                <w:left w:val="none" w:sz="0" w:space="0" w:color="auto"/>
                <w:bottom w:val="none" w:sz="0" w:space="0" w:color="auto"/>
                <w:right w:val="none" w:sz="0" w:space="0" w:color="auto"/>
              </w:divBdr>
            </w:div>
          </w:divsChild>
        </w:div>
        <w:div w:id="1055859595">
          <w:marLeft w:val="0"/>
          <w:marRight w:val="0"/>
          <w:marTop w:val="0"/>
          <w:marBottom w:val="0"/>
          <w:divBdr>
            <w:top w:val="none" w:sz="0" w:space="0" w:color="auto"/>
            <w:left w:val="none" w:sz="0" w:space="0" w:color="auto"/>
            <w:bottom w:val="none" w:sz="0" w:space="0" w:color="auto"/>
            <w:right w:val="none" w:sz="0" w:space="0" w:color="auto"/>
          </w:divBdr>
          <w:divsChild>
            <w:div w:id="1305156418">
              <w:marLeft w:val="0"/>
              <w:marRight w:val="0"/>
              <w:marTop w:val="0"/>
              <w:marBottom w:val="0"/>
              <w:divBdr>
                <w:top w:val="none" w:sz="0" w:space="0" w:color="auto"/>
                <w:left w:val="none" w:sz="0" w:space="0" w:color="auto"/>
                <w:bottom w:val="none" w:sz="0" w:space="0" w:color="auto"/>
                <w:right w:val="none" w:sz="0" w:space="0" w:color="auto"/>
              </w:divBdr>
            </w:div>
          </w:divsChild>
        </w:div>
        <w:div w:id="1090657911">
          <w:marLeft w:val="0"/>
          <w:marRight w:val="0"/>
          <w:marTop w:val="0"/>
          <w:marBottom w:val="0"/>
          <w:divBdr>
            <w:top w:val="none" w:sz="0" w:space="0" w:color="auto"/>
            <w:left w:val="none" w:sz="0" w:space="0" w:color="auto"/>
            <w:bottom w:val="none" w:sz="0" w:space="0" w:color="auto"/>
            <w:right w:val="none" w:sz="0" w:space="0" w:color="auto"/>
          </w:divBdr>
          <w:divsChild>
            <w:div w:id="993338309">
              <w:marLeft w:val="0"/>
              <w:marRight w:val="0"/>
              <w:marTop w:val="0"/>
              <w:marBottom w:val="0"/>
              <w:divBdr>
                <w:top w:val="none" w:sz="0" w:space="0" w:color="auto"/>
                <w:left w:val="none" w:sz="0" w:space="0" w:color="auto"/>
                <w:bottom w:val="none" w:sz="0" w:space="0" w:color="auto"/>
                <w:right w:val="none" w:sz="0" w:space="0" w:color="auto"/>
              </w:divBdr>
            </w:div>
          </w:divsChild>
        </w:div>
        <w:div w:id="1150752678">
          <w:marLeft w:val="0"/>
          <w:marRight w:val="0"/>
          <w:marTop w:val="0"/>
          <w:marBottom w:val="0"/>
          <w:divBdr>
            <w:top w:val="none" w:sz="0" w:space="0" w:color="auto"/>
            <w:left w:val="none" w:sz="0" w:space="0" w:color="auto"/>
            <w:bottom w:val="none" w:sz="0" w:space="0" w:color="auto"/>
            <w:right w:val="none" w:sz="0" w:space="0" w:color="auto"/>
          </w:divBdr>
          <w:divsChild>
            <w:div w:id="827791637">
              <w:marLeft w:val="0"/>
              <w:marRight w:val="0"/>
              <w:marTop w:val="0"/>
              <w:marBottom w:val="0"/>
              <w:divBdr>
                <w:top w:val="none" w:sz="0" w:space="0" w:color="auto"/>
                <w:left w:val="none" w:sz="0" w:space="0" w:color="auto"/>
                <w:bottom w:val="none" w:sz="0" w:space="0" w:color="auto"/>
                <w:right w:val="none" w:sz="0" w:space="0" w:color="auto"/>
              </w:divBdr>
            </w:div>
          </w:divsChild>
        </w:div>
        <w:div w:id="1157264368">
          <w:marLeft w:val="0"/>
          <w:marRight w:val="0"/>
          <w:marTop w:val="0"/>
          <w:marBottom w:val="0"/>
          <w:divBdr>
            <w:top w:val="none" w:sz="0" w:space="0" w:color="auto"/>
            <w:left w:val="none" w:sz="0" w:space="0" w:color="auto"/>
            <w:bottom w:val="none" w:sz="0" w:space="0" w:color="auto"/>
            <w:right w:val="none" w:sz="0" w:space="0" w:color="auto"/>
          </w:divBdr>
          <w:divsChild>
            <w:div w:id="746390436">
              <w:marLeft w:val="0"/>
              <w:marRight w:val="0"/>
              <w:marTop w:val="0"/>
              <w:marBottom w:val="0"/>
              <w:divBdr>
                <w:top w:val="none" w:sz="0" w:space="0" w:color="auto"/>
                <w:left w:val="none" w:sz="0" w:space="0" w:color="auto"/>
                <w:bottom w:val="none" w:sz="0" w:space="0" w:color="auto"/>
                <w:right w:val="none" w:sz="0" w:space="0" w:color="auto"/>
              </w:divBdr>
            </w:div>
          </w:divsChild>
        </w:div>
        <w:div w:id="1198204248">
          <w:marLeft w:val="0"/>
          <w:marRight w:val="0"/>
          <w:marTop w:val="0"/>
          <w:marBottom w:val="0"/>
          <w:divBdr>
            <w:top w:val="none" w:sz="0" w:space="0" w:color="auto"/>
            <w:left w:val="none" w:sz="0" w:space="0" w:color="auto"/>
            <w:bottom w:val="none" w:sz="0" w:space="0" w:color="auto"/>
            <w:right w:val="none" w:sz="0" w:space="0" w:color="auto"/>
          </w:divBdr>
          <w:divsChild>
            <w:div w:id="478808680">
              <w:marLeft w:val="0"/>
              <w:marRight w:val="0"/>
              <w:marTop w:val="0"/>
              <w:marBottom w:val="0"/>
              <w:divBdr>
                <w:top w:val="none" w:sz="0" w:space="0" w:color="auto"/>
                <w:left w:val="none" w:sz="0" w:space="0" w:color="auto"/>
                <w:bottom w:val="none" w:sz="0" w:space="0" w:color="auto"/>
                <w:right w:val="none" w:sz="0" w:space="0" w:color="auto"/>
              </w:divBdr>
            </w:div>
          </w:divsChild>
        </w:div>
        <w:div w:id="1209563326">
          <w:marLeft w:val="0"/>
          <w:marRight w:val="0"/>
          <w:marTop w:val="0"/>
          <w:marBottom w:val="0"/>
          <w:divBdr>
            <w:top w:val="none" w:sz="0" w:space="0" w:color="auto"/>
            <w:left w:val="none" w:sz="0" w:space="0" w:color="auto"/>
            <w:bottom w:val="none" w:sz="0" w:space="0" w:color="auto"/>
            <w:right w:val="none" w:sz="0" w:space="0" w:color="auto"/>
          </w:divBdr>
          <w:divsChild>
            <w:div w:id="1071079626">
              <w:marLeft w:val="0"/>
              <w:marRight w:val="0"/>
              <w:marTop w:val="0"/>
              <w:marBottom w:val="0"/>
              <w:divBdr>
                <w:top w:val="none" w:sz="0" w:space="0" w:color="auto"/>
                <w:left w:val="none" w:sz="0" w:space="0" w:color="auto"/>
                <w:bottom w:val="none" w:sz="0" w:space="0" w:color="auto"/>
                <w:right w:val="none" w:sz="0" w:space="0" w:color="auto"/>
              </w:divBdr>
            </w:div>
          </w:divsChild>
        </w:div>
        <w:div w:id="1223054310">
          <w:marLeft w:val="0"/>
          <w:marRight w:val="0"/>
          <w:marTop w:val="0"/>
          <w:marBottom w:val="0"/>
          <w:divBdr>
            <w:top w:val="none" w:sz="0" w:space="0" w:color="auto"/>
            <w:left w:val="none" w:sz="0" w:space="0" w:color="auto"/>
            <w:bottom w:val="none" w:sz="0" w:space="0" w:color="auto"/>
            <w:right w:val="none" w:sz="0" w:space="0" w:color="auto"/>
          </w:divBdr>
          <w:divsChild>
            <w:div w:id="1293515613">
              <w:marLeft w:val="0"/>
              <w:marRight w:val="0"/>
              <w:marTop w:val="0"/>
              <w:marBottom w:val="0"/>
              <w:divBdr>
                <w:top w:val="none" w:sz="0" w:space="0" w:color="auto"/>
                <w:left w:val="none" w:sz="0" w:space="0" w:color="auto"/>
                <w:bottom w:val="none" w:sz="0" w:space="0" w:color="auto"/>
                <w:right w:val="none" w:sz="0" w:space="0" w:color="auto"/>
              </w:divBdr>
            </w:div>
          </w:divsChild>
        </w:div>
        <w:div w:id="1223368300">
          <w:marLeft w:val="0"/>
          <w:marRight w:val="0"/>
          <w:marTop w:val="0"/>
          <w:marBottom w:val="0"/>
          <w:divBdr>
            <w:top w:val="none" w:sz="0" w:space="0" w:color="auto"/>
            <w:left w:val="none" w:sz="0" w:space="0" w:color="auto"/>
            <w:bottom w:val="none" w:sz="0" w:space="0" w:color="auto"/>
            <w:right w:val="none" w:sz="0" w:space="0" w:color="auto"/>
          </w:divBdr>
          <w:divsChild>
            <w:div w:id="992835097">
              <w:marLeft w:val="0"/>
              <w:marRight w:val="0"/>
              <w:marTop w:val="0"/>
              <w:marBottom w:val="0"/>
              <w:divBdr>
                <w:top w:val="none" w:sz="0" w:space="0" w:color="auto"/>
                <w:left w:val="none" w:sz="0" w:space="0" w:color="auto"/>
                <w:bottom w:val="none" w:sz="0" w:space="0" w:color="auto"/>
                <w:right w:val="none" w:sz="0" w:space="0" w:color="auto"/>
              </w:divBdr>
            </w:div>
          </w:divsChild>
        </w:div>
        <w:div w:id="1295528645">
          <w:marLeft w:val="0"/>
          <w:marRight w:val="0"/>
          <w:marTop w:val="0"/>
          <w:marBottom w:val="0"/>
          <w:divBdr>
            <w:top w:val="none" w:sz="0" w:space="0" w:color="auto"/>
            <w:left w:val="none" w:sz="0" w:space="0" w:color="auto"/>
            <w:bottom w:val="none" w:sz="0" w:space="0" w:color="auto"/>
            <w:right w:val="none" w:sz="0" w:space="0" w:color="auto"/>
          </w:divBdr>
          <w:divsChild>
            <w:div w:id="1831406011">
              <w:marLeft w:val="0"/>
              <w:marRight w:val="0"/>
              <w:marTop w:val="0"/>
              <w:marBottom w:val="0"/>
              <w:divBdr>
                <w:top w:val="none" w:sz="0" w:space="0" w:color="auto"/>
                <w:left w:val="none" w:sz="0" w:space="0" w:color="auto"/>
                <w:bottom w:val="none" w:sz="0" w:space="0" w:color="auto"/>
                <w:right w:val="none" w:sz="0" w:space="0" w:color="auto"/>
              </w:divBdr>
            </w:div>
          </w:divsChild>
        </w:div>
        <w:div w:id="1295865753">
          <w:marLeft w:val="0"/>
          <w:marRight w:val="0"/>
          <w:marTop w:val="0"/>
          <w:marBottom w:val="0"/>
          <w:divBdr>
            <w:top w:val="none" w:sz="0" w:space="0" w:color="auto"/>
            <w:left w:val="none" w:sz="0" w:space="0" w:color="auto"/>
            <w:bottom w:val="none" w:sz="0" w:space="0" w:color="auto"/>
            <w:right w:val="none" w:sz="0" w:space="0" w:color="auto"/>
          </w:divBdr>
          <w:divsChild>
            <w:div w:id="926228711">
              <w:marLeft w:val="0"/>
              <w:marRight w:val="0"/>
              <w:marTop w:val="0"/>
              <w:marBottom w:val="0"/>
              <w:divBdr>
                <w:top w:val="none" w:sz="0" w:space="0" w:color="auto"/>
                <w:left w:val="none" w:sz="0" w:space="0" w:color="auto"/>
                <w:bottom w:val="none" w:sz="0" w:space="0" w:color="auto"/>
                <w:right w:val="none" w:sz="0" w:space="0" w:color="auto"/>
              </w:divBdr>
            </w:div>
          </w:divsChild>
        </w:div>
        <w:div w:id="1304963887">
          <w:marLeft w:val="0"/>
          <w:marRight w:val="0"/>
          <w:marTop w:val="0"/>
          <w:marBottom w:val="0"/>
          <w:divBdr>
            <w:top w:val="none" w:sz="0" w:space="0" w:color="auto"/>
            <w:left w:val="none" w:sz="0" w:space="0" w:color="auto"/>
            <w:bottom w:val="none" w:sz="0" w:space="0" w:color="auto"/>
            <w:right w:val="none" w:sz="0" w:space="0" w:color="auto"/>
          </w:divBdr>
          <w:divsChild>
            <w:div w:id="2000035000">
              <w:marLeft w:val="0"/>
              <w:marRight w:val="0"/>
              <w:marTop w:val="0"/>
              <w:marBottom w:val="0"/>
              <w:divBdr>
                <w:top w:val="none" w:sz="0" w:space="0" w:color="auto"/>
                <w:left w:val="none" w:sz="0" w:space="0" w:color="auto"/>
                <w:bottom w:val="none" w:sz="0" w:space="0" w:color="auto"/>
                <w:right w:val="none" w:sz="0" w:space="0" w:color="auto"/>
              </w:divBdr>
            </w:div>
          </w:divsChild>
        </w:div>
        <w:div w:id="1354499854">
          <w:marLeft w:val="0"/>
          <w:marRight w:val="0"/>
          <w:marTop w:val="0"/>
          <w:marBottom w:val="0"/>
          <w:divBdr>
            <w:top w:val="none" w:sz="0" w:space="0" w:color="auto"/>
            <w:left w:val="none" w:sz="0" w:space="0" w:color="auto"/>
            <w:bottom w:val="none" w:sz="0" w:space="0" w:color="auto"/>
            <w:right w:val="none" w:sz="0" w:space="0" w:color="auto"/>
          </w:divBdr>
          <w:divsChild>
            <w:div w:id="1319648482">
              <w:marLeft w:val="0"/>
              <w:marRight w:val="0"/>
              <w:marTop w:val="0"/>
              <w:marBottom w:val="0"/>
              <w:divBdr>
                <w:top w:val="none" w:sz="0" w:space="0" w:color="auto"/>
                <w:left w:val="none" w:sz="0" w:space="0" w:color="auto"/>
                <w:bottom w:val="none" w:sz="0" w:space="0" w:color="auto"/>
                <w:right w:val="none" w:sz="0" w:space="0" w:color="auto"/>
              </w:divBdr>
            </w:div>
          </w:divsChild>
        </w:div>
        <w:div w:id="1374422507">
          <w:marLeft w:val="0"/>
          <w:marRight w:val="0"/>
          <w:marTop w:val="0"/>
          <w:marBottom w:val="0"/>
          <w:divBdr>
            <w:top w:val="none" w:sz="0" w:space="0" w:color="auto"/>
            <w:left w:val="none" w:sz="0" w:space="0" w:color="auto"/>
            <w:bottom w:val="none" w:sz="0" w:space="0" w:color="auto"/>
            <w:right w:val="none" w:sz="0" w:space="0" w:color="auto"/>
          </w:divBdr>
          <w:divsChild>
            <w:div w:id="2096002989">
              <w:marLeft w:val="0"/>
              <w:marRight w:val="0"/>
              <w:marTop w:val="0"/>
              <w:marBottom w:val="0"/>
              <w:divBdr>
                <w:top w:val="none" w:sz="0" w:space="0" w:color="auto"/>
                <w:left w:val="none" w:sz="0" w:space="0" w:color="auto"/>
                <w:bottom w:val="none" w:sz="0" w:space="0" w:color="auto"/>
                <w:right w:val="none" w:sz="0" w:space="0" w:color="auto"/>
              </w:divBdr>
            </w:div>
          </w:divsChild>
        </w:div>
        <w:div w:id="1379937946">
          <w:marLeft w:val="0"/>
          <w:marRight w:val="0"/>
          <w:marTop w:val="0"/>
          <w:marBottom w:val="0"/>
          <w:divBdr>
            <w:top w:val="none" w:sz="0" w:space="0" w:color="auto"/>
            <w:left w:val="none" w:sz="0" w:space="0" w:color="auto"/>
            <w:bottom w:val="none" w:sz="0" w:space="0" w:color="auto"/>
            <w:right w:val="none" w:sz="0" w:space="0" w:color="auto"/>
          </w:divBdr>
          <w:divsChild>
            <w:div w:id="1679653398">
              <w:marLeft w:val="0"/>
              <w:marRight w:val="0"/>
              <w:marTop w:val="0"/>
              <w:marBottom w:val="0"/>
              <w:divBdr>
                <w:top w:val="none" w:sz="0" w:space="0" w:color="auto"/>
                <w:left w:val="none" w:sz="0" w:space="0" w:color="auto"/>
                <w:bottom w:val="none" w:sz="0" w:space="0" w:color="auto"/>
                <w:right w:val="none" w:sz="0" w:space="0" w:color="auto"/>
              </w:divBdr>
            </w:div>
          </w:divsChild>
        </w:div>
        <w:div w:id="1440292528">
          <w:marLeft w:val="0"/>
          <w:marRight w:val="0"/>
          <w:marTop w:val="0"/>
          <w:marBottom w:val="0"/>
          <w:divBdr>
            <w:top w:val="none" w:sz="0" w:space="0" w:color="auto"/>
            <w:left w:val="none" w:sz="0" w:space="0" w:color="auto"/>
            <w:bottom w:val="none" w:sz="0" w:space="0" w:color="auto"/>
            <w:right w:val="none" w:sz="0" w:space="0" w:color="auto"/>
          </w:divBdr>
          <w:divsChild>
            <w:div w:id="847597612">
              <w:marLeft w:val="0"/>
              <w:marRight w:val="0"/>
              <w:marTop w:val="0"/>
              <w:marBottom w:val="0"/>
              <w:divBdr>
                <w:top w:val="none" w:sz="0" w:space="0" w:color="auto"/>
                <w:left w:val="none" w:sz="0" w:space="0" w:color="auto"/>
                <w:bottom w:val="none" w:sz="0" w:space="0" w:color="auto"/>
                <w:right w:val="none" w:sz="0" w:space="0" w:color="auto"/>
              </w:divBdr>
            </w:div>
          </w:divsChild>
        </w:div>
        <w:div w:id="1472016322">
          <w:marLeft w:val="0"/>
          <w:marRight w:val="0"/>
          <w:marTop w:val="0"/>
          <w:marBottom w:val="0"/>
          <w:divBdr>
            <w:top w:val="none" w:sz="0" w:space="0" w:color="auto"/>
            <w:left w:val="none" w:sz="0" w:space="0" w:color="auto"/>
            <w:bottom w:val="none" w:sz="0" w:space="0" w:color="auto"/>
            <w:right w:val="none" w:sz="0" w:space="0" w:color="auto"/>
          </w:divBdr>
          <w:divsChild>
            <w:div w:id="976495197">
              <w:marLeft w:val="0"/>
              <w:marRight w:val="0"/>
              <w:marTop w:val="0"/>
              <w:marBottom w:val="0"/>
              <w:divBdr>
                <w:top w:val="none" w:sz="0" w:space="0" w:color="auto"/>
                <w:left w:val="none" w:sz="0" w:space="0" w:color="auto"/>
                <w:bottom w:val="none" w:sz="0" w:space="0" w:color="auto"/>
                <w:right w:val="none" w:sz="0" w:space="0" w:color="auto"/>
              </w:divBdr>
            </w:div>
          </w:divsChild>
        </w:div>
        <w:div w:id="1486816364">
          <w:marLeft w:val="0"/>
          <w:marRight w:val="0"/>
          <w:marTop w:val="0"/>
          <w:marBottom w:val="0"/>
          <w:divBdr>
            <w:top w:val="none" w:sz="0" w:space="0" w:color="auto"/>
            <w:left w:val="none" w:sz="0" w:space="0" w:color="auto"/>
            <w:bottom w:val="none" w:sz="0" w:space="0" w:color="auto"/>
            <w:right w:val="none" w:sz="0" w:space="0" w:color="auto"/>
          </w:divBdr>
          <w:divsChild>
            <w:div w:id="1876188102">
              <w:marLeft w:val="0"/>
              <w:marRight w:val="0"/>
              <w:marTop w:val="0"/>
              <w:marBottom w:val="0"/>
              <w:divBdr>
                <w:top w:val="none" w:sz="0" w:space="0" w:color="auto"/>
                <w:left w:val="none" w:sz="0" w:space="0" w:color="auto"/>
                <w:bottom w:val="none" w:sz="0" w:space="0" w:color="auto"/>
                <w:right w:val="none" w:sz="0" w:space="0" w:color="auto"/>
              </w:divBdr>
            </w:div>
          </w:divsChild>
        </w:div>
        <w:div w:id="1511673339">
          <w:marLeft w:val="0"/>
          <w:marRight w:val="0"/>
          <w:marTop w:val="0"/>
          <w:marBottom w:val="0"/>
          <w:divBdr>
            <w:top w:val="none" w:sz="0" w:space="0" w:color="auto"/>
            <w:left w:val="none" w:sz="0" w:space="0" w:color="auto"/>
            <w:bottom w:val="none" w:sz="0" w:space="0" w:color="auto"/>
            <w:right w:val="none" w:sz="0" w:space="0" w:color="auto"/>
          </w:divBdr>
          <w:divsChild>
            <w:div w:id="1346323680">
              <w:marLeft w:val="0"/>
              <w:marRight w:val="0"/>
              <w:marTop w:val="0"/>
              <w:marBottom w:val="0"/>
              <w:divBdr>
                <w:top w:val="none" w:sz="0" w:space="0" w:color="auto"/>
                <w:left w:val="none" w:sz="0" w:space="0" w:color="auto"/>
                <w:bottom w:val="none" w:sz="0" w:space="0" w:color="auto"/>
                <w:right w:val="none" w:sz="0" w:space="0" w:color="auto"/>
              </w:divBdr>
            </w:div>
          </w:divsChild>
        </w:div>
        <w:div w:id="1575043191">
          <w:marLeft w:val="0"/>
          <w:marRight w:val="0"/>
          <w:marTop w:val="0"/>
          <w:marBottom w:val="0"/>
          <w:divBdr>
            <w:top w:val="none" w:sz="0" w:space="0" w:color="auto"/>
            <w:left w:val="none" w:sz="0" w:space="0" w:color="auto"/>
            <w:bottom w:val="none" w:sz="0" w:space="0" w:color="auto"/>
            <w:right w:val="none" w:sz="0" w:space="0" w:color="auto"/>
          </w:divBdr>
          <w:divsChild>
            <w:div w:id="1768455212">
              <w:marLeft w:val="0"/>
              <w:marRight w:val="0"/>
              <w:marTop w:val="0"/>
              <w:marBottom w:val="0"/>
              <w:divBdr>
                <w:top w:val="none" w:sz="0" w:space="0" w:color="auto"/>
                <w:left w:val="none" w:sz="0" w:space="0" w:color="auto"/>
                <w:bottom w:val="none" w:sz="0" w:space="0" w:color="auto"/>
                <w:right w:val="none" w:sz="0" w:space="0" w:color="auto"/>
              </w:divBdr>
            </w:div>
          </w:divsChild>
        </w:div>
        <w:div w:id="1590040284">
          <w:marLeft w:val="0"/>
          <w:marRight w:val="0"/>
          <w:marTop w:val="0"/>
          <w:marBottom w:val="0"/>
          <w:divBdr>
            <w:top w:val="none" w:sz="0" w:space="0" w:color="auto"/>
            <w:left w:val="none" w:sz="0" w:space="0" w:color="auto"/>
            <w:bottom w:val="none" w:sz="0" w:space="0" w:color="auto"/>
            <w:right w:val="none" w:sz="0" w:space="0" w:color="auto"/>
          </w:divBdr>
          <w:divsChild>
            <w:div w:id="1629360378">
              <w:marLeft w:val="0"/>
              <w:marRight w:val="0"/>
              <w:marTop w:val="0"/>
              <w:marBottom w:val="0"/>
              <w:divBdr>
                <w:top w:val="none" w:sz="0" w:space="0" w:color="auto"/>
                <w:left w:val="none" w:sz="0" w:space="0" w:color="auto"/>
                <w:bottom w:val="none" w:sz="0" w:space="0" w:color="auto"/>
                <w:right w:val="none" w:sz="0" w:space="0" w:color="auto"/>
              </w:divBdr>
            </w:div>
          </w:divsChild>
        </w:div>
        <w:div w:id="1690524626">
          <w:marLeft w:val="0"/>
          <w:marRight w:val="0"/>
          <w:marTop w:val="0"/>
          <w:marBottom w:val="0"/>
          <w:divBdr>
            <w:top w:val="none" w:sz="0" w:space="0" w:color="auto"/>
            <w:left w:val="none" w:sz="0" w:space="0" w:color="auto"/>
            <w:bottom w:val="none" w:sz="0" w:space="0" w:color="auto"/>
            <w:right w:val="none" w:sz="0" w:space="0" w:color="auto"/>
          </w:divBdr>
          <w:divsChild>
            <w:div w:id="1281957546">
              <w:marLeft w:val="0"/>
              <w:marRight w:val="0"/>
              <w:marTop w:val="0"/>
              <w:marBottom w:val="0"/>
              <w:divBdr>
                <w:top w:val="none" w:sz="0" w:space="0" w:color="auto"/>
                <w:left w:val="none" w:sz="0" w:space="0" w:color="auto"/>
                <w:bottom w:val="none" w:sz="0" w:space="0" w:color="auto"/>
                <w:right w:val="none" w:sz="0" w:space="0" w:color="auto"/>
              </w:divBdr>
            </w:div>
          </w:divsChild>
        </w:div>
        <w:div w:id="1701784963">
          <w:marLeft w:val="0"/>
          <w:marRight w:val="0"/>
          <w:marTop w:val="0"/>
          <w:marBottom w:val="0"/>
          <w:divBdr>
            <w:top w:val="none" w:sz="0" w:space="0" w:color="auto"/>
            <w:left w:val="none" w:sz="0" w:space="0" w:color="auto"/>
            <w:bottom w:val="none" w:sz="0" w:space="0" w:color="auto"/>
            <w:right w:val="none" w:sz="0" w:space="0" w:color="auto"/>
          </w:divBdr>
          <w:divsChild>
            <w:div w:id="347174789">
              <w:marLeft w:val="0"/>
              <w:marRight w:val="0"/>
              <w:marTop w:val="0"/>
              <w:marBottom w:val="0"/>
              <w:divBdr>
                <w:top w:val="none" w:sz="0" w:space="0" w:color="auto"/>
                <w:left w:val="none" w:sz="0" w:space="0" w:color="auto"/>
                <w:bottom w:val="none" w:sz="0" w:space="0" w:color="auto"/>
                <w:right w:val="none" w:sz="0" w:space="0" w:color="auto"/>
              </w:divBdr>
            </w:div>
          </w:divsChild>
        </w:div>
        <w:div w:id="1760829416">
          <w:marLeft w:val="0"/>
          <w:marRight w:val="0"/>
          <w:marTop w:val="0"/>
          <w:marBottom w:val="0"/>
          <w:divBdr>
            <w:top w:val="none" w:sz="0" w:space="0" w:color="auto"/>
            <w:left w:val="none" w:sz="0" w:space="0" w:color="auto"/>
            <w:bottom w:val="none" w:sz="0" w:space="0" w:color="auto"/>
            <w:right w:val="none" w:sz="0" w:space="0" w:color="auto"/>
          </w:divBdr>
          <w:divsChild>
            <w:div w:id="440732268">
              <w:marLeft w:val="0"/>
              <w:marRight w:val="0"/>
              <w:marTop w:val="0"/>
              <w:marBottom w:val="0"/>
              <w:divBdr>
                <w:top w:val="none" w:sz="0" w:space="0" w:color="auto"/>
                <w:left w:val="none" w:sz="0" w:space="0" w:color="auto"/>
                <w:bottom w:val="none" w:sz="0" w:space="0" w:color="auto"/>
                <w:right w:val="none" w:sz="0" w:space="0" w:color="auto"/>
              </w:divBdr>
            </w:div>
          </w:divsChild>
        </w:div>
        <w:div w:id="1763259569">
          <w:marLeft w:val="0"/>
          <w:marRight w:val="0"/>
          <w:marTop w:val="0"/>
          <w:marBottom w:val="0"/>
          <w:divBdr>
            <w:top w:val="none" w:sz="0" w:space="0" w:color="auto"/>
            <w:left w:val="none" w:sz="0" w:space="0" w:color="auto"/>
            <w:bottom w:val="none" w:sz="0" w:space="0" w:color="auto"/>
            <w:right w:val="none" w:sz="0" w:space="0" w:color="auto"/>
          </w:divBdr>
          <w:divsChild>
            <w:div w:id="23478666">
              <w:marLeft w:val="0"/>
              <w:marRight w:val="0"/>
              <w:marTop w:val="0"/>
              <w:marBottom w:val="0"/>
              <w:divBdr>
                <w:top w:val="none" w:sz="0" w:space="0" w:color="auto"/>
                <w:left w:val="none" w:sz="0" w:space="0" w:color="auto"/>
                <w:bottom w:val="none" w:sz="0" w:space="0" w:color="auto"/>
                <w:right w:val="none" w:sz="0" w:space="0" w:color="auto"/>
              </w:divBdr>
            </w:div>
          </w:divsChild>
        </w:div>
        <w:div w:id="1836066480">
          <w:marLeft w:val="0"/>
          <w:marRight w:val="0"/>
          <w:marTop w:val="0"/>
          <w:marBottom w:val="0"/>
          <w:divBdr>
            <w:top w:val="none" w:sz="0" w:space="0" w:color="auto"/>
            <w:left w:val="none" w:sz="0" w:space="0" w:color="auto"/>
            <w:bottom w:val="none" w:sz="0" w:space="0" w:color="auto"/>
            <w:right w:val="none" w:sz="0" w:space="0" w:color="auto"/>
          </w:divBdr>
          <w:divsChild>
            <w:div w:id="590545262">
              <w:marLeft w:val="0"/>
              <w:marRight w:val="0"/>
              <w:marTop w:val="0"/>
              <w:marBottom w:val="0"/>
              <w:divBdr>
                <w:top w:val="none" w:sz="0" w:space="0" w:color="auto"/>
                <w:left w:val="none" w:sz="0" w:space="0" w:color="auto"/>
                <w:bottom w:val="none" w:sz="0" w:space="0" w:color="auto"/>
                <w:right w:val="none" w:sz="0" w:space="0" w:color="auto"/>
              </w:divBdr>
            </w:div>
          </w:divsChild>
        </w:div>
        <w:div w:id="1878859612">
          <w:marLeft w:val="0"/>
          <w:marRight w:val="0"/>
          <w:marTop w:val="0"/>
          <w:marBottom w:val="0"/>
          <w:divBdr>
            <w:top w:val="none" w:sz="0" w:space="0" w:color="auto"/>
            <w:left w:val="none" w:sz="0" w:space="0" w:color="auto"/>
            <w:bottom w:val="none" w:sz="0" w:space="0" w:color="auto"/>
            <w:right w:val="none" w:sz="0" w:space="0" w:color="auto"/>
          </w:divBdr>
          <w:divsChild>
            <w:div w:id="1854176221">
              <w:marLeft w:val="0"/>
              <w:marRight w:val="0"/>
              <w:marTop w:val="0"/>
              <w:marBottom w:val="0"/>
              <w:divBdr>
                <w:top w:val="none" w:sz="0" w:space="0" w:color="auto"/>
                <w:left w:val="none" w:sz="0" w:space="0" w:color="auto"/>
                <w:bottom w:val="none" w:sz="0" w:space="0" w:color="auto"/>
                <w:right w:val="none" w:sz="0" w:space="0" w:color="auto"/>
              </w:divBdr>
            </w:div>
          </w:divsChild>
        </w:div>
        <w:div w:id="1925650344">
          <w:marLeft w:val="0"/>
          <w:marRight w:val="0"/>
          <w:marTop w:val="0"/>
          <w:marBottom w:val="0"/>
          <w:divBdr>
            <w:top w:val="none" w:sz="0" w:space="0" w:color="auto"/>
            <w:left w:val="none" w:sz="0" w:space="0" w:color="auto"/>
            <w:bottom w:val="none" w:sz="0" w:space="0" w:color="auto"/>
            <w:right w:val="none" w:sz="0" w:space="0" w:color="auto"/>
          </w:divBdr>
          <w:divsChild>
            <w:div w:id="646132792">
              <w:marLeft w:val="0"/>
              <w:marRight w:val="0"/>
              <w:marTop w:val="0"/>
              <w:marBottom w:val="0"/>
              <w:divBdr>
                <w:top w:val="none" w:sz="0" w:space="0" w:color="auto"/>
                <w:left w:val="none" w:sz="0" w:space="0" w:color="auto"/>
                <w:bottom w:val="none" w:sz="0" w:space="0" w:color="auto"/>
                <w:right w:val="none" w:sz="0" w:space="0" w:color="auto"/>
              </w:divBdr>
            </w:div>
          </w:divsChild>
        </w:div>
        <w:div w:id="1956717523">
          <w:marLeft w:val="0"/>
          <w:marRight w:val="0"/>
          <w:marTop w:val="0"/>
          <w:marBottom w:val="0"/>
          <w:divBdr>
            <w:top w:val="none" w:sz="0" w:space="0" w:color="auto"/>
            <w:left w:val="none" w:sz="0" w:space="0" w:color="auto"/>
            <w:bottom w:val="none" w:sz="0" w:space="0" w:color="auto"/>
            <w:right w:val="none" w:sz="0" w:space="0" w:color="auto"/>
          </w:divBdr>
          <w:divsChild>
            <w:div w:id="592863445">
              <w:marLeft w:val="0"/>
              <w:marRight w:val="0"/>
              <w:marTop w:val="0"/>
              <w:marBottom w:val="0"/>
              <w:divBdr>
                <w:top w:val="none" w:sz="0" w:space="0" w:color="auto"/>
                <w:left w:val="none" w:sz="0" w:space="0" w:color="auto"/>
                <w:bottom w:val="none" w:sz="0" w:space="0" w:color="auto"/>
                <w:right w:val="none" w:sz="0" w:space="0" w:color="auto"/>
              </w:divBdr>
            </w:div>
          </w:divsChild>
        </w:div>
        <w:div w:id="1957132655">
          <w:marLeft w:val="0"/>
          <w:marRight w:val="0"/>
          <w:marTop w:val="0"/>
          <w:marBottom w:val="0"/>
          <w:divBdr>
            <w:top w:val="none" w:sz="0" w:space="0" w:color="auto"/>
            <w:left w:val="none" w:sz="0" w:space="0" w:color="auto"/>
            <w:bottom w:val="none" w:sz="0" w:space="0" w:color="auto"/>
            <w:right w:val="none" w:sz="0" w:space="0" w:color="auto"/>
          </w:divBdr>
          <w:divsChild>
            <w:div w:id="469128187">
              <w:marLeft w:val="0"/>
              <w:marRight w:val="0"/>
              <w:marTop w:val="0"/>
              <w:marBottom w:val="0"/>
              <w:divBdr>
                <w:top w:val="none" w:sz="0" w:space="0" w:color="auto"/>
                <w:left w:val="none" w:sz="0" w:space="0" w:color="auto"/>
                <w:bottom w:val="none" w:sz="0" w:space="0" w:color="auto"/>
                <w:right w:val="none" w:sz="0" w:space="0" w:color="auto"/>
              </w:divBdr>
            </w:div>
          </w:divsChild>
        </w:div>
        <w:div w:id="2004508783">
          <w:marLeft w:val="0"/>
          <w:marRight w:val="0"/>
          <w:marTop w:val="0"/>
          <w:marBottom w:val="0"/>
          <w:divBdr>
            <w:top w:val="none" w:sz="0" w:space="0" w:color="auto"/>
            <w:left w:val="none" w:sz="0" w:space="0" w:color="auto"/>
            <w:bottom w:val="none" w:sz="0" w:space="0" w:color="auto"/>
            <w:right w:val="none" w:sz="0" w:space="0" w:color="auto"/>
          </w:divBdr>
          <w:divsChild>
            <w:div w:id="453789414">
              <w:marLeft w:val="0"/>
              <w:marRight w:val="0"/>
              <w:marTop w:val="0"/>
              <w:marBottom w:val="0"/>
              <w:divBdr>
                <w:top w:val="none" w:sz="0" w:space="0" w:color="auto"/>
                <w:left w:val="none" w:sz="0" w:space="0" w:color="auto"/>
                <w:bottom w:val="none" w:sz="0" w:space="0" w:color="auto"/>
                <w:right w:val="none" w:sz="0" w:space="0" w:color="auto"/>
              </w:divBdr>
            </w:div>
          </w:divsChild>
        </w:div>
        <w:div w:id="2062508738">
          <w:marLeft w:val="0"/>
          <w:marRight w:val="0"/>
          <w:marTop w:val="0"/>
          <w:marBottom w:val="0"/>
          <w:divBdr>
            <w:top w:val="none" w:sz="0" w:space="0" w:color="auto"/>
            <w:left w:val="none" w:sz="0" w:space="0" w:color="auto"/>
            <w:bottom w:val="none" w:sz="0" w:space="0" w:color="auto"/>
            <w:right w:val="none" w:sz="0" w:space="0" w:color="auto"/>
          </w:divBdr>
          <w:divsChild>
            <w:div w:id="179471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892">
      <w:marLeft w:val="0"/>
      <w:marRight w:val="0"/>
      <w:marTop w:val="0"/>
      <w:marBottom w:val="0"/>
      <w:divBdr>
        <w:top w:val="none" w:sz="0" w:space="0" w:color="auto"/>
        <w:left w:val="none" w:sz="0" w:space="0" w:color="auto"/>
        <w:bottom w:val="none" w:sz="0" w:space="0" w:color="auto"/>
        <w:right w:val="none" w:sz="0" w:space="0" w:color="auto"/>
      </w:divBdr>
    </w:div>
    <w:div w:id="1817607236">
      <w:marLeft w:val="0"/>
      <w:marRight w:val="0"/>
      <w:marTop w:val="0"/>
      <w:marBottom w:val="0"/>
      <w:divBdr>
        <w:top w:val="none" w:sz="0" w:space="0" w:color="auto"/>
        <w:left w:val="none" w:sz="0" w:space="0" w:color="auto"/>
        <w:bottom w:val="none" w:sz="0" w:space="0" w:color="auto"/>
        <w:right w:val="none" w:sz="0" w:space="0" w:color="auto"/>
      </w:divBdr>
    </w:div>
    <w:div w:id="1822966727">
      <w:bodyDiv w:val="1"/>
      <w:marLeft w:val="0"/>
      <w:marRight w:val="0"/>
      <w:marTop w:val="0"/>
      <w:marBottom w:val="0"/>
      <w:divBdr>
        <w:top w:val="none" w:sz="0" w:space="0" w:color="auto"/>
        <w:left w:val="none" w:sz="0" w:space="0" w:color="auto"/>
        <w:bottom w:val="none" w:sz="0" w:space="0" w:color="auto"/>
        <w:right w:val="none" w:sz="0" w:space="0" w:color="auto"/>
      </w:divBdr>
      <w:divsChild>
        <w:div w:id="1407219601">
          <w:marLeft w:val="0"/>
          <w:marRight w:val="0"/>
          <w:marTop w:val="0"/>
          <w:marBottom w:val="0"/>
          <w:divBdr>
            <w:top w:val="none" w:sz="0" w:space="0" w:color="auto"/>
            <w:left w:val="none" w:sz="0" w:space="0" w:color="auto"/>
            <w:bottom w:val="none" w:sz="0" w:space="0" w:color="auto"/>
            <w:right w:val="none" w:sz="0" w:space="0" w:color="auto"/>
          </w:divBdr>
        </w:div>
      </w:divsChild>
    </w:div>
    <w:div w:id="1824157011">
      <w:bodyDiv w:val="1"/>
      <w:marLeft w:val="0"/>
      <w:marRight w:val="0"/>
      <w:marTop w:val="0"/>
      <w:marBottom w:val="0"/>
      <w:divBdr>
        <w:top w:val="none" w:sz="0" w:space="0" w:color="auto"/>
        <w:left w:val="none" w:sz="0" w:space="0" w:color="auto"/>
        <w:bottom w:val="none" w:sz="0" w:space="0" w:color="auto"/>
        <w:right w:val="none" w:sz="0" w:space="0" w:color="auto"/>
      </w:divBdr>
    </w:div>
    <w:div w:id="1832483043">
      <w:marLeft w:val="0"/>
      <w:marRight w:val="0"/>
      <w:marTop w:val="0"/>
      <w:marBottom w:val="0"/>
      <w:divBdr>
        <w:top w:val="none" w:sz="0" w:space="0" w:color="auto"/>
        <w:left w:val="none" w:sz="0" w:space="0" w:color="auto"/>
        <w:bottom w:val="none" w:sz="0" w:space="0" w:color="auto"/>
        <w:right w:val="none" w:sz="0" w:space="0" w:color="auto"/>
      </w:divBdr>
    </w:div>
    <w:div w:id="1839417931">
      <w:marLeft w:val="0"/>
      <w:marRight w:val="0"/>
      <w:marTop w:val="0"/>
      <w:marBottom w:val="0"/>
      <w:divBdr>
        <w:top w:val="none" w:sz="0" w:space="0" w:color="auto"/>
        <w:left w:val="none" w:sz="0" w:space="0" w:color="auto"/>
        <w:bottom w:val="none" w:sz="0" w:space="0" w:color="auto"/>
        <w:right w:val="none" w:sz="0" w:space="0" w:color="auto"/>
      </w:divBdr>
    </w:div>
    <w:div w:id="1856072384">
      <w:marLeft w:val="0"/>
      <w:marRight w:val="0"/>
      <w:marTop w:val="0"/>
      <w:marBottom w:val="0"/>
      <w:divBdr>
        <w:top w:val="none" w:sz="0" w:space="0" w:color="auto"/>
        <w:left w:val="none" w:sz="0" w:space="0" w:color="auto"/>
        <w:bottom w:val="none" w:sz="0" w:space="0" w:color="auto"/>
        <w:right w:val="none" w:sz="0" w:space="0" w:color="auto"/>
      </w:divBdr>
    </w:div>
    <w:div w:id="1868827808">
      <w:marLeft w:val="0"/>
      <w:marRight w:val="0"/>
      <w:marTop w:val="0"/>
      <w:marBottom w:val="0"/>
      <w:divBdr>
        <w:top w:val="none" w:sz="0" w:space="0" w:color="auto"/>
        <w:left w:val="none" w:sz="0" w:space="0" w:color="auto"/>
        <w:bottom w:val="none" w:sz="0" w:space="0" w:color="auto"/>
        <w:right w:val="none" w:sz="0" w:space="0" w:color="auto"/>
      </w:divBdr>
    </w:div>
    <w:div w:id="1869295363">
      <w:marLeft w:val="0"/>
      <w:marRight w:val="0"/>
      <w:marTop w:val="0"/>
      <w:marBottom w:val="0"/>
      <w:divBdr>
        <w:top w:val="none" w:sz="0" w:space="0" w:color="auto"/>
        <w:left w:val="none" w:sz="0" w:space="0" w:color="auto"/>
        <w:bottom w:val="none" w:sz="0" w:space="0" w:color="auto"/>
        <w:right w:val="none" w:sz="0" w:space="0" w:color="auto"/>
      </w:divBdr>
    </w:div>
    <w:div w:id="1876313057">
      <w:marLeft w:val="0"/>
      <w:marRight w:val="0"/>
      <w:marTop w:val="0"/>
      <w:marBottom w:val="0"/>
      <w:divBdr>
        <w:top w:val="none" w:sz="0" w:space="0" w:color="auto"/>
        <w:left w:val="none" w:sz="0" w:space="0" w:color="auto"/>
        <w:bottom w:val="none" w:sz="0" w:space="0" w:color="auto"/>
        <w:right w:val="none" w:sz="0" w:space="0" w:color="auto"/>
      </w:divBdr>
    </w:div>
    <w:div w:id="1879969996">
      <w:marLeft w:val="0"/>
      <w:marRight w:val="0"/>
      <w:marTop w:val="0"/>
      <w:marBottom w:val="0"/>
      <w:divBdr>
        <w:top w:val="none" w:sz="0" w:space="0" w:color="auto"/>
        <w:left w:val="none" w:sz="0" w:space="0" w:color="auto"/>
        <w:bottom w:val="none" w:sz="0" w:space="0" w:color="auto"/>
        <w:right w:val="none" w:sz="0" w:space="0" w:color="auto"/>
      </w:divBdr>
    </w:div>
    <w:div w:id="1886020710">
      <w:marLeft w:val="0"/>
      <w:marRight w:val="0"/>
      <w:marTop w:val="0"/>
      <w:marBottom w:val="0"/>
      <w:divBdr>
        <w:top w:val="none" w:sz="0" w:space="0" w:color="auto"/>
        <w:left w:val="none" w:sz="0" w:space="0" w:color="auto"/>
        <w:bottom w:val="none" w:sz="0" w:space="0" w:color="auto"/>
        <w:right w:val="none" w:sz="0" w:space="0" w:color="auto"/>
      </w:divBdr>
    </w:div>
    <w:div w:id="1897163768">
      <w:marLeft w:val="0"/>
      <w:marRight w:val="0"/>
      <w:marTop w:val="0"/>
      <w:marBottom w:val="0"/>
      <w:divBdr>
        <w:top w:val="none" w:sz="0" w:space="0" w:color="auto"/>
        <w:left w:val="none" w:sz="0" w:space="0" w:color="auto"/>
        <w:bottom w:val="none" w:sz="0" w:space="0" w:color="auto"/>
        <w:right w:val="none" w:sz="0" w:space="0" w:color="auto"/>
      </w:divBdr>
    </w:div>
    <w:div w:id="1897861177">
      <w:bodyDiv w:val="1"/>
      <w:marLeft w:val="0"/>
      <w:marRight w:val="0"/>
      <w:marTop w:val="0"/>
      <w:marBottom w:val="0"/>
      <w:divBdr>
        <w:top w:val="none" w:sz="0" w:space="0" w:color="auto"/>
        <w:left w:val="none" w:sz="0" w:space="0" w:color="auto"/>
        <w:bottom w:val="none" w:sz="0" w:space="0" w:color="auto"/>
        <w:right w:val="none" w:sz="0" w:space="0" w:color="auto"/>
      </w:divBdr>
    </w:div>
    <w:div w:id="1909880776">
      <w:bodyDiv w:val="1"/>
      <w:marLeft w:val="0"/>
      <w:marRight w:val="0"/>
      <w:marTop w:val="0"/>
      <w:marBottom w:val="0"/>
      <w:divBdr>
        <w:top w:val="none" w:sz="0" w:space="0" w:color="auto"/>
        <w:left w:val="none" w:sz="0" w:space="0" w:color="auto"/>
        <w:bottom w:val="none" w:sz="0" w:space="0" w:color="auto"/>
        <w:right w:val="none" w:sz="0" w:space="0" w:color="auto"/>
      </w:divBdr>
      <w:divsChild>
        <w:div w:id="754714967">
          <w:marLeft w:val="0"/>
          <w:marRight w:val="0"/>
          <w:marTop w:val="0"/>
          <w:marBottom w:val="0"/>
          <w:divBdr>
            <w:top w:val="none" w:sz="0" w:space="0" w:color="auto"/>
            <w:left w:val="none" w:sz="0" w:space="0" w:color="auto"/>
            <w:bottom w:val="none" w:sz="0" w:space="0" w:color="auto"/>
            <w:right w:val="none" w:sz="0" w:space="0" w:color="auto"/>
          </w:divBdr>
          <w:divsChild>
            <w:div w:id="1737236914">
              <w:marLeft w:val="0"/>
              <w:marRight w:val="0"/>
              <w:marTop w:val="0"/>
              <w:marBottom w:val="0"/>
              <w:divBdr>
                <w:top w:val="none" w:sz="0" w:space="0" w:color="auto"/>
                <w:left w:val="none" w:sz="0" w:space="0" w:color="auto"/>
                <w:bottom w:val="none" w:sz="0" w:space="0" w:color="auto"/>
                <w:right w:val="none" w:sz="0" w:space="0" w:color="auto"/>
              </w:divBdr>
            </w:div>
          </w:divsChild>
        </w:div>
        <w:div w:id="880481151">
          <w:marLeft w:val="0"/>
          <w:marRight w:val="0"/>
          <w:marTop w:val="0"/>
          <w:marBottom w:val="0"/>
          <w:divBdr>
            <w:top w:val="none" w:sz="0" w:space="0" w:color="auto"/>
            <w:left w:val="none" w:sz="0" w:space="0" w:color="auto"/>
            <w:bottom w:val="none" w:sz="0" w:space="0" w:color="auto"/>
            <w:right w:val="none" w:sz="0" w:space="0" w:color="auto"/>
          </w:divBdr>
          <w:divsChild>
            <w:div w:id="1593314571">
              <w:marLeft w:val="0"/>
              <w:marRight w:val="0"/>
              <w:marTop w:val="0"/>
              <w:marBottom w:val="0"/>
              <w:divBdr>
                <w:top w:val="none" w:sz="0" w:space="0" w:color="auto"/>
                <w:left w:val="none" w:sz="0" w:space="0" w:color="auto"/>
                <w:bottom w:val="none" w:sz="0" w:space="0" w:color="auto"/>
                <w:right w:val="none" w:sz="0" w:space="0" w:color="auto"/>
              </w:divBdr>
            </w:div>
          </w:divsChild>
        </w:div>
        <w:div w:id="993294654">
          <w:marLeft w:val="0"/>
          <w:marRight w:val="0"/>
          <w:marTop w:val="0"/>
          <w:marBottom w:val="0"/>
          <w:divBdr>
            <w:top w:val="none" w:sz="0" w:space="0" w:color="auto"/>
            <w:left w:val="none" w:sz="0" w:space="0" w:color="auto"/>
            <w:bottom w:val="none" w:sz="0" w:space="0" w:color="auto"/>
            <w:right w:val="none" w:sz="0" w:space="0" w:color="auto"/>
          </w:divBdr>
          <w:divsChild>
            <w:div w:id="257372648">
              <w:marLeft w:val="0"/>
              <w:marRight w:val="0"/>
              <w:marTop w:val="0"/>
              <w:marBottom w:val="0"/>
              <w:divBdr>
                <w:top w:val="none" w:sz="0" w:space="0" w:color="auto"/>
                <w:left w:val="none" w:sz="0" w:space="0" w:color="auto"/>
                <w:bottom w:val="none" w:sz="0" w:space="0" w:color="auto"/>
                <w:right w:val="none" w:sz="0" w:space="0" w:color="auto"/>
              </w:divBdr>
            </w:div>
          </w:divsChild>
        </w:div>
        <w:div w:id="2057580096">
          <w:marLeft w:val="0"/>
          <w:marRight w:val="0"/>
          <w:marTop w:val="0"/>
          <w:marBottom w:val="0"/>
          <w:divBdr>
            <w:top w:val="none" w:sz="0" w:space="0" w:color="auto"/>
            <w:left w:val="none" w:sz="0" w:space="0" w:color="auto"/>
            <w:bottom w:val="none" w:sz="0" w:space="0" w:color="auto"/>
            <w:right w:val="none" w:sz="0" w:space="0" w:color="auto"/>
          </w:divBdr>
          <w:divsChild>
            <w:div w:id="1011881586">
              <w:marLeft w:val="0"/>
              <w:marRight w:val="0"/>
              <w:marTop w:val="0"/>
              <w:marBottom w:val="0"/>
              <w:divBdr>
                <w:top w:val="none" w:sz="0" w:space="0" w:color="auto"/>
                <w:left w:val="none" w:sz="0" w:space="0" w:color="auto"/>
                <w:bottom w:val="none" w:sz="0" w:space="0" w:color="auto"/>
                <w:right w:val="none" w:sz="0" w:space="0" w:color="auto"/>
              </w:divBdr>
            </w:div>
            <w:div w:id="164261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8115">
      <w:marLeft w:val="0"/>
      <w:marRight w:val="0"/>
      <w:marTop w:val="0"/>
      <w:marBottom w:val="0"/>
      <w:divBdr>
        <w:top w:val="none" w:sz="0" w:space="0" w:color="auto"/>
        <w:left w:val="none" w:sz="0" w:space="0" w:color="auto"/>
        <w:bottom w:val="none" w:sz="0" w:space="0" w:color="auto"/>
        <w:right w:val="none" w:sz="0" w:space="0" w:color="auto"/>
      </w:divBdr>
    </w:div>
    <w:div w:id="1911455505">
      <w:bodyDiv w:val="1"/>
      <w:marLeft w:val="0"/>
      <w:marRight w:val="0"/>
      <w:marTop w:val="0"/>
      <w:marBottom w:val="0"/>
      <w:divBdr>
        <w:top w:val="none" w:sz="0" w:space="0" w:color="auto"/>
        <w:left w:val="none" w:sz="0" w:space="0" w:color="auto"/>
        <w:bottom w:val="none" w:sz="0" w:space="0" w:color="auto"/>
        <w:right w:val="none" w:sz="0" w:space="0" w:color="auto"/>
      </w:divBdr>
    </w:div>
    <w:div w:id="1961375905">
      <w:bodyDiv w:val="1"/>
      <w:marLeft w:val="0"/>
      <w:marRight w:val="0"/>
      <w:marTop w:val="0"/>
      <w:marBottom w:val="0"/>
      <w:divBdr>
        <w:top w:val="none" w:sz="0" w:space="0" w:color="auto"/>
        <w:left w:val="none" w:sz="0" w:space="0" w:color="auto"/>
        <w:bottom w:val="none" w:sz="0" w:space="0" w:color="auto"/>
        <w:right w:val="none" w:sz="0" w:space="0" w:color="auto"/>
      </w:divBdr>
    </w:div>
    <w:div w:id="1965505142">
      <w:bodyDiv w:val="1"/>
      <w:marLeft w:val="0"/>
      <w:marRight w:val="0"/>
      <w:marTop w:val="0"/>
      <w:marBottom w:val="0"/>
      <w:divBdr>
        <w:top w:val="none" w:sz="0" w:space="0" w:color="auto"/>
        <w:left w:val="none" w:sz="0" w:space="0" w:color="auto"/>
        <w:bottom w:val="none" w:sz="0" w:space="0" w:color="auto"/>
        <w:right w:val="none" w:sz="0" w:space="0" w:color="auto"/>
      </w:divBdr>
    </w:div>
    <w:div w:id="1984000745">
      <w:marLeft w:val="0"/>
      <w:marRight w:val="0"/>
      <w:marTop w:val="0"/>
      <w:marBottom w:val="0"/>
      <w:divBdr>
        <w:top w:val="none" w:sz="0" w:space="0" w:color="auto"/>
        <w:left w:val="none" w:sz="0" w:space="0" w:color="auto"/>
        <w:bottom w:val="none" w:sz="0" w:space="0" w:color="auto"/>
        <w:right w:val="none" w:sz="0" w:space="0" w:color="auto"/>
      </w:divBdr>
    </w:div>
    <w:div w:id="1988241070">
      <w:marLeft w:val="0"/>
      <w:marRight w:val="0"/>
      <w:marTop w:val="0"/>
      <w:marBottom w:val="0"/>
      <w:divBdr>
        <w:top w:val="none" w:sz="0" w:space="0" w:color="auto"/>
        <w:left w:val="none" w:sz="0" w:space="0" w:color="auto"/>
        <w:bottom w:val="none" w:sz="0" w:space="0" w:color="auto"/>
        <w:right w:val="none" w:sz="0" w:space="0" w:color="auto"/>
      </w:divBdr>
    </w:div>
    <w:div w:id="2003846882">
      <w:bodyDiv w:val="1"/>
      <w:marLeft w:val="0"/>
      <w:marRight w:val="0"/>
      <w:marTop w:val="0"/>
      <w:marBottom w:val="0"/>
      <w:divBdr>
        <w:top w:val="none" w:sz="0" w:space="0" w:color="auto"/>
        <w:left w:val="none" w:sz="0" w:space="0" w:color="auto"/>
        <w:bottom w:val="none" w:sz="0" w:space="0" w:color="auto"/>
        <w:right w:val="none" w:sz="0" w:space="0" w:color="auto"/>
      </w:divBdr>
    </w:div>
    <w:div w:id="2008703305">
      <w:marLeft w:val="0"/>
      <w:marRight w:val="0"/>
      <w:marTop w:val="0"/>
      <w:marBottom w:val="0"/>
      <w:divBdr>
        <w:top w:val="none" w:sz="0" w:space="0" w:color="auto"/>
        <w:left w:val="none" w:sz="0" w:space="0" w:color="auto"/>
        <w:bottom w:val="none" w:sz="0" w:space="0" w:color="auto"/>
        <w:right w:val="none" w:sz="0" w:space="0" w:color="auto"/>
      </w:divBdr>
    </w:div>
    <w:div w:id="2008710159">
      <w:bodyDiv w:val="1"/>
      <w:marLeft w:val="0"/>
      <w:marRight w:val="0"/>
      <w:marTop w:val="0"/>
      <w:marBottom w:val="0"/>
      <w:divBdr>
        <w:top w:val="none" w:sz="0" w:space="0" w:color="auto"/>
        <w:left w:val="none" w:sz="0" w:space="0" w:color="auto"/>
        <w:bottom w:val="none" w:sz="0" w:space="0" w:color="auto"/>
        <w:right w:val="none" w:sz="0" w:space="0" w:color="auto"/>
      </w:divBdr>
    </w:div>
    <w:div w:id="2027125877">
      <w:bodyDiv w:val="1"/>
      <w:marLeft w:val="0"/>
      <w:marRight w:val="0"/>
      <w:marTop w:val="0"/>
      <w:marBottom w:val="0"/>
      <w:divBdr>
        <w:top w:val="none" w:sz="0" w:space="0" w:color="auto"/>
        <w:left w:val="none" w:sz="0" w:space="0" w:color="auto"/>
        <w:bottom w:val="none" w:sz="0" w:space="0" w:color="auto"/>
        <w:right w:val="none" w:sz="0" w:space="0" w:color="auto"/>
      </w:divBdr>
    </w:div>
    <w:div w:id="2027712083">
      <w:marLeft w:val="0"/>
      <w:marRight w:val="0"/>
      <w:marTop w:val="0"/>
      <w:marBottom w:val="0"/>
      <w:divBdr>
        <w:top w:val="none" w:sz="0" w:space="0" w:color="auto"/>
        <w:left w:val="none" w:sz="0" w:space="0" w:color="auto"/>
        <w:bottom w:val="none" w:sz="0" w:space="0" w:color="auto"/>
        <w:right w:val="none" w:sz="0" w:space="0" w:color="auto"/>
      </w:divBdr>
    </w:div>
    <w:div w:id="2028680039">
      <w:bodyDiv w:val="1"/>
      <w:marLeft w:val="0"/>
      <w:marRight w:val="0"/>
      <w:marTop w:val="0"/>
      <w:marBottom w:val="0"/>
      <w:divBdr>
        <w:top w:val="none" w:sz="0" w:space="0" w:color="auto"/>
        <w:left w:val="none" w:sz="0" w:space="0" w:color="auto"/>
        <w:bottom w:val="none" w:sz="0" w:space="0" w:color="auto"/>
        <w:right w:val="none" w:sz="0" w:space="0" w:color="auto"/>
      </w:divBdr>
    </w:div>
    <w:div w:id="2045672415">
      <w:marLeft w:val="0"/>
      <w:marRight w:val="0"/>
      <w:marTop w:val="0"/>
      <w:marBottom w:val="0"/>
      <w:divBdr>
        <w:top w:val="none" w:sz="0" w:space="0" w:color="auto"/>
        <w:left w:val="none" w:sz="0" w:space="0" w:color="auto"/>
        <w:bottom w:val="none" w:sz="0" w:space="0" w:color="auto"/>
        <w:right w:val="none" w:sz="0" w:space="0" w:color="auto"/>
      </w:divBdr>
    </w:div>
    <w:div w:id="2050564956">
      <w:bodyDiv w:val="1"/>
      <w:marLeft w:val="0"/>
      <w:marRight w:val="0"/>
      <w:marTop w:val="0"/>
      <w:marBottom w:val="0"/>
      <w:divBdr>
        <w:top w:val="none" w:sz="0" w:space="0" w:color="auto"/>
        <w:left w:val="none" w:sz="0" w:space="0" w:color="auto"/>
        <w:bottom w:val="none" w:sz="0" w:space="0" w:color="auto"/>
        <w:right w:val="none" w:sz="0" w:space="0" w:color="auto"/>
      </w:divBdr>
    </w:div>
    <w:div w:id="2051804555">
      <w:marLeft w:val="0"/>
      <w:marRight w:val="0"/>
      <w:marTop w:val="0"/>
      <w:marBottom w:val="0"/>
      <w:divBdr>
        <w:top w:val="none" w:sz="0" w:space="0" w:color="auto"/>
        <w:left w:val="none" w:sz="0" w:space="0" w:color="auto"/>
        <w:bottom w:val="none" w:sz="0" w:space="0" w:color="auto"/>
        <w:right w:val="none" w:sz="0" w:space="0" w:color="auto"/>
      </w:divBdr>
    </w:div>
    <w:div w:id="2056613516">
      <w:marLeft w:val="0"/>
      <w:marRight w:val="0"/>
      <w:marTop w:val="0"/>
      <w:marBottom w:val="0"/>
      <w:divBdr>
        <w:top w:val="none" w:sz="0" w:space="0" w:color="auto"/>
        <w:left w:val="none" w:sz="0" w:space="0" w:color="auto"/>
        <w:bottom w:val="none" w:sz="0" w:space="0" w:color="auto"/>
        <w:right w:val="none" w:sz="0" w:space="0" w:color="auto"/>
      </w:divBdr>
    </w:div>
    <w:div w:id="2057385296">
      <w:bodyDiv w:val="1"/>
      <w:marLeft w:val="0"/>
      <w:marRight w:val="0"/>
      <w:marTop w:val="0"/>
      <w:marBottom w:val="0"/>
      <w:divBdr>
        <w:top w:val="none" w:sz="0" w:space="0" w:color="auto"/>
        <w:left w:val="none" w:sz="0" w:space="0" w:color="auto"/>
        <w:bottom w:val="none" w:sz="0" w:space="0" w:color="auto"/>
        <w:right w:val="none" w:sz="0" w:space="0" w:color="auto"/>
      </w:divBdr>
    </w:div>
    <w:div w:id="2074229763">
      <w:marLeft w:val="0"/>
      <w:marRight w:val="0"/>
      <w:marTop w:val="0"/>
      <w:marBottom w:val="0"/>
      <w:divBdr>
        <w:top w:val="none" w:sz="0" w:space="0" w:color="auto"/>
        <w:left w:val="none" w:sz="0" w:space="0" w:color="auto"/>
        <w:bottom w:val="none" w:sz="0" w:space="0" w:color="auto"/>
        <w:right w:val="none" w:sz="0" w:space="0" w:color="auto"/>
      </w:divBdr>
    </w:div>
    <w:div w:id="2074813371">
      <w:bodyDiv w:val="1"/>
      <w:marLeft w:val="0"/>
      <w:marRight w:val="0"/>
      <w:marTop w:val="0"/>
      <w:marBottom w:val="0"/>
      <w:divBdr>
        <w:top w:val="none" w:sz="0" w:space="0" w:color="auto"/>
        <w:left w:val="none" w:sz="0" w:space="0" w:color="auto"/>
        <w:bottom w:val="none" w:sz="0" w:space="0" w:color="auto"/>
        <w:right w:val="none" w:sz="0" w:space="0" w:color="auto"/>
      </w:divBdr>
    </w:div>
    <w:div w:id="2085684976">
      <w:marLeft w:val="0"/>
      <w:marRight w:val="0"/>
      <w:marTop w:val="0"/>
      <w:marBottom w:val="0"/>
      <w:divBdr>
        <w:top w:val="none" w:sz="0" w:space="0" w:color="auto"/>
        <w:left w:val="none" w:sz="0" w:space="0" w:color="auto"/>
        <w:bottom w:val="none" w:sz="0" w:space="0" w:color="auto"/>
        <w:right w:val="none" w:sz="0" w:space="0" w:color="auto"/>
      </w:divBdr>
    </w:div>
    <w:div w:id="2094813706">
      <w:marLeft w:val="0"/>
      <w:marRight w:val="0"/>
      <w:marTop w:val="0"/>
      <w:marBottom w:val="0"/>
      <w:divBdr>
        <w:top w:val="none" w:sz="0" w:space="0" w:color="auto"/>
        <w:left w:val="none" w:sz="0" w:space="0" w:color="auto"/>
        <w:bottom w:val="none" w:sz="0" w:space="0" w:color="auto"/>
        <w:right w:val="none" w:sz="0" w:space="0" w:color="auto"/>
      </w:divBdr>
    </w:div>
    <w:div w:id="2095664215">
      <w:bodyDiv w:val="1"/>
      <w:marLeft w:val="0"/>
      <w:marRight w:val="0"/>
      <w:marTop w:val="0"/>
      <w:marBottom w:val="0"/>
      <w:divBdr>
        <w:top w:val="none" w:sz="0" w:space="0" w:color="auto"/>
        <w:left w:val="none" w:sz="0" w:space="0" w:color="auto"/>
        <w:bottom w:val="none" w:sz="0" w:space="0" w:color="auto"/>
        <w:right w:val="none" w:sz="0" w:space="0" w:color="auto"/>
      </w:divBdr>
    </w:div>
    <w:div w:id="2102871444">
      <w:bodyDiv w:val="1"/>
      <w:marLeft w:val="0"/>
      <w:marRight w:val="0"/>
      <w:marTop w:val="0"/>
      <w:marBottom w:val="0"/>
      <w:divBdr>
        <w:top w:val="none" w:sz="0" w:space="0" w:color="auto"/>
        <w:left w:val="none" w:sz="0" w:space="0" w:color="auto"/>
        <w:bottom w:val="none" w:sz="0" w:space="0" w:color="auto"/>
        <w:right w:val="none" w:sz="0" w:space="0" w:color="auto"/>
      </w:divBdr>
      <w:divsChild>
        <w:div w:id="33047561">
          <w:marLeft w:val="0"/>
          <w:marRight w:val="0"/>
          <w:marTop w:val="0"/>
          <w:marBottom w:val="0"/>
          <w:divBdr>
            <w:top w:val="none" w:sz="0" w:space="0" w:color="auto"/>
            <w:left w:val="none" w:sz="0" w:space="0" w:color="auto"/>
            <w:bottom w:val="none" w:sz="0" w:space="0" w:color="auto"/>
            <w:right w:val="none" w:sz="0" w:space="0" w:color="auto"/>
          </w:divBdr>
          <w:divsChild>
            <w:div w:id="1858300752">
              <w:marLeft w:val="0"/>
              <w:marRight w:val="0"/>
              <w:marTop w:val="0"/>
              <w:marBottom w:val="0"/>
              <w:divBdr>
                <w:top w:val="none" w:sz="0" w:space="0" w:color="auto"/>
                <w:left w:val="none" w:sz="0" w:space="0" w:color="auto"/>
                <w:bottom w:val="none" w:sz="0" w:space="0" w:color="auto"/>
                <w:right w:val="none" w:sz="0" w:space="0" w:color="auto"/>
              </w:divBdr>
            </w:div>
          </w:divsChild>
        </w:div>
        <w:div w:id="33384283">
          <w:marLeft w:val="0"/>
          <w:marRight w:val="0"/>
          <w:marTop w:val="0"/>
          <w:marBottom w:val="0"/>
          <w:divBdr>
            <w:top w:val="none" w:sz="0" w:space="0" w:color="auto"/>
            <w:left w:val="none" w:sz="0" w:space="0" w:color="auto"/>
            <w:bottom w:val="none" w:sz="0" w:space="0" w:color="auto"/>
            <w:right w:val="none" w:sz="0" w:space="0" w:color="auto"/>
          </w:divBdr>
          <w:divsChild>
            <w:div w:id="1343048913">
              <w:marLeft w:val="0"/>
              <w:marRight w:val="0"/>
              <w:marTop w:val="0"/>
              <w:marBottom w:val="0"/>
              <w:divBdr>
                <w:top w:val="none" w:sz="0" w:space="0" w:color="auto"/>
                <w:left w:val="none" w:sz="0" w:space="0" w:color="auto"/>
                <w:bottom w:val="none" w:sz="0" w:space="0" w:color="auto"/>
                <w:right w:val="none" w:sz="0" w:space="0" w:color="auto"/>
              </w:divBdr>
            </w:div>
          </w:divsChild>
        </w:div>
        <w:div w:id="59327219">
          <w:marLeft w:val="0"/>
          <w:marRight w:val="0"/>
          <w:marTop w:val="0"/>
          <w:marBottom w:val="0"/>
          <w:divBdr>
            <w:top w:val="none" w:sz="0" w:space="0" w:color="auto"/>
            <w:left w:val="none" w:sz="0" w:space="0" w:color="auto"/>
            <w:bottom w:val="none" w:sz="0" w:space="0" w:color="auto"/>
            <w:right w:val="none" w:sz="0" w:space="0" w:color="auto"/>
          </w:divBdr>
          <w:divsChild>
            <w:div w:id="1970892771">
              <w:marLeft w:val="0"/>
              <w:marRight w:val="0"/>
              <w:marTop w:val="0"/>
              <w:marBottom w:val="0"/>
              <w:divBdr>
                <w:top w:val="none" w:sz="0" w:space="0" w:color="auto"/>
                <w:left w:val="none" w:sz="0" w:space="0" w:color="auto"/>
                <w:bottom w:val="none" w:sz="0" w:space="0" w:color="auto"/>
                <w:right w:val="none" w:sz="0" w:space="0" w:color="auto"/>
              </w:divBdr>
            </w:div>
          </w:divsChild>
        </w:div>
        <w:div w:id="75169975">
          <w:marLeft w:val="0"/>
          <w:marRight w:val="0"/>
          <w:marTop w:val="0"/>
          <w:marBottom w:val="0"/>
          <w:divBdr>
            <w:top w:val="none" w:sz="0" w:space="0" w:color="auto"/>
            <w:left w:val="none" w:sz="0" w:space="0" w:color="auto"/>
            <w:bottom w:val="none" w:sz="0" w:space="0" w:color="auto"/>
            <w:right w:val="none" w:sz="0" w:space="0" w:color="auto"/>
          </w:divBdr>
          <w:divsChild>
            <w:div w:id="477115346">
              <w:marLeft w:val="0"/>
              <w:marRight w:val="0"/>
              <w:marTop w:val="0"/>
              <w:marBottom w:val="0"/>
              <w:divBdr>
                <w:top w:val="none" w:sz="0" w:space="0" w:color="auto"/>
                <w:left w:val="none" w:sz="0" w:space="0" w:color="auto"/>
                <w:bottom w:val="none" w:sz="0" w:space="0" w:color="auto"/>
                <w:right w:val="none" w:sz="0" w:space="0" w:color="auto"/>
              </w:divBdr>
            </w:div>
          </w:divsChild>
        </w:div>
        <w:div w:id="79255628">
          <w:marLeft w:val="0"/>
          <w:marRight w:val="0"/>
          <w:marTop w:val="0"/>
          <w:marBottom w:val="0"/>
          <w:divBdr>
            <w:top w:val="none" w:sz="0" w:space="0" w:color="auto"/>
            <w:left w:val="none" w:sz="0" w:space="0" w:color="auto"/>
            <w:bottom w:val="none" w:sz="0" w:space="0" w:color="auto"/>
            <w:right w:val="none" w:sz="0" w:space="0" w:color="auto"/>
          </w:divBdr>
          <w:divsChild>
            <w:div w:id="2001542236">
              <w:marLeft w:val="0"/>
              <w:marRight w:val="0"/>
              <w:marTop w:val="0"/>
              <w:marBottom w:val="0"/>
              <w:divBdr>
                <w:top w:val="none" w:sz="0" w:space="0" w:color="auto"/>
                <w:left w:val="none" w:sz="0" w:space="0" w:color="auto"/>
                <w:bottom w:val="none" w:sz="0" w:space="0" w:color="auto"/>
                <w:right w:val="none" w:sz="0" w:space="0" w:color="auto"/>
              </w:divBdr>
            </w:div>
          </w:divsChild>
        </w:div>
        <w:div w:id="81874334">
          <w:marLeft w:val="0"/>
          <w:marRight w:val="0"/>
          <w:marTop w:val="0"/>
          <w:marBottom w:val="0"/>
          <w:divBdr>
            <w:top w:val="none" w:sz="0" w:space="0" w:color="auto"/>
            <w:left w:val="none" w:sz="0" w:space="0" w:color="auto"/>
            <w:bottom w:val="none" w:sz="0" w:space="0" w:color="auto"/>
            <w:right w:val="none" w:sz="0" w:space="0" w:color="auto"/>
          </w:divBdr>
          <w:divsChild>
            <w:div w:id="1479566610">
              <w:marLeft w:val="0"/>
              <w:marRight w:val="0"/>
              <w:marTop w:val="0"/>
              <w:marBottom w:val="0"/>
              <w:divBdr>
                <w:top w:val="none" w:sz="0" w:space="0" w:color="auto"/>
                <w:left w:val="none" w:sz="0" w:space="0" w:color="auto"/>
                <w:bottom w:val="none" w:sz="0" w:space="0" w:color="auto"/>
                <w:right w:val="none" w:sz="0" w:space="0" w:color="auto"/>
              </w:divBdr>
            </w:div>
          </w:divsChild>
        </w:div>
        <w:div w:id="119425051">
          <w:marLeft w:val="0"/>
          <w:marRight w:val="0"/>
          <w:marTop w:val="0"/>
          <w:marBottom w:val="0"/>
          <w:divBdr>
            <w:top w:val="none" w:sz="0" w:space="0" w:color="auto"/>
            <w:left w:val="none" w:sz="0" w:space="0" w:color="auto"/>
            <w:bottom w:val="none" w:sz="0" w:space="0" w:color="auto"/>
            <w:right w:val="none" w:sz="0" w:space="0" w:color="auto"/>
          </w:divBdr>
          <w:divsChild>
            <w:div w:id="2136101100">
              <w:marLeft w:val="0"/>
              <w:marRight w:val="0"/>
              <w:marTop w:val="0"/>
              <w:marBottom w:val="0"/>
              <w:divBdr>
                <w:top w:val="none" w:sz="0" w:space="0" w:color="auto"/>
                <w:left w:val="none" w:sz="0" w:space="0" w:color="auto"/>
                <w:bottom w:val="none" w:sz="0" w:space="0" w:color="auto"/>
                <w:right w:val="none" w:sz="0" w:space="0" w:color="auto"/>
              </w:divBdr>
            </w:div>
          </w:divsChild>
        </w:div>
        <w:div w:id="146097684">
          <w:marLeft w:val="0"/>
          <w:marRight w:val="0"/>
          <w:marTop w:val="0"/>
          <w:marBottom w:val="0"/>
          <w:divBdr>
            <w:top w:val="none" w:sz="0" w:space="0" w:color="auto"/>
            <w:left w:val="none" w:sz="0" w:space="0" w:color="auto"/>
            <w:bottom w:val="none" w:sz="0" w:space="0" w:color="auto"/>
            <w:right w:val="none" w:sz="0" w:space="0" w:color="auto"/>
          </w:divBdr>
          <w:divsChild>
            <w:div w:id="1498153667">
              <w:marLeft w:val="0"/>
              <w:marRight w:val="0"/>
              <w:marTop w:val="0"/>
              <w:marBottom w:val="0"/>
              <w:divBdr>
                <w:top w:val="none" w:sz="0" w:space="0" w:color="auto"/>
                <w:left w:val="none" w:sz="0" w:space="0" w:color="auto"/>
                <w:bottom w:val="none" w:sz="0" w:space="0" w:color="auto"/>
                <w:right w:val="none" w:sz="0" w:space="0" w:color="auto"/>
              </w:divBdr>
            </w:div>
          </w:divsChild>
        </w:div>
        <w:div w:id="155194570">
          <w:marLeft w:val="0"/>
          <w:marRight w:val="0"/>
          <w:marTop w:val="0"/>
          <w:marBottom w:val="0"/>
          <w:divBdr>
            <w:top w:val="none" w:sz="0" w:space="0" w:color="auto"/>
            <w:left w:val="none" w:sz="0" w:space="0" w:color="auto"/>
            <w:bottom w:val="none" w:sz="0" w:space="0" w:color="auto"/>
            <w:right w:val="none" w:sz="0" w:space="0" w:color="auto"/>
          </w:divBdr>
          <w:divsChild>
            <w:div w:id="1651516952">
              <w:marLeft w:val="0"/>
              <w:marRight w:val="0"/>
              <w:marTop w:val="0"/>
              <w:marBottom w:val="0"/>
              <w:divBdr>
                <w:top w:val="none" w:sz="0" w:space="0" w:color="auto"/>
                <w:left w:val="none" w:sz="0" w:space="0" w:color="auto"/>
                <w:bottom w:val="none" w:sz="0" w:space="0" w:color="auto"/>
                <w:right w:val="none" w:sz="0" w:space="0" w:color="auto"/>
              </w:divBdr>
            </w:div>
          </w:divsChild>
        </w:div>
        <w:div w:id="169951042">
          <w:marLeft w:val="0"/>
          <w:marRight w:val="0"/>
          <w:marTop w:val="0"/>
          <w:marBottom w:val="0"/>
          <w:divBdr>
            <w:top w:val="none" w:sz="0" w:space="0" w:color="auto"/>
            <w:left w:val="none" w:sz="0" w:space="0" w:color="auto"/>
            <w:bottom w:val="none" w:sz="0" w:space="0" w:color="auto"/>
            <w:right w:val="none" w:sz="0" w:space="0" w:color="auto"/>
          </w:divBdr>
          <w:divsChild>
            <w:div w:id="2044557391">
              <w:marLeft w:val="0"/>
              <w:marRight w:val="0"/>
              <w:marTop w:val="0"/>
              <w:marBottom w:val="0"/>
              <w:divBdr>
                <w:top w:val="none" w:sz="0" w:space="0" w:color="auto"/>
                <w:left w:val="none" w:sz="0" w:space="0" w:color="auto"/>
                <w:bottom w:val="none" w:sz="0" w:space="0" w:color="auto"/>
                <w:right w:val="none" w:sz="0" w:space="0" w:color="auto"/>
              </w:divBdr>
            </w:div>
          </w:divsChild>
        </w:div>
        <w:div w:id="171263659">
          <w:marLeft w:val="0"/>
          <w:marRight w:val="0"/>
          <w:marTop w:val="0"/>
          <w:marBottom w:val="0"/>
          <w:divBdr>
            <w:top w:val="none" w:sz="0" w:space="0" w:color="auto"/>
            <w:left w:val="none" w:sz="0" w:space="0" w:color="auto"/>
            <w:bottom w:val="none" w:sz="0" w:space="0" w:color="auto"/>
            <w:right w:val="none" w:sz="0" w:space="0" w:color="auto"/>
          </w:divBdr>
          <w:divsChild>
            <w:div w:id="788552213">
              <w:marLeft w:val="0"/>
              <w:marRight w:val="0"/>
              <w:marTop w:val="0"/>
              <w:marBottom w:val="0"/>
              <w:divBdr>
                <w:top w:val="none" w:sz="0" w:space="0" w:color="auto"/>
                <w:left w:val="none" w:sz="0" w:space="0" w:color="auto"/>
                <w:bottom w:val="none" w:sz="0" w:space="0" w:color="auto"/>
                <w:right w:val="none" w:sz="0" w:space="0" w:color="auto"/>
              </w:divBdr>
            </w:div>
          </w:divsChild>
        </w:div>
        <w:div w:id="184707729">
          <w:marLeft w:val="0"/>
          <w:marRight w:val="0"/>
          <w:marTop w:val="0"/>
          <w:marBottom w:val="0"/>
          <w:divBdr>
            <w:top w:val="none" w:sz="0" w:space="0" w:color="auto"/>
            <w:left w:val="none" w:sz="0" w:space="0" w:color="auto"/>
            <w:bottom w:val="none" w:sz="0" w:space="0" w:color="auto"/>
            <w:right w:val="none" w:sz="0" w:space="0" w:color="auto"/>
          </w:divBdr>
          <w:divsChild>
            <w:div w:id="1806311720">
              <w:marLeft w:val="0"/>
              <w:marRight w:val="0"/>
              <w:marTop w:val="0"/>
              <w:marBottom w:val="0"/>
              <w:divBdr>
                <w:top w:val="none" w:sz="0" w:space="0" w:color="auto"/>
                <w:left w:val="none" w:sz="0" w:space="0" w:color="auto"/>
                <w:bottom w:val="none" w:sz="0" w:space="0" w:color="auto"/>
                <w:right w:val="none" w:sz="0" w:space="0" w:color="auto"/>
              </w:divBdr>
            </w:div>
          </w:divsChild>
        </w:div>
        <w:div w:id="217665158">
          <w:marLeft w:val="0"/>
          <w:marRight w:val="0"/>
          <w:marTop w:val="0"/>
          <w:marBottom w:val="0"/>
          <w:divBdr>
            <w:top w:val="none" w:sz="0" w:space="0" w:color="auto"/>
            <w:left w:val="none" w:sz="0" w:space="0" w:color="auto"/>
            <w:bottom w:val="none" w:sz="0" w:space="0" w:color="auto"/>
            <w:right w:val="none" w:sz="0" w:space="0" w:color="auto"/>
          </w:divBdr>
          <w:divsChild>
            <w:div w:id="1514537084">
              <w:marLeft w:val="0"/>
              <w:marRight w:val="0"/>
              <w:marTop w:val="0"/>
              <w:marBottom w:val="0"/>
              <w:divBdr>
                <w:top w:val="none" w:sz="0" w:space="0" w:color="auto"/>
                <w:left w:val="none" w:sz="0" w:space="0" w:color="auto"/>
                <w:bottom w:val="none" w:sz="0" w:space="0" w:color="auto"/>
                <w:right w:val="none" w:sz="0" w:space="0" w:color="auto"/>
              </w:divBdr>
            </w:div>
          </w:divsChild>
        </w:div>
        <w:div w:id="265427885">
          <w:marLeft w:val="0"/>
          <w:marRight w:val="0"/>
          <w:marTop w:val="0"/>
          <w:marBottom w:val="0"/>
          <w:divBdr>
            <w:top w:val="none" w:sz="0" w:space="0" w:color="auto"/>
            <w:left w:val="none" w:sz="0" w:space="0" w:color="auto"/>
            <w:bottom w:val="none" w:sz="0" w:space="0" w:color="auto"/>
            <w:right w:val="none" w:sz="0" w:space="0" w:color="auto"/>
          </w:divBdr>
          <w:divsChild>
            <w:div w:id="375813269">
              <w:marLeft w:val="0"/>
              <w:marRight w:val="0"/>
              <w:marTop w:val="0"/>
              <w:marBottom w:val="0"/>
              <w:divBdr>
                <w:top w:val="none" w:sz="0" w:space="0" w:color="auto"/>
                <w:left w:val="none" w:sz="0" w:space="0" w:color="auto"/>
                <w:bottom w:val="none" w:sz="0" w:space="0" w:color="auto"/>
                <w:right w:val="none" w:sz="0" w:space="0" w:color="auto"/>
              </w:divBdr>
            </w:div>
          </w:divsChild>
        </w:div>
        <w:div w:id="275406600">
          <w:marLeft w:val="0"/>
          <w:marRight w:val="0"/>
          <w:marTop w:val="0"/>
          <w:marBottom w:val="0"/>
          <w:divBdr>
            <w:top w:val="none" w:sz="0" w:space="0" w:color="auto"/>
            <w:left w:val="none" w:sz="0" w:space="0" w:color="auto"/>
            <w:bottom w:val="none" w:sz="0" w:space="0" w:color="auto"/>
            <w:right w:val="none" w:sz="0" w:space="0" w:color="auto"/>
          </w:divBdr>
          <w:divsChild>
            <w:div w:id="467286170">
              <w:marLeft w:val="0"/>
              <w:marRight w:val="0"/>
              <w:marTop w:val="0"/>
              <w:marBottom w:val="0"/>
              <w:divBdr>
                <w:top w:val="none" w:sz="0" w:space="0" w:color="auto"/>
                <w:left w:val="none" w:sz="0" w:space="0" w:color="auto"/>
                <w:bottom w:val="none" w:sz="0" w:space="0" w:color="auto"/>
                <w:right w:val="none" w:sz="0" w:space="0" w:color="auto"/>
              </w:divBdr>
            </w:div>
          </w:divsChild>
        </w:div>
        <w:div w:id="345908702">
          <w:marLeft w:val="0"/>
          <w:marRight w:val="0"/>
          <w:marTop w:val="0"/>
          <w:marBottom w:val="0"/>
          <w:divBdr>
            <w:top w:val="none" w:sz="0" w:space="0" w:color="auto"/>
            <w:left w:val="none" w:sz="0" w:space="0" w:color="auto"/>
            <w:bottom w:val="none" w:sz="0" w:space="0" w:color="auto"/>
            <w:right w:val="none" w:sz="0" w:space="0" w:color="auto"/>
          </w:divBdr>
          <w:divsChild>
            <w:div w:id="329528885">
              <w:marLeft w:val="0"/>
              <w:marRight w:val="0"/>
              <w:marTop w:val="0"/>
              <w:marBottom w:val="0"/>
              <w:divBdr>
                <w:top w:val="none" w:sz="0" w:space="0" w:color="auto"/>
                <w:left w:val="none" w:sz="0" w:space="0" w:color="auto"/>
                <w:bottom w:val="none" w:sz="0" w:space="0" w:color="auto"/>
                <w:right w:val="none" w:sz="0" w:space="0" w:color="auto"/>
              </w:divBdr>
            </w:div>
          </w:divsChild>
        </w:div>
        <w:div w:id="426923421">
          <w:marLeft w:val="0"/>
          <w:marRight w:val="0"/>
          <w:marTop w:val="0"/>
          <w:marBottom w:val="0"/>
          <w:divBdr>
            <w:top w:val="none" w:sz="0" w:space="0" w:color="auto"/>
            <w:left w:val="none" w:sz="0" w:space="0" w:color="auto"/>
            <w:bottom w:val="none" w:sz="0" w:space="0" w:color="auto"/>
            <w:right w:val="none" w:sz="0" w:space="0" w:color="auto"/>
          </w:divBdr>
          <w:divsChild>
            <w:div w:id="56246761">
              <w:marLeft w:val="0"/>
              <w:marRight w:val="0"/>
              <w:marTop w:val="0"/>
              <w:marBottom w:val="0"/>
              <w:divBdr>
                <w:top w:val="none" w:sz="0" w:space="0" w:color="auto"/>
                <w:left w:val="none" w:sz="0" w:space="0" w:color="auto"/>
                <w:bottom w:val="none" w:sz="0" w:space="0" w:color="auto"/>
                <w:right w:val="none" w:sz="0" w:space="0" w:color="auto"/>
              </w:divBdr>
            </w:div>
          </w:divsChild>
        </w:div>
        <w:div w:id="435946716">
          <w:marLeft w:val="0"/>
          <w:marRight w:val="0"/>
          <w:marTop w:val="0"/>
          <w:marBottom w:val="0"/>
          <w:divBdr>
            <w:top w:val="none" w:sz="0" w:space="0" w:color="auto"/>
            <w:left w:val="none" w:sz="0" w:space="0" w:color="auto"/>
            <w:bottom w:val="none" w:sz="0" w:space="0" w:color="auto"/>
            <w:right w:val="none" w:sz="0" w:space="0" w:color="auto"/>
          </w:divBdr>
          <w:divsChild>
            <w:div w:id="1105229870">
              <w:marLeft w:val="0"/>
              <w:marRight w:val="0"/>
              <w:marTop w:val="0"/>
              <w:marBottom w:val="0"/>
              <w:divBdr>
                <w:top w:val="none" w:sz="0" w:space="0" w:color="auto"/>
                <w:left w:val="none" w:sz="0" w:space="0" w:color="auto"/>
                <w:bottom w:val="none" w:sz="0" w:space="0" w:color="auto"/>
                <w:right w:val="none" w:sz="0" w:space="0" w:color="auto"/>
              </w:divBdr>
            </w:div>
          </w:divsChild>
        </w:div>
        <w:div w:id="501361070">
          <w:marLeft w:val="0"/>
          <w:marRight w:val="0"/>
          <w:marTop w:val="0"/>
          <w:marBottom w:val="0"/>
          <w:divBdr>
            <w:top w:val="none" w:sz="0" w:space="0" w:color="auto"/>
            <w:left w:val="none" w:sz="0" w:space="0" w:color="auto"/>
            <w:bottom w:val="none" w:sz="0" w:space="0" w:color="auto"/>
            <w:right w:val="none" w:sz="0" w:space="0" w:color="auto"/>
          </w:divBdr>
          <w:divsChild>
            <w:div w:id="1563829892">
              <w:marLeft w:val="0"/>
              <w:marRight w:val="0"/>
              <w:marTop w:val="0"/>
              <w:marBottom w:val="0"/>
              <w:divBdr>
                <w:top w:val="none" w:sz="0" w:space="0" w:color="auto"/>
                <w:left w:val="none" w:sz="0" w:space="0" w:color="auto"/>
                <w:bottom w:val="none" w:sz="0" w:space="0" w:color="auto"/>
                <w:right w:val="none" w:sz="0" w:space="0" w:color="auto"/>
              </w:divBdr>
            </w:div>
          </w:divsChild>
        </w:div>
        <w:div w:id="569006412">
          <w:marLeft w:val="0"/>
          <w:marRight w:val="0"/>
          <w:marTop w:val="0"/>
          <w:marBottom w:val="0"/>
          <w:divBdr>
            <w:top w:val="none" w:sz="0" w:space="0" w:color="auto"/>
            <w:left w:val="none" w:sz="0" w:space="0" w:color="auto"/>
            <w:bottom w:val="none" w:sz="0" w:space="0" w:color="auto"/>
            <w:right w:val="none" w:sz="0" w:space="0" w:color="auto"/>
          </w:divBdr>
          <w:divsChild>
            <w:div w:id="751896998">
              <w:marLeft w:val="0"/>
              <w:marRight w:val="0"/>
              <w:marTop w:val="0"/>
              <w:marBottom w:val="0"/>
              <w:divBdr>
                <w:top w:val="none" w:sz="0" w:space="0" w:color="auto"/>
                <w:left w:val="none" w:sz="0" w:space="0" w:color="auto"/>
                <w:bottom w:val="none" w:sz="0" w:space="0" w:color="auto"/>
                <w:right w:val="none" w:sz="0" w:space="0" w:color="auto"/>
              </w:divBdr>
            </w:div>
          </w:divsChild>
        </w:div>
        <w:div w:id="610207000">
          <w:marLeft w:val="0"/>
          <w:marRight w:val="0"/>
          <w:marTop w:val="0"/>
          <w:marBottom w:val="0"/>
          <w:divBdr>
            <w:top w:val="none" w:sz="0" w:space="0" w:color="auto"/>
            <w:left w:val="none" w:sz="0" w:space="0" w:color="auto"/>
            <w:bottom w:val="none" w:sz="0" w:space="0" w:color="auto"/>
            <w:right w:val="none" w:sz="0" w:space="0" w:color="auto"/>
          </w:divBdr>
          <w:divsChild>
            <w:div w:id="67699840">
              <w:marLeft w:val="0"/>
              <w:marRight w:val="0"/>
              <w:marTop w:val="0"/>
              <w:marBottom w:val="0"/>
              <w:divBdr>
                <w:top w:val="none" w:sz="0" w:space="0" w:color="auto"/>
                <w:left w:val="none" w:sz="0" w:space="0" w:color="auto"/>
                <w:bottom w:val="none" w:sz="0" w:space="0" w:color="auto"/>
                <w:right w:val="none" w:sz="0" w:space="0" w:color="auto"/>
              </w:divBdr>
            </w:div>
          </w:divsChild>
        </w:div>
        <w:div w:id="685712200">
          <w:marLeft w:val="0"/>
          <w:marRight w:val="0"/>
          <w:marTop w:val="0"/>
          <w:marBottom w:val="0"/>
          <w:divBdr>
            <w:top w:val="none" w:sz="0" w:space="0" w:color="auto"/>
            <w:left w:val="none" w:sz="0" w:space="0" w:color="auto"/>
            <w:bottom w:val="none" w:sz="0" w:space="0" w:color="auto"/>
            <w:right w:val="none" w:sz="0" w:space="0" w:color="auto"/>
          </w:divBdr>
          <w:divsChild>
            <w:div w:id="604188583">
              <w:marLeft w:val="0"/>
              <w:marRight w:val="0"/>
              <w:marTop w:val="0"/>
              <w:marBottom w:val="0"/>
              <w:divBdr>
                <w:top w:val="none" w:sz="0" w:space="0" w:color="auto"/>
                <w:left w:val="none" w:sz="0" w:space="0" w:color="auto"/>
                <w:bottom w:val="none" w:sz="0" w:space="0" w:color="auto"/>
                <w:right w:val="none" w:sz="0" w:space="0" w:color="auto"/>
              </w:divBdr>
            </w:div>
          </w:divsChild>
        </w:div>
        <w:div w:id="736168418">
          <w:marLeft w:val="0"/>
          <w:marRight w:val="0"/>
          <w:marTop w:val="0"/>
          <w:marBottom w:val="0"/>
          <w:divBdr>
            <w:top w:val="none" w:sz="0" w:space="0" w:color="auto"/>
            <w:left w:val="none" w:sz="0" w:space="0" w:color="auto"/>
            <w:bottom w:val="none" w:sz="0" w:space="0" w:color="auto"/>
            <w:right w:val="none" w:sz="0" w:space="0" w:color="auto"/>
          </w:divBdr>
          <w:divsChild>
            <w:div w:id="1787919757">
              <w:marLeft w:val="0"/>
              <w:marRight w:val="0"/>
              <w:marTop w:val="0"/>
              <w:marBottom w:val="0"/>
              <w:divBdr>
                <w:top w:val="none" w:sz="0" w:space="0" w:color="auto"/>
                <w:left w:val="none" w:sz="0" w:space="0" w:color="auto"/>
                <w:bottom w:val="none" w:sz="0" w:space="0" w:color="auto"/>
                <w:right w:val="none" w:sz="0" w:space="0" w:color="auto"/>
              </w:divBdr>
            </w:div>
          </w:divsChild>
        </w:div>
        <w:div w:id="798373988">
          <w:marLeft w:val="0"/>
          <w:marRight w:val="0"/>
          <w:marTop w:val="0"/>
          <w:marBottom w:val="0"/>
          <w:divBdr>
            <w:top w:val="none" w:sz="0" w:space="0" w:color="auto"/>
            <w:left w:val="none" w:sz="0" w:space="0" w:color="auto"/>
            <w:bottom w:val="none" w:sz="0" w:space="0" w:color="auto"/>
            <w:right w:val="none" w:sz="0" w:space="0" w:color="auto"/>
          </w:divBdr>
          <w:divsChild>
            <w:div w:id="1552769843">
              <w:marLeft w:val="0"/>
              <w:marRight w:val="0"/>
              <w:marTop w:val="0"/>
              <w:marBottom w:val="0"/>
              <w:divBdr>
                <w:top w:val="none" w:sz="0" w:space="0" w:color="auto"/>
                <w:left w:val="none" w:sz="0" w:space="0" w:color="auto"/>
                <w:bottom w:val="none" w:sz="0" w:space="0" w:color="auto"/>
                <w:right w:val="none" w:sz="0" w:space="0" w:color="auto"/>
              </w:divBdr>
            </w:div>
          </w:divsChild>
        </w:div>
        <w:div w:id="825897192">
          <w:marLeft w:val="0"/>
          <w:marRight w:val="0"/>
          <w:marTop w:val="0"/>
          <w:marBottom w:val="0"/>
          <w:divBdr>
            <w:top w:val="none" w:sz="0" w:space="0" w:color="auto"/>
            <w:left w:val="none" w:sz="0" w:space="0" w:color="auto"/>
            <w:bottom w:val="none" w:sz="0" w:space="0" w:color="auto"/>
            <w:right w:val="none" w:sz="0" w:space="0" w:color="auto"/>
          </w:divBdr>
          <w:divsChild>
            <w:div w:id="1663586514">
              <w:marLeft w:val="0"/>
              <w:marRight w:val="0"/>
              <w:marTop w:val="0"/>
              <w:marBottom w:val="0"/>
              <w:divBdr>
                <w:top w:val="none" w:sz="0" w:space="0" w:color="auto"/>
                <w:left w:val="none" w:sz="0" w:space="0" w:color="auto"/>
                <w:bottom w:val="none" w:sz="0" w:space="0" w:color="auto"/>
                <w:right w:val="none" w:sz="0" w:space="0" w:color="auto"/>
              </w:divBdr>
            </w:div>
          </w:divsChild>
        </w:div>
        <w:div w:id="831215900">
          <w:marLeft w:val="0"/>
          <w:marRight w:val="0"/>
          <w:marTop w:val="0"/>
          <w:marBottom w:val="0"/>
          <w:divBdr>
            <w:top w:val="none" w:sz="0" w:space="0" w:color="auto"/>
            <w:left w:val="none" w:sz="0" w:space="0" w:color="auto"/>
            <w:bottom w:val="none" w:sz="0" w:space="0" w:color="auto"/>
            <w:right w:val="none" w:sz="0" w:space="0" w:color="auto"/>
          </w:divBdr>
          <w:divsChild>
            <w:div w:id="628971003">
              <w:marLeft w:val="0"/>
              <w:marRight w:val="0"/>
              <w:marTop w:val="0"/>
              <w:marBottom w:val="0"/>
              <w:divBdr>
                <w:top w:val="none" w:sz="0" w:space="0" w:color="auto"/>
                <w:left w:val="none" w:sz="0" w:space="0" w:color="auto"/>
                <w:bottom w:val="none" w:sz="0" w:space="0" w:color="auto"/>
                <w:right w:val="none" w:sz="0" w:space="0" w:color="auto"/>
              </w:divBdr>
            </w:div>
          </w:divsChild>
        </w:div>
        <w:div w:id="986319120">
          <w:marLeft w:val="0"/>
          <w:marRight w:val="0"/>
          <w:marTop w:val="0"/>
          <w:marBottom w:val="0"/>
          <w:divBdr>
            <w:top w:val="none" w:sz="0" w:space="0" w:color="auto"/>
            <w:left w:val="none" w:sz="0" w:space="0" w:color="auto"/>
            <w:bottom w:val="none" w:sz="0" w:space="0" w:color="auto"/>
            <w:right w:val="none" w:sz="0" w:space="0" w:color="auto"/>
          </w:divBdr>
          <w:divsChild>
            <w:div w:id="437220805">
              <w:marLeft w:val="0"/>
              <w:marRight w:val="0"/>
              <w:marTop w:val="0"/>
              <w:marBottom w:val="0"/>
              <w:divBdr>
                <w:top w:val="none" w:sz="0" w:space="0" w:color="auto"/>
                <w:left w:val="none" w:sz="0" w:space="0" w:color="auto"/>
                <w:bottom w:val="none" w:sz="0" w:space="0" w:color="auto"/>
                <w:right w:val="none" w:sz="0" w:space="0" w:color="auto"/>
              </w:divBdr>
            </w:div>
          </w:divsChild>
        </w:div>
        <w:div w:id="999425174">
          <w:marLeft w:val="0"/>
          <w:marRight w:val="0"/>
          <w:marTop w:val="0"/>
          <w:marBottom w:val="0"/>
          <w:divBdr>
            <w:top w:val="none" w:sz="0" w:space="0" w:color="auto"/>
            <w:left w:val="none" w:sz="0" w:space="0" w:color="auto"/>
            <w:bottom w:val="none" w:sz="0" w:space="0" w:color="auto"/>
            <w:right w:val="none" w:sz="0" w:space="0" w:color="auto"/>
          </w:divBdr>
          <w:divsChild>
            <w:div w:id="383871158">
              <w:marLeft w:val="0"/>
              <w:marRight w:val="0"/>
              <w:marTop w:val="0"/>
              <w:marBottom w:val="0"/>
              <w:divBdr>
                <w:top w:val="none" w:sz="0" w:space="0" w:color="auto"/>
                <w:left w:val="none" w:sz="0" w:space="0" w:color="auto"/>
                <w:bottom w:val="none" w:sz="0" w:space="0" w:color="auto"/>
                <w:right w:val="none" w:sz="0" w:space="0" w:color="auto"/>
              </w:divBdr>
            </w:div>
          </w:divsChild>
        </w:div>
        <w:div w:id="1016076033">
          <w:marLeft w:val="0"/>
          <w:marRight w:val="0"/>
          <w:marTop w:val="0"/>
          <w:marBottom w:val="0"/>
          <w:divBdr>
            <w:top w:val="none" w:sz="0" w:space="0" w:color="auto"/>
            <w:left w:val="none" w:sz="0" w:space="0" w:color="auto"/>
            <w:bottom w:val="none" w:sz="0" w:space="0" w:color="auto"/>
            <w:right w:val="none" w:sz="0" w:space="0" w:color="auto"/>
          </w:divBdr>
          <w:divsChild>
            <w:div w:id="1391226132">
              <w:marLeft w:val="0"/>
              <w:marRight w:val="0"/>
              <w:marTop w:val="0"/>
              <w:marBottom w:val="0"/>
              <w:divBdr>
                <w:top w:val="none" w:sz="0" w:space="0" w:color="auto"/>
                <w:left w:val="none" w:sz="0" w:space="0" w:color="auto"/>
                <w:bottom w:val="none" w:sz="0" w:space="0" w:color="auto"/>
                <w:right w:val="none" w:sz="0" w:space="0" w:color="auto"/>
              </w:divBdr>
            </w:div>
          </w:divsChild>
        </w:div>
        <w:div w:id="1048069718">
          <w:marLeft w:val="0"/>
          <w:marRight w:val="0"/>
          <w:marTop w:val="0"/>
          <w:marBottom w:val="0"/>
          <w:divBdr>
            <w:top w:val="none" w:sz="0" w:space="0" w:color="auto"/>
            <w:left w:val="none" w:sz="0" w:space="0" w:color="auto"/>
            <w:bottom w:val="none" w:sz="0" w:space="0" w:color="auto"/>
            <w:right w:val="none" w:sz="0" w:space="0" w:color="auto"/>
          </w:divBdr>
          <w:divsChild>
            <w:div w:id="1141310162">
              <w:marLeft w:val="0"/>
              <w:marRight w:val="0"/>
              <w:marTop w:val="0"/>
              <w:marBottom w:val="0"/>
              <w:divBdr>
                <w:top w:val="none" w:sz="0" w:space="0" w:color="auto"/>
                <w:left w:val="none" w:sz="0" w:space="0" w:color="auto"/>
                <w:bottom w:val="none" w:sz="0" w:space="0" w:color="auto"/>
                <w:right w:val="none" w:sz="0" w:space="0" w:color="auto"/>
              </w:divBdr>
            </w:div>
          </w:divsChild>
        </w:div>
        <w:div w:id="1060708635">
          <w:marLeft w:val="0"/>
          <w:marRight w:val="0"/>
          <w:marTop w:val="0"/>
          <w:marBottom w:val="0"/>
          <w:divBdr>
            <w:top w:val="none" w:sz="0" w:space="0" w:color="auto"/>
            <w:left w:val="none" w:sz="0" w:space="0" w:color="auto"/>
            <w:bottom w:val="none" w:sz="0" w:space="0" w:color="auto"/>
            <w:right w:val="none" w:sz="0" w:space="0" w:color="auto"/>
          </w:divBdr>
          <w:divsChild>
            <w:div w:id="1575116501">
              <w:marLeft w:val="0"/>
              <w:marRight w:val="0"/>
              <w:marTop w:val="0"/>
              <w:marBottom w:val="0"/>
              <w:divBdr>
                <w:top w:val="none" w:sz="0" w:space="0" w:color="auto"/>
                <w:left w:val="none" w:sz="0" w:space="0" w:color="auto"/>
                <w:bottom w:val="none" w:sz="0" w:space="0" w:color="auto"/>
                <w:right w:val="none" w:sz="0" w:space="0" w:color="auto"/>
              </w:divBdr>
            </w:div>
          </w:divsChild>
        </w:div>
        <w:div w:id="1063719184">
          <w:marLeft w:val="0"/>
          <w:marRight w:val="0"/>
          <w:marTop w:val="0"/>
          <w:marBottom w:val="0"/>
          <w:divBdr>
            <w:top w:val="none" w:sz="0" w:space="0" w:color="auto"/>
            <w:left w:val="none" w:sz="0" w:space="0" w:color="auto"/>
            <w:bottom w:val="none" w:sz="0" w:space="0" w:color="auto"/>
            <w:right w:val="none" w:sz="0" w:space="0" w:color="auto"/>
          </w:divBdr>
          <w:divsChild>
            <w:div w:id="54663902">
              <w:marLeft w:val="0"/>
              <w:marRight w:val="0"/>
              <w:marTop w:val="0"/>
              <w:marBottom w:val="0"/>
              <w:divBdr>
                <w:top w:val="none" w:sz="0" w:space="0" w:color="auto"/>
                <w:left w:val="none" w:sz="0" w:space="0" w:color="auto"/>
                <w:bottom w:val="none" w:sz="0" w:space="0" w:color="auto"/>
                <w:right w:val="none" w:sz="0" w:space="0" w:color="auto"/>
              </w:divBdr>
            </w:div>
          </w:divsChild>
        </w:div>
        <w:div w:id="1068502668">
          <w:marLeft w:val="0"/>
          <w:marRight w:val="0"/>
          <w:marTop w:val="0"/>
          <w:marBottom w:val="0"/>
          <w:divBdr>
            <w:top w:val="none" w:sz="0" w:space="0" w:color="auto"/>
            <w:left w:val="none" w:sz="0" w:space="0" w:color="auto"/>
            <w:bottom w:val="none" w:sz="0" w:space="0" w:color="auto"/>
            <w:right w:val="none" w:sz="0" w:space="0" w:color="auto"/>
          </w:divBdr>
          <w:divsChild>
            <w:div w:id="2123301409">
              <w:marLeft w:val="0"/>
              <w:marRight w:val="0"/>
              <w:marTop w:val="0"/>
              <w:marBottom w:val="0"/>
              <w:divBdr>
                <w:top w:val="none" w:sz="0" w:space="0" w:color="auto"/>
                <w:left w:val="none" w:sz="0" w:space="0" w:color="auto"/>
                <w:bottom w:val="none" w:sz="0" w:space="0" w:color="auto"/>
                <w:right w:val="none" w:sz="0" w:space="0" w:color="auto"/>
              </w:divBdr>
            </w:div>
          </w:divsChild>
        </w:div>
        <w:div w:id="1085541065">
          <w:marLeft w:val="0"/>
          <w:marRight w:val="0"/>
          <w:marTop w:val="0"/>
          <w:marBottom w:val="0"/>
          <w:divBdr>
            <w:top w:val="none" w:sz="0" w:space="0" w:color="auto"/>
            <w:left w:val="none" w:sz="0" w:space="0" w:color="auto"/>
            <w:bottom w:val="none" w:sz="0" w:space="0" w:color="auto"/>
            <w:right w:val="none" w:sz="0" w:space="0" w:color="auto"/>
          </w:divBdr>
          <w:divsChild>
            <w:div w:id="2018266933">
              <w:marLeft w:val="0"/>
              <w:marRight w:val="0"/>
              <w:marTop w:val="0"/>
              <w:marBottom w:val="0"/>
              <w:divBdr>
                <w:top w:val="none" w:sz="0" w:space="0" w:color="auto"/>
                <w:left w:val="none" w:sz="0" w:space="0" w:color="auto"/>
                <w:bottom w:val="none" w:sz="0" w:space="0" w:color="auto"/>
                <w:right w:val="none" w:sz="0" w:space="0" w:color="auto"/>
              </w:divBdr>
            </w:div>
          </w:divsChild>
        </w:div>
        <w:div w:id="1124546319">
          <w:marLeft w:val="0"/>
          <w:marRight w:val="0"/>
          <w:marTop w:val="0"/>
          <w:marBottom w:val="0"/>
          <w:divBdr>
            <w:top w:val="none" w:sz="0" w:space="0" w:color="auto"/>
            <w:left w:val="none" w:sz="0" w:space="0" w:color="auto"/>
            <w:bottom w:val="none" w:sz="0" w:space="0" w:color="auto"/>
            <w:right w:val="none" w:sz="0" w:space="0" w:color="auto"/>
          </w:divBdr>
          <w:divsChild>
            <w:div w:id="462428360">
              <w:marLeft w:val="0"/>
              <w:marRight w:val="0"/>
              <w:marTop w:val="0"/>
              <w:marBottom w:val="0"/>
              <w:divBdr>
                <w:top w:val="none" w:sz="0" w:space="0" w:color="auto"/>
                <w:left w:val="none" w:sz="0" w:space="0" w:color="auto"/>
                <w:bottom w:val="none" w:sz="0" w:space="0" w:color="auto"/>
                <w:right w:val="none" w:sz="0" w:space="0" w:color="auto"/>
              </w:divBdr>
            </w:div>
          </w:divsChild>
        </w:div>
        <w:div w:id="1148281569">
          <w:marLeft w:val="0"/>
          <w:marRight w:val="0"/>
          <w:marTop w:val="0"/>
          <w:marBottom w:val="0"/>
          <w:divBdr>
            <w:top w:val="none" w:sz="0" w:space="0" w:color="auto"/>
            <w:left w:val="none" w:sz="0" w:space="0" w:color="auto"/>
            <w:bottom w:val="none" w:sz="0" w:space="0" w:color="auto"/>
            <w:right w:val="none" w:sz="0" w:space="0" w:color="auto"/>
          </w:divBdr>
          <w:divsChild>
            <w:div w:id="2109886301">
              <w:marLeft w:val="0"/>
              <w:marRight w:val="0"/>
              <w:marTop w:val="0"/>
              <w:marBottom w:val="0"/>
              <w:divBdr>
                <w:top w:val="none" w:sz="0" w:space="0" w:color="auto"/>
                <w:left w:val="none" w:sz="0" w:space="0" w:color="auto"/>
                <w:bottom w:val="none" w:sz="0" w:space="0" w:color="auto"/>
                <w:right w:val="none" w:sz="0" w:space="0" w:color="auto"/>
              </w:divBdr>
            </w:div>
          </w:divsChild>
        </w:div>
        <w:div w:id="1156918262">
          <w:marLeft w:val="0"/>
          <w:marRight w:val="0"/>
          <w:marTop w:val="0"/>
          <w:marBottom w:val="0"/>
          <w:divBdr>
            <w:top w:val="none" w:sz="0" w:space="0" w:color="auto"/>
            <w:left w:val="none" w:sz="0" w:space="0" w:color="auto"/>
            <w:bottom w:val="none" w:sz="0" w:space="0" w:color="auto"/>
            <w:right w:val="none" w:sz="0" w:space="0" w:color="auto"/>
          </w:divBdr>
          <w:divsChild>
            <w:div w:id="2147313289">
              <w:marLeft w:val="0"/>
              <w:marRight w:val="0"/>
              <w:marTop w:val="0"/>
              <w:marBottom w:val="0"/>
              <w:divBdr>
                <w:top w:val="none" w:sz="0" w:space="0" w:color="auto"/>
                <w:left w:val="none" w:sz="0" w:space="0" w:color="auto"/>
                <w:bottom w:val="none" w:sz="0" w:space="0" w:color="auto"/>
                <w:right w:val="none" w:sz="0" w:space="0" w:color="auto"/>
              </w:divBdr>
            </w:div>
          </w:divsChild>
        </w:div>
        <w:div w:id="1174030355">
          <w:marLeft w:val="0"/>
          <w:marRight w:val="0"/>
          <w:marTop w:val="0"/>
          <w:marBottom w:val="0"/>
          <w:divBdr>
            <w:top w:val="none" w:sz="0" w:space="0" w:color="auto"/>
            <w:left w:val="none" w:sz="0" w:space="0" w:color="auto"/>
            <w:bottom w:val="none" w:sz="0" w:space="0" w:color="auto"/>
            <w:right w:val="none" w:sz="0" w:space="0" w:color="auto"/>
          </w:divBdr>
          <w:divsChild>
            <w:div w:id="20254332">
              <w:marLeft w:val="0"/>
              <w:marRight w:val="0"/>
              <w:marTop w:val="0"/>
              <w:marBottom w:val="0"/>
              <w:divBdr>
                <w:top w:val="none" w:sz="0" w:space="0" w:color="auto"/>
                <w:left w:val="none" w:sz="0" w:space="0" w:color="auto"/>
                <w:bottom w:val="none" w:sz="0" w:space="0" w:color="auto"/>
                <w:right w:val="none" w:sz="0" w:space="0" w:color="auto"/>
              </w:divBdr>
            </w:div>
          </w:divsChild>
        </w:div>
        <w:div w:id="1174878118">
          <w:marLeft w:val="0"/>
          <w:marRight w:val="0"/>
          <w:marTop w:val="0"/>
          <w:marBottom w:val="0"/>
          <w:divBdr>
            <w:top w:val="none" w:sz="0" w:space="0" w:color="auto"/>
            <w:left w:val="none" w:sz="0" w:space="0" w:color="auto"/>
            <w:bottom w:val="none" w:sz="0" w:space="0" w:color="auto"/>
            <w:right w:val="none" w:sz="0" w:space="0" w:color="auto"/>
          </w:divBdr>
          <w:divsChild>
            <w:div w:id="2074230016">
              <w:marLeft w:val="0"/>
              <w:marRight w:val="0"/>
              <w:marTop w:val="0"/>
              <w:marBottom w:val="0"/>
              <w:divBdr>
                <w:top w:val="none" w:sz="0" w:space="0" w:color="auto"/>
                <w:left w:val="none" w:sz="0" w:space="0" w:color="auto"/>
                <w:bottom w:val="none" w:sz="0" w:space="0" w:color="auto"/>
                <w:right w:val="none" w:sz="0" w:space="0" w:color="auto"/>
              </w:divBdr>
            </w:div>
          </w:divsChild>
        </w:div>
        <w:div w:id="1197236937">
          <w:marLeft w:val="0"/>
          <w:marRight w:val="0"/>
          <w:marTop w:val="0"/>
          <w:marBottom w:val="0"/>
          <w:divBdr>
            <w:top w:val="none" w:sz="0" w:space="0" w:color="auto"/>
            <w:left w:val="none" w:sz="0" w:space="0" w:color="auto"/>
            <w:bottom w:val="none" w:sz="0" w:space="0" w:color="auto"/>
            <w:right w:val="none" w:sz="0" w:space="0" w:color="auto"/>
          </w:divBdr>
          <w:divsChild>
            <w:div w:id="1594166098">
              <w:marLeft w:val="0"/>
              <w:marRight w:val="0"/>
              <w:marTop w:val="0"/>
              <w:marBottom w:val="0"/>
              <w:divBdr>
                <w:top w:val="none" w:sz="0" w:space="0" w:color="auto"/>
                <w:left w:val="none" w:sz="0" w:space="0" w:color="auto"/>
                <w:bottom w:val="none" w:sz="0" w:space="0" w:color="auto"/>
                <w:right w:val="none" w:sz="0" w:space="0" w:color="auto"/>
              </w:divBdr>
            </w:div>
          </w:divsChild>
        </w:div>
        <w:div w:id="1202282217">
          <w:marLeft w:val="0"/>
          <w:marRight w:val="0"/>
          <w:marTop w:val="0"/>
          <w:marBottom w:val="0"/>
          <w:divBdr>
            <w:top w:val="none" w:sz="0" w:space="0" w:color="auto"/>
            <w:left w:val="none" w:sz="0" w:space="0" w:color="auto"/>
            <w:bottom w:val="none" w:sz="0" w:space="0" w:color="auto"/>
            <w:right w:val="none" w:sz="0" w:space="0" w:color="auto"/>
          </w:divBdr>
          <w:divsChild>
            <w:div w:id="86117312">
              <w:marLeft w:val="0"/>
              <w:marRight w:val="0"/>
              <w:marTop w:val="0"/>
              <w:marBottom w:val="0"/>
              <w:divBdr>
                <w:top w:val="none" w:sz="0" w:space="0" w:color="auto"/>
                <w:left w:val="none" w:sz="0" w:space="0" w:color="auto"/>
                <w:bottom w:val="none" w:sz="0" w:space="0" w:color="auto"/>
                <w:right w:val="none" w:sz="0" w:space="0" w:color="auto"/>
              </w:divBdr>
            </w:div>
          </w:divsChild>
        </w:div>
        <w:div w:id="1264992788">
          <w:marLeft w:val="0"/>
          <w:marRight w:val="0"/>
          <w:marTop w:val="0"/>
          <w:marBottom w:val="0"/>
          <w:divBdr>
            <w:top w:val="none" w:sz="0" w:space="0" w:color="auto"/>
            <w:left w:val="none" w:sz="0" w:space="0" w:color="auto"/>
            <w:bottom w:val="none" w:sz="0" w:space="0" w:color="auto"/>
            <w:right w:val="none" w:sz="0" w:space="0" w:color="auto"/>
          </w:divBdr>
          <w:divsChild>
            <w:div w:id="1213888239">
              <w:marLeft w:val="0"/>
              <w:marRight w:val="0"/>
              <w:marTop w:val="0"/>
              <w:marBottom w:val="0"/>
              <w:divBdr>
                <w:top w:val="none" w:sz="0" w:space="0" w:color="auto"/>
                <w:left w:val="none" w:sz="0" w:space="0" w:color="auto"/>
                <w:bottom w:val="none" w:sz="0" w:space="0" w:color="auto"/>
                <w:right w:val="none" w:sz="0" w:space="0" w:color="auto"/>
              </w:divBdr>
            </w:div>
          </w:divsChild>
        </w:div>
        <w:div w:id="1289579961">
          <w:marLeft w:val="0"/>
          <w:marRight w:val="0"/>
          <w:marTop w:val="0"/>
          <w:marBottom w:val="0"/>
          <w:divBdr>
            <w:top w:val="none" w:sz="0" w:space="0" w:color="auto"/>
            <w:left w:val="none" w:sz="0" w:space="0" w:color="auto"/>
            <w:bottom w:val="none" w:sz="0" w:space="0" w:color="auto"/>
            <w:right w:val="none" w:sz="0" w:space="0" w:color="auto"/>
          </w:divBdr>
          <w:divsChild>
            <w:div w:id="576672879">
              <w:marLeft w:val="0"/>
              <w:marRight w:val="0"/>
              <w:marTop w:val="0"/>
              <w:marBottom w:val="0"/>
              <w:divBdr>
                <w:top w:val="none" w:sz="0" w:space="0" w:color="auto"/>
                <w:left w:val="none" w:sz="0" w:space="0" w:color="auto"/>
                <w:bottom w:val="none" w:sz="0" w:space="0" w:color="auto"/>
                <w:right w:val="none" w:sz="0" w:space="0" w:color="auto"/>
              </w:divBdr>
            </w:div>
          </w:divsChild>
        </w:div>
        <w:div w:id="1317805053">
          <w:marLeft w:val="0"/>
          <w:marRight w:val="0"/>
          <w:marTop w:val="0"/>
          <w:marBottom w:val="0"/>
          <w:divBdr>
            <w:top w:val="none" w:sz="0" w:space="0" w:color="auto"/>
            <w:left w:val="none" w:sz="0" w:space="0" w:color="auto"/>
            <w:bottom w:val="none" w:sz="0" w:space="0" w:color="auto"/>
            <w:right w:val="none" w:sz="0" w:space="0" w:color="auto"/>
          </w:divBdr>
          <w:divsChild>
            <w:div w:id="1067917977">
              <w:marLeft w:val="0"/>
              <w:marRight w:val="0"/>
              <w:marTop w:val="0"/>
              <w:marBottom w:val="0"/>
              <w:divBdr>
                <w:top w:val="none" w:sz="0" w:space="0" w:color="auto"/>
                <w:left w:val="none" w:sz="0" w:space="0" w:color="auto"/>
                <w:bottom w:val="none" w:sz="0" w:space="0" w:color="auto"/>
                <w:right w:val="none" w:sz="0" w:space="0" w:color="auto"/>
              </w:divBdr>
            </w:div>
          </w:divsChild>
        </w:div>
        <w:div w:id="1332953177">
          <w:marLeft w:val="0"/>
          <w:marRight w:val="0"/>
          <w:marTop w:val="0"/>
          <w:marBottom w:val="0"/>
          <w:divBdr>
            <w:top w:val="none" w:sz="0" w:space="0" w:color="auto"/>
            <w:left w:val="none" w:sz="0" w:space="0" w:color="auto"/>
            <w:bottom w:val="none" w:sz="0" w:space="0" w:color="auto"/>
            <w:right w:val="none" w:sz="0" w:space="0" w:color="auto"/>
          </w:divBdr>
          <w:divsChild>
            <w:div w:id="938760093">
              <w:marLeft w:val="0"/>
              <w:marRight w:val="0"/>
              <w:marTop w:val="0"/>
              <w:marBottom w:val="0"/>
              <w:divBdr>
                <w:top w:val="none" w:sz="0" w:space="0" w:color="auto"/>
                <w:left w:val="none" w:sz="0" w:space="0" w:color="auto"/>
                <w:bottom w:val="none" w:sz="0" w:space="0" w:color="auto"/>
                <w:right w:val="none" w:sz="0" w:space="0" w:color="auto"/>
              </w:divBdr>
            </w:div>
          </w:divsChild>
        </w:div>
        <w:div w:id="1372653785">
          <w:marLeft w:val="0"/>
          <w:marRight w:val="0"/>
          <w:marTop w:val="0"/>
          <w:marBottom w:val="0"/>
          <w:divBdr>
            <w:top w:val="none" w:sz="0" w:space="0" w:color="auto"/>
            <w:left w:val="none" w:sz="0" w:space="0" w:color="auto"/>
            <w:bottom w:val="none" w:sz="0" w:space="0" w:color="auto"/>
            <w:right w:val="none" w:sz="0" w:space="0" w:color="auto"/>
          </w:divBdr>
          <w:divsChild>
            <w:div w:id="1784958667">
              <w:marLeft w:val="0"/>
              <w:marRight w:val="0"/>
              <w:marTop w:val="0"/>
              <w:marBottom w:val="0"/>
              <w:divBdr>
                <w:top w:val="none" w:sz="0" w:space="0" w:color="auto"/>
                <w:left w:val="none" w:sz="0" w:space="0" w:color="auto"/>
                <w:bottom w:val="none" w:sz="0" w:space="0" w:color="auto"/>
                <w:right w:val="none" w:sz="0" w:space="0" w:color="auto"/>
              </w:divBdr>
            </w:div>
          </w:divsChild>
        </w:div>
        <w:div w:id="1375620889">
          <w:marLeft w:val="0"/>
          <w:marRight w:val="0"/>
          <w:marTop w:val="0"/>
          <w:marBottom w:val="0"/>
          <w:divBdr>
            <w:top w:val="none" w:sz="0" w:space="0" w:color="auto"/>
            <w:left w:val="none" w:sz="0" w:space="0" w:color="auto"/>
            <w:bottom w:val="none" w:sz="0" w:space="0" w:color="auto"/>
            <w:right w:val="none" w:sz="0" w:space="0" w:color="auto"/>
          </w:divBdr>
          <w:divsChild>
            <w:div w:id="706951754">
              <w:marLeft w:val="0"/>
              <w:marRight w:val="0"/>
              <w:marTop w:val="0"/>
              <w:marBottom w:val="0"/>
              <w:divBdr>
                <w:top w:val="none" w:sz="0" w:space="0" w:color="auto"/>
                <w:left w:val="none" w:sz="0" w:space="0" w:color="auto"/>
                <w:bottom w:val="none" w:sz="0" w:space="0" w:color="auto"/>
                <w:right w:val="none" w:sz="0" w:space="0" w:color="auto"/>
              </w:divBdr>
            </w:div>
          </w:divsChild>
        </w:div>
        <w:div w:id="1390036262">
          <w:marLeft w:val="0"/>
          <w:marRight w:val="0"/>
          <w:marTop w:val="0"/>
          <w:marBottom w:val="0"/>
          <w:divBdr>
            <w:top w:val="none" w:sz="0" w:space="0" w:color="auto"/>
            <w:left w:val="none" w:sz="0" w:space="0" w:color="auto"/>
            <w:bottom w:val="none" w:sz="0" w:space="0" w:color="auto"/>
            <w:right w:val="none" w:sz="0" w:space="0" w:color="auto"/>
          </w:divBdr>
          <w:divsChild>
            <w:div w:id="1061440780">
              <w:marLeft w:val="0"/>
              <w:marRight w:val="0"/>
              <w:marTop w:val="0"/>
              <w:marBottom w:val="0"/>
              <w:divBdr>
                <w:top w:val="none" w:sz="0" w:space="0" w:color="auto"/>
                <w:left w:val="none" w:sz="0" w:space="0" w:color="auto"/>
                <w:bottom w:val="none" w:sz="0" w:space="0" w:color="auto"/>
                <w:right w:val="none" w:sz="0" w:space="0" w:color="auto"/>
              </w:divBdr>
            </w:div>
          </w:divsChild>
        </w:div>
        <w:div w:id="1431586187">
          <w:marLeft w:val="0"/>
          <w:marRight w:val="0"/>
          <w:marTop w:val="0"/>
          <w:marBottom w:val="0"/>
          <w:divBdr>
            <w:top w:val="none" w:sz="0" w:space="0" w:color="auto"/>
            <w:left w:val="none" w:sz="0" w:space="0" w:color="auto"/>
            <w:bottom w:val="none" w:sz="0" w:space="0" w:color="auto"/>
            <w:right w:val="none" w:sz="0" w:space="0" w:color="auto"/>
          </w:divBdr>
          <w:divsChild>
            <w:div w:id="627781244">
              <w:marLeft w:val="0"/>
              <w:marRight w:val="0"/>
              <w:marTop w:val="0"/>
              <w:marBottom w:val="0"/>
              <w:divBdr>
                <w:top w:val="none" w:sz="0" w:space="0" w:color="auto"/>
                <w:left w:val="none" w:sz="0" w:space="0" w:color="auto"/>
                <w:bottom w:val="none" w:sz="0" w:space="0" w:color="auto"/>
                <w:right w:val="none" w:sz="0" w:space="0" w:color="auto"/>
              </w:divBdr>
            </w:div>
          </w:divsChild>
        </w:div>
        <w:div w:id="1477995262">
          <w:marLeft w:val="0"/>
          <w:marRight w:val="0"/>
          <w:marTop w:val="0"/>
          <w:marBottom w:val="0"/>
          <w:divBdr>
            <w:top w:val="none" w:sz="0" w:space="0" w:color="auto"/>
            <w:left w:val="none" w:sz="0" w:space="0" w:color="auto"/>
            <w:bottom w:val="none" w:sz="0" w:space="0" w:color="auto"/>
            <w:right w:val="none" w:sz="0" w:space="0" w:color="auto"/>
          </w:divBdr>
          <w:divsChild>
            <w:div w:id="240454002">
              <w:marLeft w:val="0"/>
              <w:marRight w:val="0"/>
              <w:marTop w:val="0"/>
              <w:marBottom w:val="0"/>
              <w:divBdr>
                <w:top w:val="none" w:sz="0" w:space="0" w:color="auto"/>
                <w:left w:val="none" w:sz="0" w:space="0" w:color="auto"/>
                <w:bottom w:val="none" w:sz="0" w:space="0" w:color="auto"/>
                <w:right w:val="none" w:sz="0" w:space="0" w:color="auto"/>
              </w:divBdr>
            </w:div>
          </w:divsChild>
        </w:div>
        <w:div w:id="1496333538">
          <w:marLeft w:val="0"/>
          <w:marRight w:val="0"/>
          <w:marTop w:val="0"/>
          <w:marBottom w:val="0"/>
          <w:divBdr>
            <w:top w:val="none" w:sz="0" w:space="0" w:color="auto"/>
            <w:left w:val="none" w:sz="0" w:space="0" w:color="auto"/>
            <w:bottom w:val="none" w:sz="0" w:space="0" w:color="auto"/>
            <w:right w:val="none" w:sz="0" w:space="0" w:color="auto"/>
          </w:divBdr>
          <w:divsChild>
            <w:div w:id="1395009831">
              <w:marLeft w:val="0"/>
              <w:marRight w:val="0"/>
              <w:marTop w:val="0"/>
              <w:marBottom w:val="0"/>
              <w:divBdr>
                <w:top w:val="none" w:sz="0" w:space="0" w:color="auto"/>
                <w:left w:val="none" w:sz="0" w:space="0" w:color="auto"/>
                <w:bottom w:val="none" w:sz="0" w:space="0" w:color="auto"/>
                <w:right w:val="none" w:sz="0" w:space="0" w:color="auto"/>
              </w:divBdr>
            </w:div>
          </w:divsChild>
        </w:div>
        <w:div w:id="1507525071">
          <w:marLeft w:val="0"/>
          <w:marRight w:val="0"/>
          <w:marTop w:val="0"/>
          <w:marBottom w:val="0"/>
          <w:divBdr>
            <w:top w:val="none" w:sz="0" w:space="0" w:color="auto"/>
            <w:left w:val="none" w:sz="0" w:space="0" w:color="auto"/>
            <w:bottom w:val="none" w:sz="0" w:space="0" w:color="auto"/>
            <w:right w:val="none" w:sz="0" w:space="0" w:color="auto"/>
          </w:divBdr>
          <w:divsChild>
            <w:div w:id="2089225272">
              <w:marLeft w:val="0"/>
              <w:marRight w:val="0"/>
              <w:marTop w:val="0"/>
              <w:marBottom w:val="0"/>
              <w:divBdr>
                <w:top w:val="none" w:sz="0" w:space="0" w:color="auto"/>
                <w:left w:val="none" w:sz="0" w:space="0" w:color="auto"/>
                <w:bottom w:val="none" w:sz="0" w:space="0" w:color="auto"/>
                <w:right w:val="none" w:sz="0" w:space="0" w:color="auto"/>
              </w:divBdr>
            </w:div>
          </w:divsChild>
        </w:div>
        <w:div w:id="1542329231">
          <w:marLeft w:val="0"/>
          <w:marRight w:val="0"/>
          <w:marTop w:val="0"/>
          <w:marBottom w:val="0"/>
          <w:divBdr>
            <w:top w:val="none" w:sz="0" w:space="0" w:color="auto"/>
            <w:left w:val="none" w:sz="0" w:space="0" w:color="auto"/>
            <w:bottom w:val="none" w:sz="0" w:space="0" w:color="auto"/>
            <w:right w:val="none" w:sz="0" w:space="0" w:color="auto"/>
          </w:divBdr>
          <w:divsChild>
            <w:div w:id="504709651">
              <w:marLeft w:val="0"/>
              <w:marRight w:val="0"/>
              <w:marTop w:val="0"/>
              <w:marBottom w:val="0"/>
              <w:divBdr>
                <w:top w:val="none" w:sz="0" w:space="0" w:color="auto"/>
                <w:left w:val="none" w:sz="0" w:space="0" w:color="auto"/>
                <w:bottom w:val="none" w:sz="0" w:space="0" w:color="auto"/>
                <w:right w:val="none" w:sz="0" w:space="0" w:color="auto"/>
              </w:divBdr>
            </w:div>
          </w:divsChild>
        </w:div>
        <w:div w:id="1552110906">
          <w:marLeft w:val="0"/>
          <w:marRight w:val="0"/>
          <w:marTop w:val="0"/>
          <w:marBottom w:val="0"/>
          <w:divBdr>
            <w:top w:val="none" w:sz="0" w:space="0" w:color="auto"/>
            <w:left w:val="none" w:sz="0" w:space="0" w:color="auto"/>
            <w:bottom w:val="none" w:sz="0" w:space="0" w:color="auto"/>
            <w:right w:val="none" w:sz="0" w:space="0" w:color="auto"/>
          </w:divBdr>
          <w:divsChild>
            <w:div w:id="1098283739">
              <w:marLeft w:val="0"/>
              <w:marRight w:val="0"/>
              <w:marTop w:val="0"/>
              <w:marBottom w:val="0"/>
              <w:divBdr>
                <w:top w:val="none" w:sz="0" w:space="0" w:color="auto"/>
                <w:left w:val="none" w:sz="0" w:space="0" w:color="auto"/>
                <w:bottom w:val="none" w:sz="0" w:space="0" w:color="auto"/>
                <w:right w:val="none" w:sz="0" w:space="0" w:color="auto"/>
              </w:divBdr>
            </w:div>
          </w:divsChild>
        </w:div>
        <w:div w:id="1564214433">
          <w:marLeft w:val="0"/>
          <w:marRight w:val="0"/>
          <w:marTop w:val="0"/>
          <w:marBottom w:val="0"/>
          <w:divBdr>
            <w:top w:val="none" w:sz="0" w:space="0" w:color="auto"/>
            <w:left w:val="none" w:sz="0" w:space="0" w:color="auto"/>
            <w:bottom w:val="none" w:sz="0" w:space="0" w:color="auto"/>
            <w:right w:val="none" w:sz="0" w:space="0" w:color="auto"/>
          </w:divBdr>
          <w:divsChild>
            <w:div w:id="1177235542">
              <w:marLeft w:val="0"/>
              <w:marRight w:val="0"/>
              <w:marTop w:val="0"/>
              <w:marBottom w:val="0"/>
              <w:divBdr>
                <w:top w:val="none" w:sz="0" w:space="0" w:color="auto"/>
                <w:left w:val="none" w:sz="0" w:space="0" w:color="auto"/>
                <w:bottom w:val="none" w:sz="0" w:space="0" w:color="auto"/>
                <w:right w:val="none" w:sz="0" w:space="0" w:color="auto"/>
              </w:divBdr>
            </w:div>
          </w:divsChild>
        </w:div>
        <w:div w:id="1635138714">
          <w:marLeft w:val="0"/>
          <w:marRight w:val="0"/>
          <w:marTop w:val="0"/>
          <w:marBottom w:val="0"/>
          <w:divBdr>
            <w:top w:val="none" w:sz="0" w:space="0" w:color="auto"/>
            <w:left w:val="none" w:sz="0" w:space="0" w:color="auto"/>
            <w:bottom w:val="none" w:sz="0" w:space="0" w:color="auto"/>
            <w:right w:val="none" w:sz="0" w:space="0" w:color="auto"/>
          </w:divBdr>
          <w:divsChild>
            <w:div w:id="1151483384">
              <w:marLeft w:val="0"/>
              <w:marRight w:val="0"/>
              <w:marTop w:val="0"/>
              <w:marBottom w:val="0"/>
              <w:divBdr>
                <w:top w:val="none" w:sz="0" w:space="0" w:color="auto"/>
                <w:left w:val="none" w:sz="0" w:space="0" w:color="auto"/>
                <w:bottom w:val="none" w:sz="0" w:space="0" w:color="auto"/>
                <w:right w:val="none" w:sz="0" w:space="0" w:color="auto"/>
              </w:divBdr>
            </w:div>
          </w:divsChild>
        </w:div>
        <w:div w:id="1641885909">
          <w:marLeft w:val="0"/>
          <w:marRight w:val="0"/>
          <w:marTop w:val="0"/>
          <w:marBottom w:val="0"/>
          <w:divBdr>
            <w:top w:val="none" w:sz="0" w:space="0" w:color="auto"/>
            <w:left w:val="none" w:sz="0" w:space="0" w:color="auto"/>
            <w:bottom w:val="none" w:sz="0" w:space="0" w:color="auto"/>
            <w:right w:val="none" w:sz="0" w:space="0" w:color="auto"/>
          </w:divBdr>
          <w:divsChild>
            <w:div w:id="1124541412">
              <w:marLeft w:val="0"/>
              <w:marRight w:val="0"/>
              <w:marTop w:val="0"/>
              <w:marBottom w:val="0"/>
              <w:divBdr>
                <w:top w:val="none" w:sz="0" w:space="0" w:color="auto"/>
                <w:left w:val="none" w:sz="0" w:space="0" w:color="auto"/>
                <w:bottom w:val="none" w:sz="0" w:space="0" w:color="auto"/>
                <w:right w:val="none" w:sz="0" w:space="0" w:color="auto"/>
              </w:divBdr>
            </w:div>
          </w:divsChild>
        </w:div>
        <w:div w:id="1641954214">
          <w:marLeft w:val="0"/>
          <w:marRight w:val="0"/>
          <w:marTop w:val="0"/>
          <w:marBottom w:val="0"/>
          <w:divBdr>
            <w:top w:val="none" w:sz="0" w:space="0" w:color="auto"/>
            <w:left w:val="none" w:sz="0" w:space="0" w:color="auto"/>
            <w:bottom w:val="none" w:sz="0" w:space="0" w:color="auto"/>
            <w:right w:val="none" w:sz="0" w:space="0" w:color="auto"/>
          </w:divBdr>
          <w:divsChild>
            <w:div w:id="1639989262">
              <w:marLeft w:val="0"/>
              <w:marRight w:val="0"/>
              <w:marTop w:val="0"/>
              <w:marBottom w:val="0"/>
              <w:divBdr>
                <w:top w:val="none" w:sz="0" w:space="0" w:color="auto"/>
                <w:left w:val="none" w:sz="0" w:space="0" w:color="auto"/>
                <w:bottom w:val="none" w:sz="0" w:space="0" w:color="auto"/>
                <w:right w:val="none" w:sz="0" w:space="0" w:color="auto"/>
              </w:divBdr>
            </w:div>
          </w:divsChild>
        </w:div>
        <w:div w:id="1678460302">
          <w:marLeft w:val="0"/>
          <w:marRight w:val="0"/>
          <w:marTop w:val="0"/>
          <w:marBottom w:val="0"/>
          <w:divBdr>
            <w:top w:val="none" w:sz="0" w:space="0" w:color="auto"/>
            <w:left w:val="none" w:sz="0" w:space="0" w:color="auto"/>
            <w:bottom w:val="none" w:sz="0" w:space="0" w:color="auto"/>
            <w:right w:val="none" w:sz="0" w:space="0" w:color="auto"/>
          </w:divBdr>
          <w:divsChild>
            <w:div w:id="1985885263">
              <w:marLeft w:val="0"/>
              <w:marRight w:val="0"/>
              <w:marTop w:val="0"/>
              <w:marBottom w:val="0"/>
              <w:divBdr>
                <w:top w:val="none" w:sz="0" w:space="0" w:color="auto"/>
                <w:left w:val="none" w:sz="0" w:space="0" w:color="auto"/>
                <w:bottom w:val="none" w:sz="0" w:space="0" w:color="auto"/>
                <w:right w:val="none" w:sz="0" w:space="0" w:color="auto"/>
              </w:divBdr>
            </w:div>
          </w:divsChild>
        </w:div>
        <w:div w:id="1740250661">
          <w:marLeft w:val="0"/>
          <w:marRight w:val="0"/>
          <w:marTop w:val="0"/>
          <w:marBottom w:val="0"/>
          <w:divBdr>
            <w:top w:val="none" w:sz="0" w:space="0" w:color="auto"/>
            <w:left w:val="none" w:sz="0" w:space="0" w:color="auto"/>
            <w:bottom w:val="none" w:sz="0" w:space="0" w:color="auto"/>
            <w:right w:val="none" w:sz="0" w:space="0" w:color="auto"/>
          </w:divBdr>
          <w:divsChild>
            <w:div w:id="456068720">
              <w:marLeft w:val="0"/>
              <w:marRight w:val="0"/>
              <w:marTop w:val="0"/>
              <w:marBottom w:val="0"/>
              <w:divBdr>
                <w:top w:val="none" w:sz="0" w:space="0" w:color="auto"/>
                <w:left w:val="none" w:sz="0" w:space="0" w:color="auto"/>
                <w:bottom w:val="none" w:sz="0" w:space="0" w:color="auto"/>
                <w:right w:val="none" w:sz="0" w:space="0" w:color="auto"/>
              </w:divBdr>
            </w:div>
          </w:divsChild>
        </w:div>
        <w:div w:id="1750957124">
          <w:marLeft w:val="0"/>
          <w:marRight w:val="0"/>
          <w:marTop w:val="0"/>
          <w:marBottom w:val="0"/>
          <w:divBdr>
            <w:top w:val="none" w:sz="0" w:space="0" w:color="auto"/>
            <w:left w:val="none" w:sz="0" w:space="0" w:color="auto"/>
            <w:bottom w:val="none" w:sz="0" w:space="0" w:color="auto"/>
            <w:right w:val="none" w:sz="0" w:space="0" w:color="auto"/>
          </w:divBdr>
          <w:divsChild>
            <w:div w:id="1263296898">
              <w:marLeft w:val="0"/>
              <w:marRight w:val="0"/>
              <w:marTop w:val="0"/>
              <w:marBottom w:val="0"/>
              <w:divBdr>
                <w:top w:val="none" w:sz="0" w:space="0" w:color="auto"/>
                <w:left w:val="none" w:sz="0" w:space="0" w:color="auto"/>
                <w:bottom w:val="none" w:sz="0" w:space="0" w:color="auto"/>
                <w:right w:val="none" w:sz="0" w:space="0" w:color="auto"/>
              </w:divBdr>
            </w:div>
          </w:divsChild>
        </w:div>
        <w:div w:id="1751584158">
          <w:marLeft w:val="0"/>
          <w:marRight w:val="0"/>
          <w:marTop w:val="0"/>
          <w:marBottom w:val="0"/>
          <w:divBdr>
            <w:top w:val="none" w:sz="0" w:space="0" w:color="auto"/>
            <w:left w:val="none" w:sz="0" w:space="0" w:color="auto"/>
            <w:bottom w:val="none" w:sz="0" w:space="0" w:color="auto"/>
            <w:right w:val="none" w:sz="0" w:space="0" w:color="auto"/>
          </w:divBdr>
          <w:divsChild>
            <w:div w:id="1408452255">
              <w:marLeft w:val="0"/>
              <w:marRight w:val="0"/>
              <w:marTop w:val="0"/>
              <w:marBottom w:val="0"/>
              <w:divBdr>
                <w:top w:val="none" w:sz="0" w:space="0" w:color="auto"/>
                <w:left w:val="none" w:sz="0" w:space="0" w:color="auto"/>
                <w:bottom w:val="none" w:sz="0" w:space="0" w:color="auto"/>
                <w:right w:val="none" w:sz="0" w:space="0" w:color="auto"/>
              </w:divBdr>
            </w:div>
          </w:divsChild>
        </w:div>
        <w:div w:id="1780292701">
          <w:marLeft w:val="0"/>
          <w:marRight w:val="0"/>
          <w:marTop w:val="0"/>
          <w:marBottom w:val="0"/>
          <w:divBdr>
            <w:top w:val="none" w:sz="0" w:space="0" w:color="auto"/>
            <w:left w:val="none" w:sz="0" w:space="0" w:color="auto"/>
            <w:bottom w:val="none" w:sz="0" w:space="0" w:color="auto"/>
            <w:right w:val="none" w:sz="0" w:space="0" w:color="auto"/>
          </w:divBdr>
          <w:divsChild>
            <w:div w:id="1468475594">
              <w:marLeft w:val="0"/>
              <w:marRight w:val="0"/>
              <w:marTop w:val="0"/>
              <w:marBottom w:val="0"/>
              <w:divBdr>
                <w:top w:val="none" w:sz="0" w:space="0" w:color="auto"/>
                <w:left w:val="none" w:sz="0" w:space="0" w:color="auto"/>
                <w:bottom w:val="none" w:sz="0" w:space="0" w:color="auto"/>
                <w:right w:val="none" w:sz="0" w:space="0" w:color="auto"/>
              </w:divBdr>
            </w:div>
          </w:divsChild>
        </w:div>
        <w:div w:id="1782068119">
          <w:marLeft w:val="0"/>
          <w:marRight w:val="0"/>
          <w:marTop w:val="0"/>
          <w:marBottom w:val="0"/>
          <w:divBdr>
            <w:top w:val="none" w:sz="0" w:space="0" w:color="auto"/>
            <w:left w:val="none" w:sz="0" w:space="0" w:color="auto"/>
            <w:bottom w:val="none" w:sz="0" w:space="0" w:color="auto"/>
            <w:right w:val="none" w:sz="0" w:space="0" w:color="auto"/>
          </w:divBdr>
          <w:divsChild>
            <w:div w:id="1568615503">
              <w:marLeft w:val="0"/>
              <w:marRight w:val="0"/>
              <w:marTop w:val="0"/>
              <w:marBottom w:val="0"/>
              <w:divBdr>
                <w:top w:val="none" w:sz="0" w:space="0" w:color="auto"/>
                <w:left w:val="none" w:sz="0" w:space="0" w:color="auto"/>
                <w:bottom w:val="none" w:sz="0" w:space="0" w:color="auto"/>
                <w:right w:val="none" w:sz="0" w:space="0" w:color="auto"/>
              </w:divBdr>
            </w:div>
          </w:divsChild>
        </w:div>
        <w:div w:id="1827545665">
          <w:marLeft w:val="0"/>
          <w:marRight w:val="0"/>
          <w:marTop w:val="0"/>
          <w:marBottom w:val="0"/>
          <w:divBdr>
            <w:top w:val="none" w:sz="0" w:space="0" w:color="auto"/>
            <w:left w:val="none" w:sz="0" w:space="0" w:color="auto"/>
            <w:bottom w:val="none" w:sz="0" w:space="0" w:color="auto"/>
            <w:right w:val="none" w:sz="0" w:space="0" w:color="auto"/>
          </w:divBdr>
          <w:divsChild>
            <w:div w:id="672685432">
              <w:marLeft w:val="0"/>
              <w:marRight w:val="0"/>
              <w:marTop w:val="0"/>
              <w:marBottom w:val="0"/>
              <w:divBdr>
                <w:top w:val="none" w:sz="0" w:space="0" w:color="auto"/>
                <w:left w:val="none" w:sz="0" w:space="0" w:color="auto"/>
                <w:bottom w:val="none" w:sz="0" w:space="0" w:color="auto"/>
                <w:right w:val="none" w:sz="0" w:space="0" w:color="auto"/>
              </w:divBdr>
            </w:div>
          </w:divsChild>
        </w:div>
        <w:div w:id="1851870583">
          <w:marLeft w:val="0"/>
          <w:marRight w:val="0"/>
          <w:marTop w:val="0"/>
          <w:marBottom w:val="0"/>
          <w:divBdr>
            <w:top w:val="none" w:sz="0" w:space="0" w:color="auto"/>
            <w:left w:val="none" w:sz="0" w:space="0" w:color="auto"/>
            <w:bottom w:val="none" w:sz="0" w:space="0" w:color="auto"/>
            <w:right w:val="none" w:sz="0" w:space="0" w:color="auto"/>
          </w:divBdr>
          <w:divsChild>
            <w:div w:id="2075661019">
              <w:marLeft w:val="0"/>
              <w:marRight w:val="0"/>
              <w:marTop w:val="0"/>
              <w:marBottom w:val="0"/>
              <w:divBdr>
                <w:top w:val="none" w:sz="0" w:space="0" w:color="auto"/>
                <w:left w:val="none" w:sz="0" w:space="0" w:color="auto"/>
                <w:bottom w:val="none" w:sz="0" w:space="0" w:color="auto"/>
                <w:right w:val="none" w:sz="0" w:space="0" w:color="auto"/>
              </w:divBdr>
            </w:div>
          </w:divsChild>
        </w:div>
        <w:div w:id="1885941163">
          <w:marLeft w:val="0"/>
          <w:marRight w:val="0"/>
          <w:marTop w:val="0"/>
          <w:marBottom w:val="0"/>
          <w:divBdr>
            <w:top w:val="none" w:sz="0" w:space="0" w:color="auto"/>
            <w:left w:val="none" w:sz="0" w:space="0" w:color="auto"/>
            <w:bottom w:val="none" w:sz="0" w:space="0" w:color="auto"/>
            <w:right w:val="none" w:sz="0" w:space="0" w:color="auto"/>
          </w:divBdr>
          <w:divsChild>
            <w:div w:id="864946710">
              <w:marLeft w:val="0"/>
              <w:marRight w:val="0"/>
              <w:marTop w:val="0"/>
              <w:marBottom w:val="0"/>
              <w:divBdr>
                <w:top w:val="none" w:sz="0" w:space="0" w:color="auto"/>
                <w:left w:val="none" w:sz="0" w:space="0" w:color="auto"/>
                <w:bottom w:val="none" w:sz="0" w:space="0" w:color="auto"/>
                <w:right w:val="none" w:sz="0" w:space="0" w:color="auto"/>
              </w:divBdr>
            </w:div>
          </w:divsChild>
        </w:div>
        <w:div w:id="1912233389">
          <w:marLeft w:val="0"/>
          <w:marRight w:val="0"/>
          <w:marTop w:val="0"/>
          <w:marBottom w:val="0"/>
          <w:divBdr>
            <w:top w:val="none" w:sz="0" w:space="0" w:color="auto"/>
            <w:left w:val="none" w:sz="0" w:space="0" w:color="auto"/>
            <w:bottom w:val="none" w:sz="0" w:space="0" w:color="auto"/>
            <w:right w:val="none" w:sz="0" w:space="0" w:color="auto"/>
          </w:divBdr>
          <w:divsChild>
            <w:div w:id="961960799">
              <w:marLeft w:val="0"/>
              <w:marRight w:val="0"/>
              <w:marTop w:val="0"/>
              <w:marBottom w:val="0"/>
              <w:divBdr>
                <w:top w:val="none" w:sz="0" w:space="0" w:color="auto"/>
                <w:left w:val="none" w:sz="0" w:space="0" w:color="auto"/>
                <w:bottom w:val="none" w:sz="0" w:space="0" w:color="auto"/>
                <w:right w:val="none" w:sz="0" w:space="0" w:color="auto"/>
              </w:divBdr>
            </w:div>
          </w:divsChild>
        </w:div>
        <w:div w:id="1956325710">
          <w:marLeft w:val="0"/>
          <w:marRight w:val="0"/>
          <w:marTop w:val="0"/>
          <w:marBottom w:val="0"/>
          <w:divBdr>
            <w:top w:val="none" w:sz="0" w:space="0" w:color="auto"/>
            <w:left w:val="none" w:sz="0" w:space="0" w:color="auto"/>
            <w:bottom w:val="none" w:sz="0" w:space="0" w:color="auto"/>
            <w:right w:val="none" w:sz="0" w:space="0" w:color="auto"/>
          </w:divBdr>
          <w:divsChild>
            <w:div w:id="1778678102">
              <w:marLeft w:val="0"/>
              <w:marRight w:val="0"/>
              <w:marTop w:val="0"/>
              <w:marBottom w:val="0"/>
              <w:divBdr>
                <w:top w:val="none" w:sz="0" w:space="0" w:color="auto"/>
                <w:left w:val="none" w:sz="0" w:space="0" w:color="auto"/>
                <w:bottom w:val="none" w:sz="0" w:space="0" w:color="auto"/>
                <w:right w:val="none" w:sz="0" w:space="0" w:color="auto"/>
              </w:divBdr>
            </w:div>
          </w:divsChild>
        </w:div>
        <w:div w:id="2018263747">
          <w:marLeft w:val="0"/>
          <w:marRight w:val="0"/>
          <w:marTop w:val="0"/>
          <w:marBottom w:val="0"/>
          <w:divBdr>
            <w:top w:val="none" w:sz="0" w:space="0" w:color="auto"/>
            <w:left w:val="none" w:sz="0" w:space="0" w:color="auto"/>
            <w:bottom w:val="none" w:sz="0" w:space="0" w:color="auto"/>
            <w:right w:val="none" w:sz="0" w:space="0" w:color="auto"/>
          </w:divBdr>
          <w:divsChild>
            <w:div w:id="1620067072">
              <w:marLeft w:val="0"/>
              <w:marRight w:val="0"/>
              <w:marTop w:val="0"/>
              <w:marBottom w:val="0"/>
              <w:divBdr>
                <w:top w:val="none" w:sz="0" w:space="0" w:color="auto"/>
                <w:left w:val="none" w:sz="0" w:space="0" w:color="auto"/>
                <w:bottom w:val="none" w:sz="0" w:space="0" w:color="auto"/>
                <w:right w:val="none" w:sz="0" w:space="0" w:color="auto"/>
              </w:divBdr>
            </w:div>
          </w:divsChild>
        </w:div>
        <w:div w:id="2094811266">
          <w:marLeft w:val="0"/>
          <w:marRight w:val="0"/>
          <w:marTop w:val="0"/>
          <w:marBottom w:val="0"/>
          <w:divBdr>
            <w:top w:val="none" w:sz="0" w:space="0" w:color="auto"/>
            <w:left w:val="none" w:sz="0" w:space="0" w:color="auto"/>
            <w:bottom w:val="none" w:sz="0" w:space="0" w:color="auto"/>
            <w:right w:val="none" w:sz="0" w:space="0" w:color="auto"/>
          </w:divBdr>
          <w:divsChild>
            <w:div w:id="212352201">
              <w:marLeft w:val="0"/>
              <w:marRight w:val="0"/>
              <w:marTop w:val="0"/>
              <w:marBottom w:val="0"/>
              <w:divBdr>
                <w:top w:val="none" w:sz="0" w:space="0" w:color="auto"/>
                <w:left w:val="none" w:sz="0" w:space="0" w:color="auto"/>
                <w:bottom w:val="none" w:sz="0" w:space="0" w:color="auto"/>
                <w:right w:val="none" w:sz="0" w:space="0" w:color="auto"/>
              </w:divBdr>
            </w:div>
          </w:divsChild>
        </w:div>
        <w:div w:id="2100981022">
          <w:marLeft w:val="0"/>
          <w:marRight w:val="0"/>
          <w:marTop w:val="0"/>
          <w:marBottom w:val="0"/>
          <w:divBdr>
            <w:top w:val="none" w:sz="0" w:space="0" w:color="auto"/>
            <w:left w:val="none" w:sz="0" w:space="0" w:color="auto"/>
            <w:bottom w:val="none" w:sz="0" w:space="0" w:color="auto"/>
            <w:right w:val="none" w:sz="0" w:space="0" w:color="auto"/>
          </w:divBdr>
          <w:divsChild>
            <w:div w:id="632445641">
              <w:marLeft w:val="0"/>
              <w:marRight w:val="0"/>
              <w:marTop w:val="0"/>
              <w:marBottom w:val="0"/>
              <w:divBdr>
                <w:top w:val="none" w:sz="0" w:space="0" w:color="auto"/>
                <w:left w:val="none" w:sz="0" w:space="0" w:color="auto"/>
                <w:bottom w:val="none" w:sz="0" w:space="0" w:color="auto"/>
                <w:right w:val="none" w:sz="0" w:space="0" w:color="auto"/>
              </w:divBdr>
            </w:div>
          </w:divsChild>
        </w:div>
        <w:div w:id="2116051594">
          <w:marLeft w:val="0"/>
          <w:marRight w:val="0"/>
          <w:marTop w:val="0"/>
          <w:marBottom w:val="0"/>
          <w:divBdr>
            <w:top w:val="none" w:sz="0" w:space="0" w:color="auto"/>
            <w:left w:val="none" w:sz="0" w:space="0" w:color="auto"/>
            <w:bottom w:val="none" w:sz="0" w:space="0" w:color="auto"/>
            <w:right w:val="none" w:sz="0" w:space="0" w:color="auto"/>
          </w:divBdr>
          <w:divsChild>
            <w:div w:id="74510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0480">
      <w:bodyDiv w:val="1"/>
      <w:marLeft w:val="0"/>
      <w:marRight w:val="0"/>
      <w:marTop w:val="0"/>
      <w:marBottom w:val="0"/>
      <w:divBdr>
        <w:top w:val="none" w:sz="0" w:space="0" w:color="auto"/>
        <w:left w:val="none" w:sz="0" w:space="0" w:color="auto"/>
        <w:bottom w:val="none" w:sz="0" w:space="0" w:color="auto"/>
        <w:right w:val="none" w:sz="0" w:space="0" w:color="auto"/>
      </w:divBdr>
    </w:div>
    <w:div w:id="21359783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9"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38"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40"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A20E-399C-414D-B8D2-D3E89C371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7813</Words>
  <Characters>44537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52246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goodhandj</dc:creator>
  <cp:lastModifiedBy>Nick Kennedy</cp:lastModifiedBy>
  <cp:revision>3</cp:revision>
  <cp:lastPrinted>2018-08-10T10:03:00Z</cp:lastPrinted>
  <dcterms:created xsi:type="dcterms:W3CDTF">2018-12-19T20:50:00Z</dcterms:created>
  <dcterms:modified xsi:type="dcterms:W3CDTF">2018-12-19T20:51:00Z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Citation Style_1">
    <vt:lpwstr>http://www.zotero.org/styles/the-lancet</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16th edition (author-date)</vt:lpwstr>
  </property>
  <property fmtid="{D5CDD505-2E9C-101B-9397-08002B2CF9AE}" pid="10" name="Mendeley Recent Style Id 3_1">
    <vt:lpwstr>http://www.zotero.org/styles/gastroenterology</vt:lpwstr>
  </property>
  <property fmtid="{D5CDD505-2E9C-101B-9397-08002B2CF9AE}" pid="11" name="Mendeley Recent Style Name 3_1">
    <vt:lpwstr>Gastroenterology</vt:lpwstr>
  </property>
  <property fmtid="{D5CDD505-2E9C-101B-9397-08002B2CF9AE}" pid="12" name="Mendeley Recent Style Id 4_1">
    <vt:lpwstr>http://www.zotero.org/styles/ieee</vt:lpwstr>
  </property>
  <property fmtid="{D5CDD505-2E9C-101B-9397-08002B2CF9AE}" pid="13" name="Mendeley Recent Style Name 4_1">
    <vt:lpwstr>IEEE</vt:lpwstr>
  </property>
  <property fmtid="{D5CDD505-2E9C-101B-9397-08002B2CF9AE}" pid="14" name="Mendeley Recent Style Id 5_1">
    <vt:lpwstr>http://www.zotero.org/styles/jama</vt:lpwstr>
  </property>
  <property fmtid="{D5CDD505-2E9C-101B-9397-08002B2CF9AE}" pid="15" name="Mendeley Recent Style Name 5_1">
    <vt:lpwstr>JAMA (The Journal of the American Medical Association)</vt:lpwstr>
  </property>
  <property fmtid="{D5CDD505-2E9C-101B-9397-08002B2CF9AE}" pid="16" name="Mendeley Recent Style Id 6_1">
    <vt:lpwstr>http://www.zotero.org/styles/the-lancet</vt:lpwstr>
  </property>
  <property fmtid="{D5CDD505-2E9C-101B-9397-08002B2CF9AE}" pid="17" name="Mendeley Recent Style Name 6_1">
    <vt:lpwstr>The Lancet</vt:lpwstr>
  </property>
  <property fmtid="{D5CDD505-2E9C-101B-9397-08002B2CF9AE}" pid="18" name="Mendeley Recent Style Id 7_1">
    <vt:lpwstr>http://www.zotero.org/styles/the-new-england-journal-of-medicine</vt:lpwstr>
  </property>
  <property fmtid="{D5CDD505-2E9C-101B-9397-08002B2CF9AE}" pid="19" name="Mendeley Recent Style Name 7_1">
    <vt:lpwstr>The New England Journal of Medicine</vt:lpwstr>
  </property>
  <property fmtid="{D5CDD505-2E9C-101B-9397-08002B2CF9AE}" pid="20" name="Mendeley Recent Style Id 8_1">
    <vt:lpwstr>http://csl.mendeley.com/styles/2026121/vancouver-superscript-only-epub</vt:lpwstr>
  </property>
  <property fmtid="{D5CDD505-2E9C-101B-9397-08002B2CF9AE}" pid="21" name="Mendeley Recent Style Name 8_1">
    <vt:lpwstr>Vancouver (superscript, only year in date, no issue numbers), epubs with doi</vt:lpwstr>
  </property>
  <property fmtid="{D5CDD505-2E9C-101B-9397-08002B2CF9AE}" pid="22" name="Mendeley Recent Style Id 9_1">
    <vt:lpwstr>http://csl.mendeley.com/styles/2026121/vancouver-cv-10-no-leading-year</vt:lpwstr>
  </property>
  <property fmtid="{D5CDD505-2E9C-101B-9397-08002B2CF9AE}" pid="23" name="Mendeley Recent Style Name 9_1">
    <vt:lpwstr>Vancouver for CV (et al for 11+ authors)</vt:lpwstr>
  </property>
  <property fmtid="{D5CDD505-2E9C-101B-9397-08002B2CF9AE}" pid="24" name="Mendeley Unique User Id_1">
    <vt:lpwstr>1a7c537e-49a2-32b9-b959-4557da963a5e</vt:lpwstr>
  </property>
</Properties>
</file>