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4C11" w14:textId="089C97D4" w:rsidR="004116DA" w:rsidRDefault="009829AF" w:rsidP="004E0112">
      <w:pPr>
        <w:jc w:val="both"/>
        <w:rPr>
          <w:rFonts w:ascii="Arial" w:hAnsi="Arial" w:cs="Arial"/>
          <w:b/>
        </w:rPr>
      </w:pPr>
      <w:r w:rsidRPr="00FC45C1">
        <w:rPr>
          <w:rFonts w:ascii="Arial" w:hAnsi="Arial" w:cs="Arial"/>
          <w:b/>
        </w:rPr>
        <w:t xml:space="preserve">BLOOD PRESSURE AND </w:t>
      </w:r>
      <w:r w:rsidR="00847C82" w:rsidRPr="00FC45C1">
        <w:rPr>
          <w:rFonts w:ascii="Arial" w:hAnsi="Arial" w:cs="Arial"/>
          <w:b/>
        </w:rPr>
        <w:t xml:space="preserve">CAPILLARY MICROCIRCULATION </w:t>
      </w:r>
      <w:r w:rsidR="00FC45C1">
        <w:rPr>
          <w:rFonts w:ascii="Arial" w:hAnsi="Arial" w:cs="Arial"/>
          <w:b/>
        </w:rPr>
        <w:t xml:space="preserve">AT BIRTH </w:t>
      </w:r>
      <w:r w:rsidR="00847C82" w:rsidRPr="00FC45C1">
        <w:rPr>
          <w:rFonts w:ascii="Arial" w:hAnsi="Arial" w:cs="Arial"/>
          <w:b/>
        </w:rPr>
        <w:t xml:space="preserve">IN INFANTS BORN TO MOTHERS WITH A HYPERTENSIVE DISORDER OF PREGNANCY </w:t>
      </w:r>
    </w:p>
    <w:p w14:paraId="023CD49C" w14:textId="45381A01" w:rsidR="0057513B" w:rsidRDefault="0057513B" w:rsidP="004E0112">
      <w:pPr>
        <w:jc w:val="both"/>
        <w:rPr>
          <w:rFonts w:ascii="Arial" w:hAnsi="Arial" w:cs="Arial"/>
          <w:bCs/>
        </w:rPr>
      </w:pPr>
      <w:proofErr w:type="spellStart"/>
      <w:r w:rsidRPr="0057513B">
        <w:rPr>
          <w:rFonts w:ascii="Arial" w:hAnsi="Arial" w:cs="Arial"/>
          <w:bCs/>
        </w:rPr>
        <w:t>Muti</w:t>
      </w:r>
      <w:proofErr w:type="spellEnd"/>
      <w:r w:rsidRPr="0057513B">
        <w:rPr>
          <w:rFonts w:ascii="Arial" w:hAnsi="Arial" w:cs="Arial"/>
          <w:bCs/>
        </w:rPr>
        <w:t xml:space="preserve"> Goloba</w:t>
      </w:r>
      <w:r w:rsidRPr="0057513B">
        <w:rPr>
          <w:rFonts w:ascii="Arial" w:hAnsi="Arial" w:cs="Arial"/>
          <w:bCs/>
          <w:vertAlign w:val="superscript"/>
        </w:rPr>
        <w:t>1,2</w:t>
      </w:r>
      <w:r>
        <w:rPr>
          <w:rFonts w:ascii="Arial" w:hAnsi="Arial" w:cs="Arial"/>
          <w:bCs/>
        </w:rPr>
        <w:t xml:space="preserve">, </w:t>
      </w:r>
      <w:r w:rsidRPr="0057513B">
        <w:rPr>
          <w:rFonts w:ascii="Arial" w:hAnsi="Arial" w:cs="Arial"/>
          <w:bCs/>
        </w:rPr>
        <w:t>Rajendra Raghuraman</w:t>
      </w:r>
      <w:r w:rsidRPr="0057513B">
        <w:rPr>
          <w:rFonts w:ascii="Arial" w:hAnsi="Arial" w:cs="Arial"/>
          <w:bCs/>
          <w:vertAlign w:val="superscript"/>
        </w:rPr>
        <w:t xml:space="preserve">1 </w:t>
      </w:r>
      <w:r w:rsidRPr="0057513B">
        <w:rPr>
          <w:rFonts w:ascii="Arial" w:hAnsi="Arial" w:cs="Arial"/>
          <w:bCs/>
        </w:rPr>
        <w:t>Nansi Botros</w:t>
      </w:r>
      <w:r w:rsidRPr="0057513B">
        <w:rPr>
          <w:rFonts w:ascii="Arial" w:hAnsi="Arial" w:cs="Arial"/>
          <w:bCs/>
          <w:vertAlign w:val="superscript"/>
        </w:rPr>
        <w:t>1</w:t>
      </w:r>
      <w:r>
        <w:rPr>
          <w:rFonts w:ascii="Arial" w:hAnsi="Arial" w:cs="Arial"/>
          <w:bCs/>
        </w:rPr>
        <w:t xml:space="preserve">, </w:t>
      </w:r>
      <w:r w:rsidRPr="0057513B">
        <w:rPr>
          <w:rFonts w:ascii="Arial" w:hAnsi="Arial" w:cs="Arial"/>
          <w:bCs/>
        </w:rPr>
        <w:t>Uzma Khan</w:t>
      </w:r>
      <w:r w:rsidRPr="0057513B">
        <w:rPr>
          <w:rFonts w:ascii="Arial" w:hAnsi="Arial" w:cs="Arial"/>
          <w:bCs/>
          <w:vertAlign w:val="superscript"/>
        </w:rPr>
        <w:t>1</w:t>
      </w:r>
      <w:r>
        <w:rPr>
          <w:rFonts w:ascii="Arial" w:hAnsi="Arial" w:cs="Arial"/>
          <w:bCs/>
        </w:rPr>
        <w:t xml:space="preserve">, </w:t>
      </w:r>
      <w:r w:rsidRPr="0057513B">
        <w:rPr>
          <w:rFonts w:ascii="Arial" w:hAnsi="Arial" w:cs="Arial"/>
          <w:bCs/>
        </w:rPr>
        <w:t>Monique Klein</w:t>
      </w:r>
      <w:r w:rsidRPr="0057513B">
        <w:rPr>
          <w:rFonts w:ascii="Arial" w:hAnsi="Arial" w:cs="Arial"/>
          <w:bCs/>
          <w:vertAlign w:val="superscript"/>
        </w:rPr>
        <w:t>1</w:t>
      </w:r>
      <w:r>
        <w:rPr>
          <w:rFonts w:ascii="Arial" w:hAnsi="Arial" w:cs="Arial"/>
          <w:bCs/>
        </w:rPr>
        <w:t xml:space="preserve">, </w:t>
      </w:r>
      <w:r w:rsidRPr="0057513B">
        <w:rPr>
          <w:rFonts w:ascii="Arial" w:hAnsi="Arial" w:cs="Arial"/>
          <w:bCs/>
        </w:rPr>
        <w:t>Amelia Brown</w:t>
      </w:r>
      <w:r w:rsidRPr="0057513B">
        <w:rPr>
          <w:rFonts w:ascii="Arial" w:hAnsi="Arial" w:cs="Arial"/>
          <w:bCs/>
          <w:vertAlign w:val="superscript"/>
        </w:rPr>
        <w:t>1</w:t>
      </w:r>
      <w:r w:rsidR="00747903">
        <w:rPr>
          <w:rFonts w:ascii="Arial" w:hAnsi="Arial" w:cs="Arial"/>
          <w:bCs/>
        </w:rPr>
        <w:t xml:space="preserve">, </w:t>
      </w:r>
      <w:r w:rsidRPr="0057513B">
        <w:rPr>
          <w:rFonts w:ascii="Arial" w:hAnsi="Arial" w:cs="Arial"/>
          <w:bCs/>
        </w:rPr>
        <w:t>Donova</w:t>
      </w:r>
      <w:bookmarkStart w:id="0" w:name="_GoBack"/>
      <w:bookmarkEnd w:id="0"/>
      <w:r w:rsidRPr="0057513B">
        <w:rPr>
          <w:rFonts w:ascii="Arial" w:hAnsi="Arial" w:cs="Arial"/>
          <w:bCs/>
        </w:rPr>
        <w:t>n Duffy</w:t>
      </w:r>
      <w:r w:rsidRPr="0057513B">
        <w:rPr>
          <w:rFonts w:ascii="Arial" w:hAnsi="Arial" w:cs="Arial"/>
          <w:bCs/>
          <w:vertAlign w:val="superscript"/>
        </w:rPr>
        <w:t>3</w:t>
      </w:r>
      <w:r w:rsidR="00747903">
        <w:rPr>
          <w:rFonts w:ascii="Arial" w:hAnsi="Arial" w:cs="Arial"/>
          <w:bCs/>
        </w:rPr>
        <w:t xml:space="preserve">, </w:t>
      </w:r>
      <w:r w:rsidRPr="0057513B">
        <w:rPr>
          <w:rFonts w:ascii="Arial" w:hAnsi="Arial" w:cs="Arial"/>
          <w:bCs/>
        </w:rPr>
        <w:t>Nick Anim-Nyame</w:t>
      </w:r>
      <w:r w:rsidRPr="0057513B">
        <w:rPr>
          <w:rFonts w:ascii="Arial" w:hAnsi="Arial" w:cs="Arial"/>
          <w:bCs/>
          <w:vertAlign w:val="superscript"/>
        </w:rPr>
        <w:t>4</w:t>
      </w:r>
      <w:r w:rsidR="00747903">
        <w:rPr>
          <w:rFonts w:ascii="Arial" w:hAnsi="Arial" w:cs="Arial"/>
          <w:bCs/>
        </w:rPr>
        <w:t xml:space="preserve">, </w:t>
      </w:r>
      <w:r w:rsidRPr="0057513B">
        <w:rPr>
          <w:rFonts w:ascii="Arial" w:hAnsi="Arial" w:cs="Arial"/>
          <w:bCs/>
        </w:rPr>
        <w:t>Duolao Wang</w:t>
      </w:r>
      <w:r w:rsidRPr="0057513B">
        <w:rPr>
          <w:rFonts w:ascii="Arial" w:hAnsi="Arial" w:cs="Arial"/>
          <w:bCs/>
          <w:vertAlign w:val="superscript"/>
        </w:rPr>
        <w:t>5</w:t>
      </w:r>
      <w:r w:rsidR="00747903">
        <w:rPr>
          <w:rFonts w:ascii="Arial" w:hAnsi="Arial" w:cs="Arial"/>
          <w:bCs/>
        </w:rPr>
        <w:t xml:space="preserve">, </w:t>
      </w:r>
      <w:r w:rsidRPr="0057513B">
        <w:rPr>
          <w:rFonts w:ascii="Arial" w:hAnsi="Arial" w:cs="Arial"/>
          <w:bCs/>
        </w:rPr>
        <w:t>Isaac Manyonda</w:t>
      </w:r>
      <w:r w:rsidRPr="0057513B">
        <w:rPr>
          <w:rFonts w:ascii="Arial" w:hAnsi="Arial" w:cs="Arial"/>
          <w:bCs/>
          <w:vertAlign w:val="superscript"/>
        </w:rPr>
        <w:t>6</w:t>
      </w:r>
      <w:r w:rsidRPr="0057513B">
        <w:rPr>
          <w:rFonts w:ascii="Arial" w:hAnsi="Arial" w:cs="Arial"/>
          <w:bCs/>
        </w:rPr>
        <w:t>, Tarek F Antonios</w:t>
      </w:r>
      <w:r w:rsidRPr="0057513B">
        <w:rPr>
          <w:rFonts w:ascii="Arial" w:hAnsi="Arial" w:cs="Arial"/>
          <w:bCs/>
          <w:vertAlign w:val="superscript"/>
        </w:rPr>
        <w:t>1,2</w:t>
      </w:r>
      <w:r w:rsidRPr="0057513B">
        <w:rPr>
          <w:rFonts w:ascii="Arial" w:hAnsi="Arial" w:cs="Arial"/>
          <w:bCs/>
        </w:rPr>
        <w:t xml:space="preserve"> </w:t>
      </w:r>
    </w:p>
    <w:p w14:paraId="09DD861B" w14:textId="77777777" w:rsidR="00E1449B" w:rsidRPr="004E0112" w:rsidRDefault="00E1449B" w:rsidP="004E0112">
      <w:pPr>
        <w:jc w:val="both"/>
        <w:rPr>
          <w:rFonts w:ascii="Arial" w:hAnsi="Arial" w:cs="Arial"/>
        </w:rPr>
      </w:pPr>
      <w:r w:rsidRPr="004E0112">
        <w:rPr>
          <w:rFonts w:ascii="Arial" w:hAnsi="Arial" w:cs="Arial"/>
          <w:bCs/>
          <w:vertAlign w:val="superscript"/>
        </w:rPr>
        <w:t>1</w:t>
      </w:r>
      <w:r w:rsidRPr="004E0112">
        <w:rPr>
          <w:rFonts w:ascii="Arial" w:hAnsi="Arial" w:cs="Arial"/>
          <w:bCs/>
        </w:rPr>
        <w:t xml:space="preserve">Molecular and Clinical Sciences Research Institute, St George’s, University of London; </w:t>
      </w:r>
      <w:r w:rsidRPr="004E0112">
        <w:rPr>
          <w:rFonts w:ascii="Arial" w:hAnsi="Arial" w:cs="Arial"/>
          <w:bCs/>
          <w:vertAlign w:val="superscript"/>
        </w:rPr>
        <w:t>2</w:t>
      </w:r>
      <w:r w:rsidRPr="004E0112">
        <w:rPr>
          <w:rFonts w:ascii="Arial" w:hAnsi="Arial" w:cs="Arial"/>
          <w:bCs/>
        </w:rPr>
        <w:t xml:space="preserve">Blood Pressure Unit, </w:t>
      </w:r>
      <w:r w:rsidRPr="004E0112">
        <w:rPr>
          <w:rFonts w:ascii="Arial" w:hAnsi="Arial" w:cs="Arial"/>
          <w:bCs/>
          <w:vertAlign w:val="superscript"/>
        </w:rPr>
        <w:t>3</w:t>
      </w:r>
      <w:r w:rsidRPr="004E0112">
        <w:rPr>
          <w:rFonts w:ascii="Arial" w:hAnsi="Arial" w:cs="Arial"/>
          <w:bCs/>
        </w:rPr>
        <w:t xml:space="preserve">Neonatal Unit, and </w:t>
      </w:r>
      <w:r w:rsidRPr="004E0112">
        <w:rPr>
          <w:rFonts w:ascii="Arial" w:hAnsi="Arial" w:cs="Arial"/>
          <w:bCs/>
          <w:vertAlign w:val="superscript"/>
        </w:rPr>
        <w:t>6</w:t>
      </w:r>
      <w:r w:rsidRPr="004E0112">
        <w:rPr>
          <w:rFonts w:ascii="Arial" w:hAnsi="Arial" w:cs="Arial"/>
          <w:bCs/>
        </w:rPr>
        <w:t xml:space="preserve">Obstetrics &amp; Gynaecology Department, St George’s University Hospitals NHS Foundation Trust, London, </w:t>
      </w:r>
      <w:r w:rsidRPr="004E0112">
        <w:rPr>
          <w:rFonts w:ascii="Arial" w:hAnsi="Arial" w:cs="Arial"/>
          <w:bCs/>
          <w:vertAlign w:val="superscript"/>
        </w:rPr>
        <w:t>4</w:t>
      </w:r>
      <w:r w:rsidRPr="004E0112">
        <w:rPr>
          <w:rFonts w:ascii="Arial" w:hAnsi="Arial" w:cs="Arial"/>
          <w:bCs/>
        </w:rPr>
        <w:t>Obstetrics &amp; Gynaecology Department, Kingston Hospital NHS Foundation Trust, London, and</w:t>
      </w:r>
      <w:r w:rsidRPr="004E0112">
        <w:rPr>
          <w:rFonts w:ascii="Arial" w:hAnsi="Arial" w:cs="Arial"/>
          <w:bCs/>
          <w:vertAlign w:val="superscript"/>
        </w:rPr>
        <w:t xml:space="preserve"> 5</w:t>
      </w:r>
      <w:r w:rsidRPr="004E0112">
        <w:rPr>
          <w:rFonts w:ascii="Arial" w:hAnsi="Arial" w:cs="Arial"/>
        </w:rPr>
        <w:t xml:space="preserve">Department of Clinical Sciences, Liverpool School of Tropical Medicine, Liverpool, UK. </w:t>
      </w:r>
    </w:p>
    <w:p w14:paraId="139D6FA4" w14:textId="77777777" w:rsidR="0057513B" w:rsidRPr="00FC45C1" w:rsidRDefault="0057513B" w:rsidP="00847C82">
      <w:pPr>
        <w:jc w:val="both"/>
        <w:rPr>
          <w:rFonts w:ascii="Arial" w:hAnsi="Arial" w:cs="Arial"/>
          <w:b/>
        </w:rPr>
      </w:pPr>
    </w:p>
    <w:p w14:paraId="6E5C9793" w14:textId="77777777" w:rsidR="00C332F2" w:rsidRPr="00C332F2" w:rsidRDefault="006F12B8" w:rsidP="00C332F2">
      <w:pPr>
        <w:jc w:val="both"/>
        <w:rPr>
          <w:rFonts w:ascii="Arial" w:hAnsi="Arial" w:cs="Arial"/>
          <w:b/>
          <w:bCs/>
        </w:rPr>
      </w:pPr>
      <w:r w:rsidRPr="006F12B8">
        <w:rPr>
          <w:rFonts w:ascii="Arial" w:hAnsi="Arial" w:cs="Arial"/>
          <w:b/>
          <w:bCs/>
        </w:rPr>
        <w:t>Background</w:t>
      </w:r>
      <w:r w:rsidR="00FC45C1">
        <w:rPr>
          <w:rFonts w:ascii="Arial" w:hAnsi="Arial" w:cs="Arial"/>
          <w:b/>
          <w:bCs/>
        </w:rPr>
        <w:t xml:space="preserve">: </w:t>
      </w:r>
      <w:r w:rsidR="00C332F2" w:rsidRPr="00C332F2">
        <w:rPr>
          <w:rFonts w:ascii="Arial" w:hAnsi="Arial" w:cs="Arial"/>
          <w:bCs/>
        </w:rPr>
        <w:t xml:space="preserve">Offspring of mothers with hypertensive disorders of pregnancy (HDP) are at increased future risk of hypertension, cardiovascular disease and stroke. The pathophysiological mechanisms for this association are not well understood, but microvascular abnormalities and in particular capillary rarefaction (CR) have been implicated. In a previous pilot study, we found that infants born pre-term to HDP mothers have significant CR at birth. </w:t>
      </w:r>
    </w:p>
    <w:p w14:paraId="59AA4B16" w14:textId="712FDA23" w:rsidR="005E2086" w:rsidRPr="00D339A7" w:rsidRDefault="005E2086" w:rsidP="006F12B8">
      <w:pPr>
        <w:jc w:val="both"/>
        <w:rPr>
          <w:rFonts w:ascii="Arial" w:hAnsi="Arial" w:cs="Arial"/>
          <w:b/>
          <w:bCs/>
        </w:rPr>
      </w:pPr>
    </w:p>
    <w:p w14:paraId="7D58A5FD" w14:textId="77777777" w:rsidR="00C332F2" w:rsidRPr="00C332F2" w:rsidRDefault="006F12B8" w:rsidP="00C332F2">
      <w:pPr>
        <w:jc w:val="both"/>
        <w:rPr>
          <w:rFonts w:ascii="Arial" w:hAnsi="Arial" w:cs="Arial"/>
        </w:rPr>
      </w:pPr>
      <w:r w:rsidRPr="006F12B8">
        <w:rPr>
          <w:rFonts w:ascii="Arial" w:hAnsi="Arial" w:cs="Arial"/>
          <w:b/>
          <w:bCs/>
        </w:rPr>
        <w:t>Methods</w:t>
      </w:r>
      <w:r w:rsidR="004021C1">
        <w:rPr>
          <w:rFonts w:ascii="Arial" w:hAnsi="Arial" w:cs="Arial"/>
          <w:b/>
          <w:bCs/>
        </w:rPr>
        <w:t xml:space="preserve">: </w:t>
      </w:r>
      <w:r w:rsidR="00C332F2" w:rsidRPr="00C332F2">
        <w:rPr>
          <w:rFonts w:ascii="Arial" w:hAnsi="Arial" w:cs="Arial"/>
        </w:rPr>
        <w:t>We studied 111 infants born to mothers with an HDP (90 born at term (T-HDP) and 21 born pre-term (PT-HDP) and compared them to 278 normal birth weight infants born at term to normotensive mothers (control group). We used intravital capillary microscopy to measure basal i.e. functional (BCD) and maximal i.e. structural (MCD) capillary densities and BP at birth, 3 months, 6 months and 12 months. We report here BP and capillary density results at birth.</w:t>
      </w:r>
    </w:p>
    <w:p w14:paraId="7216CBBB" w14:textId="4CE4C8C1" w:rsidR="002E0BF3" w:rsidRPr="002E0BF3" w:rsidRDefault="002E0BF3" w:rsidP="002E0BF3">
      <w:pPr>
        <w:jc w:val="both"/>
        <w:rPr>
          <w:rFonts w:ascii="Arial" w:hAnsi="Arial" w:cs="Arial"/>
        </w:rPr>
      </w:pPr>
    </w:p>
    <w:p w14:paraId="54241F1E" w14:textId="77777777" w:rsidR="00C332F2" w:rsidRPr="00C332F2" w:rsidRDefault="006F12B8" w:rsidP="00C332F2">
      <w:pPr>
        <w:jc w:val="both"/>
        <w:rPr>
          <w:rFonts w:ascii="Arial" w:hAnsi="Arial" w:cs="Arial"/>
        </w:rPr>
      </w:pPr>
      <w:r w:rsidRPr="006F12B8">
        <w:rPr>
          <w:rFonts w:ascii="Arial" w:hAnsi="Arial" w:cs="Arial"/>
          <w:b/>
          <w:bCs/>
        </w:rPr>
        <w:t>Results</w:t>
      </w:r>
      <w:r w:rsidR="00BE6CC2">
        <w:rPr>
          <w:rFonts w:ascii="Arial" w:hAnsi="Arial" w:cs="Arial"/>
          <w:b/>
          <w:bCs/>
        </w:rPr>
        <w:t xml:space="preserve">: </w:t>
      </w:r>
      <w:r w:rsidR="00C332F2" w:rsidRPr="00C332F2">
        <w:rPr>
          <w:rFonts w:ascii="Arial" w:hAnsi="Arial" w:cs="Arial"/>
        </w:rPr>
        <w:t>PT-HDP infants had a significantly higher BCD (mean difference 12.62 cap/field; p=0.001) and (mean difference 17.26 cap/field; p&lt;0.001) compared to T-HDP infants and controls respectively. T-HDP infants also had a significantly higher BCD (mean difference 4.64, cap/field; p=0.012) compared to control infants). PT-HDP infants also had higher MCD (mean difference 10.53 cap/field; p=0.003) and (mean difference 13.67 cap/field; p&lt;0.001) respectively compared to T-HDP and control infants. Systolic BP was significantly higher in PT-HDP infants compared to control infants (mean difference 7.19 mmHg; p=0.032). There were no significant differences in diastolic BP.</w:t>
      </w:r>
    </w:p>
    <w:p w14:paraId="4E7089BE" w14:textId="08CA954C" w:rsidR="0083425A" w:rsidRDefault="00124B22" w:rsidP="006F12B8">
      <w:pPr>
        <w:jc w:val="both"/>
        <w:rPr>
          <w:rFonts w:ascii="Arial" w:hAnsi="Arial" w:cs="Arial"/>
          <w:highlight w:val="yellow"/>
        </w:rPr>
      </w:pPr>
      <w:r w:rsidRPr="00A27AE1">
        <w:rPr>
          <w:rFonts w:ascii="Arial" w:hAnsi="Arial" w:cs="Arial"/>
        </w:rPr>
        <w:t xml:space="preserve"> </w:t>
      </w:r>
    </w:p>
    <w:p w14:paraId="267E2544" w14:textId="77777777" w:rsidR="00C332F2" w:rsidRPr="00C332F2" w:rsidRDefault="006F12B8" w:rsidP="00C332F2">
      <w:pPr>
        <w:jc w:val="both"/>
        <w:rPr>
          <w:rFonts w:ascii="Arial" w:hAnsi="Arial" w:cs="Arial"/>
        </w:rPr>
      </w:pPr>
      <w:r w:rsidRPr="006F12B8">
        <w:rPr>
          <w:rFonts w:ascii="Arial" w:hAnsi="Arial" w:cs="Arial"/>
          <w:b/>
          <w:bCs/>
        </w:rPr>
        <w:t>Conclusions</w:t>
      </w:r>
      <w:r w:rsidR="00BE6CC2">
        <w:rPr>
          <w:rFonts w:ascii="Arial" w:hAnsi="Arial" w:cs="Arial"/>
          <w:b/>
          <w:bCs/>
        </w:rPr>
        <w:t xml:space="preserve">: </w:t>
      </w:r>
      <w:r w:rsidR="00C332F2" w:rsidRPr="00C332F2">
        <w:rPr>
          <w:rFonts w:ascii="Arial" w:hAnsi="Arial" w:cs="Arial"/>
        </w:rPr>
        <w:t xml:space="preserve">PT-HDP infants have a significantly higher systolic BP at birth compared to infants of normotensive mothers. Furthermore, PT-HDP have, contrary to our pilot study, a significantly higher BCD and MCD compared to NBW of normotensive mothers. Further follow-up studies of these infants are required to investigate the crucial role of the microcirculatory abnormalities in the pathogenesis of future hypertension. </w:t>
      </w:r>
    </w:p>
    <w:p w14:paraId="540AE0AC" w14:textId="50687506" w:rsidR="00EA418F" w:rsidRPr="00FC45C1" w:rsidRDefault="00EA418F" w:rsidP="005E0D1C">
      <w:pPr>
        <w:jc w:val="both"/>
        <w:rPr>
          <w:rFonts w:ascii="Arial" w:hAnsi="Arial" w:cs="Arial"/>
        </w:rPr>
      </w:pPr>
    </w:p>
    <w:p w14:paraId="448F0238" w14:textId="77777777" w:rsidR="00C332F2" w:rsidRPr="00C332F2" w:rsidRDefault="00C332F2" w:rsidP="00C332F2">
      <w:pPr>
        <w:spacing w:after="160" w:line="259" w:lineRule="auto"/>
        <w:jc w:val="both"/>
        <w:rPr>
          <w:rFonts w:ascii="Arial" w:hAnsi="Arial" w:cs="Arial"/>
        </w:rPr>
      </w:pPr>
      <w:r>
        <w:rPr>
          <w:rFonts w:ascii="Arial" w:hAnsi="Arial" w:cs="Arial"/>
          <w:b/>
        </w:rPr>
        <w:t>Disclosure</w:t>
      </w:r>
      <w:r w:rsidR="009A42C5" w:rsidRPr="00F50063">
        <w:rPr>
          <w:rFonts w:ascii="Arial" w:hAnsi="Arial" w:cs="Arial"/>
          <w:b/>
        </w:rPr>
        <w:t>:</w:t>
      </w:r>
      <w:r w:rsidR="009A42C5">
        <w:rPr>
          <w:rFonts w:ascii="Arial" w:hAnsi="Arial" w:cs="Arial"/>
        </w:rPr>
        <w:t xml:space="preserve"> </w:t>
      </w:r>
      <w:r w:rsidRPr="00C332F2">
        <w:rPr>
          <w:rFonts w:ascii="Arial" w:hAnsi="Arial" w:cs="Arial"/>
        </w:rPr>
        <w:t>The study was funded by the BHF (PG/13/87/30550)</w:t>
      </w:r>
    </w:p>
    <w:p w14:paraId="102B0657" w14:textId="3D550047" w:rsidR="00D30B45" w:rsidRPr="00D30B45" w:rsidRDefault="00D30B45" w:rsidP="00D30B45">
      <w:pPr>
        <w:spacing w:after="160" w:line="259" w:lineRule="auto"/>
        <w:jc w:val="both"/>
        <w:rPr>
          <w:rFonts w:ascii="Arial" w:eastAsiaTheme="minorHAnsi" w:hAnsi="Arial" w:cs="Arial"/>
        </w:rPr>
      </w:pPr>
    </w:p>
    <w:p w14:paraId="17B8CE65" w14:textId="36196860" w:rsidR="00763417" w:rsidRPr="00FC45C1" w:rsidRDefault="00763417">
      <w:pPr>
        <w:jc w:val="both"/>
        <w:rPr>
          <w:rFonts w:ascii="Arial" w:hAnsi="Arial" w:cs="Arial"/>
        </w:rPr>
      </w:pPr>
    </w:p>
    <w:sectPr w:rsidR="00763417" w:rsidRPr="00FC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DA"/>
    <w:rsid w:val="00032137"/>
    <w:rsid w:val="000407D2"/>
    <w:rsid w:val="00072A4C"/>
    <w:rsid w:val="0009742E"/>
    <w:rsid w:val="000B65A6"/>
    <w:rsid w:val="000E2044"/>
    <w:rsid w:val="000F3B55"/>
    <w:rsid w:val="00116023"/>
    <w:rsid w:val="00124B22"/>
    <w:rsid w:val="001318CA"/>
    <w:rsid w:val="00172DF4"/>
    <w:rsid w:val="00180AAC"/>
    <w:rsid w:val="00197D31"/>
    <w:rsid w:val="001A6339"/>
    <w:rsid w:val="00230A93"/>
    <w:rsid w:val="002770DB"/>
    <w:rsid w:val="0027759C"/>
    <w:rsid w:val="002E0BF3"/>
    <w:rsid w:val="00337D49"/>
    <w:rsid w:val="00346C45"/>
    <w:rsid w:val="00360E73"/>
    <w:rsid w:val="004021C1"/>
    <w:rsid w:val="004116DA"/>
    <w:rsid w:val="0044092C"/>
    <w:rsid w:val="00442E70"/>
    <w:rsid w:val="004A286B"/>
    <w:rsid w:val="004E0112"/>
    <w:rsid w:val="005137C9"/>
    <w:rsid w:val="00542A6B"/>
    <w:rsid w:val="005543B1"/>
    <w:rsid w:val="00571E66"/>
    <w:rsid w:val="0057513B"/>
    <w:rsid w:val="005840DC"/>
    <w:rsid w:val="0059651B"/>
    <w:rsid w:val="005A7E88"/>
    <w:rsid w:val="005E0D1C"/>
    <w:rsid w:val="005E2086"/>
    <w:rsid w:val="00642371"/>
    <w:rsid w:val="006F12B8"/>
    <w:rsid w:val="006F5189"/>
    <w:rsid w:val="00714B2D"/>
    <w:rsid w:val="00747903"/>
    <w:rsid w:val="00763417"/>
    <w:rsid w:val="00796826"/>
    <w:rsid w:val="007D6EA7"/>
    <w:rsid w:val="007F1DC8"/>
    <w:rsid w:val="008042FD"/>
    <w:rsid w:val="00831266"/>
    <w:rsid w:val="0083425A"/>
    <w:rsid w:val="00847C82"/>
    <w:rsid w:val="0085494F"/>
    <w:rsid w:val="0087599A"/>
    <w:rsid w:val="008A3870"/>
    <w:rsid w:val="008A7E56"/>
    <w:rsid w:val="00910F09"/>
    <w:rsid w:val="00946C92"/>
    <w:rsid w:val="009829AF"/>
    <w:rsid w:val="0099037B"/>
    <w:rsid w:val="00994CAC"/>
    <w:rsid w:val="009A42C5"/>
    <w:rsid w:val="009E7E56"/>
    <w:rsid w:val="00A0162D"/>
    <w:rsid w:val="00A27AE1"/>
    <w:rsid w:val="00A5334E"/>
    <w:rsid w:val="00A60354"/>
    <w:rsid w:val="00A631B5"/>
    <w:rsid w:val="00AA7504"/>
    <w:rsid w:val="00AB56BD"/>
    <w:rsid w:val="00AC6FFA"/>
    <w:rsid w:val="00AD16AD"/>
    <w:rsid w:val="00AD7C6C"/>
    <w:rsid w:val="00AF783E"/>
    <w:rsid w:val="00B16E5F"/>
    <w:rsid w:val="00B201DC"/>
    <w:rsid w:val="00B97B32"/>
    <w:rsid w:val="00BB0610"/>
    <w:rsid w:val="00BE6CC2"/>
    <w:rsid w:val="00C332F2"/>
    <w:rsid w:val="00C46A66"/>
    <w:rsid w:val="00C56952"/>
    <w:rsid w:val="00CA0E9D"/>
    <w:rsid w:val="00CE219E"/>
    <w:rsid w:val="00D30B45"/>
    <w:rsid w:val="00D339A7"/>
    <w:rsid w:val="00DB169C"/>
    <w:rsid w:val="00DB6CCC"/>
    <w:rsid w:val="00DF2C73"/>
    <w:rsid w:val="00DF58DF"/>
    <w:rsid w:val="00E1449B"/>
    <w:rsid w:val="00E97D0F"/>
    <w:rsid w:val="00EA418F"/>
    <w:rsid w:val="00EA7004"/>
    <w:rsid w:val="00F50063"/>
    <w:rsid w:val="00F606BF"/>
    <w:rsid w:val="00F87AD8"/>
    <w:rsid w:val="00F963BE"/>
    <w:rsid w:val="00FB6FB1"/>
    <w:rsid w:val="00FC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77BC"/>
  <w15:chartTrackingRefBased/>
  <w15:docId w15:val="{4E3BCCE0-C582-403B-8FD1-BF36689D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836">
      <w:bodyDiv w:val="1"/>
      <w:marLeft w:val="0"/>
      <w:marRight w:val="0"/>
      <w:marTop w:val="0"/>
      <w:marBottom w:val="0"/>
      <w:divBdr>
        <w:top w:val="none" w:sz="0" w:space="0" w:color="auto"/>
        <w:left w:val="none" w:sz="0" w:space="0" w:color="auto"/>
        <w:bottom w:val="none" w:sz="0" w:space="0" w:color="auto"/>
        <w:right w:val="none" w:sz="0" w:space="0" w:color="auto"/>
      </w:divBdr>
      <w:divsChild>
        <w:div w:id="1015569136">
          <w:marLeft w:val="0"/>
          <w:marRight w:val="0"/>
          <w:marTop w:val="0"/>
          <w:marBottom w:val="0"/>
          <w:divBdr>
            <w:top w:val="none" w:sz="0" w:space="0" w:color="auto"/>
            <w:left w:val="none" w:sz="0" w:space="0" w:color="auto"/>
            <w:bottom w:val="none" w:sz="0" w:space="0" w:color="auto"/>
            <w:right w:val="none" w:sz="0" w:space="0" w:color="auto"/>
          </w:divBdr>
        </w:div>
        <w:div w:id="1369062336">
          <w:marLeft w:val="0"/>
          <w:marRight w:val="0"/>
          <w:marTop w:val="0"/>
          <w:marBottom w:val="0"/>
          <w:divBdr>
            <w:top w:val="none" w:sz="0" w:space="0" w:color="auto"/>
            <w:left w:val="none" w:sz="0" w:space="0" w:color="auto"/>
            <w:bottom w:val="none" w:sz="0" w:space="0" w:color="auto"/>
            <w:right w:val="none" w:sz="0" w:space="0" w:color="auto"/>
          </w:divBdr>
        </w:div>
        <w:div w:id="1132402917">
          <w:marLeft w:val="0"/>
          <w:marRight w:val="0"/>
          <w:marTop w:val="0"/>
          <w:marBottom w:val="0"/>
          <w:divBdr>
            <w:top w:val="none" w:sz="0" w:space="0" w:color="auto"/>
            <w:left w:val="none" w:sz="0" w:space="0" w:color="auto"/>
            <w:bottom w:val="none" w:sz="0" w:space="0" w:color="auto"/>
            <w:right w:val="none" w:sz="0" w:space="0" w:color="auto"/>
          </w:divBdr>
        </w:div>
        <w:div w:id="602611611">
          <w:marLeft w:val="0"/>
          <w:marRight w:val="0"/>
          <w:marTop w:val="0"/>
          <w:marBottom w:val="0"/>
          <w:divBdr>
            <w:top w:val="none" w:sz="0" w:space="0" w:color="auto"/>
            <w:left w:val="none" w:sz="0" w:space="0" w:color="auto"/>
            <w:bottom w:val="none" w:sz="0" w:space="0" w:color="auto"/>
            <w:right w:val="none" w:sz="0" w:space="0" w:color="auto"/>
          </w:divBdr>
        </w:div>
      </w:divsChild>
    </w:div>
    <w:div w:id="539514138">
      <w:bodyDiv w:val="1"/>
      <w:marLeft w:val="0"/>
      <w:marRight w:val="0"/>
      <w:marTop w:val="0"/>
      <w:marBottom w:val="0"/>
      <w:divBdr>
        <w:top w:val="none" w:sz="0" w:space="0" w:color="auto"/>
        <w:left w:val="none" w:sz="0" w:space="0" w:color="auto"/>
        <w:bottom w:val="none" w:sz="0" w:space="0" w:color="auto"/>
        <w:right w:val="none" w:sz="0" w:space="0" w:color="auto"/>
      </w:divBdr>
    </w:div>
    <w:div w:id="1680110794">
      <w:bodyDiv w:val="1"/>
      <w:marLeft w:val="0"/>
      <w:marRight w:val="0"/>
      <w:marTop w:val="0"/>
      <w:marBottom w:val="0"/>
      <w:divBdr>
        <w:top w:val="none" w:sz="0" w:space="0" w:color="auto"/>
        <w:left w:val="none" w:sz="0" w:space="0" w:color="auto"/>
        <w:bottom w:val="none" w:sz="0" w:space="0" w:color="auto"/>
        <w:right w:val="none" w:sz="0" w:space="0" w:color="auto"/>
      </w:divBdr>
      <w:divsChild>
        <w:div w:id="1914075494">
          <w:marLeft w:val="0"/>
          <w:marRight w:val="0"/>
          <w:marTop w:val="0"/>
          <w:marBottom w:val="0"/>
          <w:divBdr>
            <w:top w:val="none" w:sz="0" w:space="0" w:color="auto"/>
            <w:left w:val="none" w:sz="0" w:space="0" w:color="auto"/>
            <w:bottom w:val="none" w:sz="0" w:space="0" w:color="auto"/>
            <w:right w:val="none" w:sz="0" w:space="0" w:color="auto"/>
          </w:divBdr>
        </w:div>
        <w:div w:id="1897352030">
          <w:marLeft w:val="0"/>
          <w:marRight w:val="0"/>
          <w:marTop w:val="0"/>
          <w:marBottom w:val="0"/>
          <w:divBdr>
            <w:top w:val="none" w:sz="0" w:space="0" w:color="auto"/>
            <w:left w:val="none" w:sz="0" w:space="0" w:color="auto"/>
            <w:bottom w:val="none" w:sz="0" w:space="0" w:color="auto"/>
            <w:right w:val="none" w:sz="0" w:space="0" w:color="auto"/>
          </w:divBdr>
        </w:div>
        <w:div w:id="2074813089">
          <w:marLeft w:val="0"/>
          <w:marRight w:val="0"/>
          <w:marTop w:val="0"/>
          <w:marBottom w:val="0"/>
          <w:divBdr>
            <w:top w:val="none" w:sz="0" w:space="0" w:color="auto"/>
            <w:left w:val="none" w:sz="0" w:space="0" w:color="auto"/>
            <w:bottom w:val="none" w:sz="0" w:space="0" w:color="auto"/>
            <w:right w:val="none" w:sz="0" w:space="0" w:color="auto"/>
          </w:divBdr>
        </w:div>
        <w:div w:id="39389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 Goloba</dc:creator>
  <cp:keywords/>
  <dc:description/>
  <cp:lastModifiedBy>Tarek F Antonios</cp:lastModifiedBy>
  <cp:revision>3</cp:revision>
  <dcterms:created xsi:type="dcterms:W3CDTF">2020-01-23T09:11:00Z</dcterms:created>
  <dcterms:modified xsi:type="dcterms:W3CDTF">2020-01-23T09:37:00Z</dcterms:modified>
</cp:coreProperties>
</file>