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096F" w14:textId="157F997C" w:rsidR="00D95C5C" w:rsidRDefault="003C181A" w:rsidP="007A7155">
      <w:pPr>
        <w:pStyle w:val="NoSpacing"/>
        <w:rPr>
          <w:b/>
          <w:color w:val="000000" w:themeColor="text1"/>
        </w:rPr>
      </w:pPr>
      <w:bookmarkStart w:id="0" w:name="_GoBack"/>
      <w:bookmarkEnd w:id="0"/>
      <w:r>
        <w:rPr>
          <w:b/>
          <w:color w:val="000000" w:themeColor="text1"/>
        </w:rPr>
        <w:t>Real</w:t>
      </w:r>
      <w:r w:rsidR="007A7155">
        <w:rPr>
          <w:b/>
          <w:color w:val="000000" w:themeColor="text1"/>
        </w:rPr>
        <w:t>-World T</w:t>
      </w:r>
      <w:r w:rsidR="007A7155" w:rsidRPr="002F329E">
        <w:rPr>
          <w:b/>
          <w:color w:val="000000" w:themeColor="text1"/>
        </w:rPr>
        <w:t xml:space="preserve">raining </w:t>
      </w:r>
      <w:r w:rsidR="007A7155">
        <w:rPr>
          <w:b/>
          <w:color w:val="000000" w:themeColor="text1"/>
        </w:rPr>
        <w:t>f</w:t>
      </w:r>
      <w:r w:rsidR="007A7155" w:rsidRPr="002F329E">
        <w:rPr>
          <w:b/>
          <w:color w:val="000000" w:themeColor="text1"/>
        </w:rPr>
        <w:t xml:space="preserve">or </w:t>
      </w:r>
      <w:r w:rsidR="007A7155">
        <w:rPr>
          <w:b/>
          <w:color w:val="000000" w:themeColor="text1"/>
        </w:rPr>
        <w:t>a</w:t>
      </w:r>
      <w:r w:rsidR="007A7155" w:rsidRPr="002F329E">
        <w:rPr>
          <w:b/>
          <w:color w:val="000000" w:themeColor="text1"/>
        </w:rPr>
        <w:t xml:space="preserve"> First-Time Marathon Reverses Age-Related Aortic Stiffening: A Prospective Longitudinal Cohort Study.</w:t>
      </w:r>
    </w:p>
    <w:p w14:paraId="26B81001" w14:textId="77777777" w:rsidR="007A7155" w:rsidRDefault="007A7155" w:rsidP="007A7155">
      <w:pPr>
        <w:pStyle w:val="NoSpacing"/>
        <w:rPr>
          <w:b/>
          <w:color w:val="000000" w:themeColor="text1"/>
        </w:rPr>
      </w:pPr>
    </w:p>
    <w:p w14:paraId="041E18BF" w14:textId="5B2FF0DA" w:rsidR="00235C79" w:rsidRDefault="00235C79" w:rsidP="007A7155">
      <w:pPr>
        <w:pStyle w:val="NoSpacing"/>
        <w:rPr>
          <w:color w:val="000000" w:themeColor="text1"/>
          <w:lang w:val="en-GB"/>
        </w:rPr>
      </w:pPr>
      <w:r w:rsidRPr="00980816">
        <w:rPr>
          <w:b/>
          <w:lang w:val="en-GB"/>
        </w:rPr>
        <w:t xml:space="preserve">Brief title: </w:t>
      </w:r>
      <w:r w:rsidRPr="00891AC5">
        <w:rPr>
          <w:color w:val="000000" w:themeColor="text1"/>
          <w:lang w:val="en-GB"/>
        </w:rPr>
        <w:t>Vascular ageing and first-time marathon training.</w:t>
      </w:r>
    </w:p>
    <w:p w14:paraId="5937CDFC" w14:textId="77777777" w:rsidR="007A7155" w:rsidRPr="002F329E" w:rsidRDefault="007A7155" w:rsidP="007A7155">
      <w:pPr>
        <w:pStyle w:val="NoSpacing"/>
        <w:rPr>
          <w:b/>
          <w:color w:val="000000" w:themeColor="text1"/>
        </w:rPr>
      </w:pPr>
    </w:p>
    <w:p w14:paraId="4DE8620F" w14:textId="10118570" w:rsidR="000137B1" w:rsidRDefault="00DF03B7" w:rsidP="007A7155">
      <w:pPr>
        <w:spacing w:before="0" w:after="0" w:line="240" w:lineRule="auto"/>
        <w:outlineLvl w:val="0"/>
        <w:rPr>
          <w:vertAlign w:val="superscript"/>
        </w:rPr>
      </w:pPr>
      <w:r>
        <w:t xml:space="preserve">Anish N </w:t>
      </w:r>
      <w:r w:rsidR="00DF3662" w:rsidRPr="00DF3662">
        <w:t>Bhuva</w:t>
      </w:r>
      <w:r>
        <w:t xml:space="preserve"> </w:t>
      </w:r>
      <w:r w:rsidR="00592EA4">
        <w:t>(MBBS)</w:t>
      </w:r>
      <w:r w:rsidR="002E1410">
        <w:rPr>
          <w:vertAlign w:val="superscript"/>
        </w:rPr>
        <w:t>a,b</w:t>
      </w:r>
      <w:r w:rsidR="001C087D">
        <w:t xml:space="preserve">, </w:t>
      </w:r>
      <w:r>
        <w:t xml:space="preserve">Andrew </w:t>
      </w:r>
      <w:r w:rsidR="00A01478">
        <w:t xml:space="preserve">D’Silva </w:t>
      </w:r>
      <w:r w:rsidR="00E14B63">
        <w:t>(MBBS)</w:t>
      </w:r>
      <w:r w:rsidR="002E1410">
        <w:rPr>
          <w:vertAlign w:val="superscript"/>
        </w:rPr>
        <w:t>c</w:t>
      </w:r>
      <w:r w:rsidR="00A01478">
        <w:t xml:space="preserve">, </w:t>
      </w:r>
      <w:r>
        <w:t xml:space="preserve">Camilla </w:t>
      </w:r>
      <w:r w:rsidR="00A01478">
        <w:t xml:space="preserve">Torlasco </w:t>
      </w:r>
      <w:r w:rsidR="00E14B63">
        <w:t>(MD)</w:t>
      </w:r>
      <w:r w:rsidR="002E1410">
        <w:rPr>
          <w:vertAlign w:val="superscript"/>
        </w:rPr>
        <w:t>b,d</w:t>
      </w:r>
      <w:r w:rsidR="00A01478">
        <w:t xml:space="preserve">, </w:t>
      </w:r>
      <w:r>
        <w:t xml:space="preserve">Siana </w:t>
      </w:r>
      <w:r w:rsidR="008C152D" w:rsidRPr="00DF3662">
        <w:t xml:space="preserve">Jones </w:t>
      </w:r>
      <w:r w:rsidR="00E14B63">
        <w:t>(</w:t>
      </w:r>
      <w:r w:rsidR="00F71F12">
        <w:t>PhD</w:t>
      </w:r>
      <w:r w:rsidR="00E14B63">
        <w:t>)</w:t>
      </w:r>
      <w:r w:rsidR="002E1410">
        <w:rPr>
          <w:vertAlign w:val="superscript"/>
        </w:rPr>
        <w:t>a</w:t>
      </w:r>
      <w:r w:rsidR="008C152D">
        <w:t xml:space="preserve">, </w:t>
      </w:r>
      <w:r>
        <w:t xml:space="preserve">Niromila </w:t>
      </w:r>
      <w:r w:rsidR="00A01478">
        <w:t xml:space="preserve">Nadarajan </w:t>
      </w:r>
      <w:r w:rsidR="00E14B63">
        <w:t>(MBBS)</w:t>
      </w:r>
      <w:r w:rsidR="002E1410">
        <w:rPr>
          <w:vertAlign w:val="superscript"/>
        </w:rPr>
        <w:t>a</w:t>
      </w:r>
      <w:r w:rsidR="00A01478">
        <w:t xml:space="preserve">, </w:t>
      </w:r>
      <w:r>
        <w:t xml:space="preserve">Jet </w:t>
      </w:r>
      <w:r w:rsidR="00825670">
        <w:t xml:space="preserve">Van Zalen </w:t>
      </w:r>
      <w:r w:rsidR="00E14B63">
        <w:t>(MSc)</w:t>
      </w:r>
      <w:r w:rsidR="002E1410">
        <w:rPr>
          <w:vertAlign w:val="superscript"/>
        </w:rPr>
        <w:t>b</w:t>
      </w:r>
      <w:r w:rsidR="00825670">
        <w:t>,</w:t>
      </w:r>
      <w:r w:rsidR="000702BD">
        <w:t xml:space="preserve"> </w:t>
      </w:r>
      <w:r>
        <w:t xml:space="preserve">Nish </w:t>
      </w:r>
      <w:r w:rsidR="008A5DE5" w:rsidRPr="00DF3662">
        <w:t xml:space="preserve">Chaturvedi </w:t>
      </w:r>
      <w:r w:rsidR="00E14B63">
        <w:t>(PhD)</w:t>
      </w:r>
      <w:r w:rsidR="002E1410">
        <w:rPr>
          <w:vertAlign w:val="superscript"/>
        </w:rPr>
        <w:t>a</w:t>
      </w:r>
      <w:r w:rsidR="001C087D">
        <w:t xml:space="preserve">, </w:t>
      </w:r>
      <w:r>
        <w:t xml:space="preserve">Guy </w:t>
      </w:r>
      <w:r w:rsidR="00A01478">
        <w:t xml:space="preserve">Lloyd </w:t>
      </w:r>
      <w:r w:rsidR="00E14B63">
        <w:t>(MD)</w:t>
      </w:r>
      <w:r w:rsidR="002E1410">
        <w:rPr>
          <w:vertAlign w:val="superscript"/>
        </w:rPr>
        <w:t>b</w:t>
      </w:r>
      <w:r w:rsidR="00A01478">
        <w:t xml:space="preserve">, </w:t>
      </w:r>
      <w:r>
        <w:t xml:space="preserve">Sanjay </w:t>
      </w:r>
      <w:r w:rsidR="00A01478">
        <w:t>Sharma</w:t>
      </w:r>
      <w:r w:rsidR="00E14B63">
        <w:t xml:space="preserve"> (MD)</w:t>
      </w:r>
      <w:r w:rsidR="002E1410">
        <w:rPr>
          <w:vertAlign w:val="superscript"/>
        </w:rPr>
        <w:t>c</w:t>
      </w:r>
      <w:r w:rsidR="00A01478">
        <w:t>,</w:t>
      </w:r>
      <w:r>
        <w:t xml:space="preserve"> James C</w:t>
      </w:r>
      <w:r w:rsidR="001C087D">
        <w:t xml:space="preserve"> </w:t>
      </w:r>
      <w:r w:rsidR="00FF6906" w:rsidRPr="00DF3662">
        <w:t xml:space="preserve">Moon </w:t>
      </w:r>
      <w:r w:rsidR="00592EA4">
        <w:t>(MD)</w:t>
      </w:r>
      <w:r w:rsidR="002E1410">
        <w:rPr>
          <w:vertAlign w:val="superscript"/>
        </w:rPr>
        <w:t>a,b</w:t>
      </w:r>
      <w:r w:rsidR="00FF6906">
        <w:t xml:space="preserve">, </w:t>
      </w:r>
      <w:r>
        <w:t xml:space="preserve">Alun D </w:t>
      </w:r>
      <w:r w:rsidR="00DF3662" w:rsidRPr="00FF6906">
        <w:t>Hughes</w:t>
      </w:r>
      <w:r w:rsidR="00DF3662" w:rsidRPr="00DF3662">
        <w:t xml:space="preserve"> </w:t>
      </w:r>
      <w:r w:rsidR="00592EA4">
        <w:t>(PhD)</w:t>
      </w:r>
      <w:r w:rsidR="002E1410">
        <w:rPr>
          <w:vertAlign w:val="superscript"/>
        </w:rPr>
        <w:t>a</w:t>
      </w:r>
      <w:r w:rsidR="001C087D">
        <w:t xml:space="preserve">, </w:t>
      </w:r>
      <w:r>
        <w:t xml:space="preserve">Charlotte H </w:t>
      </w:r>
      <w:r w:rsidR="00DF3662" w:rsidRPr="00DF3662">
        <w:t xml:space="preserve">Manisty </w:t>
      </w:r>
      <w:r w:rsidR="00592EA4">
        <w:t>(MD)</w:t>
      </w:r>
      <w:r w:rsidR="002E1410">
        <w:rPr>
          <w:vertAlign w:val="superscript"/>
        </w:rPr>
        <w:t>a,b</w:t>
      </w:r>
    </w:p>
    <w:p w14:paraId="4A997709" w14:textId="45BB477A" w:rsidR="00DF3662" w:rsidRPr="00BC52BB" w:rsidRDefault="002E1410" w:rsidP="007A7155">
      <w:pPr>
        <w:spacing w:before="0" w:after="0" w:line="240" w:lineRule="auto"/>
        <w:rPr>
          <w:lang w:val="en-GB"/>
        </w:rPr>
      </w:pPr>
      <w:r>
        <w:rPr>
          <w:lang w:val="en-GB"/>
        </w:rPr>
        <w:t>a</w:t>
      </w:r>
      <w:r w:rsidR="00DF3662" w:rsidRPr="00BC52BB">
        <w:rPr>
          <w:lang w:val="en-GB"/>
        </w:rPr>
        <w:t xml:space="preserve"> Institute </w:t>
      </w:r>
      <w:r w:rsidR="001633A2">
        <w:rPr>
          <w:lang w:val="en-GB"/>
        </w:rPr>
        <w:t>of</w:t>
      </w:r>
      <w:r w:rsidR="00DF3662" w:rsidRPr="00BC52BB">
        <w:rPr>
          <w:lang w:val="en-GB"/>
        </w:rPr>
        <w:t xml:space="preserve"> Cardiovascular Science, University College London, London, United Kingdom</w:t>
      </w:r>
    </w:p>
    <w:p w14:paraId="7A9B65C8" w14:textId="51BCA9FD" w:rsidR="00DF3662" w:rsidRPr="00BC52BB" w:rsidRDefault="002E1410" w:rsidP="007A7155">
      <w:pPr>
        <w:spacing w:before="0" w:after="0" w:line="240" w:lineRule="auto"/>
        <w:rPr>
          <w:lang w:val="en-GB"/>
        </w:rPr>
      </w:pPr>
      <w:r>
        <w:rPr>
          <w:lang w:val="en-GB"/>
        </w:rPr>
        <w:t>b</w:t>
      </w:r>
      <w:r w:rsidR="00DF3662" w:rsidRPr="00BC52BB">
        <w:rPr>
          <w:lang w:val="en-GB"/>
        </w:rPr>
        <w:t xml:space="preserve"> Department of Cardiovascular Imaging, Barts Heart Centre, Barts Health NHS Trust, London, United Kingdom</w:t>
      </w:r>
    </w:p>
    <w:p w14:paraId="1893E12B" w14:textId="1515A109" w:rsidR="00BC52BB" w:rsidRPr="00BC52BB" w:rsidRDefault="002E1410" w:rsidP="007A7155">
      <w:pPr>
        <w:spacing w:before="0" w:after="0" w:line="240" w:lineRule="auto"/>
      </w:pPr>
      <w:r>
        <w:rPr>
          <w:lang w:val="en-GB"/>
        </w:rPr>
        <w:t>c</w:t>
      </w:r>
      <w:r w:rsidR="00DF3662" w:rsidRPr="00BC52BB">
        <w:rPr>
          <w:lang w:val="en-GB"/>
        </w:rPr>
        <w:t xml:space="preserve"> </w:t>
      </w:r>
      <w:r w:rsidR="00BC52BB" w:rsidRPr="00BC52BB">
        <w:t>Cardiology Clinical &amp; Academic Group, St George’s, University of London, London, UK</w:t>
      </w:r>
      <w:r w:rsidR="00BC52BB" w:rsidRPr="00BC52BB">
        <w:rPr>
          <w:rFonts w:ascii="MS Mincho" w:eastAsia="MS Mincho" w:hAnsi="MS Mincho" w:cs="MS Mincho"/>
        </w:rPr>
        <w:t> </w:t>
      </w:r>
    </w:p>
    <w:p w14:paraId="6FBB7CD5" w14:textId="4CE620E0" w:rsidR="00140497" w:rsidRDefault="002E1410" w:rsidP="007A7155">
      <w:pPr>
        <w:spacing w:before="0" w:after="0" w:line="240" w:lineRule="auto"/>
        <w:rPr>
          <w:rFonts w:ascii="MS Mincho" w:eastAsia="MS Mincho" w:hAnsi="MS Mincho" w:cs="MS Mincho"/>
        </w:rPr>
      </w:pPr>
      <w:r>
        <w:rPr>
          <w:lang w:val="en-GB"/>
        </w:rPr>
        <w:t>d</w:t>
      </w:r>
      <w:r w:rsidR="00101CE9" w:rsidRPr="00BC52BB">
        <w:rPr>
          <w:lang w:val="en-GB"/>
        </w:rPr>
        <w:t xml:space="preserve"> </w:t>
      </w:r>
      <w:r w:rsidR="00BC52BB" w:rsidRPr="00BC52BB">
        <w:t>Istituto Auxologico Italiano, IRCCS, Dept of Cardiovascular, Neural and Metabolic Sciences, San Luca Hospital, Italy</w:t>
      </w:r>
      <w:r w:rsidR="00BC52BB" w:rsidRPr="00BC52BB">
        <w:rPr>
          <w:rFonts w:ascii="MS Mincho" w:eastAsia="MS Mincho" w:hAnsi="MS Mincho" w:cs="MS Mincho"/>
        </w:rPr>
        <w:t> </w:t>
      </w:r>
    </w:p>
    <w:p w14:paraId="33881388" w14:textId="77777777" w:rsidR="007A7155" w:rsidRDefault="007A7155" w:rsidP="007A7155">
      <w:pPr>
        <w:spacing w:before="0" w:after="0" w:line="240" w:lineRule="auto"/>
        <w:rPr>
          <w:rFonts w:ascii="MS Mincho" w:eastAsia="MS Mincho" w:hAnsi="MS Mincho" w:cs="MS Mincho"/>
        </w:rPr>
      </w:pPr>
    </w:p>
    <w:p w14:paraId="4B48A843" w14:textId="0662204D" w:rsidR="000E3E24" w:rsidRDefault="00A578A3" w:rsidP="007A7155">
      <w:pPr>
        <w:spacing w:before="0" w:after="0" w:line="240" w:lineRule="auto"/>
      </w:pPr>
      <w:r>
        <w:rPr>
          <w:b/>
          <w:lang w:val="en-GB"/>
        </w:rPr>
        <w:t xml:space="preserve">Funding: </w:t>
      </w:r>
      <w:r w:rsidRPr="006537DD">
        <w:rPr>
          <w:lang w:val="en-GB"/>
        </w:rPr>
        <w:t xml:space="preserve">The Marathon Study was funded by the British Heart Foundation </w:t>
      </w:r>
      <w:r w:rsidR="00D95C5C">
        <w:rPr>
          <w:lang w:val="en-GB"/>
        </w:rPr>
        <w:t>(</w:t>
      </w:r>
      <w:r w:rsidRPr="006537DD">
        <w:rPr>
          <w:lang w:val="en-GB"/>
        </w:rPr>
        <w:t>FS/15/27/31465), Cardiac Risk in the Young, and the Barts Cardiovascular Biomedical Research Centre.</w:t>
      </w:r>
      <w:r w:rsidRPr="006537DD">
        <w:rPr>
          <w:b/>
          <w:lang w:val="en-GB"/>
        </w:rPr>
        <w:t xml:space="preserve"> </w:t>
      </w:r>
      <w:r w:rsidRPr="006537DD">
        <w:rPr>
          <w:lang w:val="en-GB"/>
        </w:rPr>
        <w:t>AB is supported by a doctoral research fellowship from the</w:t>
      </w:r>
      <w:r>
        <w:rPr>
          <w:lang w:val="en-GB"/>
        </w:rPr>
        <w:t xml:space="preserve"> </w:t>
      </w:r>
      <w:r w:rsidRPr="006537DD">
        <w:rPr>
          <w:lang w:val="en-GB"/>
        </w:rPr>
        <w:t xml:space="preserve">British Heart Foundation (FS/16/46/32187). </w:t>
      </w:r>
      <w:r w:rsidRPr="006537DD">
        <w:t xml:space="preserve">AD was funded by a clinical research training fellowship from the British Heart Foundation, United Kingdom (FS/15/27/31465). AH received support from the British Heart Foundation (PG/13/6/29934), the National Institute for Health Research University College London Hospitals Biomedical Research Centre, and works in a unit that receives support from the UK Medical Research Council (Programme Code MC_UU_12019/1). </w:t>
      </w:r>
      <w:r w:rsidRPr="006537DD">
        <w:rPr>
          <w:lang w:val="en-GB"/>
        </w:rPr>
        <w:t xml:space="preserve">JCM and CM are directly and indirectly supported by the University College London Hospitals, NIHR Biomedical Research Centre and Biomedical Research Unit at Barts Hospital, respectively. </w:t>
      </w:r>
      <w:r>
        <w:t xml:space="preserve">The study received support from COSMED (Rome, Italy) through the provision of cardiopulmonary exercise testing equipment and technical support. </w:t>
      </w:r>
    </w:p>
    <w:p w14:paraId="7D7DDFEB" w14:textId="77777777" w:rsidR="007A7155" w:rsidRDefault="007A7155" w:rsidP="007A7155">
      <w:pPr>
        <w:spacing w:before="0" w:after="0" w:line="240" w:lineRule="auto"/>
      </w:pPr>
    </w:p>
    <w:p w14:paraId="2D5D3907" w14:textId="6104322E" w:rsidR="00A578A3" w:rsidRDefault="000E3E24" w:rsidP="007A7155">
      <w:pPr>
        <w:pStyle w:val="NormalWeb"/>
        <w:spacing w:before="0" w:beforeAutospacing="0" w:after="0" w:afterAutospacing="0"/>
      </w:pPr>
      <w:r w:rsidRPr="007A7155">
        <w:rPr>
          <w:b/>
        </w:rPr>
        <w:t>Disclosures:</w:t>
      </w:r>
      <w:r w:rsidRPr="007A7155">
        <w:t xml:space="preserve"> </w:t>
      </w:r>
      <w:r w:rsidR="00A578A3" w:rsidRPr="007A7155">
        <w:t xml:space="preserve">The authors report no relationships that could be construed as a conflict of interest. </w:t>
      </w:r>
    </w:p>
    <w:p w14:paraId="7905F9A1" w14:textId="77777777" w:rsidR="007A7155" w:rsidRPr="007A7155" w:rsidRDefault="007A7155" w:rsidP="007A7155">
      <w:pPr>
        <w:pStyle w:val="NormalWeb"/>
        <w:spacing w:before="0" w:beforeAutospacing="0" w:after="0" w:afterAutospacing="0"/>
      </w:pPr>
    </w:p>
    <w:p w14:paraId="6C619A08" w14:textId="77777777" w:rsidR="00CB06FE" w:rsidRPr="00980816" w:rsidRDefault="00CB06FE" w:rsidP="007A7155">
      <w:pPr>
        <w:pStyle w:val="NoSpacing"/>
        <w:rPr>
          <w:b/>
          <w:lang w:val="en-GB"/>
        </w:rPr>
      </w:pPr>
      <w:r w:rsidRPr="00980816">
        <w:rPr>
          <w:b/>
          <w:lang w:val="en-GB"/>
        </w:rPr>
        <w:t>Correspondence:</w:t>
      </w:r>
    </w:p>
    <w:p w14:paraId="775F1299" w14:textId="77777777" w:rsidR="00CB06FE" w:rsidRPr="00DF3662" w:rsidRDefault="00CB06FE" w:rsidP="007A7155">
      <w:pPr>
        <w:pStyle w:val="NoSpacing"/>
        <w:rPr>
          <w:lang w:val="en-GB"/>
        </w:rPr>
      </w:pPr>
      <w:r w:rsidRPr="00DF3662">
        <w:rPr>
          <w:lang w:val="en-GB"/>
        </w:rPr>
        <w:t>Dr Charlotte Manisty</w:t>
      </w:r>
    </w:p>
    <w:p w14:paraId="155974CA" w14:textId="77777777" w:rsidR="00CB06FE" w:rsidRPr="00DF3662" w:rsidRDefault="00CB06FE" w:rsidP="007A7155">
      <w:pPr>
        <w:pStyle w:val="NoSpacing"/>
        <w:rPr>
          <w:lang w:val="en-GB"/>
        </w:rPr>
      </w:pPr>
      <w:r w:rsidRPr="00DF3662">
        <w:rPr>
          <w:lang w:val="en-GB"/>
        </w:rPr>
        <w:t>Department of Cardiac Imaging</w:t>
      </w:r>
    </w:p>
    <w:p w14:paraId="23E230F1" w14:textId="77777777" w:rsidR="00CB06FE" w:rsidRPr="00DF3662" w:rsidRDefault="00CB06FE" w:rsidP="007A7155">
      <w:pPr>
        <w:pStyle w:val="NoSpacing"/>
        <w:rPr>
          <w:lang w:val="en-GB"/>
        </w:rPr>
      </w:pPr>
      <w:r w:rsidRPr="00DF3662">
        <w:rPr>
          <w:lang w:val="en-GB"/>
        </w:rPr>
        <w:t>Barts Heart Centre</w:t>
      </w:r>
    </w:p>
    <w:p w14:paraId="377C52EF" w14:textId="77777777" w:rsidR="00CB06FE" w:rsidRPr="00DF3662" w:rsidRDefault="00CB06FE" w:rsidP="007A7155">
      <w:pPr>
        <w:pStyle w:val="NoSpacing"/>
        <w:rPr>
          <w:lang w:val="en-GB"/>
        </w:rPr>
      </w:pPr>
      <w:r w:rsidRPr="00DF3662">
        <w:rPr>
          <w:lang w:val="en-GB"/>
        </w:rPr>
        <w:t>King George V Building</w:t>
      </w:r>
    </w:p>
    <w:p w14:paraId="37867C4F" w14:textId="77777777" w:rsidR="00CB06FE" w:rsidRPr="00DF3662" w:rsidRDefault="00CB06FE" w:rsidP="007A7155">
      <w:pPr>
        <w:pStyle w:val="NoSpacing"/>
        <w:rPr>
          <w:lang w:val="en-GB"/>
        </w:rPr>
      </w:pPr>
      <w:r w:rsidRPr="00DF3662">
        <w:rPr>
          <w:lang w:val="en-GB"/>
        </w:rPr>
        <w:t>West Smithfield</w:t>
      </w:r>
    </w:p>
    <w:p w14:paraId="3D5BA23D" w14:textId="77777777" w:rsidR="00CB06FE" w:rsidRPr="00DF3662" w:rsidRDefault="00CB06FE" w:rsidP="007A7155">
      <w:pPr>
        <w:pStyle w:val="NoSpacing"/>
        <w:rPr>
          <w:lang w:val="en-GB"/>
        </w:rPr>
      </w:pPr>
      <w:r w:rsidRPr="00DF3662">
        <w:rPr>
          <w:lang w:val="en-GB"/>
        </w:rPr>
        <w:t>London EC1A 7BE</w:t>
      </w:r>
    </w:p>
    <w:p w14:paraId="7F6BD932" w14:textId="77777777" w:rsidR="00CB06FE" w:rsidRPr="00DF3662" w:rsidRDefault="00CB06FE" w:rsidP="007A7155">
      <w:pPr>
        <w:pStyle w:val="NoSpacing"/>
        <w:rPr>
          <w:color w:val="0000FF"/>
          <w:lang w:val="en-GB"/>
        </w:rPr>
      </w:pPr>
      <w:r w:rsidRPr="00DF3662">
        <w:rPr>
          <w:color w:val="0000FF"/>
          <w:lang w:val="en-GB"/>
        </w:rPr>
        <w:t>c.manisty@ucl.ac.uk</w:t>
      </w:r>
    </w:p>
    <w:p w14:paraId="6778479A" w14:textId="77777777" w:rsidR="00CB06FE" w:rsidRPr="00DF3662" w:rsidRDefault="00CB06FE" w:rsidP="007A7155">
      <w:pPr>
        <w:pStyle w:val="NoSpacing"/>
        <w:rPr>
          <w:lang w:val="en-GB"/>
        </w:rPr>
      </w:pPr>
      <w:r w:rsidRPr="00DF3662">
        <w:rPr>
          <w:lang w:val="en-GB"/>
        </w:rPr>
        <w:t>Telephone: 0044 (0) 203 465 6115</w:t>
      </w:r>
    </w:p>
    <w:p w14:paraId="0C5FC347" w14:textId="75469D68" w:rsidR="00CB06FE" w:rsidRDefault="00CB06FE" w:rsidP="007A7155">
      <w:pPr>
        <w:pStyle w:val="NoSpacing"/>
        <w:rPr>
          <w:lang w:val="en-GB"/>
        </w:rPr>
      </w:pPr>
      <w:r w:rsidRPr="00DF3662">
        <w:rPr>
          <w:lang w:val="en-GB"/>
        </w:rPr>
        <w:t>Fax: 0044 (0)203 465 3086</w:t>
      </w:r>
    </w:p>
    <w:p w14:paraId="31118BCE" w14:textId="77777777" w:rsidR="007A7155" w:rsidRDefault="007A7155" w:rsidP="007A7155">
      <w:pPr>
        <w:pStyle w:val="NoSpacing"/>
        <w:rPr>
          <w:lang w:val="en-GB"/>
        </w:rPr>
      </w:pPr>
    </w:p>
    <w:p w14:paraId="124C5EC1" w14:textId="77777777" w:rsidR="00235C79" w:rsidRPr="00CC670F" w:rsidRDefault="00235C79" w:rsidP="007A7155">
      <w:pPr>
        <w:pStyle w:val="Heading1"/>
        <w:spacing w:before="0" w:after="0" w:line="240" w:lineRule="auto"/>
        <w:rPr>
          <w:color w:val="000000" w:themeColor="text1"/>
        </w:rPr>
      </w:pPr>
      <w:r w:rsidRPr="00CC670F">
        <w:rPr>
          <w:color w:val="000000" w:themeColor="text1"/>
        </w:rPr>
        <w:t>Acknowledgements</w:t>
      </w:r>
    </w:p>
    <w:p w14:paraId="16DBCF1C" w14:textId="77777777" w:rsidR="00235C79" w:rsidRPr="00CC670F" w:rsidRDefault="00235C79" w:rsidP="007A7155">
      <w:pPr>
        <w:spacing w:before="0" w:after="0" w:line="240" w:lineRule="auto"/>
        <w:rPr>
          <w:rFonts w:ascii="Times" w:hAnsi="Times" w:cs="Times"/>
          <w:color w:val="000000" w:themeColor="text1"/>
        </w:rPr>
      </w:pPr>
      <w:r w:rsidRPr="00CC670F">
        <w:rPr>
          <w:color w:val="000000" w:themeColor="text1"/>
        </w:rPr>
        <w:t xml:space="preserve">We thank the study participants for voluntarily giving their time and taking part in the study. We are also grateful to Virgin London Marathon for their support in recruitment of participants. We are grateful to the entire marathon study team performing investigations. In addition to the authors of this manuscript, The Marathon Study group included the following staff from St George’s University of London, University College London, Bart’s Health Trust </w:t>
      </w:r>
      <w:r w:rsidRPr="00CC670F">
        <w:rPr>
          <w:color w:val="000000" w:themeColor="text1"/>
        </w:rPr>
        <w:lastRenderedPageBreak/>
        <w:t xml:space="preserve">and other organisations: Andrew D’Silva, Anish Bhuva, Camilla Torlasco, Siana Jones, Jet Van Zalen, Amna Abdel-Gadir, </w:t>
      </w:r>
      <w:r>
        <w:rPr>
          <w:color w:val="000000" w:themeColor="text1"/>
        </w:rPr>
        <w:t xml:space="preserve">Giulia Benedetti, </w:t>
      </w:r>
      <w:r w:rsidRPr="00CC670F">
        <w:rPr>
          <w:color w:val="000000" w:themeColor="text1"/>
        </w:rPr>
        <w:t xml:space="preserve">Thomas Treibel, Stefania Rosmini, Manish Ramlall, Gabriella Captur, Katia D Menacho Medina, Joao Augusto, Yang Ye, Niromila Nadarajan, Nabila Mughal, Sunita Chauhan, Shino Kiriakose, Tolu Akinola, Cheelo Simaanya, </w:t>
      </w:r>
      <w:r>
        <w:rPr>
          <w:color w:val="000000" w:themeColor="text1"/>
        </w:rPr>
        <w:t xml:space="preserve">Louise McGrath, </w:t>
      </w:r>
      <w:r w:rsidRPr="00CC670F">
        <w:rPr>
          <w:color w:val="000000" w:themeColor="text1"/>
        </w:rPr>
        <w:t>Lizette Cash, James Willis, David Hoare, James Malcolmson, Pamela de la Cruz, Annabelle Freeman, Delfin Encarnacion, Lesley Hart, Jack Kaufman, Frances Price, Rueben Dane, Karen Armado, Gemma Cruz, Lorna Carby, Tiago Fonseca, Fatima Niones, Zeph Fanton, Jim Pate, Joe Carlton, Sarah Anderson, Rob Hall, Sam Liu, Sonia Bains, Claire Kirkby, Pushpinder Kalra, Raghuveer Singh, Bode Ensam, Tee J Yeo, Rachel Bastiaenen,</w:t>
      </w:r>
      <w:r>
        <w:rPr>
          <w:color w:val="000000" w:themeColor="text1"/>
        </w:rPr>
        <w:t xml:space="preserve"> Natalia Ojrzynsjka, Rebecca Hughes,</w:t>
      </w:r>
      <w:r w:rsidRPr="00CC670F">
        <w:rPr>
          <w:color w:val="000000" w:themeColor="text1"/>
        </w:rPr>
        <w:t xml:space="preserve"> Della Cole, Jacky Ah- Fong, Sue Brown, Sarah Horan, Ailsa McClean, Kyle Conley, Paul Scully, Luke Horsfield, Mark McLaren, Elizabeth Clough, Daniel Key, Riyaz Patel and Sanjeev Bhattacharyya. We are grateful to Virgin Money London Marathon, particularly Hugh Brasher and Penny Dain, for their support with study advertisement and participant recruitment. From our funders Cardiac Risk in the Young we are particularly grateful to Steve Cox and Azra Loncarevic-Srmic for their additional support with administration and transport.</w:t>
      </w:r>
    </w:p>
    <w:p w14:paraId="6C3C9E21" w14:textId="5886871E" w:rsidR="00235C79" w:rsidRPr="00DF3662" w:rsidRDefault="00235C79" w:rsidP="00AB3E75">
      <w:pPr>
        <w:autoSpaceDE w:val="0"/>
        <w:autoSpaceDN w:val="0"/>
        <w:adjustRightInd w:val="0"/>
        <w:spacing w:line="240" w:lineRule="auto"/>
        <w:rPr>
          <w:rFonts w:ascii="TimesNewRomanPSMT" w:hAnsi="TimesNewRomanPSMT" w:cs="TimesNewRomanPSMT"/>
          <w:lang w:val="en-GB"/>
        </w:rPr>
        <w:sectPr w:rsidR="00235C79" w:rsidRPr="00DF3662" w:rsidSect="00BA6E20">
          <w:footerReference w:type="even" r:id="rId8"/>
          <w:footerReference w:type="default" r:id="rId9"/>
          <w:pgSz w:w="11900" w:h="16840"/>
          <w:pgMar w:top="1440" w:right="1440" w:bottom="1440" w:left="1440" w:header="708" w:footer="708" w:gutter="0"/>
          <w:cols w:space="708"/>
          <w:docGrid w:linePitch="360"/>
        </w:sectPr>
      </w:pPr>
    </w:p>
    <w:p w14:paraId="79AAB4AC" w14:textId="2FCD352B" w:rsidR="00B53A46" w:rsidRPr="00235C79" w:rsidRDefault="00D00B11" w:rsidP="00E8328D">
      <w:pPr>
        <w:pStyle w:val="NoSpacing"/>
        <w:rPr>
          <w:b/>
          <w:bCs/>
        </w:rPr>
      </w:pPr>
      <w:r w:rsidRPr="00235C79">
        <w:rPr>
          <w:b/>
          <w:bCs/>
        </w:rPr>
        <w:lastRenderedPageBreak/>
        <w:t>Abstract</w:t>
      </w:r>
    </w:p>
    <w:p w14:paraId="6E7D924D" w14:textId="7A132D74" w:rsidR="00E51B65" w:rsidRPr="00515971" w:rsidRDefault="00E51B65" w:rsidP="00E3767A">
      <w:pPr>
        <w:pStyle w:val="NoSpacing"/>
        <w:rPr>
          <w:b/>
          <w:color w:val="000000" w:themeColor="text1"/>
        </w:rPr>
      </w:pPr>
      <w:r>
        <w:rPr>
          <w:b/>
        </w:rPr>
        <w:t>Background</w:t>
      </w:r>
      <w:r w:rsidR="00882E15" w:rsidRPr="00882E15">
        <w:rPr>
          <w:color w:val="262626"/>
        </w:rPr>
        <w:t xml:space="preserve"> </w:t>
      </w:r>
      <w:r w:rsidR="00882E15">
        <w:rPr>
          <w:color w:val="262626"/>
        </w:rPr>
        <w:t xml:space="preserve">Ageing increases aortic stiffness, contributing to cardiovascular risk even in healthy </w:t>
      </w:r>
      <w:r w:rsidR="00882E15" w:rsidRPr="00515971">
        <w:rPr>
          <w:color w:val="000000" w:themeColor="text1"/>
        </w:rPr>
        <w:t xml:space="preserve">individuals. Aortic stiffness is reduced </w:t>
      </w:r>
      <w:r w:rsidR="00516FEF" w:rsidRPr="00515971">
        <w:rPr>
          <w:color w:val="000000" w:themeColor="text1"/>
        </w:rPr>
        <w:t>through supervised training programmes</w:t>
      </w:r>
      <w:r w:rsidR="00882E15" w:rsidRPr="00515971">
        <w:rPr>
          <w:color w:val="000000" w:themeColor="text1"/>
        </w:rPr>
        <w:t xml:space="preserve">, but </w:t>
      </w:r>
      <w:r w:rsidR="00A862F0" w:rsidRPr="00515971">
        <w:rPr>
          <w:color w:val="000000" w:themeColor="text1"/>
        </w:rPr>
        <w:t>these</w:t>
      </w:r>
      <w:r w:rsidR="00C04DE9" w:rsidRPr="00515971">
        <w:rPr>
          <w:color w:val="000000" w:themeColor="text1"/>
        </w:rPr>
        <w:t xml:space="preserve"> </w:t>
      </w:r>
      <w:r w:rsidR="00A862F0" w:rsidRPr="00515971">
        <w:rPr>
          <w:color w:val="000000" w:themeColor="text1"/>
        </w:rPr>
        <w:t>are</w:t>
      </w:r>
      <w:r w:rsidR="00C04DE9" w:rsidRPr="00515971">
        <w:rPr>
          <w:color w:val="000000" w:themeColor="text1"/>
        </w:rPr>
        <w:t xml:space="preserve"> not easily generalizable</w:t>
      </w:r>
      <w:r w:rsidR="00882E15" w:rsidRPr="00515971">
        <w:rPr>
          <w:color w:val="000000" w:themeColor="text1"/>
        </w:rPr>
        <w:t xml:space="preserve">.  </w:t>
      </w:r>
    </w:p>
    <w:p w14:paraId="0A1F55F1" w14:textId="2BE20361" w:rsidR="00E51B65" w:rsidRPr="00882E15" w:rsidRDefault="00E51B65" w:rsidP="00E3767A">
      <w:pPr>
        <w:spacing w:before="0" w:after="0" w:line="240" w:lineRule="auto"/>
        <w:rPr>
          <w:color w:val="262626"/>
        </w:rPr>
      </w:pPr>
      <w:r w:rsidRPr="00515971">
        <w:rPr>
          <w:b/>
          <w:color w:val="000000" w:themeColor="text1"/>
        </w:rPr>
        <w:t>Objective</w:t>
      </w:r>
      <w:r w:rsidR="00882E15" w:rsidRPr="00515971">
        <w:rPr>
          <w:b/>
          <w:color w:val="000000" w:themeColor="text1"/>
        </w:rPr>
        <w:t xml:space="preserve"> </w:t>
      </w:r>
      <w:r w:rsidR="00882E15" w:rsidRPr="00515971">
        <w:rPr>
          <w:color w:val="000000" w:themeColor="text1"/>
        </w:rPr>
        <w:t xml:space="preserve">To determine whether </w:t>
      </w:r>
      <w:r w:rsidR="008669E4" w:rsidRPr="00515971">
        <w:rPr>
          <w:color w:val="000000" w:themeColor="text1"/>
        </w:rPr>
        <w:t>real</w:t>
      </w:r>
      <w:r w:rsidR="008669E4">
        <w:rPr>
          <w:color w:val="262626"/>
        </w:rPr>
        <w:t xml:space="preserve">-world </w:t>
      </w:r>
      <w:r w:rsidR="00882E15">
        <w:rPr>
          <w:color w:val="262626"/>
        </w:rPr>
        <w:t>exercise training for a first-time marathon can reverse age-related aortic stiffening.</w:t>
      </w:r>
    </w:p>
    <w:p w14:paraId="506ECC8A" w14:textId="486DD89A" w:rsidR="003E420B" w:rsidRDefault="00E51B65" w:rsidP="00E3767A">
      <w:pPr>
        <w:spacing w:before="0" w:after="0" w:line="240" w:lineRule="auto"/>
      </w:pPr>
      <w:r w:rsidRPr="00E51B65">
        <w:rPr>
          <w:b/>
        </w:rPr>
        <w:t>Methods</w:t>
      </w:r>
      <w:r w:rsidR="003E420B" w:rsidRPr="003E420B">
        <w:t xml:space="preserve"> </w:t>
      </w:r>
      <w:r w:rsidR="003E420B">
        <w:t xml:space="preserve">Untrained healthy </w:t>
      </w:r>
      <w:r w:rsidR="00816CE7">
        <w:t>individuals</w:t>
      </w:r>
      <w:r w:rsidR="003E420B">
        <w:t xml:space="preserve"> </w:t>
      </w:r>
      <w:r w:rsidR="008E4133">
        <w:t>underwent</w:t>
      </w:r>
      <w:r w:rsidR="003E420B">
        <w:t xml:space="preserve"> six-months </w:t>
      </w:r>
      <w:r w:rsidR="00CC2DE0">
        <w:t xml:space="preserve">of </w:t>
      </w:r>
      <w:r w:rsidR="003E420B">
        <w:t xml:space="preserve">training for the London Marathon. Assessment pre-training and </w:t>
      </w:r>
      <w:r w:rsidR="000436F9">
        <w:t xml:space="preserve">two weeks </w:t>
      </w:r>
      <w:r w:rsidR="003E420B">
        <w:t>post-marathon included central (aortic) blood pressure (cBP),</w:t>
      </w:r>
      <w:r w:rsidR="003E420B">
        <w:rPr>
          <w:vertAlign w:val="subscript"/>
        </w:rPr>
        <w:t xml:space="preserve"> </w:t>
      </w:r>
      <w:r w:rsidR="003E420B">
        <w:t xml:space="preserve">and </w:t>
      </w:r>
      <w:r w:rsidR="00140497">
        <w:t xml:space="preserve">aortic stiffness using </w:t>
      </w:r>
      <w:r w:rsidR="003E420B">
        <w:t xml:space="preserve">cardiovascular magnetic resonance </w:t>
      </w:r>
      <w:r w:rsidR="00516FEF">
        <w:t>distensibility. B</w:t>
      </w:r>
      <w:r w:rsidR="00EB37DB">
        <w:t xml:space="preserve">iological </w:t>
      </w:r>
      <w:r w:rsidR="00633D37">
        <w:t>‘</w:t>
      </w:r>
      <w:r w:rsidR="00EB37DB">
        <w:t>aortic age</w:t>
      </w:r>
      <w:r w:rsidR="00633D37">
        <w:t>’</w:t>
      </w:r>
      <w:r w:rsidR="00EB37DB">
        <w:t xml:space="preserve"> </w:t>
      </w:r>
      <w:r w:rsidR="00516FEF">
        <w:t xml:space="preserve">was </w:t>
      </w:r>
      <w:r w:rsidR="00EB37DB">
        <w:t xml:space="preserve">calculated from the baseline chronological age-stiffness relationship. </w:t>
      </w:r>
      <w:r w:rsidR="003E420B">
        <w:t xml:space="preserve">Change in stiffness </w:t>
      </w:r>
      <w:r w:rsidR="00EB37DB">
        <w:t>was assessed at the ascending (Ao-A) and descending aorta at the pulmonary artery bifurcation (Ao-P) and diaphragm (Ao</w:t>
      </w:r>
      <w:r w:rsidR="00EB37DB" w:rsidRPr="001411A5">
        <w:t>-</w:t>
      </w:r>
      <w:r w:rsidR="00EB37DB">
        <w:t>D).</w:t>
      </w:r>
      <w:r w:rsidR="00691EE6">
        <w:t xml:space="preserve"> </w:t>
      </w:r>
      <w:r w:rsidR="003E420B">
        <w:t>Data are mean changes (95% confidence intervals).</w:t>
      </w:r>
    </w:p>
    <w:p w14:paraId="46018506" w14:textId="1FC5E477" w:rsidR="00891AC5" w:rsidRDefault="00E51B65" w:rsidP="00E3767A">
      <w:pPr>
        <w:spacing w:before="0" w:after="0" w:line="240" w:lineRule="auto"/>
      </w:pPr>
      <w:r>
        <w:rPr>
          <w:b/>
          <w:color w:val="262626"/>
        </w:rPr>
        <w:t>Results</w:t>
      </w:r>
      <w:r w:rsidR="00516FEF">
        <w:rPr>
          <w:b/>
          <w:color w:val="262626"/>
        </w:rPr>
        <w:t xml:space="preserve"> </w:t>
      </w:r>
      <w:r w:rsidR="00FE0405">
        <w:t>138 first-time marathon completers (age 21-69 years, 49% male) were assessed</w:t>
      </w:r>
      <w:r w:rsidR="0090623F">
        <w:t>,</w:t>
      </w:r>
      <w:r w:rsidR="0090623F" w:rsidRPr="0090623F">
        <w:t xml:space="preserve"> </w:t>
      </w:r>
      <w:r w:rsidR="0090623F">
        <w:t>with an estimated training schedule of 6-13 miles per week.</w:t>
      </w:r>
      <w:r w:rsidR="00FE0405">
        <w:t xml:space="preserve"> </w:t>
      </w:r>
      <w:r w:rsidR="00891AC5">
        <w:t>At baseline, a</w:t>
      </w:r>
      <w:r w:rsidR="00891AC5" w:rsidRPr="002E491A">
        <w:t xml:space="preserve"> decade of </w:t>
      </w:r>
      <w:r w:rsidR="00891AC5">
        <w:t xml:space="preserve">chronological </w:t>
      </w:r>
      <w:r w:rsidR="00891AC5" w:rsidRPr="002E491A">
        <w:t xml:space="preserve">ageing </w:t>
      </w:r>
      <w:r w:rsidR="00891AC5">
        <w:t xml:space="preserve">correlated with </w:t>
      </w:r>
      <w:r w:rsidR="00891AC5" w:rsidRPr="002E491A">
        <w:t xml:space="preserve">a decrease in </w:t>
      </w:r>
      <w:r w:rsidR="00891AC5">
        <w:t>Ao-A, Ao-P and Ao-D</w:t>
      </w:r>
      <w:r w:rsidR="00891AC5" w:rsidRPr="002E491A">
        <w:t xml:space="preserve"> distensibility by 2</w:t>
      </w:r>
      <w:r w:rsidR="00891AC5">
        <w:t>.</w:t>
      </w:r>
      <w:r w:rsidR="00891AC5" w:rsidRPr="002E491A">
        <w:t>3, 1</w:t>
      </w:r>
      <w:r w:rsidR="00891AC5">
        <w:t>.</w:t>
      </w:r>
      <w:r w:rsidR="00891AC5" w:rsidRPr="002E491A">
        <w:t>9, and 3</w:t>
      </w:r>
      <w:r w:rsidR="00891AC5">
        <w:t>.</w:t>
      </w:r>
      <w:r w:rsidR="00891AC5" w:rsidRPr="002E491A">
        <w:t>1x10</w:t>
      </w:r>
      <w:r w:rsidR="00891AC5" w:rsidRPr="002E491A">
        <w:rPr>
          <w:vertAlign w:val="superscript"/>
        </w:rPr>
        <w:t>-3</w:t>
      </w:r>
      <w:r w:rsidR="00891AC5">
        <w:t>.</w:t>
      </w:r>
      <w:r w:rsidR="00891AC5" w:rsidRPr="002E491A">
        <w:t>mmHg</w:t>
      </w:r>
      <w:r w:rsidR="00891AC5" w:rsidRPr="002E491A">
        <w:rPr>
          <w:vertAlign w:val="superscript"/>
        </w:rPr>
        <w:t>-1</w:t>
      </w:r>
      <w:r w:rsidR="00891AC5" w:rsidRPr="002E491A">
        <w:t xml:space="preserve"> </w:t>
      </w:r>
      <w:r w:rsidR="00891AC5">
        <w:t>respectively (p&lt;0.05 for all).</w:t>
      </w:r>
    </w:p>
    <w:p w14:paraId="0E86E1EB" w14:textId="05DA6EB1" w:rsidR="00E51B65" w:rsidRPr="003E420B" w:rsidRDefault="003E420B" w:rsidP="00E3767A">
      <w:pPr>
        <w:spacing w:before="0" w:after="0" w:line="240" w:lineRule="auto"/>
      </w:pPr>
      <w:r>
        <w:t xml:space="preserve">Training decreased systolic and diastolic cBP by 4(2.8,5.5) and 3(1.6,3.5)mmHg. Descending aortic distensibility increased (Ao-P:9%,p=0.009; Ao-D:16%,p=0.002), whilst remaining unchanged in the Ao-A. These translated to a reduction in </w:t>
      </w:r>
      <w:r w:rsidR="00633D37">
        <w:t>‘</w:t>
      </w:r>
      <w:r>
        <w:t>aortic age</w:t>
      </w:r>
      <w:r w:rsidR="00633D37">
        <w:t>’</w:t>
      </w:r>
      <w:r>
        <w:t xml:space="preserve"> by 3.9</w:t>
      </w:r>
      <w:r w:rsidRPr="00AB1206">
        <w:t>(1</w:t>
      </w:r>
      <w:r>
        <w:t>.1,7.6) and 4.0(1.7,8.0)years (Ao-P and Ao-D respectively). Benefit was greate</w:t>
      </w:r>
      <w:r w:rsidR="00D746F7">
        <w:t>r</w:t>
      </w:r>
      <w:r>
        <w:t xml:space="preserve"> in older, male participants with slower running times (p&lt;0.05 for all).</w:t>
      </w:r>
    </w:p>
    <w:p w14:paraId="3F18682B" w14:textId="29C8FAB4" w:rsidR="00E51B65" w:rsidRDefault="00E51B65" w:rsidP="00E3767A">
      <w:pPr>
        <w:spacing w:before="0" w:after="0" w:line="240" w:lineRule="auto"/>
        <w:rPr>
          <w:b/>
          <w:color w:val="262626"/>
        </w:rPr>
      </w:pPr>
      <w:r>
        <w:rPr>
          <w:b/>
          <w:color w:val="262626"/>
        </w:rPr>
        <w:t>Conclusions</w:t>
      </w:r>
      <w:r w:rsidR="003E420B" w:rsidRPr="003E420B">
        <w:t xml:space="preserve"> </w:t>
      </w:r>
      <w:r w:rsidR="00FB1827">
        <w:t>T</w:t>
      </w:r>
      <w:r w:rsidR="00CD51F2">
        <w:t>raining</w:t>
      </w:r>
      <w:r w:rsidR="003E420B">
        <w:t xml:space="preserve"> </w:t>
      </w:r>
      <w:r w:rsidR="00501448">
        <w:t xml:space="preserve">for </w:t>
      </w:r>
      <w:r w:rsidR="00386571">
        <w:t>and completi</w:t>
      </w:r>
      <w:r w:rsidR="00FB1827">
        <w:t>ng</w:t>
      </w:r>
      <w:r w:rsidR="00386571">
        <w:t xml:space="preserve"> </w:t>
      </w:r>
      <w:r w:rsidR="00501448">
        <w:t xml:space="preserve">a marathon </w:t>
      </w:r>
      <w:r w:rsidR="00FE00F2">
        <w:t xml:space="preserve">even </w:t>
      </w:r>
      <w:r w:rsidR="00140497">
        <w:t xml:space="preserve">at relatively low exercise intensity </w:t>
      </w:r>
      <w:r w:rsidR="003E420B">
        <w:t>reduces</w:t>
      </w:r>
      <w:r w:rsidR="003E420B" w:rsidRPr="00090448">
        <w:t xml:space="preserve"> central blood pressure</w:t>
      </w:r>
      <w:r w:rsidR="003E420B">
        <w:t xml:space="preserve"> and aortic stiffness- equivalent to a</w:t>
      </w:r>
      <w:r w:rsidR="003E420B" w:rsidRPr="00090448">
        <w:t xml:space="preserve"> ~4-year reduction in vascular age. </w:t>
      </w:r>
      <w:r w:rsidR="00CC670F">
        <w:t>Greater</w:t>
      </w:r>
      <w:r w:rsidR="00FB1827">
        <w:t xml:space="preserve"> rejuvenation was observed in older, slower individuals.</w:t>
      </w:r>
    </w:p>
    <w:p w14:paraId="73696295" w14:textId="77777777" w:rsidR="00E8328D" w:rsidRDefault="00E8328D" w:rsidP="00E8328D">
      <w:pPr>
        <w:pStyle w:val="NoSpacing"/>
      </w:pPr>
    </w:p>
    <w:p w14:paraId="51695483" w14:textId="64177827" w:rsidR="0091378E" w:rsidRPr="00235C79" w:rsidRDefault="009C3D06" w:rsidP="00E8328D">
      <w:pPr>
        <w:pStyle w:val="NoSpacing"/>
        <w:rPr>
          <w:b/>
          <w:bCs/>
          <w:color w:val="000000" w:themeColor="text1"/>
        </w:rPr>
      </w:pPr>
      <w:r w:rsidRPr="00235C79">
        <w:rPr>
          <w:b/>
          <w:bCs/>
          <w:color w:val="000000" w:themeColor="text1"/>
        </w:rPr>
        <w:t>Condensed Abstract</w:t>
      </w:r>
    </w:p>
    <w:p w14:paraId="5B62C559" w14:textId="5038FC5C" w:rsidR="00C5389B" w:rsidRPr="00CC670F" w:rsidRDefault="00185F48" w:rsidP="00E8328D">
      <w:pPr>
        <w:pStyle w:val="NoSpacing"/>
        <w:rPr>
          <w:color w:val="000000" w:themeColor="text1"/>
        </w:rPr>
      </w:pPr>
      <w:r w:rsidRPr="00CC670F">
        <w:rPr>
          <w:color w:val="000000" w:themeColor="text1"/>
        </w:rPr>
        <w:t xml:space="preserve">A hallmark of normal ageing is arterial stiffening, which increases the </w:t>
      </w:r>
      <w:r w:rsidR="00FE3F98" w:rsidRPr="00CC670F">
        <w:rPr>
          <w:color w:val="000000" w:themeColor="text1"/>
        </w:rPr>
        <w:t xml:space="preserve">cardiovascular </w:t>
      </w:r>
      <w:r w:rsidRPr="00CC670F">
        <w:rPr>
          <w:color w:val="000000" w:themeColor="text1"/>
        </w:rPr>
        <w:t xml:space="preserve">risk even in healthy individuals. </w:t>
      </w:r>
      <w:r w:rsidR="002A4FD9" w:rsidRPr="00CC670F">
        <w:rPr>
          <w:color w:val="000000" w:themeColor="text1"/>
        </w:rPr>
        <w:t>Because s</w:t>
      </w:r>
      <w:r w:rsidR="000436F9" w:rsidRPr="00CC670F">
        <w:rPr>
          <w:color w:val="000000" w:themeColor="text1"/>
        </w:rPr>
        <w:t>upervised training programmes are not easily generalizable</w:t>
      </w:r>
      <w:r w:rsidR="002A4FD9" w:rsidRPr="00CC670F">
        <w:rPr>
          <w:color w:val="000000" w:themeColor="text1"/>
        </w:rPr>
        <w:t xml:space="preserve">, </w:t>
      </w:r>
      <w:r w:rsidR="000436F9" w:rsidRPr="00CC670F">
        <w:rPr>
          <w:color w:val="000000" w:themeColor="text1"/>
        </w:rPr>
        <w:t>we investigated the effects of real-world exercise on vascular ageing</w:t>
      </w:r>
      <w:r w:rsidR="00D266D0" w:rsidRPr="00CC670F">
        <w:rPr>
          <w:color w:val="000000" w:themeColor="text1"/>
        </w:rPr>
        <w:t xml:space="preserve"> in a prospective longitudinal cohort</w:t>
      </w:r>
      <w:r w:rsidR="000436F9" w:rsidRPr="00CC670F">
        <w:rPr>
          <w:color w:val="000000" w:themeColor="text1"/>
        </w:rPr>
        <w:t>.</w:t>
      </w:r>
      <w:r w:rsidR="007E666A" w:rsidRPr="00CC670F">
        <w:rPr>
          <w:color w:val="000000" w:themeColor="text1"/>
        </w:rPr>
        <w:t xml:space="preserve"> </w:t>
      </w:r>
      <w:r w:rsidR="003D0E16" w:rsidRPr="00CC670F">
        <w:rPr>
          <w:color w:val="000000" w:themeColor="text1"/>
        </w:rPr>
        <w:t xml:space="preserve">138 </w:t>
      </w:r>
      <w:r w:rsidR="005A68EF" w:rsidRPr="00CC670F">
        <w:rPr>
          <w:color w:val="000000" w:themeColor="text1"/>
        </w:rPr>
        <w:t xml:space="preserve">untrained </w:t>
      </w:r>
      <w:r w:rsidR="0094044C" w:rsidRPr="00CC670F">
        <w:rPr>
          <w:color w:val="000000" w:themeColor="text1"/>
        </w:rPr>
        <w:t xml:space="preserve">individuals </w:t>
      </w:r>
      <w:r w:rsidR="000436F9" w:rsidRPr="00CC670F">
        <w:rPr>
          <w:color w:val="000000" w:themeColor="text1"/>
        </w:rPr>
        <w:t xml:space="preserve">underwent assessment </w:t>
      </w:r>
      <w:r w:rsidR="00731A73" w:rsidRPr="00CC670F">
        <w:rPr>
          <w:color w:val="000000" w:themeColor="text1"/>
        </w:rPr>
        <w:t>pre-training and two weeks after a first marathon</w:t>
      </w:r>
      <w:r w:rsidR="00731A73">
        <w:rPr>
          <w:color w:val="000000" w:themeColor="text1"/>
        </w:rPr>
        <w:t xml:space="preserve"> of </w:t>
      </w:r>
      <w:r w:rsidR="00F05FCE">
        <w:rPr>
          <w:color w:val="000000" w:themeColor="text1"/>
        </w:rPr>
        <w:t xml:space="preserve">aortic stiffness </w:t>
      </w:r>
      <w:r w:rsidR="0072445B" w:rsidRPr="00CC670F">
        <w:rPr>
          <w:color w:val="000000" w:themeColor="text1"/>
        </w:rPr>
        <w:t>by</w:t>
      </w:r>
      <w:r w:rsidR="000436F9" w:rsidRPr="00CC670F">
        <w:rPr>
          <w:color w:val="000000" w:themeColor="text1"/>
        </w:rPr>
        <w:t xml:space="preserve"> cardiovascular magnetic resonance</w:t>
      </w:r>
      <w:r w:rsidR="00731A73">
        <w:rPr>
          <w:color w:val="000000" w:themeColor="text1"/>
        </w:rPr>
        <w:t xml:space="preserve"> and central (aortic) blood pressure</w:t>
      </w:r>
      <w:r w:rsidR="005A68EF" w:rsidRPr="00CC670F">
        <w:rPr>
          <w:color w:val="000000" w:themeColor="text1"/>
        </w:rPr>
        <w:t xml:space="preserve">. </w:t>
      </w:r>
      <w:r w:rsidR="00C97956" w:rsidRPr="00CC670F">
        <w:rPr>
          <w:color w:val="000000" w:themeColor="text1"/>
        </w:rPr>
        <w:t>E</w:t>
      </w:r>
      <w:r w:rsidR="00C5389B" w:rsidRPr="00CC670F">
        <w:rPr>
          <w:color w:val="000000" w:themeColor="text1"/>
        </w:rPr>
        <w:t xml:space="preserve">xercise training reduced aortic stiffness, </w:t>
      </w:r>
      <w:r w:rsidR="006A208E" w:rsidRPr="00CC670F">
        <w:rPr>
          <w:color w:val="000000" w:themeColor="text1"/>
        </w:rPr>
        <w:t>equivalent to a four-year reduction in vascular age</w:t>
      </w:r>
      <w:r w:rsidR="00C5389B" w:rsidRPr="00CC670F">
        <w:rPr>
          <w:color w:val="000000" w:themeColor="text1"/>
        </w:rPr>
        <w:t xml:space="preserve">, and blood pressure, comparable to anti-hypertensive medication. These benefits </w:t>
      </w:r>
      <w:r w:rsidR="00B84235" w:rsidRPr="00CC670F">
        <w:rPr>
          <w:color w:val="000000" w:themeColor="text1"/>
        </w:rPr>
        <w:t>were</w:t>
      </w:r>
      <w:r w:rsidR="00C5389B" w:rsidRPr="00CC670F">
        <w:rPr>
          <w:color w:val="000000" w:themeColor="text1"/>
        </w:rPr>
        <w:t xml:space="preserve"> greate</w:t>
      </w:r>
      <w:r w:rsidR="000A26EC">
        <w:rPr>
          <w:color w:val="000000" w:themeColor="text1"/>
        </w:rPr>
        <w:t>r</w:t>
      </w:r>
      <w:r w:rsidR="00C5389B" w:rsidRPr="00CC670F">
        <w:rPr>
          <w:color w:val="000000" w:themeColor="text1"/>
        </w:rPr>
        <w:t xml:space="preserve"> in older, male</w:t>
      </w:r>
      <w:r w:rsidR="00F82264" w:rsidRPr="00CC670F">
        <w:rPr>
          <w:color w:val="000000" w:themeColor="text1"/>
        </w:rPr>
        <w:t xml:space="preserve">, </w:t>
      </w:r>
      <w:r w:rsidR="00C5389B" w:rsidRPr="00CC670F">
        <w:rPr>
          <w:color w:val="000000" w:themeColor="text1"/>
        </w:rPr>
        <w:t>slower runners</w:t>
      </w:r>
      <w:r w:rsidR="00E8328D" w:rsidRPr="00CC670F">
        <w:rPr>
          <w:color w:val="000000" w:themeColor="text1"/>
        </w:rPr>
        <w:t xml:space="preserve"> </w:t>
      </w:r>
      <w:r w:rsidR="00140497" w:rsidRPr="00CC670F">
        <w:rPr>
          <w:color w:val="000000" w:themeColor="text1"/>
        </w:rPr>
        <w:t>despite</w:t>
      </w:r>
      <w:r w:rsidR="00E8328D" w:rsidRPr="00CC670F">
        <w:rPr>
          <w:color w:val="000000" w:themeColor="text1"/>
        </w:rPr>
        <w:t xml:space="preserve"> relatively low exercise </w:t>
      </w:r>
      <w:r w:rsidR="00247C39" w:rsidRPr="00CC670F">
        <w:rPr>
          <w:color w:val="000000" w:themeColor="text1"/>
        </w:rPr>
        <w:t>intensity</w:t>
      </w:r>
      <w:r w:rsidR="00C5389B" w:rsidRPr="00CC670F">
        <w:rPr>
          <w:color w:val="000000" w:themeColor="text1"/>
        </w:rPr>
        <w:t>.</w:t>
      </w:r>
    </w:p>
    <w:p w14:paraId="715096E5" w14:textId="77777777" w:rsidR="004B4705" w:rsidRPr="00CC670F" w:rsidRDefault="004B4705" w:rsidP="004B4705">
      <w:pPr>
        <w:spacing w:before="0" w:after="0" w:line="240" w:lineRule="auto"/>
        <w:rPr>
          <w:rFonts w:eastAsia="Times New Roman"/>
          <w:color w:val="000000" w:themeColor="text1"/>
          <w:lang w:val="en-GB"/>
        </w:rPr>
      </w:pPr>
    </w:p>
    <w:p w14:paraId="20FD8601" w14:textId="1D7321DE" w:rsidR="00B76016" w:rsidRDefault="00B76016" w:rsidP="007141A1">
      <w:pPr>
        <w:pStyle w:val="NoSpacing"/>
        <w:rPr>
          <w:bCs/>
          <w:color w:val="000000" w:themeColor="text1"/>
          <w:lang w:val="en-GB"/>
        </w:rPr>
      </w:pPr>
      <w:r w:rsidRPr="00235C79">
        <w:rPr>
          <w:b/>
          <w:color w:val="000000" w:themeColor="text1"/>
          <w:lang w:val="en-GB"/>
        </w:rPr>
        <w:t xml:space="preserve">Keywords: </w:t>
      </w:r>
      <w:r w:rsidRPr="00CC670F">
        <w:rPr>
          <w:bCs/>
          <w:color w:val="000000" w:themeColor="text1"/>
          <w:lang w:val="en-GB"/>
        </w:rPr>
        <w:t>Marathon; exercise training; aortic stiffness; blood pressure; ageing; cardiovascular magnetic resonance.</w:t>
      </w:r>
    </w:p>
    <w:p w14:paraId="7C4FEF90" w14:textId="77777777" w:rsidR="00E3767A" w:rsidRDefault="00E3767A" w:rsidP="007141A1">
      <w:pPr>
        <w:pStyle w:val="NoSpacing"/>
        <w:rPr>
          <w:bCs/>
          <w:color w:val="000000" w:themeColor="text1"/>
          <w:lang w:val="en-GB"/>
        </w:rPr>
      </w:pPr>
    </w:p>
    <w:p w14:paraId="05A76816" w14:textId="392A0825" w:rsidR="00AE1C21" w:rsidRPr="00235C79" w:rsidRDefault="00AE1C21" w:rsidP="007141A1">
      <w:pPr>
        <w:pStyle w:val="NoSpacing"/>
        <w:rPr>
          <w:b/>
          <w:bCs/>
          <w:color w:val="000000" w:themeColor="text1"/>
        </w:rPr>
      </w:pPr>
      <w:r w:rsidRPr="00235C79">
        <w:rPr>
          <w:b/>
          <w:bCs/>
          <w:color w:val="000000" w:themeColor="text1"/>
        </w:rPr>
        <w:t>Abbreviations</w:t>
      </w:r>
    </w:p>
    <w:p w14:paraId="5BC25BDE" w14:textId="35731603" w:rsidR="00CB1C47" w:rsidRPr="00CC670F" w:rsidRDefault="00CB1C47" w:rsidP="007141A1">
      <w:pPr>
        <w:pStyle w:val="NoSpacing"/>
        <w:rPr>
          <w:color w:val="000000" w:themeColor="text1"/>
        </w:rPr>
      </w:pPr>
      <w:r w:rsidRPr="00CC670F">
        <w:rPr>
          <w:rFonts w:ascii="greek" w:hAnsi="greek"/>
          <w:color w:val="000000" w:themeColor="text1"/>
        </w:rPr>
        <w:t>ß</w:t>
      </w:r>
      <w:r w:rsidRPr="00CC670F">
        <w:rPr>
          <w:color w:val="000000" w:themeColor="text1"/>
        </w:rPr>
        <w:t>-stiffness</w:t>
      </w:r>
      <w:r w:rsidRPr="00CC670F">
        <w:rPr>
          <w:color w:val="000000" w:themeColor="text1"/>
        </w:rPr>
        <w:tab/>
      </w:r>
      <w:r w:rsidRPr="00CC670F">
        <w:rPr>
          <w:color w:val="000000" w:themeColor="text1"/>
        </w:rPr>
        <w:tab/>
        <w:t>Beta-stiffness</w:t>
      </w:r>
      <w:r w:rsidR="000F2797" w:rsidRPr="00CC670F">
        <w:rPr>
          <w:color w:val="000000" w:themeColor="text1"/>
        </w:rPr>
        <w:t xml:space="preserve"> (pressure-independent</w:t>
      </w:r>
      <w:r w:rsidR="00D920F9" w:rsidRPr="00CC670F">
        <w:rPr>
          <w:color w:val="000000" w:themeColor="text1"/>
        </w:rPr>
        <w:t xml:space="preserve"> stiffness</w:t>
      </w:r>
      <w:r w:rsidR="000F2797" w:rsidRPr="00CC670F">
        <w:rPr>
          <w:color w:val="000000" w:themeColor="text1"/>
        </w:rPr>
        <w:t>)</w:t>
      </w:r>
    </w:p>
    <w:p w14:paraId="22DD448F" w14:textId="76C13940" w:rsidR="00CB1C47" w:rsidRPr="00CC670F" w:rsidRDefault="00CB1C47" w:rsidP="007141A1">
      <w:pPr>
        <w:pStyle w:val="NoSpacing"/>
        <w:rPr>
          <w:color w:val="000000" w:themeColor="text1"/>
        </w:rPr>
      </w:pPr>
      <w:r w:rsidRPr="00CC670F">
        <w:rPr>
          <w:color w:val="000000" w:themeColor="text1"/>
        </w:rPr>
        <w:t>CMR</w:t>
      </w:r>
      <w:r w:rsidRPr="00CC670F">
        <w:rPr>
          <w:color w:val="000000" w:themeColor="text1"/>
        </w:rPr>
        <w:tab/>
      </w:r>
      <w:r w:rsidRPr="00CC670F">
        <w:rPr>
          <w:color w:val="000000" w:themeColor="text1"/>
        </w:rPr>
        <w:tab/>
      </w:r>
      <w:r w:rsidRPr="00CC670F">
        <w:rPr>
          <w:color w:val="000000" w:themeColor="text1"/>
        </w:rPr>
        <w:tab/>
        <w:t>Cardiovascular Magnetic Resonance</w:t>
      </w:r>
    </w:p>
    <w:p w14:paraId="62EB7BE5" w14:textId="6DBE49AD" w:rsidR="00B11736" w:rsidRPr="00CC670F" w:rsidRDefault="00B11736" w:rsidP="007141A1">
      <w:pPr>
        <w:pStyle w:val="NoSpacing"/>
        <w:rPr>
          <w:color w:val="000000" w:themeColor="text1"/>
        </w:rPr>
      </w:pPr>
      <w:r w:rsidRPr="00CC670F">
        <w:rPr>
          <w:color w:val="000000" w:themeColor="text1"/>
        </w:rPr>
        <w:t xml:space="preserve">CPET </w:t>
      </w:r>
      <w:r w:rsidRPr="00CC670F">
        <w:rPr>
          <w:color w:val="000000" w:themeColor="text1"/>
        </w:rPr>
        <w:tab/>
      </w:r>
      <w:r w:rsidRPr="00CC670F">
        <w:rPr>
          <w:color w:val="000000" w:themeColor="text1"/>
        </w:rPr>
        <w:tab/>
      </w:r>
      <w:r w:rsidRPr="00CC670F">
        <w:rPr>
          <w:color w:val="000000" w:themeColor="text1"/>
        </w:rPr>
        <w:tab/>
        <w:t>Cardio-Pulmonary Exercise Test</w:t>
      </w:r>
    </w:p>
    <w:p w14:paraId="7D3CFE90" w14:textId="381D7499" w:rsidR="00B11736" w:rsidRPr="00CC670F" w:rsidRDefault="00B11736" w:rsidP="007141A1">
      <w:pPr>
        <w:pStyle w:val="NoSpacing"/>
        <w:rPr>
          <w:color w:val="000000" w:themeColor="text1"/>
        </w:rPr>
      </w:pPr>
      <w:r w:rsidRPr="00CC670F">
        <w:rPr>
          <w:color w:val="000000" w:themeColor="text1"/>
        </w:rPr>
        <w:t>DBP</w:t>
      </w:r>
      <w:r w:rsidRPr="00CC670F">
        <w:rPr>
          <w:color w:val="000000" w:themeColor="text1"/>
        </w:rPr>
        <w:tab/>
      </w:r>
      <w:r w:rsidRPr="00CC670F">
        <w:rPr>
          <w:color w:val="000000" w:themeColor="text1"/>
        </w:rPr>
        <w:tab/>
      </w:r>
      <w:r w:rsidRPr="00CC670F">
        <w:rPr>
          <w:color w:val="000000" w:themeColor="text1"/>
        </w:rPr>
        <w:tab/>
        <w:t xml:space="preserve">Diastolic Blood Pressure </w:t>
      </w:r>
    </w:p>
    <w:p w14:paraId="029DE07C" w14:textId="5D0EEA12" w:rsidR="00CB1C47" w:rsidRPr="00CC670F" w:rsidRDefault="00B11736" w:rsidP="007141A1">
      <w:pPr>
        <w:pStyle w:val="NoSpacing"/>
        <w:rPr>
          <w:color w:val="000000" w:themeColor="text1"/>
        </w:rPr>
      </w:pPr>
      <w:r w:rsidRPr="00CC670F">
        <w:rPr>
          <w:color w:val="000000" w:themeColor="text1"/>
        </w:rPr>
        <w:t>P</w:t>
      </w:r>
      <w:r w:rsidR="00CB1C47" w:rsidRPr="00CC670F">
        <w:rPr>
          <w:color w:val="000000" w:themeColor="text1"/>
        </w:rPr>
        <w:t>eak VO</w:t>
      </w:r>
      <w:r w:rsidR="00CB1C47" w:rsidRPr="00CC670F">
        <w:rPr>
          <w:color w:val="000000" w:themeColor="text1"/>
          <w:vertAlign w:val="subscript"/>
        </w:rPr>
        <w:t>2</w:t>
      </w:r>
      <w:r w:rsidR="00CB1C47" w:rsidRPr="00CC670F">
        <w:rPr>
          <w:color w:val="000000" w:themeColor="text1"/>
          <w:vertAlign w:val="subscript"/>
        </w:rPr>
        <w:tab/>
      </w:r>
      <w:r w:rsidR="00CB1C47" w:rsidRPr="00CC670F">
        <w:rPr>
          <w:color w:val="000000" w:themeColor="text1"/>
          <w:vertAlign w:val="subscript"/>
        </w:rPr>
        <w:tab/>
      </w:r>
      <w:r w:rsidR="00CB1C47" w:rsidRPr="00CC670F">
        <w:rPr>
          <w:color w:val="000000" w:themeColor="text1"/>
        </w:rPr>
        <w:t xml:space="preserve">Maximal oxygen consumption  </w:t>
      </w:r>
    </w:p>
    <w:p w14:paraId="1628B385" w14:textId="2036A23D" w:rsidR="00B11736" w:rsidRDefault="00B11736" w:rsidP="007141A1">
      <w:pPr>
        <w:pStyle w:val="NoSpacing"/>
        <w:rPr>
          <w:color w:val="000000" w:themeColor="text1"/>
        </w:rPr>
      </w:pPr>
      <w:r w:rsidRPr="00CC670F">
        <w:rPr>
          <w:color w:val="000000" w:themeColor="text1"/>
        </w:rPr>
        <w:t>PP</w:t>
      </w:r>
      <w:r w:rsidRPr="00CC670F">
        <w:rPr>
          <w:color w:val="000000" w:themeColor="text1"/>
        </w:rPr>
        <w:tab/>
      </w:r>
      <w:r w:rsidRPr="00CC670F">
        <w:rPr>
          <w:color w:val="000000" w:themeColor="text1"/>
        </w:rPr>
        <w:tab/>
      </w:r>
      <w:r w:rsidRPr="00CC670F">
        <w:rPr>
          <w:color w:val="000000" w:themeColor="text1"/>
        </w:rPr>
        <w:tab/>
        <w:t>Pulse Pressure</w:t>
      </w:r>
    </w:p>
    <w:p w14:paraId="03223317" w14:textId="71C607CE" w:rsidR="00E3767A" w:rsidRPr="00CC670F" w:rsidRDefault="00E3767A" w:rsidP="007141A1">
      <w:pPr>
        <w:pStyle w:val="NoSpacing"/>
        <w:rPr>
          <w:color w:val="000000" w:themeColor="text1"/>
        </w:rPr>
      </w:pPr>
      <w:r>
        <w:rPr>
          <w:color w:val="000000" w:themeColor="text1"/>
        </w:rPr>
        <w:t>PWV</w:t>
      </w:r>
      <w:r>
        <w:rPr>
          <w:color w:val="000000" w:themeColor="text1"/>
        </w:rPr>
        <w:tab/>
      </w:r>
      <w:r>
        <w:rPr>
          <w:color w:val="000000" w:themeColor="text1"/>
        </w:rPr>
        <w:tab/>
      </w:r>
      <w:r>
        <w:rPr>
          <w:color w:val="000000" w:themeColor="text1"/>
        </w:rPr>
        <w:tab/>
        <w:t>Pulse wave velocity</w:t>
      </w:r>
    </w:p>
    <w:p w14:paraId="412972DB" w14:textId="2F7C62A9" w:rsidR="00235C79" w:rsidRDefault="00CB1C47" w:rsidP="007141A1">
      <w:pPr>
        <w:pStyle w:val="NoSpacing"/>
        <w:rPr>
          <w:color w:val="000000" w:themeColor="text1"/>
        </w:rPr>
      </w:pPr>
      <w:r w:rsidRPr="00CC670F">
        <w:rPr>
          <w:color w:val="000000" w:themeColor="text1"/>
        </w:rPr>
        <w:t>SBP</w:t>
      </w:r>
      <w:r w:rsidRPr="00CC670F">
        <w:rPr>
          <w:color w:val="000000" w:themeColor="text1"/>
        </w:rPr>
        <w:tab/>
      </w:r>
      <w:r w:rsidRPr="00CC670F">
        <w:rPr>
          <w:color w:val="000000" w:themeColor="text1"/>
        </w:rPr>
        <w:tab/>
      </w:r>
      <w:r w:rsidRPr="00CC670F">
        <w:rPr>
          <w:color w:val="000000" w:themeColor="text1"/>
        </w:rPr>
        <w:tab/>
        <w:t xml:space="preserve">Systolic Blood Pressure </w:t>
      </w:r>
    </w:p>
    <w:p w14:paraId="51E1CBF4" w14:textId="77777777" w:rsidR="00235C79" w:rsidRDefault="00235C79">
      <w:pPr>
        <w:spacing w:before="0" w:after="0" w:line="240" w:lineRule="auto"/>
        <w:rPr>
          <w:color w:val="000000" w:themeColor="text1"/>
        </w:rPr>
      </w:pPr>
      <w:r>
        <w:rPr>
          <w:color w:val="000000" w:themeColor="text1"/>
        </w:rPr>
        <w:br w:type="page"/>
      </w:r>
    </w:p>
    <w:p w14:paraId="55C0EB71" w14:textId="77777777" w:rsidR="00AC487C" w:rsidRPr="00CC670F" w:rsidRDefault="00AC487C" w:rsidP="007A7155">
      <w:pPr>
        <w:pStyle w:val="Heading1"/>
        <w:spacing w:before="0" w:after="0"/>
        <w:rPr>
          <w:color w:val="000000" w:themeColor="text1"/>
        </w:rPr>
      </w:pPr>
      <w:r w:rsidRPr="00CC670F">
        <w:rPr>
          <w:color w:val="000000" w:themeColor="text1"/>
        </w:rPr>
        <w:t xml:space="preserve">Introduction </w:t>
      </w:r>
    </w:p>
    <w:p w14:paraId="1A63A0C9" w14:textId="681D433D" w:rsidR="008F2ECB" w:rsidRPr="00CC670F" w:rsidRDefault="007B7A67" w:rsidP="007A7155">
      <w:pPr>
        <w:spacing w:before="0" w:after="0"/>
        <w:ind w:firstLine="720"/>
        <w:rPr>
          <w:color w:val="000000" w:themeColor="text1"/>
        </w:rPr>
      </w:pPr>
      <w:r w:rsidRPr="00CC670F">
        <w:rPr>
          <w:color w:val="000000" w:themeColor="text1"/>
        </w:rPr>
        <w:t>Ageing is a major risk factor for cardiovascular disease</w:t>
      </w:r>
      <w:r w:rsidR="00193EFF" w:rsidRPr="00CC670F">
        <w:rPr>
          <w:color w:val="000000" w:themeColor="text1"/>
        </w:rPr>
        <w:t xml:space="preserve"> beyond </w:t>
      </w:r>
      <w:r w:rsidR="002C2658" w:rsidRPr="00CC670F">
        <w:rPr>
          <w:color w:val="000000" w:themeColor="text1"/>
        </w:rPr>
        <w:t xml:space="preserve">simple </w:t>
      </w:r>
      <w:r w:rsidR="00E248C8" w:rsidRPr="00CC670F">
        <w:rPr>
          <w:color w:val="000000" w:themeColor="text1"/>
        </w:rPr>
        <w:t xml:space="preserve">cumulative </w:t>
      </w:r>
      <w:r w:rsidR="008E0957" w:rsidRPr="00CC670F">
        <w:rPr>
          <w:color w:val="000000" w:themeColor="text1"/>
        </w:rPr>
        <w:t xml:space="preserve">conventional risk factor </w:t>
      </w:r>
      <w:r w:rsidR="00193EFF" w:rsidRPr="00CC670F">
        <w:rPr>
          <w:color w:val="000000" w:themeColor="text1"/>
        </w:rPr>
        <w:t>exposure</w:t>
      </w:r>
      <w:r w:rsidRPr="00CC670F">
        <w:rPr>
          <w:color w:val="000000" w:themeColor="text1"/>
        </w:rPr>
        <w:t xml:space="preserve">. </w:t>
      </w:r>
      <w:r w:rsidR="00FB1220" w:rsidRPr="00CC670F">
        <w:rPr>
          <w:color w:val="000000" w:themeColor="text1"/>
        </w:rPr>
        <w:t xml:space="preserve">In large arteries, </w:t>
      </w:r>
      <w:r w:rsidR="00A144E2">
        <w:rPr>
          <w:color w:val="000000" w:themeColor="text1"/>
        </w:rPr>
        <w:t>advancing age is associated with</w:t>
      </w:r>
      <w:r w:rsidR="00FB1220" w:rsidRPr="00CC670F">
        <w:rPr>
          <w:color w:val="000000" w:themeColor="text1"/>
        </w:rPr>
        <w:t xml:space="preserve"> </w:t>
      </w:r>
      <w:r w:rsidR="002E371A" w:rsidRPr="00CC670F">
        <w:rPr>
          <w:color w:val="000000" w:themeColor="text1"/>
        </w:rPr>
        <w:t>biochemical and histological</w:t>
      </w:r>
      <w:r w:rsidR="00FB1220" w:rsidRPr="00CC670F">
        <w:rPr>
          <w:color w:val="000000" w:themeColor="text1"/>
        </w:rPr>
        <w:t xml:space="preserve"> changes</w:t>
      </w:r>
      <w:r w:rsidR="00A144E2">
        <w:rPr>
          <w:color w:val="000000" w:themeColor="text1"/>
        </w:rPr>
        <w:t xml:space="preserve"> that</w:t>
      </w:r>
      <w:r w:rsidR="00FB1220" w:rsidRPr="00CC670F">
        <w:rPr>
          <w:color w:val="000000" w:themeColor="text1"/>
        </w:rPr>
        <w:t xml:space="preserve"> </w:t>
      </w:r>
      <w:r w:rsidR="00DA1B11" w:rsidRPr="00CC670F">
        <w:rPr>
          <w:color w:val="000000" w:themeColor="text1"/>
        </w:rPr>
        <w:t>result</w:t>
      </w:r>
      <w:r w:rsidR="00FB1220" w:rsidRPr="00CC670F">
        <w:rPr>
          <w:color w:val="000000" w:themeColor="text1"/>
        </w:rPr>
        <w:t xml:space="preserve"> in </w:t>
      </w:r>
      <w:r w:rsidR="00C55E73" w:rsidRPr="00CC670F">
        <w:rPr>
          <w:color w:val="000000" w:themeColor="text1"/>
        </w:rPr>
        <w:t xml:space="preserve">vessel </w:t>
      </w:r>
      <w:r w:rsidR="00FB1220" w:rsidRPr="00CC670F">
        <w:rPr>
          <w:color w:val="000000" w:themeColor="text1"/>
        </w:rPr>
        <w:t>stiffening</w:t>
      </w:r>
      <w:r w:rsidR="0029109A" w:rsidRPr="00CC670F">
        <w:rPr>
          <w:color w:val="000000" w:themeColor="text1"/>
        </w:rPr>
        <w:t xml:space="preserve">. The aorta </w:t>
      </w:r>
      <w:r w:rsidR="007B286B" w:rsidRPr="00CC670F">
        <w:rPr>
          <w:color w:val="000000" w:themeColor="text1"/>
        </w:rPr>
        <w:t>buffer</w:t>
      </w:r>
      <w:r w:rsidR="00A939C0" w:rsidRPr="00CC670F">
        <w:rPr>
          <w:color w:val="000000" w:themeColor="text1"/>
        </w:rPr>
        <w:t>s</w:t>
      </w:r>
      <w:r w:rsidR="0029109A" w:rsidRPr="00CC670F">
        <w:rPr>
          <w:color w:val="000000" w:themeColor="text1"/>
        </w:rPr>
        <w:t xml:space="preserve"> pulsatile stroke volume and translate</w:t>
      </w:r>
      <w:r w:rsidR="00A939C0" w:rsidRPr="00CC670F">
        <w:rPr>
          <w:color w:val="000000" w:themeColor="text1"/>
        </w:rPr>
        <w:t>s</w:t>
      </w:r>
      <w:r w:rsidR="0029109A" w:rsidRPr="00CC670F">
        <w:rPr>
          <w:color w:val="000000" w:themeColor="text1"/>
        </w:rPr>
        <w:t xml:space="preserve"> this to steady peripheral flow, </w:t>
      </w:r>
      <w:r w:rsidR="00A144E2">
        <w:rPr>
          <w:color w:val="000000" w:themeColor="text1"/>
        </w:rPr>
        <w:t>therefore progressi</w:t>
      </w:r>
      <w:r w:rsidR="006046F9">
        <w:rPr>
          <w:color w:val="000000" w:themeColor="text1"/>
        </w:rPr>
        <w:t>ve</w:t>
      </w:r>
      <w:r w:rsidR="00E300A9" w:rsidRPr="00CC670F">
        <w:rPr>
          <w:color w:val="000000" w:themeColor="text1"/>
        </w:rPr>
        <w:t xml:space="preserve"> stiffening</w:t>
      </w:r>
      <w:r w:rsidR="006046F9">
        <w:rPr>
          <w:color w:val="000000" w:themeColor="text1"/>
        </w:rPr>
        <w:t xml:space="preserve"> </w:t>
      </w:r>
      <w:r w:rsidR="007B286B" w:rsidRPr="00CC670F">
        <w:rPr>
          <w:color w:val="000000" w:themeColor="text1"/>
        </w:rPr>
        <w:t xml:space="preserve">increases </w:t>
      </w:r>
      <w:r w:rsidR="00CD73B9" w:rsidRPr="00CC670F">
        <w:rPr>
          <w:color w:val="000000" w:themeColor="text1"/>
        </w:rPr>
        <w:t>pulse pressure</w:t>
      </w:r>
      <w:r w:rsidR="008C7188" w:rsidRPr="00CC670F">
        <w:rPr>
          <w:color w:val="000000" w:themeColor="text1"/>
        </w:rPr>
        <w:t xml:space="preserve"> </w:t>
      </w:r>
      <w:r w:rsidR="00016CBD">
        <w:rPr>
          <w:color w:val="000000" w:themeColor="text1"/>
        </w:rPr>
        <w:t xml:space="preserve">(PP) </w:t>
      </w:r>
      <w:r w:rsidR="009D142A" w:rsidRPr="00CC670F">
        <w:rPr>
          <w:color w:val="000000" w:themeColor="text1"/>
        </w:rPr>
        <w:t>and</w:t>
      </w:r>
      <w:r w:rsidR="00A144E2">
        <w:rPr>
          <w:color w:val="000000" w:themeColor="text1"/>
        </w:rPr>
        <w:t xml:space="preserve"> ventricular</w:t>
      </w:r>
      <w:r w:rsidR="00FB1220" w:rsidRPr="00CC670F">
        <w:rPr>
          <w:color w:val="000000" w:themeColor="text1"/>
        </w:rPr>
        <w:t xml:space="preserve"> afterload</w:t>
      </w:r>
      <w:r w:rsidR="009D142A" w:rsidRPr="00CC670F">
        <w:rPr>
          <w:color w:val="000000" w:themeColor="text1"/>
        </w:rPr>
        <w:t>.</w:t>
      </w:r>
      <w:r w:rsidR="00A144E2">
        <w:rPr>
          <w:color w:val="000000" w:themeColor="text1"/>
        </w:rPr>
        <w:t xml:space="preserve"> Such changes in hemodynamics are</w:t>
      </w:r>
      <w:r w:rsidR="009D142A" w:rsidRPr="00CC670F">
        <w:rPr>
          <w:color w:val="000000" w:themeColor="text1"/>
        </w:rPr>
        <w:t xml:space="preserve"> associated with </w:t>
      </w:r>
      <w:r w:rsidR="00813FD4" w:rsidRPr="00CC670F">
        <w:rPr>
          <w:color w:val="000000" w:themeColor="text1"/>
        </w:rPr>
        <w:t>dementia</w:t>
      </w:r>
      <w:r w:rsidR="00CD2770" w:rsidRPr="00CC670F">
        <w:rPr>
          <w:color w:val="000000" w:themeColor="text1"/>
        </w:rPr>
        <w:t>, cardiovascular</w:t>
      </w:r>
      <w:r w:rsidR="00813FD4" w:rsidRPr="00CC670F">
        <w:rPr>
          <w:color w:val="000000" w:themeColor="text1"/>
        </w:rPr>
        <w:t xml:space="preserve"> and kidney disease</w:t>
      </w:r>
      <w:r w:rsidR="009D142A" w:rsidRPr="00CC670F">
        <w:rPr>
          <w:color w:val="000000" w:themeColor="text1"/>
        </w:rPr>
        <w:t>,</w:t>
      </w:r>
      <w:r w:rsidR="007623FB" w:rsidRPr="00CC670F">
        <w:rPr>
          <w:color w:val="000000" w:themeColor="text1"/>
        </w:rPr>
        <w:fldChar w:fldCharType="begin" w:fldLock="1"/>
      </w:r>
      <w:r w:rsidR="00174470">
        <w:rPr>
          <w:color w:val="000000" w:themeColor="text1"/>
        </w:rPr>
        <w:instrText>ADDIN CSL_CITATION {"citationItems":[{"id":"ITEM-1","itemData":{"DOI":"10.1093/brain/awr253","ISBN":"1460-2156 (Electronic)\\r0006-8950 (Linking)","ISSN":"1460-2156","PMID":"22075523","abstract":"Aortic stiffness increases with age and vascular risk factor exposure and is associated with increased risk for structural and functional abnormalities in the brain. High ambient flow and low impedance are thought to sensitize the cerebral microcirculation to harmful effects of excessive pressure and flow pulsatility. However, haemodynamic mechanisms contributing to structural brain lesions and cognitive impairment in the presence of high aortic stiffness remain unclear. We hypothesized that disproportionate stiffening of the proximal aorta as compared with the carotid arteries reduces wave reflection at this important interface and thereby facilitates transmission of excessive pulsatile energy into the cerebral microcirculation, leading to microvascular damage and impaired function. To assess this hypothesis, we evaluated carotid pressure and flow, carotid-femoral pulse wave velocity, brain magnetic resonance images and cognitive scores in participants in the community-based Age, Gene/Environment Susceptibility--Reykjavik study who had no history of stroke, transient ischaemic attack or dementia (n = 668, 378 females, 69-93 years of age). Aortic characteristic impedance was assessed in a random subset (n = 422) and the reflection coefficient at the aorta-carotid interface was computed. Carotid flow pulsatility index was negatively related to the aorta-carotid reflection coefficient (R = -0.66, P&lt;0.001). Carotid pulse pressure, pulsatility index and carotid-femoral pulse wave velocity were each associated with increased risk for silent subcortical infarcts (hazard ratios of 1.62-1.71 per standard deviation, P&lt;0.002). Carotid-femoral pulse wave velocity was associated with higher white matter hyperintensity volume (0.108 ± 0.045 SD/SD, P = 0.018). Pulsatility index was associated with lower whole brain (-0.127 ± 0.037 SD/SD, P&lt;0.001), grey matter (-0.079 ± 0.038 SD/SD, P = 0.038) and white matter (-0.128 ± 0.039 SD/SD, P&lt;0.001) volumes. Carotid-femoral pulse wave velocity (-0.095 ± 0.043 SD/SD, P = 0.028) and carotid pulse pressure (-0.114 ± 0.045 SD/SD, P = 0.013) were associated with lower memory scores. Pulsatility index was associated with lower memory scores (-0.165 ± 0.039 SD/SD, P&lt;0.001), slower processing speed (-0.118 ± 0.033 SD/SD, P&lt;0.001) and worse performance on tests assessing executive function (-0.155 ± 0.041 SD/SD, P&lt;0.001). When magnetic resonance imaging measures (grey and white matter volumes, white matter hyperintensity volumes and p…","author":[{"dropping-particle":"","family":"Mitchell","given":"Gary F.","non-dropping-particle":"","parse-names":false,"suffix":""},{"dropping-particle":"","family":"Buchem","given":"Mark A.","non-dropping-particle":"van","parse-names":false,"suffix":""},{"dropping-particle":"","family":"Sigurdsson","given":"Sigurdur","non-dropping-particle":"","parse-names":false,"suffix":""},{"dropping-particle":"","family":"Gotal","given":"John D.","non-dropping-particle":"","parse-names":false,"suffix":""},{"dropping-particle":"","family":"Jonsdottir","given":"Maria K.","non-dropping-particle":"","parse-names":false,"suffix":""},{"dropping-particle":"","family":"Kjartansson","given":"Ólafur","non-dropping-particle":"","parse-names":false,"suffix":""},{"dropping-particle":"","family":"Garcia","given":"Melissa","non-dropping-particle":"","parse-names":false,"suffix":""},{"dropping-particle":"","family":"Aspelund","given":"Thor","non-dropping-particle":"","parse-names":false,"suffix":""},{"dropping-particle":"","family":"Harris","given":"Tamara B.","non-dropping-particle":"","parse-names":false,"suffix":""},{"dropping-particle":"","family":"Gudnason","given":"Vilmundur","non-dropping-particle":"","parse-names":false,"suffix":""},{"dropping-particle":"","family":"Launer","given":"Lenore J.","non-dropping-particle":"","parse-names":false,"suffix":""}],"container-title":"Brain","id":"ITEM-1","issue":"11","issued":{"date-parts":[["2011","11"]]},"page":"3398-3407","title":"Arterial stiffness, pressure and flow pulsatility and brain structure and function: the Age, Gene/Environment Susceptibility – Reykjavik Study","type":"article-journal","volume":"134"},"uris":["http://www.mendeley.com/documents/?uuid=b369a047-ea3d-497d-ac32-eaee0d0806bd"]},{"id":"ITEM-2","itemData":{"DOI":"10.1016/S0167-8493(85)90305-5","ISBN":"0009-7322","ISSN":"01678493","PMID":"20083680","abstract":"Background— Various measures of arterial stiffness and wave reflection have been proposed as cardiovascular risk markers. Prior studies have not assessed relations of a comprehensive panel of stiffness measures to prognosis in the community. Methods and Results— We used proportional hazards models to analyze first-onset major cardiovascular disease events (myocardial infarction, unstable angina, heart failure, or stroke) in relation to arterial stiffness (pulse wave velocity [PWV]), wave reflection (augmentation index, carotid-brachial pressure amplification), and central pulse pressure in 2232 participants (mean age, 63 years; 58% women) in the Framingham Heart Study. During median follow-up of 7.8 (range, 0.2 to 8.9) years, 151 of 2232 participants (6.8%) experienced an event. In multivariable models adjusted for age, sex, systolic blood pressure, use of antihypertensive therapy, total and high-density lipoprotein cholesterol concentrations, smoking, and presence of diabetes mellitus, higher aortic PWV was associated with a 48% increase in cardiovascular disease risk (95% confidence interval, 1.16 to 1.91 per SD; P=0.002). After PWV was added to a standard risk factor model, integrated discrimination improvement was 0.7% (95% confidence interval, 0.05% to 1.3%; P&amp;amp;lt;0.05). In contrast, augmentation index, central pulse pressure, and pulse pressure amplification were not related to cardiovascular disease outcomes in multivariable models. Conclusions— Higher aortic stiffness assessed by PWV is associated with increased risk for a first cardiovascular event. Aortic PWV improves risk prediction when added to standard risk factors and may represent a valuable biomarker of cardiovascular disease risk in the community. Received June 12, 2009; accepted November 30, 2009.","author":[{"dropping-particle":"","family":"Mitchell","given":"Gary F","non-dropping-particle":"","parse-names":false,"suffix":""},{"dropping-particle":"","family":"Hwang","given":"Shih-Jen","non-dropping-particle":"","parse-names":false,"suffix":""},{"dropping-particle":"","family":"Vasan","given":"Ramachandran S","non-dropping-particle":"","parse-names":false,"suffix":""},{"dropping-particle":"","family":"Larson","given":"Martin G","non-dropping-particle":"","parse-names":false,"suffix":""},{"dropping-particle":"","family":"Pencina","given":"Michael J","non-dropping-particle":"","parse-names":false,"suffix":""},{"dropping-particle":"","family":"Hamburg","given":"Naomi M","non-dropping-particle":"","parse-names":false,"suffix":""},{"dropping-particle":"","family":"Vita","given":"Joseph A","non-dropping-particle":"","parse-names":false,"suffix":""},{"dropping-particle":"","family":"Levy","given":"Daniel","non-dropping-particle":"","parse-names":false,"suffix":""},{"dropping-particle":"","family":"Benjamin","given":"Emelia J","non-dropping-particle":"","parse-names":false,"suffix":""}],"container-title":"Circulation","id":"ITEM-2","issue":"4","issued":{"date-parts":[["2010"]]},"page":"505 -511","title":"Arterial Stiffness and Cardiovascular Events","type":"article-journal","volume":"121"},"uris":["http://www.mendeley.com/documents/?uuid=b8742032-bd21-4e4b-a498-4a9b8e7bb93f"]},{"id":"ITEM-3","itemData":{"DOI":"10.1038/ajh.2009.240","ISSN":"1941-7225","abstract":"Aortic pulse wave velocity (PWV) is a measure of arterial stiffness and has proved useful in predicting cardiovascular morbidity and mortality in several populations of patients, including the healthy elderly, hypertensives and those with end-stage renal disease receiving hemodialysis. Little data exist characterizing aortic stiffness in patients with chronic kidney disease (CKD) who are not receiving dialysis, and in particular the effect of reduced kidney function on aortic PWV.","author":[{"dropping-particle":"","family":"Townsend","given":"Raymond R.","non-dropping-particle":"","parse-names":false,"suffix":""},{"dropping-particle":"","family":"Wimmer","given":"Neil J.","non-dropping-particle":"","parse-names":false,"suffix":""},{"dropping-particle":"","family":"Chirinos","given":"Julio A.","non-dropping-particle":"","parse-names":false,"suffix":""},{"dropping-particle":"","family":"Parsa","given":"Afshin","non-dropping-particle":"","parse-names":false,"suffix":""},{"dropping-particle":"","family":"Weir","given":"Matthew","non-dropping-particle":"","parse-names":false,"suffix":""},{"dropping-particle":"","family":"Perumal","given":"Kalyani","non-dropping-particle":"","parse-names":false,"suffix":""},{"dropping-particle":"","family":"Lash","given":"James P.","non-dropping-particle":"","parse-names":false,"suffix":""},{"dropping-particle":"","family":"Chen","given":"Jing","non-dropping-particle":"","parse-names":false,"suffix":""},{"dropping-particle":"","family":"Steigerwalt","given":"Susan P.","non-dropping-particle":"","parse-names":false,"suffix":""},{"dropping-particle":"","family":"Flack","given":"John","non-dropping-particle":"","parse-names":false,"suffix":""},{"dropping-particle":"","family":"Go","given":"Alan S.","non-dropping-particle":"","parse-names":false,"suffix":""},{"dropping-particle":"","family":"Rafey","given":"Mohammed","non-dropping-particle":"","parse-names":false,"suffix":""},{"dropping-particle":"","family":"Rahman","given":"Mahboob","non-dropping-particle":"","parse-names":false,"suffix":""},{"dropping-particle":"","family":"Sheridan","given":"Angela","non-dropping-particle":"","parse-names":false,"suffix":""},{"dropping-particle":"","family":"Gadegbeku","given":"Crystal A.","non-dropping-particle":"","parse-names":false,"suffix":""},{"dropping-particle":"","family":"Robinson","given":"Nancy A.","non-dropping-particle":"","parse-names":false,"suffix":""},{"dropping-particle":"","family":"Joffe","given":"Marshall","non-dropping-particle":"","parse-names":false,"suffix":""}],"container-title":"American Journal of Hypertension","id":"ITEM-3","issue":"3","issued":{"date-parts":[["2010","3"]]},"page":"282-289","title":"Aortic PWV in Chronic Kidney Disease: A CRIC Ancillary Study","type":"article-journal","volume":"23"},"uris":["http://www.mendeley.com/documents/?uuid=e4f7543c-83da-4a34-a5be-d39f9da6127d"]}],"mendeley":{"formattedCitation":"(1–3)","plainTextFormattedCitation":"(1–3)","previouslyFormattedCitation":"(1–3)"},"properties":{"noteIndex":0},"schema":"https://github.com/citation-style-language/schema/raw/master/csl-citation.json"}</w:instrText>
      </w:r>
      <w:r w:rsidR="007623FB" w:rsidRPr="00CC670F">
        <w:rPr>
          <w:color w:val="000000" w:themeColor="text1"/>
        </w:rPr>
        <w:fldChar w:fldCharType="separate"/>
      </w:r>
      <w:r w:rsidR="00D93162" w:rsidRPr="00D93162">
        <w:rPr>
          <w:noProof/>
          <w:color w:val="000000" w:themeColor="text1"/>
        </w:rPr>
        <w:t>(1–3)</w:t>
      </w:r>
      <w:r w:rsidR="007623FB" w:rsidRPr="00CC670F">
        <w:rPr>
          <w:color w:val="000000" w:themeColor="text1"/>
        </w:rPr>
        <w:fldChar w:fldCharType="end"/>
      </w:r>
      <w:r w:rsidR="007623FB" w:rsidRPr="00CC670F">
        <w:rPr>
          <w:color w:val="000000" w:themeColor="text1"/>
        </w:rPr>
        <w:t xml:space="preserve"> </w:t>
      </w:r>
      <w:r w:rsidR="00895173" w:rsidRPr="00CC670F">
        <w:rPr>
          <w:color w:val="000000" w:themeColor="text1"/>
        </w:rPr>
        <w:t>e</w:t>
      </w:r>
      <w:r w:rsidR="002654E7" w:rsidRPr="00CC670F">
        <w:rPr>
          <w:color w:val="000000" w:themeColor="text1"/>
        </w:rPr>
        <w:t xml:space="preserve">ven in </w:t>
      </w:r>
      <w:r w:rsidR="005557EF" w:rsidRPr="00CC670F">
        <w:rPr>
          <w:color w:val="000000" w:themeColor="text1"/>
        </w:rPr>
        <w:t>the absence o</w:t>
      </w:r>
      <w:r w:rsidR="002654E7" w:rsidRPr="00CC670F">
        <w:rPr>
          <w:color w:val="000000" w:themeColor="text1"/>
        </w:rPr>
        <w:t>f atherosclero</w:t>
      </w:r>
      <w:r w:rsidR="00E67525" w:rsidRPr="00CC670F">
        <w:rPr>
          <w:color w:val="000000" w:themeColor="text1"/>
        </w:rPr>
        <w:t>sis</w:t>
      </w:r>
      <w:r w:rsidR="002654E7" w:rsidRPr="00CC670F">
        <w:rPr>
          <w:color w:val="000000" w:themeColor="text1"/>
        </w:rPr>
        <w:t>,</w:t>
      </w:r>
      <w:r w:rsidR="00895173" w:rsidRPr="00CC670F">
        <w:rPr>
          <w:color w:val="000000" w:themeColor="text1"/>
        </w:rPr>
        <w:fldChar w:fldCharType="begin" w:fldLock="1"/>
      </w:r>
      <w:r w:rsidR="00174470">
        <w:rPr>
          <w:color w:val="000000" w:themeColor="text1"/>
        </w:rPr>
        <w:instrText>ADDIN CSL_CITATION {"citationItems":[{"id":"ITEM-1","itemData":{"DOI":"10.1161/CIRCULATIONAHA.105.555235","ISSN":"1524-4539","abstract":"Background—Arterial stiffness has been associated with the risk of cardiovascular disease in selected groups of patients. We evaluated whether arterial stiffness is a predictor of coronary heart disease and stroke in a population-based study among apparently healthy subjects. Methods and Results—The present study included 2835 subjects participating in the third examination phase of the Rotterdam Study. Arterial stiffness was measured as aortic pulse wave velocity and carotid distensibility. Cox proportional hazards regression analysis was performed to compute hazard ratios. During follow-up, 101 subjects developed coronary heart disease (mean follow-up period, 4.1 years), and 63 subjects developed a stroke (mean follow-up period, 3.2 years). The risk of cardiovascular disease increased with increasing aortic pulse wave velocity index. Hazard ratios and corresponding 95% CIs of coronary heart disease for subjects in the second and third tertiles of the aortic pulse wave velocity index compared with subjects in the reference category were 1.72 (0.91 to 3.24) and 2.45 (1.29 to 4.66), respectively, after adjustment for age, gender, mean arterial pressure, and heart rate. Corresponding estimates for stroke were 1.22 (0.55 to 2.70) and 2.28 (1.05 to 4.96). Estimates decreased only slightly after adjustment for cardiovascular risk factors, carotid intima-media thickness, the ankle-arm index, and pulse pressure. The aortic pulse wave velocity index provided additional predictive value above cardiovascular risk factors, measures of atherosclerosis, and pulse pressure. Carotid distensibility as measured in this study was not independently associated with cardiovascular disease. Conclusions—Aortic pulse wave velocity is an independent predictor of coronary heart disease and stroke in apparently healthy subjects. (Circulation. 2006;113:657-663.)","author":[{"dropping-particle":"","family":"Hoeks","given":"Arnold P G","non-dropping-particle":"","parse-names":false,"suffix":""},{"dropping-particle":"","family":"Breteler","given":"Monique M B","non-dropping-particle":"","parse-names":false,"suffix":""},{"dropping-particle":"","family":"Witteman Popele","given":"Jacqueline C M","non-dropping-particle":"","parse-names":false,"suffix":""},{"dropping-particle":"","family":"Bos","given":"Michiel L","non-dropping-particle":"","parse-names":false,"suffix":""},{"dropping-particle":"","family":"Schalekamp","given":"Maarten A D H","non-dropping-particle":"","parse-names":false,"suffix":""},{"dropping-particle":"","family":"Asmar","given":"Roland","non-dropping-particle":"","parse-names":false,"suffix":""},{"dropping-particle":"","family":"Reneman","given":"Robert S","non-dropping-particle":"","parse-names":false,"suffix":""},{"dropping-particle":"","family":"Mattace-Raso","given":"Francesco U S","non-dropping-particle":"","parse-names":false,"suffix":""},{"dropping-particle":"","family":"Cammen","given":"Tischa J M","non-dropping-particle":"Van Der","parse-names":false,"suffix":""},{"dropping-particle":"","family":"Hofman","given":"Albert","non-dropping-particle":"","parse-names":false,"suffix":""},{"dropping-particle":"","family":"Van","given":"Nicole M","non-dropping-particle":"","parse-names":false,"suffix":""},{"dropping-particle":"","family":"Popele","given":"Nicole M","non-dropping-particle":"Van","parse-names":false,"suffix":""},{"dropping-particle":"","family":"Witteman","given":"Jacqueline C M","non-dropping-particle":"","parse-names":false,"suffix":""}],"container-title":"Circulation","id":"ITEM-1","issued":{"date-parts":[["2006"]]},"page":"657-663","title":"Arterial Stiffness and Risk of Coronary Heart Disease and Stroke: The Rotterdam Study Arterial Stiffness and Risk of Coronary Heart Disease and Stroke The Rotterdam Study","type":"article-journal","volume":"113"},"uris":["http://www.mendeley.com/documents/?uuid=76497a7d-e957-4e2f-80b1-68a0ee050970"]}],"mendeley":{"formattedCitation":"(4)","plainTextFormattedCitation":"(4)","previouslyFormattedCitation":"(4)"},"properties":{"noteIndex":0},"schema":"https://github.com/citation-style-language/schema/raw/master/csl-citation.json"}</w:instrText>
      </w:r>
      <w:r w:rsidR="00895173" w:rsidRPr="00CC670F">
        <w:rPr>
          <w:color w:val="000000" w:themeColor="text1"/>
        </w:rPr>
        <w:fldChar w:fldCharType="separate"/>
      </w:r>
      <w:r w:rsidR="00D93162" w:rsidRPr="00D93162">
        <w:rPr>
          <w:noProof/>
          <w:color w:val="000000" w:themeColor="text1"/>
        </w:rPr>
        <w:t>(4)</w:t>
      </w:r>
      <w:r w:rsidR="00895173" w:rsidRPr="00CC670F">
        <w:rPr>
          <w:color w:val="000000" w:themeColor="text1"/>
        </w:rPr>
        <w:fldChar w:fldCharType="end"/>
      </w:r>
      <w:r w:rsidR="002654E7" w:rsidRPr="00CC670F">
        <w:rPr>
          <w:color w:val="000000" w:themeColor="text1"/>
        </w:rPr>
        <w:t xml:space="preserve"> </w:t>
      </w:r>
      <w:r w:rsidR="00895173" w:rsidRPr="00CC670F">
        <w:rPr>
          <w:color w:val="000000" w:themeColor="text1"/>
        </w:rPr>
        <w:t>suggesting that age-related arterial stiffening is</w:t>
      </w:r>
      <w:r w:rsidR="00C30EB0">
        <w:rPr>
          <w:color w:val="000000" w:themeColor="text1"/>
        </w:rPr>
        <w:t xml:space="preserve"> detrimental to health</w:t>
      </w:r>
      <w:r w:rsidR="002654E7" w:rsidRPr="00CC670F">
        <w:rPr>
          <w:color w:val="000000" w:themeColor="text1"/>
        </w:rPr>
        <w:t xml:space="preserve">. </w:t>
      </w:r>
      <w:r w:rsidR="00B63691" w:rsidRPr="00CC670F">
        <w:rPr>
          <w:color w:val="000000" w:themeColor="text1"/>
        </w:rPr>
        <w:t>Anti-hypertensive</w:t>
      </w:r>
      <w:r w:rsidR="00C30EB0">
        <w:rPr>
          <w:color w:val="000000" w:themeColor="text1"/>
        </w:rPr>
        <w:t xml:space="preserve"> agents</w:t>
      </w:r>
      <w:r w:rsidR="009B2A99" w:rsidRPr="00CC670F">
        <w:rPr>
          <w:color w:val="000000" w:themeColor="text1"/>
        </w:rPr>
        <w:t xml:space="preserve"> can modify arterial stiffness once established in disease</w:t>
      </w:r>
      <w:r w:rsidR="00DC3EEE" w:rsidRPr="00CC670F">
        <w:rPr>
          <w:color w:val="000000" w:themeColor="text1"/>
        </w:rPr>
        <w:t xml:space="preserve">, </w:t>
      </w:r>
      <w:r w:rsidR="009B2A99" w:rsidRPr="00CC670F">
        <w:rPr>
          <w:color w:val="000000" w:themeColor="text1"/>
        </w:rPr>
        <w:t xml:space="preserve">but </w:t>
      </w:r>
      <w:r w:rsidR="00991AF3" w:rsidRPr="00CC670F">
        <w:rPr>
          <w:color w:val="000000" w:themeColor="text1"/>
        </w:rPr>
        <w:t xml:space="preserve">more </w:t>
      </w:r>
      <w:r w:rsidR="009A51D8" w:rsidRPr="00CC670F">
        <w:rPr>
          <w:color w:val="000000" w:themeColor="text1"/>
        </w:rPr>
        <w:t xml:space="preserve">cardiovascular </w:t>
      </w:r>
      <w:r w:rsidR="003B2E36" w:rsidRPr="00CC670F">
        <w:rPr>
          <w:color w:val="000000" w:themeColor="text1"/>
        </w:rPr>
        <w:t>events</w:t>
      </w:r>
      <w:r w:rsidR="009A51D8" w:rsidRPr="00CC670F">
        <w:rPr>
          <w:color w:val="000000" w:themeColor="text1"/>
        </w:rPr>
        <w:t xml:space="preserve"> occur in</w:t>
      </w:r>
      <w:r w:rsidR="0055360A" w:rsidRPr="00CC670F">
        <w:rPr>
          <w:color w:val="000000" w:themeColor="text1"/>
        </w:rPr>
        <w:t xml:space="preserve"> </w:t>
      </w:r>
      <w:r w:rsidR="00991AF3" w:rsidRPr="00CC670F">
        <w:rPr>
          <w:color w:val="000000" w:themeColor="text1"/>
        </w:rPr>
        <w:t>individuals</w:t>
      </w:r>
      <w:r w:rsidR="007959AA">
        <w:rPr>
          <w:color w:val="000000" w:themeColor="text1"/>
        </w:rPr>
        <w:t xml:space="preserve"> </w:t>
      </w:r>
      <w:r w:rsidR="000260F4">
        <w:rPr>
          <w:color w:val="000000" w:themeColor="text1"/>
        </w:rPr>
        <w:t xml:space="preserve">without </w:t>
      </w:r>
      <w:r w:rsidR="004E576C">
        <w:rPr>
          <w:color w:val="000000" w:themeColor="text1"/>
        </w:rPr>
        <w:t>diagnosed hypertension</w:t>
      </w:r>
      <w:r w:rsidR="00DC3EEE" w:rsidRPr="00CC670F">
        <w:rPr>
          <w:color w:val="000000" w:themeColor="text1"/>
        </w:rPr>
        <w:t>,</w:t>
      </w:r>
      <w:r w:rsidR="00F60C0E" w:rsidRPr="00CC670F">
        <w:rPr>
          <w:color w:val="000000" w:themeColor="text1"/>
        </w:rPr>
        <w:fldChar w:fldCharType="begin" w:fldLock="1"/>
      </w:r>
      <w:r w:rsidR="00174470">
        <w:rPr>
          <w:color w:val="000000" w:themeColor="text1"/>
        </w:rPr>
        <w:instrText>ADDIN CSL_CITATION {"citationItems":[{"id":"ITEM-1","itemData":{"DOI":"10.1136/bmjgh-2017-000306","ISSN":"2059-7908","PMID":"28589034","abstract":"The fast increasing stroke burden across all countries of the world suggests that currently used primary stroke and cardiovascular disease (CVD) prevention strategies are not sufficiently effective. In this article, we overview the gaps in, and pros and cons of, population-wide and high-risk prevention strategies. We suggest that motivating and empowering people to reduce their risk of having a stroke/CVD by using increasingly used smartphone technologies would bridge the gap in the population-wide and high-risk prevention strategies and reduce stroke/CVD burden worldwide. We emphasise that for primary stroke prevention to be effective, the focus should be shifted from high-risk prevention to prevention at any level of CVD risk, with the focus on behavioural risk factors. Such a motivational population-wide strategy could open a new page in primary prevention of not only stroke/CVD but also other non-communicable disorders worldwide.","author":[{"dropping-particle":"","family":"Feigin","given":"Valery L","non-dropping-particle":"","parse-names":false,"suffix":""},{"dropping-particle":"","family":"Norrving","given":"Bo","non-dropping-particle":"","parse-names":false,"suffix":""},{"dropping-particle":"","family":"Mensah","given":"George A","non-dropping-particle":"","parse-names":false,"suffix":""}],"container-title":"BMJ global health","id":"ITEM-1","issue":"2","issued":{"date-parts":[["2016"]]},"page":"e000306","publisher":"BMJ Publishing Group","title":"Primary prevention of cardiovascular disease through population-wide motivational strategies: insights from using smartphones in stroke prevention.","type":"article-journal","volume":"2"},"uris":["http://www.mendeley.com/documents/?uuid=d05d845d-d959-39a8-b808-30dd582c559d"]}],"mendeley":{"formattedCitation":"(5)","plainTextFormattedCitation":"(5)","previouslyFormattedCitation":"(5)"},"properties":{"noteIndex":0},"schema":"https://github.com/citation-style-language/schema/raw/master/csl-citation.json"}</w:instrText>
      </w:r>
      <w:r w:rsidR="00F60C0E" w:rsidRPr="00CC670F">
        <w:rPr>
          <w:color w:val="000000" w:themeColor="text1"/>
        </w:rPr>
        <w:fldChar w:fldCharType="separate"/>
      </w:r>
      <w:r w:rsidR="00D93162" w:rsidRPr="00D93162">
        <w:rPr>
          <w:noProof/>
          <w:color w:val="000000" w:themeColor="text1"/>
        </w:rPr>
        <w:t>(5)</w:t>
      </w:r>
      <w:r w:rsidR="00F60C0E" w:rsidRPr="00CC670F">
        <w:rPr>
          <w:color w:val="000000" w:themeColor="text1"/>
        </w:rPr>
        <w:fldChar w:fldCharType="end"/>
      </w:r>
      <w:r w:rsidR="00DC3EEE" w:rsidRPr="00CC670F">
        <w:rPr>
          <w:color w:val="000000" w:themeColor="text1"/>
        </w:rPr>
        <w:t xml:space="preserve"> </w:t>
      </w:r>
      <w:r w:rsidR="0079769C" w:rsidRPr="00CC670F">
        <w:rPr>
          <w:color w:val="000000" w:themeColor="text1"/>
        </w:rPr>
        <w:t xml:space="preserve">providing </w:t>
      </w:r>
      <w:r w:rsidR="00DC3EEE" w:rsidRPr="00CC670F">
        <w:rPr>
          <w:color w:val="000000" w:themeColor="text1"/>
        </w:rPr>
        <w:t xml:space="preserve">an opportunity for early </w:t>
      </w:r>
      <w:r w:rsidR="00C4066D" w:rsidRPr="00CC670F">
        <w:rPr>
          <w:color w:val="000000" w:themeColor="text1"/>
        </w:rPr>
        <w:t xml:space="preserve">lifestyle modification </w:t>
      </w:r>
      <w:r w:rsidR="00DC3EEE" w:rsidRPr="00CC670F">
        <w:rPr>
          <w:color w:val="000000" w:themeColor="text1"/>
        </w:rPr>
        <w:t>in health.</w:t>
      </w:r>
      <w:r w:rsidR="00B63691" w:rsidRPr="00CC670F">
        <w:rPr>
          <w:color w:val="000000" w:themeColor="text1"/>
        </w:rPr>
        <w:fldChar w:fldCharType="begin" w:fldLock="1"/>
      </w:r>
      <w:r w:rsidR="00051C79">
        <w:rPr>
          <w:color w:val="000000" w:themeColor="text1"/>
        </w:rPr>
        <w:instrText>ADDIN CSL_CITATION {"citationItems":[{"id":"ITEM-1","itemData":{"DOI":"10.1016/j.jacc.2013.09.063","ISBN":"1558-3597 (Electronic)\\r0735-1097 (Linking)","ISSN":"07351097","PMID":"24239664","abstract":"Objectives The goal of this study was to determine whether aortic pulse wave velocity (aPWV) improves prediction of cardiovascular disease (CVD) events beyond conventional risk factors. Background Several studies have shown that aPWV may be a useful risk factor for predicting CVD, but they have been underpowered to examine whether this is true for different subgroups. Methods We undertook a systematic review and obtained individual participant data from 16 studies. Study-specific associations of aPWV with CVD outcomes were determined using Cox proportional hazard models and random effect models to estimate pooled effects. Results Of 17,635 participants, a total of 1,785 (10%) had a CVD event. The pooled age- and sex-adjusted hazard ratios (HRs) per 1-SD change in loge aPWV were 1.35 (95% confidence interval [CI]: 1.22 to 1.50; p &lt; 0.001) for coronary heart disease, 1.54 (95% CI: 1.34 to 1.78; p &lt; 0.001) for stroke, and 1.45 (95% CI: 1.30 to 1.61; p &lt; 0.001) for CVD. Associations stratified according to sex, diabetes, and hypertension were similar but decreased with age (1.89, 1.77, 1.36, and 1.23 for age ≤50, 51 to 60, 61 to 70, and &gt;70 years, respectively; pinteraction &lt;0.001). After adjusting for conventional risk factors, aPWV remained a predictor of coronary heart disease (HR: 1.23 [95% CI: 1.11 to 1.35]; p &lt; 0.001), stroke (HR: 1.28 [95% CI: 1.16 to 1.42]; p &lt; 0.001), and CVD events (HR: 1.30 [95% CI: 1.18 to 1.43]; p &lt; 0.001). Reclassification indices showed that the addition of aPWV improved risk prediction (13% for 10-year CVD risk for intermediate risk) for some subgroups. Conclusions Consideration of aPWV improves model fit and reclassifies risk for future CVD events in models that include standard risk factors. aPWV may enable better identification of high-risk populations that might benefit from more aggressive CVD risk factor management.","author":[{"dropping-particle":"","family":"Ben-Shlomo","given":"Yoav","non-dropping-particle":"","parse-names":false,"suffix":""},{"dropping-particle":"","family":"Spears","given":"Melissa","non-dropping-particle":"","parse-names":false,"suffix":""},{"dropping-particle":"","family":"Boustred","given":"Chris","non-dropping-particle":"","parse-names":false,"suffix":""},{"dropping-particle":"","family":"May","given":"Margaret","non-dropping-particle":"","parse-names":false,"suffix":""},{"dropping-particle":"","family":"Anderson","given":"Simon G.","non-dropping-particle":"","parse-names":false,"suffix":""},{"dropping-particle":"","family":"Benjamin","given":"Emelia J.","non-dropping-particle":"","parse-names":false,"suffix":""},{"dropping-particle":"","family":"Boutouyrie","given":"Pierre","non-dropping-particle":"","parse-names":false,"suffix":""},{"dropping-particle":"","family":"Cameron","given":"James","non-dropping-particle":"","parse-names":false,"suffix":""},{"dropping-particle":"","family":"Chen","given":"Chen-Huan","non-dropping-particle":"","parse-names":false,"suffix":""},{"dropping-particle":"","family":"Cruickshank","given":"J. Kennedy","non-dropping-particle":"","parse-names":false,"suffix":""},{"dropping-particle":"","family":"Hwang","given":"Shih-Jen","non-dropping-particle":"","parse-names":false,"suffix":""},{"dropping-particle":"","family":"Lakatta","given":"Edward G.","non-dropping-particle":"","parse-names":false,"suffix":""},{"dropping-particle":"","family":"Laurent","given":"Stephane","non-dropping-particle":"","parse-names":false,"suffix":""},{"dropping-particle":"","family":"Maldonado","given":"João","non-dropping-particle":"","parse-names":false,"suffix":""},{"dropping-particle":"","family":"Mitchell","given":"Gary F.","non-dropping-particle":"","parse-names":false,"suffix":""},{"dropping-particle":"","family":"Najjar","given":"Samer S.","non-dropping-particle":"","parse-names":false,"suffix":""},{"dropping-particle":"","family":"Newman","given":"Anne B.","non-dropping-particle":"","parse-names":false,"suffix":""},{"dropping-particle":"","family":"Ohishi","given":"Mitsuru","non-dropping-particle":"","parse-names":false,"suffix":""},{"dropping-particle":"","family":"Pannier","given":"Bruno","non-dropping-particle":"","parse-names":false,"suffix":""},{"dropping-particle":"","family":"Pereira","given":"Telmo","non-dropping-particle":"","parse-names":false,"suffix":""},{"dropping-particle":"","family":"Vasan","given":"Ramachandran S.","non-dropping-particle":"","parse-names":false,"suffix":""},{"dropping-particle":"","family":"Shokawa","given":"Tomoki","non-dropping-particle":"","parse-names":false,"suffix":""},{"dropping-particle":"","family":"Sutton-Tyrell","given":"Kim","non-dropping-particle":"","parse-names":false,"suffix":""},{"dropping-particle":"","family":"Verbeke","given":"Francis","non-dropping-particle":"","parse-names":false,"suffix":""},{"dropping-particle":"","family":"Wang","given":"Kang-Ling","non-dropping-particle":"","parse-names":false,"suffix":""},{"dropping-particle":"","family":"Webb","given":"David J.","non-dropping-particle":"","parse-names":false,"suffix":""},{"dropping-particle":"","family":"Willum Hansen","given":"Tine","non-dropping-particle":"","parse-names":false,"suffix":""},{"dropping-particle":"","family":"Zoungas","given":"Sophia","non-dropping-particle":"","parse-names":false,"suffix":""},{"dropping-particle":"","family":"McEniery","given":"Carmel M.","non-dropping-particle":"","parse-names":false,"suffix":""},{"dropping-particle":"","family":"Cockcroft","given":"John R.","non-dropping-particle":"","parse-names":false,"suffix":""},{"dropping-particle":"","family":"Wilkinson","given":"Ian B.","non-dropping-particle":"","parse-names":false,"suffix":""}],"container-title":"Journal of the American College of Cardiology","id":"ITEM-1","issue":"7","issued":{"date-parts":[["2014","2"]]},"page":"636-646","title":"Aortic Pulse Wave Velocity Improves Cardiovascular Event Prediction","type":"article-journal","volume":"63"},"uris":["http://www.mendeley.com/documents/?uuid=dbfb940c-e170-4166-8e3e-53262379c1f7"]},{"id":"ITEM-2","itemData":{"DOI":"10.1016/j.jacc.2019.07.012","ISSN":"07351097","author":[{"dropping-particle":"","family":"Chirinos","given":"Julio A.","non-dropping-particle":"","parse-names":false,"suffix":""},{"dropping-particle":"","family":"Segers","given":"Patrick","non-dropping-particle":"","parse-names":false,"suffix":""},{"dropping-particle":"","family":"Hughes","given":"Timothy","non-dropping-particle":"","parse-names":false,"suffix":""},{"dropping-particle":"","family":"Townsend","given":"Raymond","non-dropping-particle":"","parse-names":false,"suffix":""}],"container-title":"Journal of the American College of Cardiology","id":"ITEM-2","issue":"9","issued":{"date-parts":[["2019"]]},"page":"1237-1263","title":"Large-Artery Stiffness in Health and Disease","type":"article-journal","volume":"74"},"uris":["http://www.mendeley.com/documents/?uuid=078f8ad7-85d0-4d7c-a73f-f8f6a02db8bf"]}],"mendeley":{"formattedCitation":"(6,7)","plainTextFormattedCitation":"(6,7)","previouslyFormattedCitation":"(6,7)"},"properties":{"noteIndex":0},"schema":"https://github.com/citation-style-language/schema/raw/master/csl-citation.json"}</w:instrText>
      </w:r>
      <w:r w:rsidR="00B63691" w:rsidRPr="00CC670F">
        <w:rPr>
          <w:color w:val="000000" w:themeColor="text1"/>
        </w:rPr>
        <w:fldChar w:fldCharType="separate"/>
      </w:r>
      <w:r w:rsidR="00D93162" w:rsidRPr="00D93162">
        <w:rPr>
          <w:noProof/>
          <w:color w:val="000000" w:themeColor="text1"/>
        </w:rPr>
        <w:t>(6,7)</w:t>
      </w:r>
      <w:r w:rsidR="00B63691" w:rsidRPr="00CC670F">
        <w:rPr>
          <w:color w:val="000000" w:themeColor="text1"/>
        </w:rPr>
        <w:fldChar w:fldCharType="end"/>
      </w:r>
      <w:r w:rsidR="008F2ECB" w:rsidRPr="00CC670F">
        <w:rPr>
          <w:color w:val="000000" w:themeColor="text1"/>
        </w:rPr>
        <w:t xml:space="preserve"> </w:t>
      </w:r>
    </w:p>
    <w:p w14:paraId="48302D9E" w14:textId="02E6261F" w:rsidR="006C1D9B" w:rsidRDefault="001474CB" w:rsidP="007A7155">
      <w:pPr>
        <w:spacing w:before="0" w:after="0"/>
        <w:ind w:firstLine="720"/>
        <w:rPr>
          <w:color w:val="000000" w:themeColor="text1"/>
        </w:rPr>
      </w:pPr>
      <w:r w:rsidRPr="00CC670F">
        <w:rPr>
          <w:color w:val="000000" w:themeColor="text1"/>
        </w:rPr>
        <w:t xml:space="preserve">One </w:t>
      </w:r>
      <w:r w:rsidR="009B2CDB" w:rsidRPr="00CC670F">
        <w:rPr>
          <w:color w:val="000000" w:themeColor="text1"/>
        </w:rPr>
        <w:t xml:space="preserve">potential </w:t>
      </w:r>
      <w:r w:rsidRPr="00CC670F">
        <w:rPr>
          <w:color w:val="000000" w:themeColor="text1"/>
        </w:rPr>
        <w:t xml:space="preserve">beneficial strategy is </w:t>
      </w:r>
      <w:r w:rsidR="00C17E79" w:rsidRPr="00CC670F">
        <w:rPr>
          <w:color w:val="000000" w:themeColor="text1"/>
        </w:rPr>
        <w:t>regular aerobic exercise.</w:t>
      </w:r>
      <w:r w:rsidR="00D73020" w:rsidRPr="00CC670F">
        <w:rPr>
          <w:color w:val="000000" w:themeColor="text1"/>
        </w:rPr>
        <w:fldChar w:fldCharType="begin" w:fldLock="1"/>
      </w:r>
      <w:r w:rsidR="00174470">
        <w:rPr>
          <w:color w:val="000000" w:themeColor="text1"/>
        </w:rPr>
        <w:instrText>ADDIN CSL_CITATION {"citationItems":[{"id":"ITEM-1","itemData":{"DOI":"10.1001/jamanetworkopen.2019.0355","abstract":"&lt;h3&gt;Importance&lt;/h3&gt;&lt;p&gt;Although the benefits of leisure-time physical activity (LTPA) in middle age are established, the health effects of long-term participation and changes in LTPA between adolescence and middle age have not been documented.&lt;/p&gt;&lt;h3&gt;Objective&lt;/h3&gt;&lt;p&gt;To determine whether an association exists between LTPA life course patterns and mortality.&lt;/p&gt;&lt;h3&gt;Design, Setting, and Participants&lt;/h3&gt;&lt;p&gt;This prospective cohort study used data from the National Institutes of Health–AARP (formerly American Association of Retired Persons) Diet and Health Study established in 1995 to 1996. Data analysis was conducted from March 2017 through February 2018. Data were analyzed for 315 059 adult AARP members living in 6 states, namely, California, Florida, Louisiana, New Jersey, North Carolina, or Pennsylvania, or 2 metropolitan areas, Atlanta, Georgia, or Detroit, Michigan.&lt;/p&gt;&lt;h3&gt;Exposures&lt;/h3&gt;&lt;p&gt;Self-reported LTPA (hours per week) at the baseline interview for ages grouped as 15 to 18, 19 to 29, 35 to 39, and 40 to 61 years.&lt;/p&gt;&lt;h3&gt;Main Outcomes and Measures&lt;/h3&gt;&lt;p&gt;All-cause, cardiovascular disease (CVD)–related, and cancer-related mortality records available through December 31, 2011.&lt;/p&gt;&lt;h3&gt;Results&lt;/h3&gt;&lt;p&gt;Of 315 059 participants, 183 451 (58.2%) were men, and the participants were 50 to 71 years of age at enrollment. Ten LTPA trajectories (categorized as maintaining, increasing, and decreasing LTPA across time) were identified, and 71 377 deaths due to all causes, 22 219 deaths due to CVD, and 16 388 deaths due to cancer occurred. Compared with participants who were consistently inactive throughout adulthood, participants who maintained the highest amount of LTPA in each age period were at lower risks for all-cause, CVD-related, and cancer-related mortality. For example, compared with participants who were consistently inactive, maintaining higher amounts of LTPA was associated with lower all-cause (hazard ratio [HR], 0.64; 95% CI, 0.60-0.68), CVD-related (HR, 0.58; 95% CI, 0.53-0.64), and cancer-related (HR, 0.86; 95% CI, 0.77-0.97) mortality. Adults who were less active throughout most of the adult life course but increased LTPA in later adulthood (40-61 years of age) also had lower risk for all-cause (HR, 0.65; 95% CI, 0.62-0.68), CVD-related (HR, 0.57; 95% CI, 0.53-0.61), and cancer-related (HR, 0.84; 95% CI, 0.77-0.92) mortality.&lt;/p&gt;&lt;h3&gt;Conclusions and Relevance&lt;/h3&gt;&lt;p&gt;Maintaining higher LTPA levels and increasing LTPA in later adulthood were associat…","author":[{"dropping-particle":"","family":"Saint-Maurice","given":"Pedro F.","non-dropping-particle":"","parse-names":false,"suffix":""},{"dropping-particle":"","family":"Coughlan","given":"Diarmuid","non-dropping-particle":"","parse-names":false,"suffix":""},{"dropping-particle":"","family":"Kelly","given":"Scott P.","non-dropping-particle":"","parse-names":false,"suffix":""},{"dropping-particle":"","family":"Keadle","given":"Sarah K.","non-dropping-particle":"","parse-names":false,"suffix":""},{"dropping-particle":"","family":"Cook","given":"Michael B.","non-dropping-particle":"","parse-names":false,"suffix":""},{"dropping-particle":"","family":"Carlson","given":"Susan A.","non-dropping-particle":"","parse-names":false,"suffix":""},{"dropping-particle":"","family":"Fulton","given":"Janet E.","non-dropping-particle":"","parse-names":false,"suffix":""},{"dropping-particle":"","family":"Matthews","given":"Charles E.","non-dropping-particle":"","parse-names":false,"suffix":""}],"container-title":"JAMA Network Open","id":"ITEM-1","issue":"3","issued":{"date-parts":[["2019","3","8"]]},"page":"e190355","publisher":"American Medical Association","title":"Association of Leisure-Time Physical Activity Across the Adult Life Course With All-Cause and Cause-Specific Mortality","type":"article-journal","volume":"2"},"uris":["http://www.mendeley.com/documents/?uuid=43d500ea-0293-3556-b5f3-e39ca29c57cd"]}],"mendeley":{"formattedCitation":"(8)","plainTextFormattedCitation":"(8)","previouslyFormattedCitation":"(8)"},"properties":{"noteIndex":0},"schema":"https://github.com/citation-style-language/schema/raw/master/csl-citation.json"}</w:instrText>
      </w:r>
      <w:r w:rsidR="00D73020" w:rsidRPr="00CC670F">
        <w:rPr>
          <w:color w:val="000000" w:themeColor="text1"/>
        </w:rPr>
        <w:fldChar w:fldCharType="separate"/>
      </w:r>
      <w:r w:rsidR="00D93162" w:rsidRPr="00D93162">
        <w:rPr>
          <w:noProof/>
          <w:color w:val="000000" w:themeColor="text1"/>
        </w:rPr>
        <w:t>(8)</w:t>
      </w:r>
      <w:r w:rsidR="00D73020" w:rsidRPr="00CC670F">
        <w:rPr>
          <w:color w:val="000000" w:themeColor="text1"/>
        </w:rPr>
        <w:fldChar w:fldCharType="end"/>
      </w:r>
      <w:r w:rsidR="00C17E79" w:rsidRPr="00CC670F">
        <w:rPr>
          <w:color w:val="000000" w:themeColor="text1"/>
        </w:rPr>
        <w:t xml:space="preserve"> </w:t>
      </w:r>
      <w:r w:rsidR="00C30EB0">
        <w:rPr>
          <w:color w:val="000000" w:themeColor="text1"/>
        </w:rPr>
        <w:t>M</w:t>
      </w:r>
      <w:r w:rsidR="008E0957" w:rsidRPr="00CC670F">
        <w:rPr>
          <w:color w:val="000000" w:themeColor="text1"/>
        </w:rPr>
        <w:t xml:space="preserve">ass participation running is an increasingly popular form of non-prescribed exercise, with </w:t>
      </w:r>
      <w:r w:rsidR="00770DC2" w:rsidRPr="00CC670F">
        <w:rPr>
          <w:color w:val="000000" w:themeColor="text1"/>
        </w:rPr>
        <w:t>18</w:t>
      </w:r>
      <w:r w:rsidR="002269D2" w:rsidRPr="00CC670F">
        <w:rPr>
          <w:color w:val="000000" w:themeColor="text1"/>
        </w:rPr>
        <w:t xml:space="preserve"> </w:t>
      </w:r>
      <w:r w:rsidR="008E0957" w:rsidRPr="00CC670F">
        <w:rPr>
          <w:color w:val="000000" w:themeColor="text1"/>
        </w:rPr>
        <w:t xml:space="preserve">million finishers in the USA in </w:t>
      </w:r>
      <w:r w:rsidR="00770DC2" w:rsidRPr="00CC670F">
        <w:rPr>
          <w:color w:val="000000" w:themeColor="text1"/>
        </w:rPr>
        <w:t>2018</w:t>
      </w:r>
      <w:r w:rsidR="002269D2" w:rsidRPr="00CC670F">
        <w:rPr>
          <w:color w:val="000000" w:themeColor="text1"/>
        </w:rPr>
        <w:t>.</w:t>
      </w:r>
      <w:r w:rsidR="002269D2" w:rsidRPr="00CC670F">
        <w:rPr>
          <w:color w:val="000000" w:themeColor="text1"/>
        </w:rPr>
        <w:fldChar w:fldCharType="begin" w:fldLock="1"/>
      </w:r>
      <w:r w:rsidR="00174470">
        <w:rPr>
          <w:color w:val="000000" w:themeColor="text1"/>
        </w:rPr>
        <w:instrText>ADDIN CSL_CITATION {"citationItems":[{"id":"ITEM-1","itemData":{"URL":"https://runningusa.org/RUSA/News/2019/Running_USA_Releases_2019_U.S._Running_Trends_Report.aspx","accessed":{"date-parts":[["2019","3","29"]]},"author":[{"dropping-particle":"","family":"Runningusa.org","given":"","non-dropping-particle":"","parse-names":false,"suffix":""}],"id":"ITEM-1","issued":{"date-parts":[["0"]]},"title":"Running USA Releases 2019 U.S. Running Trends Report - 2019 Running USA U.S. Running Trends Report","type":"webpage"},"uris":["http://www.mendeley.com/documents/?uuid=6e1f43b6-63f4-3548-b9af-76b56ecb39a7"]}],"mendeley":{"formattedCitation":"(9)","plainTextFormattedCitation":"(9)","previouslyFormattedCitation":"(9)"},"properties":{"noteIndex":0},"schema":"https://github.com/citation-style-language/schema/raw/master/csl-citation.json"}</w:instrText>
      </w:r>
      <w:r w:rsidR="002269D2" w:rsidRPr="00CC670F">
        <w:rPr>
          <w:color w:val="000000" w:themeColor="text1"/>
        </w:rPr>
        <w:fldChar w:fldCharType="separate"/>
      </w:r>
      <w:r w:rsidR="00D93162" w:rsidRPr="00D93162">
        <w:rPr>
          <w:noProof/>
          <w:color w:val="000000" w:themeColor="text1"/>
        </w:rPr>
        <w:t>(9)</w:t>
      </w:r>
      <w:r w:rsidR="002269D2" w:rsidRPr="00CC670F">
        <w:rPr>
          <w:color w:val="000000" w:themeColor="text1"/>
        </w:rPr>
        <w:fldChar w:fldCharType="end"/>
      </w:r>
      <w:r w:rsidR="002269D2" w:rsidRPr="00CC670F">
        <w:rPr>
          <w:color w:val="000000" w:themeColor="text1"/>
        </w:rPr>
        <w:t xml:space="preserve"> </w:t>
      </w:r>
      <w:r w:rsidR="00070742" w:rsidRPr="00CC670F">
        <w:rPr>
          <w:color w:val="000000" w:themeColor="text1"/>
        </w:rPr>
        <w:t>Cross-sectional studies have shown that l</w:t>
      </w:r>
      <w:r w:rsidR="002D5E65" w:rsidRPr="00CC670F">
        <w:rPr>
          <w:color w:val="000000" w:themeColor="text1"/>
        </w:rPr>
        <w:t xml:space="preserve">ifelong </w:t>
      </w:r>
      <w:r w:rsidR="00CC193E" w:rsidRPr="00CC670F">
        <w:rPr>
          <w:color w:val="000000" w:themeColor="text1"/>
        </w:rPr>
        <w:t>athletes possess more distensible peripheral arteries,</w:t>
      </w:r>
      <w:r w:rsidR="00A8589D" w:rsidRPr="00CC670F">
        <w:rPr>
          <w:color w:val="000000" w:themeColor="text1"/>
        </w:rPr>
        <w:fldChar w:fldCharType="begin" w:fldLock="1"/>
      </w:r>
      <w:r w:rsidR="00174470">
        <w:rPr>
          <w:color w:val="000000" w:themeColor="text1"/>
        </w:rPr>
        <w:instrText>ADDIN CSL_CITATION {"citationItems":[{"id":"ITEM-1","itemData":{"DOI":"10.1161/01.cir.88.4.1456","ISBN":"0009-7322 (Print)","ISSN":"0009-7322","PMID":"8403292","abstract":"Background. It has been well established that arterial stiffness, manifest as an increase in arterial pulse wave velocity or late systolic amplification of the carotid artery pressure pulse, increases with age. However, the populations studied in prior investigations were not rigorously screened to exclude clinical hypertension, occult coronary disease, or diabetes. Furthermore, it is unknown whether exercise capacity or chronic physical endurance training affects the age-associated increase in arterial stiffness. Methods and Results. Carotid arterial pressure pulse augmentation index (AGI), using applanation tonometry, and aortic pulse wave velocity (APWV) were measured in 146 male and female volunteers 21 to % years old from the Baltimore Longitudinal Study of Aging, who were rigorously screened to exclude clinical and occult cardiovascular disease. Aerobic capacity was determined in all individuals by measurement of maximal oxygen consumption (VO2max) during treadmill exercise. In this healthy, largely sedentary cohort, the arterial stiffness indexes AGI and APWV increased approximately fivefold and twofold, respectively, across the age span in both men and women, despite only a 14% increase in systolic blood pressure (SBP). These age-associated increases in AGI and APWV were of a similar magnitude to those in prior studies of less rigorously screened populations. Both AGI and APWV varied inversely with VO2max, and this relationship, at least for AGI, was independent of age. In endurance trained male athletes, 54 to 75 years old (VO2max=44+/-3 mL . kg-1 . min-1), the arterial stiffness indexes were significantly reduced relative to their sedentary age peers (AGI, 36% lower, APWV, 26% lower) despite similar blood pressures. Conclusions. Even in normotensive, rigorously screened volunteers in whom SBP increased an average of only 14% between ages 20 and 90 years, major age-associated increases of arterial stiffness occur. Higher physical conditioning status, indexed by VO2max, was associated with reduced arterial stiffness, both within this predominantly sedentary population and in endurance trained older men relative to their less active age peers. These findings suggest that interventions to improve aerobic capacity may mitigate the stiffening of the arterial tree that accompanies normative aging.","author":[{"dropping-particle":"V","family":"Vaitkevicius","given":"P","non-dropping-particle":"","parse-names":false,"suffix":""},{"dropping-particle":"","family":"Fleg","given":"J L","non-dropping-particle":"","parse-names":false,"suffix":""},{"dropping-particle":"","family":"Engel","given":"J H","non-dropping-particle":"","parse-names":false,"suffix":""},{"dropping-particle":"","family":"Oconnor","given":"F C","non-dropping-particle":"","parse-names":false,"suffix":""},{"dropping-particle":"","family":"Wright","given":"J G","non-dropping-particle":"","parse-names":false,"suffix":""},{"dropping-particle":"","family":"Lakatta","given":"L E","non-dropping-particle":"","parse-names":false,"suffix":""},{"dropping-particle":"","family":"Yin","given":"F C P","non-dropping-particle":"","parse-names":false,"suffix":""},{"dropping-particle":"","family":"Lakatta","given":"E G","non-dropping-particle":"","parse-names":false,"suffix":""}],"container-title":"Circulation","id":"ITEM-1","issue":"4","issued":{"date-parts":[["1993"]]},"page":"1456-1462","title":"Effects of Age and Aerobic Capacity on Arterial Stiffness in Healthy-Adults","type":"article-journal","volume":"88"},"uris":["http://www.mendeley.com/documents/?uuid=748def31-e406-4d40-8e6a-83931eced9dc"]}],"mendeley":{"formattedCitation":"(10)","plainTextFormattedCitation":"(10)","previouslyFormattedCitation":"(10)"},"properties":{"noteIndex":0},"schema":"https://github.com/citation-style-language/schema/raw/master/csl-citation.json"}</w:instrText>
      </w:r>
      <w:r w:rsidR="00A8589D" w:rsidRPr="00CC670F">
        <w:rPr>
          <w:color w:val="000000" w:themeColor="text1"/>
        </w:rPr>
        <w:fldChar w:fldCharType="separate"/>
      </w:r>
      <w:r w:rsidR="00D93162" w:rsidRPr="00D93162">
        <w:rPr>
          <w:noProof/>
          <w:color w:val="000000" w:themeColor="text1"/>
        </w:rPr>
        <w:t>(10)</w:t>
      </w:r>
      <w:r w:rsidR="00A8589D" w:rsidRPr="00CC670F">
        <w:rPr>
          <w:color w:val="000000" w:themeColor="text1"/>
        </w:rPr>
        <w:fldChar w:fldCharType="end"/>
      </w:r>
      <w:r w:rsidR="00A8589D" w:rsidRPr="00CC670F">
        <w:rPr>
          <w:color w:val="000000" w:themeColor="text1"/>
        </w:rPr>
        <w:t xml:space="preserve"> </w:t>
      </w:r>
      <w:r w:rsidR="00CC193E" w:rsidRPr="00CC670F">
        <w:rPr>
          <w:color w:val="000000" w:themeColor="text1"/>
        </w:rPr>
        <w:t xml:space="preserve">and </w:t>
      </w:r>
      <w:r w:rsidR="00EE59B6" w:rsidRPr="00CC670F">
        <w:rPr>
          <w:color w:val="000000" w:themeColor="text1"/>
        </w:rPr>
        <w:t>relatively brief (&lt; 3 month</w:t>
      </w:r>
      <w:r w:rsidR="00182CC5" w:rsidRPr="00CC670F">
        <w:rPr>
          <w:color w:val="000000" w:themeColor="text1"/>
        </w:rPr>
        <w:t>s</w:t>
      </w:r>
      <w:r w:rsidR="00EE59B6" w:rsidRPr="00CC670F">
        <w:rPr>
          <w:color w:val="000000" w:themeColor="text1"/>
        </w:rPr>
        <w:t>)</w:t>
      </w:r>
      <w:r w:rsidR="00CC193E" w:rsidRPr="00CC670F">
        <w:rPr>
          <w:color w:val="000000" w:themeColor="text1"/>
        </w:rPr>
        <w:t xml:space="preserve"> </w:t>
      </w:r>
      <w:r w:rsidR="006A357D" w:rsidRPr="00CC670F">
        <w:rPr>
          <w:color w:val="000000" w:themeColor="text1"/>
        </w:rPr>
        <w:t xml:space="preserve">supervised </w:t>
      </w:r>
      <w:r w:rsidR="00EE59B6" w:rsidRPr="00CC670F">
        <w:rPr>
          <w:color w:val="000000" w:themeColor="text1"/>
        </w:rPr>
        <w:t xml:space="preserve">aerobic </w:t>
      </w:r>
      <w:r w:rsidR="00CC193E" w:rsidRPr="00CC670F">
        <w:rPr>
          <w:color w:val="000000" w:themeColor="text1"/>
        </w:rPr>
        <w:t xml:space="preserve">exercise </w:t>
      </w:r>
      <w:r w:rsidR="00EE59B6" w:rsidRPr="00CC670F">
        <w:rPr>
          <w:color w:val="000000" w:themeColor="text1"/>
        </w:rPr>
        <w:t xml:space="preserve">interventions </w:t>
      </w:r>
      <w:r w:rsidR="00CC193E" w:rsidRPr="00CC670F">
        <w:rPr>
          <w:color w:val="000000" w:themeColor="text1"/>
        </w:rPr>
        <w:t>benefit</w:t>
      </w:r>
      <w:r w:rsidR="00D602F9" w:rsidRPr="00CC670F">
        <w:rPr>
          <w:color w:val="000000" w:themeColor="text1"/>
        </w:rPr>
        <w:t xml:space="preserve"> brachial </w:t>
      </w:r>
      <w:r w:rsidR="007019B6" w:rsidRPr="00CC670F">
        <w:rPr>
          <w:color w:val="000000" w:themeColor="text1"/>
        </w:rPr>
        <w:t xml:space="preserve">blood pressure </w:t>
      </w:r>
      <w:r w:rsidR="005D59FA" w:rsidRPr="00CC670F">
        <w:rPr>
          <w:color w:val="000000" w:themeColor="text1"/>
        </w:rPr>
        <w:t xml:space="preserve">(BP) </w:t>
      </w:r>
      <w:r w:rsidR="007019B6" w:rsidRPr="00CC670F">
        <w:rPr>
          <w:color w:val="000000" w:themeColor="text1"/>
        </w:rPr>
        <w:t xml:space="preserve">and </w:t>
      </w:r>
      <w:r w:rsidR="008E0957" w:rsidRPr="00CC670F">
        <w:rPr>
          <w:color w:val="000000" w:themeColor="text1"/>
        </w:rPr>
        <w:t xml:space="preserve">peripheral artery </w:t>
      </w:r>
      <w:r w:rsidR="007019B6" w:rsidRPr="00CC670F">
        <w:rPr>
          <w:color w:val="000000" w:themeColor="text1"/>
        </w:rPr>
        <w:t>stiff</w:t>
      </w:r>
      <w:r w:rsidR="008E0957" w:rsidRPr="00CC670F">
        <w:rPr>
          <w:color w:val="000000" w:themeColor="text1"/>
        </w:rPr>
        <w:t>ness</w:t>
      </w:r>
      <w:r w:rsidR="00E17AEA" w:rsidRPr="00CC670F">
        <w:rPr>
          <w:color w:val="000000" w:themeColor="text1"/>
        </w:rPr>
        <w:t>.</w:t>
      </w:r>
      <w:r w:rsidR="005C6187" w:rsidRPr="00CC670F">
        <w:rPr>
          <w:color w:val="000000" w:themeColor="text1"/>
        </w:rPr>
        <w:fldChar w:fldCharType="begin" w:fldLock="1"/>
      </w:r>
      <w:r w:rsidR="00174470">
        <w:rPr>
          <w:color w:val="000000" w:themeColor="text1"/>
        </w:rPr>
        <w:instrText>ADDIN CSL_CITATION {"citationItems":[{"id":"ITEM-1","itemData":{"abstract":"Background—A reduction in compliance of the large-sized cardiothoracic (central) arteries is an independent risk factor for the development of cardiovascular disease with advancing age. Methods and Results—We determined the role of habitual exercise on the age-related decrease in central arterial compliance by using both cross-sectional and interventional approaches. First, we studied 151 healthy men aged 18 to 77 years: 54 were sedentary, 45 were recreationally active, and 53 were endurance exercise–trained. Central arterial compliance (simultaneous B-mode ultrasound and arterial applanation tonometry on the common carotid artery) was lower (PϽ0.05) in middle-aged and older men than in young men in all 3 groups. There were no significant differences between sedentary and recreationally active men at any age. However, arterial compliance in the endurance-trained middle-aged and older men was 20% to 35% higher than in the 2 less active groups (PϽ0.01). As such, age-related differences in central arterial compliance were smaller in the endurance-trained men than in the sedentary and recreationally active men. Second, we studied 20 middle-aged and older (53Ϯ2 years) sedentary healthy men before and after a 3-month aerobic exercise intervention (primarily walking). Regular exercise increased central arterial compliance (PϽ0.01) to levels similar to those of the middle-aged and older endurance-trained men. These effects were independent of changes in body mass, adiposity, arterial blood pressure, or maximal oxygen consumption. Conclusions—Regular aerobic-endurance exercise attenuates age-related reductions in central arterial compliance and restores levels in previously sedentary healthy middle-aged and older men. This may be one mechanism by which habitual exercise lowers the risk of cardiovascular disease in this population. (Circulation. 2000;102:1270-1275.) A rterial compliance reflects the ability of an artery to expand and recoil with cardiac pulsation and relax-ation. 1 In sedentary humans, the compliance of the large-sized arteries in the cardiothoracic region (central circulation) decreases with advancing age. 1–3 These reductions are asso-ciated with several pathological states common to older adults, including isolated systolic hypertension, left ventric-ular hypertrophy, congestive heart failure, aortic root regur-gitation, and orthostatic and postprandial hypotension. 1,4 As such, decreased central arterial compliance has been identi-fied as an …","author":[{"dropping-particle":"","family":"Tanaka","given":"Hirofumi","non-dropping-particle":"","parse-names":false,"suffix":""},{"dropping-particle":"","family":"Dinenno","given":"Frank A","non-dropping-particle":"","parse-names":false,"suffix":""},{"dropping-particle":"","family":"Monahan","given":"Kevin D","non-dropping-particle":"","parse-names":false,"suffix":""},{"dropping-particle":"","family":"Clevenger","given":"Christopher M","non-dropping-particle":"","parse-names":false,"suffix":""},{"dropping-particle":"","family":"Desouza","given":"Christopher A","non-dropping-particle":"","parse-names":false,"suffix":""},{"dropping-particle":"","family":"Seals","given":"Douglas R","non-dropping-particle":"","parse-names":false,"suffix":""}],"container-title":"Circulation","id":"ITEM-1","issued":{"date-parts":[["2000"]]},"page":"1270-1275","title":"Aging, Habitual Exercise, and Dynamic Arterial Compliance","type":"article-journal","volume":"102"},"uris":["http://www.mendeley.com/documents/?uuid=02a8fc52-b049-4605-b07d-ae5a3aed7391"]},{"id":"ITEM-2","itemData":{"DOI":"10.1038/mp.2011.182.doi","abstract":"Background—Healthy but sedentary aging leads to ca; whereas life-long endurance training preserves lef; it is unknown whether exercise training started la; secondary functional outcomes included Doppler ech; magnetic resonance imaging assessment of cardiac m; arterial stiffness (total aortic compliance and ar; and maximal exercise testing. Nine of 12 sedentary; 6 male; 3 female) completed 1 year of endurance training f; during decreased cardiac filling with lower-body n; and increased filling with saline infusion. LV com; V̇O2max; LV mass; LV end-diastolic volume; and stroke volume were significantly smaller and t; it reduced arterial elastance and improved V̇O2 ma; P&lt;0.001). LV mass increased (10%; 64.5±7.9 versus 71.2±12.3 g/m2; P=0.037) with no change in the mass-volume ratio. ; it nonetheless induced physiological LV remodeling","author":[{"dropping-particle":"","family":"Fujimoto","given":"Naoki","non-dropping-particle":"","parse-names":false,"suffix":""},{"dropping-particle":"","family":"Prasad","given":"Anand","non-dropping-particle":"","parse-names":false,"suffix":""},{"dropping-particle":"","family":"Hastings","given":"JL","non-dropping-particle":"","parse-names":false,"suffix":""},{"dropping-particle":"","family":"Arbab-Zadeh","given":"A","non-dropping-particle":"","parse-names":false,"suffix":""},{"dropping-particle":"","family":"Bhella","given":"PS","non-dropping-particle":"","parse-names":false,"suffix":""},{"dropping-particle":"","family":"S","given":"Shibata","non-dropping-particle":"","parse-names":false,"suffix":""},{"dropping-particle":"","family":"Palmer","given":"D","non-dropping-particle":"","parse-names":false,"suffix":""},{"dropping-particle":"","family":"Levine","given":"B","non-dropping-particle":"","parse-names":false,"suffix":""}],"container-title":"Circulation","id":"ITEM-2","issue":"18","issued":{"date-parts":[["2010"]]},"page":"1797-1805","title":"Cardiovascular Effects of 1 Year of Progressive and Vigorous Exercise Training in Previously Sedentary Individuals Older Than 65 Years of Age","type":"article-journal","volume":"122"},"uris":["http://www.mendeley.com/documents/?uuid=6afc8a85-0350-4372-95a3-0501bc909dce"]}],"mendeley":{"formattedCitation":"(11,12)","plainTextFormattedCitation":"(11,12)","previouslyFormattedCitation":"(11,12)"},"properties":{"noteIndex":0},"schema":"https://github.com/citation-style-language/schema/raw/master/csl-citation.json"}</w:instrText>
      </w:r>
      <w:r w:rsidR="005C6187" w:rsidRPr="00CC670F">
        <w:rPr>
          <w:color w:val="000000" w:themeColor="text1"/>
        </w:rPr>
        <w:fldChar w:fldCharType="separate"/>
      </w:r>
      <w:r w:rsidR="00D93162" w:rsidRPr="00D93162">
        <w:rPr>
          <w:noProof/>
          <w:color w:val="000000" w:themeColor="text1"/>
        </w:rPr>
        <w:t>(11,12)</w:t>
      </w:r>
      <w:r w:rsidR="005C6187" w:rsidRPr="00CC670F">
        <w:rPr>
          <w:color w:val="000000" w:themeColor="text1"/>
        </w:rPr>
        <w:fldChar w:fldCharType="end"/>
      </w:r>
      <w:r w:rsidR="008E0957" w:rsidRPr="00CC670F">
        <w:rPr>
          <w:color w:val="000000" w:themeColor="text1"/>
        </w:rPr>
        <w:t xml:space="preserve"> </w:t>
      </w:r>
      <w:r w:rsidR="00991AF3" w:rsidRPr="00CC670F">
        <w:rPr>
          <w:color w:val="000000" w:themeColor="text1"/>
        </w:rPr>
        <w:t xml:space="preserve">The dose of exercise needed to preserve or even rejuvenate the </w:t>
      </w:r>
      <w:r w:rsidR="003F02A3" w:rsidRPr="00CC670F">
        <w:rPr>
          <w:color w:val="000000" w:themeColor="text1"/>
        </w:rPr>
        <w:t xml:space="preserve">central (aortic) </w:t>
      </w:r>
      <w:r w:rsidR="00991AF3" w:rsidRPr="00CC670F">
        <w:rPr>
          <w:color w:val="000000" w:themeColor="text1"/>
        </w:rPr>
        <w:t xml:space="preserve">arterial </w:t>
      </w:r>
      <w:r w:rsidR="00EE5CEC" w:rsidRPr="00CC670F">
        <w:rPr>
          <w:color w:val="000000" w:themeColor="text1"/>
        </w:rPr>
        <w:t xml:space="preserve">system </w:t>
      </w:r>
      <w:r w:rsidR="00991AF3" w:rsidRPr="00CC670F">
        <w:rPr>
          <w:color w:val="000000" w:themeColor="text1"/>
        </w:rPr>
        <w:t xml:space="preserve">in a real-world setting is not known. </w:t>
      </w:r>
      <w:r w:rsidR="00F555A9" w:rsidRPr="00CC670F">
        <w:rPr>
          <w:color w:val="000000" w:themeColor="text1"/>
        </w:rPr>
        <w:t>Using cardiovascular magnetic resonance, it is now possible to assess local arterial stiffness by distensibility in the aorta rather than peripheral vessels</w:t>
      </w:r>
      <w:r w:rsidR="0077401A" w:rsidRPr="00CC670F">
        <w:rPr>
          <w:color w:val="000000" w:themeColor="text1"/>
        </w:rPr>
        <w:t>.</w:t>
      </w:r>
      <w:r w:rsidR="00F555A9" w:rsidRPr="00CC670F">
        <w:rPr>
          <w:color w:val="000000" w:themeColor="text1"/>
        </w:rPr>
        <w:t xml:space="preserve"> </w:t>
      </w:r>
      <w:r w:rsidR="0077401A" w:rsidRPr="00CC670F">
        <w:rPr>
          <w:color w:val="000000" w:themeColor="text1"/>
        </w:rPr>
        <w:t>T</w:t>
      </w:r>
      <w:r w:rsidR="00F555A9" w:rsidRPr="00CC670F">
        <w:rPr>
          <w:color w:val="000000" w:themeColor="text1"/>
        </w:rPr>
        <w:t>his is a stronger prognostic marker</w:t>
      </w:r>
      <w:r w:rsidR="005B1B75" w:rsidRPr="00CC670F">
        <w:rPr>
          <w:color w:val="000000" w:themeColor="text1"/>
        </w:rPr>
        <w:t xml:space="preserve">, </w:t>
      </w:r>
      <w:r w:rsidR="00F555A9" w:rsidRPr="00CC670F">
        <w:rPr>
          <w:color w:val="000000" w:themeColor="text1"/>
        </w:rPr>
        <w:t>and is more closely associated with the natural ageing process.</w:t>
      </w:r>
      <w:r w:rsidR="00F555A9" w:rsidRPr="00CC670F">
        <w:rPr>
          <w:color w:val="000000" w:themeColor="text1"/>
        </w:rPr>
        <w:fldChar w:fldCharType="begin" w:fldLock="1"/>
      </w:r>
      <w:r w:rsidR="00174470">
        <w:rPr>
          <w:color w:val="000000" w:themeColor="text1"/>
        </w:rPr>
        <w:instrText>ADDIN CSL_CITATION {"citationItems":[{"id":"ITEM-1","itemData":{"DOI":"10.1016/J.JCMG.2010.09.016","abstract":"OBJECTIVES\r\nThe purpose of this study was to determine the impact of age on regional aortic pulse wave velocity (aPWV). \r\n\r\nBACKGROUND\r\naPWV is an independent predictor of cardiovascular risk and increases exponentially with age. However, it is unclear whether such changes occur uniformly along the length of the aorta or vary by region. \r\n\r\nMETHODS\r\nA total of 162 subjects, aged 18 to 77 years and free of cardiovascular disease and medication, were recruited from the Anglo-Cardiff Collaborative Trial. Cine phase contrast magnetic resonance imaging was performed at 5 aortic levels. Systolic diameter and average blood flow were measured at each level and regional aPWV (regional aPWV measured by cine phase contrast magnetic resonance imaging) determined in 4 aortic segments: the arch (R1), the thoracic-descending aorta (R2), mid-descending aorta (R3), and the abdominal aorta (R4) and across the entire aorta. \r\n\r\nRESULTS\r\nRegional PWV measured by cine phase contrast magnetic resonance imaging values increased from the valve to the bifurcation in the 4 segments (PWV-R1- PWV-R4: 4.6 ± 1.5 m/s, 5.5 ± 2.0 m/s, 5.7 ± 2.3 m/s, 6.1 ± 2.9 m/s, respectively) and did not differ between genders. The greatest age-related difference in stiffness occurred in the abdominal aorta (+0.9 m/s per decade, p &lt; 0.001) followed by the thoracic-descending region (+0.7 m/s, p &lt; 0.001), the mid-descending region (+0.6 m/s, p &lt; 0.001) and aortic arch (+0.4 m/s, p &lt; 0.001). The average systolic diameters decreased moving distally (L1-5: 3.1 ± 0.4 cm, 2.3 ± 0.3 cm, 2.1 ± 0.3 cm, 1.9 ± 0.2 cm, and 1.7 ± 0.2 cm, respectively). The greatest variation in systolic diameter as a function of age occurred in the ascending region (+0.96 mm/decade, p &lt; 0.001). Values of aPWV measured across the entire aorta were strongly correlated with PWV-tonometry (R = 0.71, p &lt; 0.001), although they were significantly lower (mean difference 1.7 ± 1.6 m/s, p &lt; 0.001). \r\n\r\nCONCLUSIONS\r\nThe greatest difference in aortic stiffness occurs in the abdominal region, whereas the greatest difference in diameter occurs in the ascending aorta, which may help offset an increase in wall stiffness.","author":[{"dropping-particle":"","family":"Hickson","given":"Stacey S.","non-dropping-particle":"","parse-names":false,"suffix":""},{"dropping-particle":"","family":"Butlin","given":"Mark","non-dropping-particle":"","parse-names":false,"suffix":""},{"dropping-particle":"","family":"Graves","given":"Martin","non-dropping-particle":"","parse-names":false,"suffix":""},{"dropping-particle":"","family":"Taviani","given":"Valentina","non-dropping-particle":"","parse-names":false,"suffix":""},{"dropping-particle":"","family":"Avolio","given":"Alberto P.","non-dropping-particle":"","parse-names":false,"suffix":""},{"dropping-particle":"","family":"McEniery","given":"Carmel M.","non-dropping-particle":"","parse-names":false,"suffix":""},{"dropping-particle":"","family":"Wilkinson","given":"Ian B.","non-dropping-particle":"","parse-names":false,"suffix":""}],"container-title":"JACC: Cardiovascular Imaging","id":"ITEM-1","issue":"12","issued":{"date-parts":[["2010","12","1"]]},"page":"1247-1255","publisher":"Elsevier","title":"The Relationship of Age With Regional Aortic Stiffness and Diameter","type":"article-journal","volume":"3"},"uris":["http://www.mendeley.com/documents/?uuid=19a985c3-8eb3-3e92-8ce4-1d1eb0e87701"]},{"id":"ITEM-2","itemData":{"DOI":"10.1161/HYPERTENSIONAHA.109.141275","PMID":"20065154","abstract":"Arterial stiffness predicts cardiovascular events beyond traditional risk factors. However, the relationship with aging of novel noninvasive measures of aortic function by MRI and their interrelationship with established markers of vascular stiffness remain unclear and currently limit their potential impact. Our aim was to compare age-related changes of central measures of aortic function with carotid distensibility, global carotid-femoral pulse wave velocity, and wave reflections. We determined aortic strain, distensibility, and aortic arch pulse wave velocity by MRI, carotid distensibility by ultrasound, and carotid-femoral pulse wave velocity by tonometry in 111 asymptomatic subjects (54 men, age range: 20 to 84 years). Central pressures were used to calculate aortic distensibility. Peripheral and central pulse pressure, augmentation index, and carotid-femoral pulse wave velocity increased with age, but aortic strain and aortic arch PWV were most closely and specifically related to aging. Ascending aortic (AA) strain and distensibility decreased, respectively, by 5.3+/-0.5% (R(2)=0.54, P&lt;0.0001) and 13.6+/-1 kPa(-1)x10(-3) (R(2)=0.62, P&lt;0.0001), and aortic arch pulse wave velocity increased by 1.6+/-0.13 m/sec (R(2)=0.60, P&lt;0.0001) for each decade of age after adjustment for gender, body size, and heart rate. We demonstrate in this study a dramatic decrease in AA distensibility before the fifth decade of life in individuals with diverse prevalence of risk factors free of overt cardiovascular disease. In particular, compared with other measures of aortic function, the best markers of subclinical large artery stiffening, were AA distensibility in younger and aortic arch pulse wave velocity in older individuals.","author":[{"dropping-particle":"","family":"Redheuil","given":"Alban","non-dropping-particle":"","parse-names":false,"suffix":""},{"dropping-particle":"","family":"Yu","given":"Wen-Chung","non-dropping-particle":"","parse-names":false,"suffix":""},{"dropping-particle":"","family":"Wu","given":"Colin O","non-dropping-particle":"","parse-names":false,"suffix":""},{"dropping-particle":"","family":"Mousseaux","given":"Elie","non-dropping-particle":"","parse-names":false,"suffix":""},{"dropping-particle":"","family":"Cesare","given":"Alain","non-dropping-particle":"de","parse-names":false,"suffix":""},{"dropping-particle":"","family":"Yan","given":"Raymond","non-dropping-particle":"","parse-names":false,"suffix":""},{"dropping-particle":"","family":"Kachenoura","given":"Nadjia","non-dropping-particle":"","parse-names":false,"suffix":""},{"dropping-particle":"","family":"Bluemke","given":"David","non-dropping-particle":"","parse-names":false,"suffix":""},{"dropping-particle":"","family":"Lima","given":"Joao A C","non-dropping-particle":"","parse-names":false,"suffix":""}],"container-title":"Hypertension (Dallas, Tex. : 1979)","id":"ITEM-2","issue":"2","issued":{"date-parts":[["2010","2"]]},"page":"319-26","publisher":"NIH Public Access","title":"Reduced ascending aortic strain and distensibility: earliest manifestations of vascular aging in humans.","type":"article-journal","volume":"55"},"uris":["http://www.mendeley.com/documents/?uuid=33f5f14b-21bc-3e39-9b42-73e73588f2c0"]},{"id":"ITEM-3","itemData":{"DOI":"10.1016/S0002-9149(77)80004-0","ISSN":"00029149","abstract":"The histologic changes that occur in the media of the normal aorta at various ages were studied in 100 normal aortas. These changes encompassed (1) cystic medial necrosis, defined as pooling of mucoid material; (2) elastin fragmentation, characterized by disruption of elastin lamellae; (3) fibrosis, defined as an increase in collagen at the expense of smooth muscle cells; and (4) medionecrosis, defined as areas with apparent loss of nuclei. The changes showed a striking correlation with age and may represent the normal aging process for the aorta as determined histologically. The alterations showed a close relation in onset and location within the media, suggesting a phenomenon of injury and repair caused by hemodynamic events. These findings in the normal aging aorta reveal that none of the histologic changes observed can be regarded as the specific structural alteration responsible for the development of dissecting aneurysm. © 1977 Dun • Donnelley Publishing Corporation 666 Fifth Avenue, New York, New York 10019 All rights reserved.","author":[{"dropping-particle":"","family":"Schlatmann","given":"Thomas J.M.","non-dropping-particle":"","parse-names":false,"suffix":""},{"dropping-particle":"","family":"Becker","given":"Anton E.","non-dropping-particle":"","parse-names":false,"suffix":""}],"container-title":"The American Journal of Cardiology","id":"ITEM-3","issue":"1","issued":{"date-parts":[["1977"]]},"page":"13-20","title":"Histologic changes in the normal aging aorta: Implications for dissecting aortic aneurysm","type":"article-journal","volume":"39"},"uris":["http://www.mendeley.com/documents/?uuid=0f94cd28-1c6b-4cb7-ba28-4cc641b4bc33"]}],"mendeley":{"formattedCitation":"(13–15)","plainTextFormattedCitation":"(13–15)","previouslyFormattedCitation":"(13–15)"},"properties":{"noteIndex":0},"schema":"https://github.com/citation-style-language/schema/raw/master/csl-citation.json"}</w:instrText>
      </w:r>
      <w:r w:rsidR="00F555A9" w:rsidRPr="00CC670F">
        <w:rPr>
          <w:color w:val="000000" w:themeColor="text1"/>
        </w:rPr>
        <w:fldChar w:fldCharType="separate"/>
      </w:r>
      <w:r w:rsidR="00D93162" w:rsidRPr="00D93162">
        <w:rPr>
          <w:noProof/>
          <w:color w:val="000000" w:themeColor="text1"/>
        </w:rPr>
        <w:t>(13–15)</w:t>
      </w:r>
      <w:r w:rsidR="00F555A9" w:rsidRPr="00CC670F">
        <w:rPr>
          <w:color w:val="000000" w:themeColor="text1"/>
        </w:rPr>
        <w:fldChar w:fldCharType="end"/>
      </w:r>
      <w:r w:rsidR="006C1D9B">
        <w:rPr>
          <w:color w:val="000000" w:themeColor="text1"/>
        </w:rPr>
        <w:t xml:space="preserve"> </w:t>
      </w:r>
      <w:r w:rsidR="00FA6CAC">
        <w:rPr>
          <w:color w:val="000000" w:themeColor="text1"/>
        </w:rPr>
        <w:t>Because the aorta has varying tissue composition, l</w:t>
      </w:r>
      <w:r w:rsidR="006C1D9B">
        <w:rPr>
          <w:color w:val="000000" w:themeColor="text1"/>
        </w:rPr>
        <w:t xml:space="preserve">ocal </w:t>
      </w:r>
      <w:r w:rsidR="00FA6CAC">
        <w:rPr>
          <w:color w:val="000000" w:themeColor="text1"/>
        </w:rPr>
        <w:t xml:space="preserve">distensibility measured </w:t>
      </w:r>
      <w:r w:rsidR="006C1D9B">
        <w:rPr>
          <w:color w:val="000000" w:themeColor="text1"/>
        </w:rPr>
        <w:t xml:space="preserve">at discrete levels may facilitate the detection of regional </w:t>
      </w:r>
      <w:r w:rsidR="003C642A">
        <w:rPr>
          <w:color w:val="000000" w:themeColor="text1"/>
        </w:rPr>
        <w:t>influences</w:t>
      </w:r>
      <w:r w:rsidR="006C1D9B">
        <w:rPr>
          <w:color w:val="000000" w:themeColor="text1"/>
        </w:rPr>
        <w:t>.</w:t>
      </w:r>
    </w:p>
    <w:p w14:paraId="20DBD13B" w14:textId="45495618" w:rsidR="007603A4" w:rsidRPr="00235C79" w:rsidRDefault="008E0957" w:rsidP="007A7155">
      <w:pPr>
        <w:spacing w:before="0" w:after="0"/>
        <w:ind w:firstLine="720"/>
        <w:rPr>
          <w:color w:val="000000" w:themeColor="text1"/>
        </w:rPr>
      </w:pPr>
      <w:r w:rsidRPr="00CC670F">
        <w:rPr>
          <w:color w:val="000000" w:themeColor="text1"/>
        </w:rPr>
        <w:t>We hypothesized</w:t>
      </w:r>
      <w:r w:rsidR="00C4204A" w:rsidRPr="00CC670F">
        <w:rPr>
          <w:color w:val="000000" w:themeColor="text1"/>
        </w:rPr>
        <w:t xml:space="preserve"> that age</w:t>
      </w:r>
      <w:r w:rsidR="00ED4290" w:rsidRPr="00CC670F">
        <w:rPr>
          <w:color w:val="000000" w:themeColor="text1"/>
        </w:rPr>
        <w:t>-</w:t>
      </w:r>
      <w:r w:rsidR="00C4204A" w:rsidRPr="00CC670F">
        <w:rPr>
          <w:color w:val="000000" w:themeColor="text1"/>
        </w:rPr>
        <w:t>related aortic stiffening in health would be reversible with</w:t>
      </w:r>
      <w:r w:rsidR="00654C90" w:rsidRPr="00CC670F">
        <w:rPr>
          <w:color w:val="000000" w:themeColor="text1"/>
        </w:rPr>
        <w:t xml:space="preserve"> real-world</w:t>
      </w:r>
      <w:r w:rsidR="00C4204A" w:rsidRPr="00CC670F">
        <w:rPr>
          <w:color w:val="000000" w:themeColor="text1"/>
        </w:rPr>
        <w:t xml:space="preserve"> exercise</w:t>
      </w:r>
      <w:r w:rsidR="006160D9" w:rsidRPr="00CC670F">
        <w:rPr>
          <w:color w:val="000000" w:themeColor="text1"/>
        </w:rPr>
        <w:t xml:space="preserve"> training</w:t>
      </w:r>
      <w:r w:rsidR="00C4204A" w:rsidRPr="00CC670F">
        <w:rPr>
          <w:color w:val="000000" w:themeColor="text1"/>
        </w:rPr>
        <w:t xml:space="preserve">. To explore this, we used a large cohort of </w:t>
      </w:r>
      <w:r w:rsidR="00287910" w:rsidRPr="00CC670F">
        <w:rPr>
          <w:color w:val="000000" w:themeColor="text1"/>
        </w:rPr>
        <w:t xml:space="preserve">healthy, </w:t>
      </w:r>
      <w:r w:rsidR="00C4204A" w:rsidRPr="00CC670F">
        <w:rPr>
          <w:color w:val="000000" w:themeColor="text1"/>
        </w:rPr>
        <w:t>first</w:t>
      </w:r>
      <w:r w:rsidR="00F91CE1" w:rsidRPr="00CC670F">
        <w:rPr>
          <w:color w:val="000000" w:themeColor="text1"/>
        </w:rPr>
        <w:t>-</w:t>
      </w:r>
      <w:r w:rsidR="00C4204A" w:rsidRPr="00CC670F">
        <w:rPr>
          <w:color w:val="000000" w:themeColor="text1"/>
        </w:rPr>
        <w:t>time marathon runners</w:t>
      </w:r>
      <w:r w:rsidRPr="00CC670F">
        <w:rPr>
          <w:color w:val="000000" w:themeColor="text1"/>
        </w:rPr>
        <w:t xml:space="preserve"> </w:t>
      </w:r>
      <w:r w:rsidR="00287910" w:rsidRPr="00CC670F">
        <w:rPr>
          <w:color w:val="000000" w:themeColor="text1"/>
        </w:rPr>
        <w:t xml:space="preserve">investigated </w:t>
      </w:r>
      <w:r w:rsidRPr="00CC670F">
        <w:rPr>
          <w:color w:val="000000" w:themeColor="text1"/>
        </w:rPr>
        <w:t>before training</w:t>
      </w:r>
      <w:r w:rsidR="00287910" w:rsidRPr="00CC670F">
        <w:rPr>
          <w:color w:val="000000" w:themeColor="text1"/>
        </w:rPr>
        <w:t xml:space="preserve"> initiation</w:t>
      </w:r>
      <w:r w:rsidRPr="00CC670F">
        <w:rPr>
          <w:color w:val="000000" w:themeColor="text1"/>
        </w:rPr>
        <w:t>, and after completion of the London Marathon.</w:t>
      </w:r>
      <w:r w:rsidR="0087667A" w:rsidRPr="00CC670F">
        <w:rPr>
          <w:color w:val="000000" w:themeColor="text1"/>
        </w:rPr>
        <w:t xml:space="preserve"> </w:t>
      </w:r>
    </w:p>
    <w:p w14:paraId="31DDEEEC" w14:textId="25148FC2" w:rsidR="00D16000" w:rsidRPr="00CC670F" w:rsidRDefault="009F32FE" w:rsidP="007A7155">
      <w:pPr>
        <w:pStyle w:val="Heading1"/>
        <w:spacing w:before="0" w:after="0"/>
        <w:rPr>
          <w:color w:val="000000" w:themeColor="text1"/>
        </w:rPr>
      </w:pPr>
      <w:r w:rsidRPr="00CC670F">
        <w:rPr>
          <w:color w:val="000000" w:themeColor="text1"/>
        </w:rPr>
        <w:t>Methods</w:t>
      </w:r>
    </w:p>
    <w:p w14:paraId="2A2395F9" w14:textId="6B53BC7C" w:rsidR="00D16000" w:rsidRPr="00CC670F" w:rsidRDefault="00D16000" w:rsidP="007A7155">
      <w:pPr>
        <w:pStyle w:val="Heading2"/>
        <w:spacing w:before="0" w:after="0"/>
        <w:rPr>
          <w:color w:val="000000" w:themeColor="text1"/>
        </w:rPr>
      </w:pPr>
      <w:r w:rsidRPr="00CC670F">
        <w:rPr>
          <w:color w:val="000000" w:themeColor="text1"/>
        </w:rPr>
        <w:t>Study population</w:t>
      </w:r>
      <w:r w:rsidR="00067842" w:rsidRPr="00CC670F">
        <w:rPr>
          <w:color w:val="000000" w:themeColor="text1"/>
        </w:rPr>
        <w:t xml:space="preserve"> and assessment timing</w:t>
      </w:r>
    </w:p>
    <w:p w14:paraId="7658A6BE" w14:textId="382432B0" w:rsidR="005B1258" w:rsidRPr="00CC670F" w:rsidRDefault="00AD1FFB" w:rsidP="007A7155">
      <w:pPr>
        <w:spacing w:before="0" w:after="0"/>
        <w:ind w:firstLine="720"/>
        <w:rPr>
          <w:color w:val="000000" w:themeColor="text1"/>
        </w:rPr>
      </w:pPr>
      <w:r w:rsidRPr="00CC670F">
        <w:rPr>
          <w:color w:val="000000" w:themeColor="text1"/>
        </w:rPr>
        <w:t xml:space="preserve">Healthy participants were recruited into </w:t>
      </w:r>
      <w:r w:rsidR="00373E2D" w:rsidRPr="00CC670F">
        <w:rPr>
          <w:color w:val="000000" w:themeColor="text1"/>
        </w:rPr>
        <w:t>a</w:t>
      </w:r>
      <w:r w:rsidRPr="00CC670F">
        <w:rPr>
          <w:color w:val="000000" w:themeColor="text1"/>
        </w:rPr>
        <w:t xml:space="preserve"> </w:t>
      </w:r>
      <w:r w:rsidR="002C13A2" w:rsidRPr="00CC670F">
        <w:rPr>
          <w:color w:val="000000" w:themeColor="text1"/>
        </w:rPr>
        <w:t xml:space="preserve">prospective longitudinal observational study </w:t>
      </w:r>
      <w:r w:rsidR="00373E2D" w:rsidRPr="00CC670F">
        <w:rPr>
          <w:color w:val="000000" w:themeColor="text1"/>
        </w:rPr>
        <w:t>to investigate</w:t>
      </w:r>
      <w:r w:rsidR="002C13A2" w:rsidRPr="00CC670F">
        <w:rPr>
          <w:color w:val="000000" w:themeColor="text1"/>
        </w:rPr>
        <w:t xml:space="preserve"> the effect of first-time </w:t>
      </w:r>
      <w:r w:rsidR="008F07EB" w:rsidRPr="00CC670F">
        <w:rPr>
          <w:color w:val="000000" w:themeColor="text1"/>
        </w:rPr>
        <w:t xml:space="preserve">marathon </w:t>
      </w:r>
      <w:r w:rsidR="002C13A2" w:rsidRPr="00CC670F">
        <w:rPr>
          <w:color w:val="000000" w:themeColor="text1"/>
        </w:rPr>
        <w:t xml:space="preserve">training on cardiovascular </w:t>
      </w:r>
      <w:r w:rsidR="00D642F0" w:rsidRPr="00CC670F">
        <w:rPr>
          <w:color w:val="000000" w:themeColor="text1"/>
        </w:rPr>
        <w:t>function</w:t>
      </w:r>
      <w:r w:rsidR="002C13A2" w:rsidRPr="00CC670F">
        <w:rPr>
          <w:color w:val="000000" w:themeColor="text1"/>
        </w:rPr>
        <w:t xml:space="preserve">. </w:t>
      </w:r>
      <w:r w:rsidR="000F5C81" w:rsidRPr="00CC670F">
        <w:rPr>
          <w:color w:val="000000" w:themeColor="text1"/>
        </w:rPr>
        <w:t xml:space="preserve">Participants were recruited </w:t>
      </w:r>
      <w:r w:rsidR="00FD7BDC" w:rsidRPr="00CC670F">
        <w:rPr>
          <w:color w:val="000000" w:themeColor="text1"/>
        </w:rPr>
        <w:t xml:space="preserve">over </w:t>
      </w:r>
      <w:r w:rsidR="00072450" w:rsidRPr="00CC670F">
        <w:rPr>
          <w:color w:val="000000" w:themeColor="text1"/>
        </w:rPr>
        <w:t xml:space="preserve">the 2016 and 2017 London </w:t>
      </w:r>
      <w:r w:rsidR="00995093" w:rsidRPr="00CC670F">
        <w:rPr>
          <w:color w:val="000000" w:themeColor="text1"/>
        </w:rPr>
        <w:t>M</w:t>
      </w:r>
      <w:r w:rsidR="00072450" w:rsidRPr="00CC670F">
        <w:rPr>
          <w:color w:val="000000" w:themeColor="text1"/>
        </w:rPr>
        <w:t>arathon</w:t>
      </w:r>
      <w:r w:rsidR="0000219C" w:rsidRPr="00CC670F">
        <w:rPr>
          <w:color w:val="000000" w:themeColor="text1"/>
        </w:rPr>
        <w:t>s</w:t>
      </w:r>
      <w:r w:rsidR="009C0689" w:rsidRPr="00CC670F">
        <w:rPr>
          <w:color w:val="000000" w:themeColor="text1"/>
        </w:rPr>
        <w:t xml:space="preserve"> (Virgin Money)</w:t>
      </w:r>
      <w:r w:rsidR="00A939C0" w:rsidRPr="00CC670F">
        <w:rPr>
          <w:color w:val="000000" w:themeColor="text1"/>
        </w:rPr>
        <w:t xml:space="preserve">. </w:t>
      </w:r>
      <w:r w:rsidR="009C0689" w:rsidRPr="00CC670F">
        <w:rPr>
          <w:color w:val="000000" w:themeColor="text1"/>
        </w:rPr>
        <w:t>D</w:t>
      </w:r>
      <w:r w:rsidR="00B61CB1" w:rsidRPr="00CC670F">
        <w:rPr>
          <w:color w:val="000000" w:themeColor="text1"/>
        </w:rPr>
        <w:t>etails of the study have been reported previously.</w:t>
      </w:r>
      <w:r w:rsidR="00B61CB1" w:rsidRPr="00CC670F">
        <w:rPr>
          <w:color w:val="000000" w:themeColor="text1"/>
        </w:rPr>
        <w:fldChar w:fldCharType="begin" w:fldLock="1"/>
      </w:r>
      <w:r w:rsidR="00174470">
        <w:rPr>
          <w:color w:val="000000" w:themeColor="text1"/>
        </w:rPr>
        <w:instrText>ADDIN CSL_CITATION {"citationItems":[{"id":"ITEM-1","itemData":{"DOI":"10.3389/fphys.2017.01018","ISBN":"1664-042X","ISSN":"1664042X","abstract":"© 2017 Jones, D'Silva, Bhuva, Lloyd, Manisty, Moon, Sharma and Hughes. Skeletal muscle metabolic function is known to respond positively to exercise interventions. Developing non-invasive techniques that quantify metabolic adaptations and identifying interventions that impart successful response are ongoing challenges for research. Healthy non-athletic adults (18-35 years old) were enrolled in a study investigating physiological adaptations to a minimum of 16 weeks endurance training prior to undertaking their first marathon. Before beginning training, participants underwent measurements of skeletal muscle oxygen consumption using near-infrared spectroscopy (NIRS) at rest (resting muscleV·O 2 ) and immediately following a maximal exercise test (post-exercise muscleV·O 2 ). Exercise-related increase in muscleV·O 2 (ΔmV·O 2 ) was derived from these measurements and cardio-pulmonary peakV·O 2 measured by analysis of expired gases. All measurements were repeated within 3 weeks of participants completing following the marath on and marathon completion time recorded. MuscleV·O 2 was positively correlated with cardio-pulmonary peakV·O 2 (r = 0.63, p &lt; 0.001). MuscleV·O 2 increased at follow-up (48% increase; p = 0.004) despite no change in cardio-pulmonary peakV·O 2 (0% change; p = 0.97). Faster marathon completion time correlated with higher cardio-pulmonary peakV·O 2 (r partial = -0.58, p = 0.002) but not muscleV·O 2 O 2 (r partial = 0.16, p = 0.44) after adjustment for age and sex [and adipose tissue thickness (ATT) for muscleV·O 2 measurements]. Skeletal muscle metabolic adaptions occur following training and completion of a first-time marathon; these can be identified non-invasively using NIRS. Although the cardio-pulmonary system is limiting for running performance, skeletal muscle changes can be detected despite minimal improvement in cardio-pulmonary function.","author":[{"dropping-particle":"","family":"Jones","given":"Siana","non-dropping-particle":"","parse-names":false,"suffix":""},{"dropping-particle":"","family":"D'Silva","given":"Andrew","non-dropping-particle":"","parse-names":false,"suffix":""},{"dropping-particle":"","family":"Bhuva","given":"Anish","non-dropping-particle":"","parse-names":false,"suffix":""},{"dropping-particle":"","family":"Lloyd","given":"Guy","non-dropping-particle":"","parse-names":false,"suffix":""},{"dropping-particle":"","family":"Manisty","given":"Charlotte","non-dropping-particle":"","parse-names":false,"suffix":""},{"dropping-particle":"","family":"Moon","given":"James C.","non-dropping-particle":"","parse-names":false,"suffix":""},{"dropping-particle":"","family":"Sharma","given":"Sanjay","non-dropping-particle":"","parse-names":false,"suffix":""},{"dropping-particle":"","family":"Hughes","given":"Alun D.","non-dropping-particle":"","parse-names":false,"suffix":""}],"container-title":"Frontiers in Physiology","id":"ITEM-1","issue":"DEC","issued":{"date-parts":[["2017"]]},"page":"1-8","title":"Improved exercise-related skeletal muscle oxygen consumption following uptake of endurance training measured using near-infrared spectroscopy","type":"article-journal","volume":"8"},"uris":["http://www.mendeley.com/documents/?uuid=fca094bc-af8d-4b5f-9da2-9ddf2f9ab61a"]}],"mendeley":{"formattedCitation":"(16)","plainTextFormattedCitation":"(16)","previouslyFormattedCitation":"(16)"},"properties":{"noteIndex":0},"schema":"https://github.com/citation-style-language/schema/raw/master/csl-citation.json"}</w:instrText>
      </w:r>
      <w:r w:rsidR="00B61CB1" w:rsidRPr="00CC670F">
        <w:rPr>
          <w:color w:val="000000" w:themeColor="text1"/>
        </w:rPr>
        <w:fldChar w:fldCharType="separate"/>
      </w:r>
      <w:r w:rsidR="00D93162" w:rsidRPr="00D93162">
        <w:rPr>
          <w:noProof/>
          <w:color w:val="000000" w:themeColor="text1"/>
        </w:rPr>
        <w:t>(16)</w:t>
      </w:r>
      <w:r w:rsidR="00B61CB1" w:rsidRPr="00CC670F">
        <w:rPr>
          <w:color w:val="000000" w:themeColor="text1"/>
        </w:rPr>
        <w:fldChar w:fldCharType="end"/>
      </w:r>
      <w:r w:rsidR="00B61CB1" w:rsidRPr="00CC670F">
        <w:rPr>
          <w:color w:val="000000" w:themeColor="text1"/>
        </w:rPr>
        <w:t xml:space="preserve"> </w:t>
      </w:r>
      <w:r w:rsidR="00072450" w:rsidRPr="00CC670F">
        <w:rPr>
          <w:color w:val="000000" w:themeColor="text1"/>
        </w:rPr>
        <w:t xml:space="preserve">Inclusion criteria were: </w:t>
      </w:r>
      <w:r w:rsidR="009C1FDF" w:rsidRPr="00CC670F">
        <w:rPr>
          <w:color w:val="000000" w:themeColor="text1"/>
        </w:rPr>
        <w:t xml:space="preserve">no significant past medical history; </w:t>
      </w:r>
      <w:r w:rsidR="00072450" w:rsidRPr="00CC670F">
        <w:rPr>
          <w:color w:val="000000" w:themeColor="text1"/>
        </w:rPr>
        <w:t>no previous marathon-running experience</w:t>
      </w:r>
      <w:r w:rsidR="003E51AF" w:rsidRPr="00CC670F">
        <w:rPr>
          <w:color w:val="000000" w:themeColor="text1"/>
        </w:rPr>
        <w:t xml:space="preserve"> (approximately half of </w:t>
      </w:r>
      <w:r w:rsidR="008C5961" w:rsidRPr="00CC670F">
        <w:rPr>
          <w:color w:val="000000" w:themeColor="text1"/>
        </w:rPr>
        <w:t>~50,000</w:t>
      </w:r>
      <w:r w:rsidR="003E51AF" w:rsidRPr="00CC670F">
        <w:rPr>
          <w:color w:val="000000" w:themeColor="text1"/>
        </w:rPr>
        <w:t xml:space="preserve"> </w:t>
      </w:r>
      <w:r w:rsidR="008C5961" w:rsidRPr="00CC670F">
        <w:rPr>
          <w:color w:val="000000" w:themeColor="text1"/>
        </w:rPr>
        <w:t>receiving ballot places</w:t>
      </w:r>
      <w:r w:rsidR="00F17BA6" w:rsidRPr="00CC670F">
        <w:rPr>
          <w:color w:val="000000" w:themeColor="text1"/>
        </w:rPr>
        <w:t xml:space="preserve"> each year</w:t>
      </w:r>
      <w:r w:rsidR="003E51AF" w:rsidRPr="00CC670F">
        <w:rPr>
          <w:color w:val="000000" w:themeColor="text1"/>
        </w:rPr>
        <w:t>)</w:t>
      </w:r>
      <w:r w:rsidR="00072450" w:rsidRPr="00CC670F">
        <w:rPr>
          <w:color w:val="000000" w:themeColor="text1"/>
        </w:rPr>
        <w:t>;</w:t>
      </w:r>
      <w:r w:rsidR="005B11F6" w:rsidRPr="00CC670F">
        <w:rPr>
          <w:color w:val="000000" w:themeColor="text1"/>
        </w:rPr>
        <w:t xml:space="preserve"> </w:t>
      </w:r>
      <w:r w:rsidR="00E3571B" w:rsidRPr="00CC670F">
        <w:rPr>
          <w:color w:val="000000" w:themeColor="text1"/>
        </w:rPr>
        <w:t xml:space="preserve">and </w:t>
      </w:r>
      <w:r w:rsidR="005B11F6" w:rsidRPr="00CC670F">
        <w:rPr>
          <w:color w:val="000000" w:themeColor="text1"/>
        </w:rPr>
        <w:t>current participation in running for &lt;2 hours per week. In 2016, participants of age 18-35</w:t>
      </w:r>
      <w:r w:rsidR="00136C87" w:rsidRPr="00CC670F">
        <w:rPr>
          <w:color w:val="000000" w:themeColor="text1"/>
        </w:rPr>
        <w:t xml:space="preserve"> years</w:t>
      </w:r>
      <w:r w:rsidR="005B11F6" w:rsidRPr="00CC670F">
        <w:rPr>
          <w:color w:val="000000" w:themeColor="text1"/>
        </w:rPr>
        <w:t xml:space="preserve"> were included </w:t>
      </w:r>
      <w:r w:rsidR="00A939C0" w:rsidRPr="00CC670F">
        <w:rPr>
          <w:color w:val="000000" w:themeColor="text1"/>
        </w:rPr>
        <w:t>and in</w:t>
      </w:r>
      <w:r w:rsidR="00136C87" w:rsidRPr="00CC670F">
        <w:rPr>
          <w:color w:val="000000" w:themeColor="text1"/>
        </w:rPr>
        <w:t xml:space="preserve"> 2017, adults</w:t>
      </w:r>
      <w:r w:rsidR="00C30EB0">
        <w:rPr>
          <w:color w:val="000000" w:themeColor="text1"/>
        </w:rPr>
        <w:t xml:space="preserve"> of all ages were included</w:t>
      </w:r>
      <w:r w:rsidR="00136C87" w:rsidRPr="00CC670F">
        <w:rPr>
          <w:color w:val="000000" w:themeColor="text1"/>
        </w:rPr>
        <w:t xml:space="preserve">. </w:t>
      </w:r>
      <w:r w:rsidR="00384623" w:rsidRPr="00CC670F">
        <w:rPr>
          <w:color w:val="000000" w:themeColor="text1"/>
        </w:rPr>
        <w:t>Exclusion criteria were: pre-existing cardiovascular disease during preliminary investigations</w:t>
      </w:r>
      <w:r w:rsidR="00EC073D" w:rsidRPr="00CC670F">
        <w:rPr>
          <w:color w:val="000000" w:themeColor="text1"/>
        </w:rPr>
        <w:t>,</w:t>
      </w:r>
      <w:r w:rsidR="00384623" w:rsidRPr="00CC670F">
        <w:rPr>
          <w:color w:val="000000" w:themeColor="text1"/>
        </w:rPr>
        <w:t xml:space="preserve"> or contraindication to CMR. </w:t>
      </w:r>
      <w:r w:rsidR="005B1258" w:rsidRPr="00CC670F">
        <w:rPr>
          <w:color w:val="000000" w:themeColor="text1"/>
        </w:rPr>
        <w:t>All procedures were in accordance with the principles of the Helsinki declaration, all participants gave written informed consent and the study was approved by the London-Queen Square Na</w:t>
      </w:r>
      <w:r w:rsidR="00E44DB7" w:rsidRPr="00CC670F">
        <w:rPr>
          <w:color w:val="000000" w:themeColor="text1"/>
        </w:rPr>
        <w:t xml:space="preserve">tional Research Ethics Service </w:t>
      </w:r>
      <w:r w:rsidR="005B1258" w:rsidRPr="00CC670F">
        <w:rPr>
          <w:color w:val="000000" w:themeColor="text1"/>
        </w:rPr>
        <w:t>Committee (15/LO/0086).</w:t>
      </w:r>
    </w:p>
    <w:p w14:paraId="305DFAA3" w14:textId="3C44175D" w:rsidR="004F6258" w:rsidRPr="00CC670F" w:rsidRDefault="004906DC" w:rsidP="007A7155">
      <w:pPr>
        <w:spacing w:before="0" w:after="0"/>
        <w:ind w:firstLine="720"/>
        <w:rPr>
          <w:color w:val="000000" w:themeColor="text1"/>
        </w:rPr>
      </w:pPr>
      <w:r w:rsidRPr="00CC670F">
        <w:rPr>
          <w:color w:val="000000" w:themeColor="text1"/>
        </w:rPr>
        <w:t>All measurements were c</w:t>
      </w:r>
      <w:r w:rsidR="00C30EB0">
        <w:rPr>
          <w:color w:val="000000" w:themeColor="text1"/>
        </w:rPr>
        <w:t>onducted</w:t>
      </w:r>
      <w:r w:rsidR="00224EFE" w:rsidRPr="00CC670F">
        <w:rPr>
          <w:color w:val="000000" w:themeColor="text1"/>
        </w:rPr>
        <w:t xml:space="preserve"> before training </w:t>
      </w:r>
      <w:r w:rsidR="002E51BA" w:rsidRPr="00CC670F">
        <w:rPr>
          <w:color w:val="000000" w:themeColor="text1"/>
        </w:rPr>
        <w:t>started</w:t>
      </w:r>
      <w:r w:rsidR="001B63B2" w:rsidRPr="00CC670F">
        <w:rPr>
          <w:color w:val="000000" w:themeColor="text1"/>
        </w:rPr>
        <w:t xml:space="preserve">, immediately </w:t>
      </w:r>
      <w:r w:rsidR="00CF004A" w:rsidRPr="00CC670F">
        <w:rPr>
          <w:color w:val="000000" w:themeColor="text1"/>
        </w:rPr>
        <w:t>after</w:t>
      </w:r>
      <w:r w:rsidR="001B63B2" w:rsidRPr="00CC670F">
        <w:rPr>
          <w:color w:val="000000" w:themeColor="text1"/>
        </w:rPr>
        <w:t xml:space="preserve"> the release of the results from the ballot entry system</w:t>
      </w:r>
      <w:r w:rsidR="00F81B36" w:rsidRPr="00CC670F">
        <w:rPr>
          <w:color w:val="000000" w:themeColor="text1"/>
        </w:rPr>
        <w:t xml:space="preserve"> six months prior to the marathon</w:t>
      </w:r>
      <w:r w:rsidRPr="00CC670F">
        <w:rPr>
          <w:color w:val="000000" w:themeColor="text1"/>
        </w:rPr>
        <w:t>. These were repeated within</w:t>
      </w:r>
      <w:r w:rsidR="004F6258" w:rsidRPr="00CC670F">
        <w:rPr>
          <w:color w:val="000000" w:themeColor="text1"/>
        </w:rPr>
        <w:t xml:space="preserve"> 3 weeks after completion of the London Marathon</w:t>
      </w:r>
      <w:r w:rsidRPr="00CC670F">
        <w:rPr>
          <w:color w:val="000000" w:themeColor="text1"/>
        </w:rPr>
        <w:t>, but not earlier than one week</w:t>
      </w:r>
      <w:r w:rsidR="00317BA2" w:rsidRPr="00CC670F">
        <w:rPr>
          <w:color w:val="000000" w:themeColor="text1"/>
        </w:rPr>
        <w:t xml:space="preserve"> after completion</w:t>
      </w:r>
      <w:r w:rsidR="004F6258" w:rsidRPr="00CC670F">
        <w:rPr>
          <w:color w:val="000000" w:themeColor="text1"/>
        </w:rPr>
        <w:t xml:space="preserve"> </w:t>
      </w:r>
      <w:r w:rsidRPr="00CC670F">
        <w:rPr>
          <w:color w:val="000000" w:themeColor="text1"/>
        </w:rPr>
        <w:t xml:space="preserve">to </w:t>
      </w:r>
      <w:r w:rsidR="004F6258" w:rsidRPr="00CC670F">
        <w:rPr>
          <w:color w:val="000000" w:themeColor="text1"/>
        </w:rPr>
        <w:t>avoid the acute effects of exercise</w:t>
      </w:r>
      <w:r w:rsidR="00B93827" w:rsidRPr="00CC670F">
        <w:rPr>
          <w:color w:val="000000" w:themeColor="text1"/>
        </w:rPr>
        <w:t>.</w:t>
      </w:r>
      <w:r w:rsidR="007D7EFB" w:rsidRPr="00CC670F">
        <w:rPr>
          <w:color w:val="000000" w:themeColor="text1"/>
        </w:rPr>
        <w:t xml:space="preserve"> In this </w:t>
      </w:r>
      <w:r w:rsidR="00F5069A" w:rsidRPr="00CC670F">
        <w:rPr>
          <w:color w:val="000000" w:themeColor="text1"/>
        </w:rPr>
        <w:t>analysis</w:t>
      </w:r>
      <w:r w:rsidR="007D7EFB" w:rsidRPr="00CC670F">
        <w:rPr>
          <w:color w:val="000000" w:themeColor="text1"/>
        </w:rPr>
        <w:t xml:space="preserve">, </w:t>
      </w:r>
      <w:r w:rsidR="00F5069A" w:rsidRPr="00CC670F">
        <w:rPr>
          <w:color w:val="000000" w:themeColor="text1"/>
        </w:rPr>
        <w:t>participants were included if they had successfully completed the marathon and attended both baseline and follow-up assessments</w:t>
      </w:r>
      <w:r w:rsidR="00E8574D" w:rsidRPr="00CC670F">
        <w:rPr>
          <w:color w:val="000000" w:themeColor="text1"/>
        </w:rPr>
        <w:t xml:space="preserve">. </w:t>
      </w:r>
      <w:r w:rsidR="0001644F" w:rsidRPr="00B577EB">
        <w:rPr>
          <w:color w:val="000000" w:themeColor="text1"/>
        </w:rPr>
        <w:t xml:space="preserve">237 participants </w:t>
      </w:r>
      <w:r w:rsidR="002C6027" w:rsidRPr="00B577EB">
        <w:rPr>
          <w:color w:val="000000" w:themeColor="text1"/>
        </w:rPr>
        <w:t>were recruited</w:t>
      </w:r>
      <w:r w:rsidR="007131A8" w:rsidRPr="00B577EB">
        <w:rPr>
          <w:color w:val="000000" w:themeColor="text1"/>
        </w:rPr>
        <w:t>,</w:t>
      </w:r>
      <w:r w:rsidR="0001644F" w:rsidRPr="00B577EB">
        <w:rPr>
          <w:color w:val="000000" w:themeColor="text1"/>
        </w:rPr>
        <w:t xml:space="preserve"> 71 did not </w:t>
      </w:r>
      <w:r w:rsidR="008908DE" w:rsidRPr="00B577EB">
        <w:rPr>
          <w:color w:val="000000" w:themeColor="text1"/>
        </w:rPr>
        <w:t>run</w:t>
      </w:r>
      <w:r w:rsidR="0001644F" w:rsidRPr="00B577EB">
        <w:rPr>
          <w:color w:val="000000" w:themeColor="text1"/>
        </w:rPr>
        <w:t xml:space="preserve"> the Marathon</w:t>
      </w:r>
      <w:r w:rsidR="008908DE" w:rsidRPr="00B577EB">
        <w:rPr>
          <w:color w:val="000000" w:themeColor="text1"/>
        </w:rPr>
        <w:t xml:space="preserve"> (</w:t>
      </w:r>
      <w:r w:rsidR="00B577EB">
        <w:rPr>
          <w:color w:val="000000" w:themeColor="text1"/>
        </w:rPr>
        <w:t>52</w:t>
      </w:r>
      <w:r w:rsidR="008908DE" w:rsidRPr="00B577EB">
        <w:rPr>
          <w:color w:val="000000" w:themeColor="text1"/>
        </w:rPr>
        <w:t xml:space="preserve"> due to injury)</w:t>
      </w:r>
      <w:r w:rsidR="0001644F" w:rsidRPr="00B577EB">
        <w:rPr>
          <w:color w:val="000000" w:themeColor="text1"/>
        </w:rPr>
        <w:t>, and 139 completers attended follow-up.</w:t>
      </w:r>
      <w:r w:rsidR="0001644F" w:rsidRPr="00CC670F">
        <w:rPr>
          <w:color w:val="000000" w:themeColor="text1"/>
        </w:rPr>
        <w:t xml:space="preserve"> </w:t>
      </w:r>
      <w:r w:rsidR="00E8574D" w:rsidRPr="00CC670F">
        <w:rPr>
          <w:color w:val="000000" w:themeColor="text1"/>
        </w:rPr>
        <w:t>One participant started anti-hypertensive medication after the baseline assessment and was excluded</w:t>
      </w:r>
      <w:r w:rsidR="00B13B56">
        <w:rPr>
          <w:color w:val="000000" w:themeColor="text1"/>
        </w:rPr>
        <w:t xml:space="preserve"> from subsequent analysis</w:t>
      </w:r>
      <w:r w:rsidR="00E8574D" w:rsidRPr="00CC670F">
        <w:rPr>
          <w:color w:val="000000" w:themeColor="text1"/>
        </w:rPr>
        <w:t>.</w:t>
      </w:r>
      <w:r w:rsidR="00893BEC">
        <w:rPr>
          <w:color w:val="000000" w:themeColor="text1"/>
        </w:rPr>
        <w:t xml:space="preserve"> Participants who dropped out had similar baseline anthropomorphic, blood pressure and arterial stiffness measurements</w:t>
      </w:r>
      <w:r w:rsidR="00190469">
        <w:rPr>
          <w:color w:val="000000" w:themeColor="text1"/>
        </w:rPr>
        <w:t>, Online Table 1</w:t>
      </w:r>
      <w:r w:rsidR="00893BEC">
        <w:rPr>
          <w:color w:val="000000" w:themeColor="text1"/>
        </w:rPr>
        <w:t>.</w:t>
      </w:r>
    </w:p>
    <w:p w14:paraId="1E931F3E" w14:textId="07D6708D" w:rsidR="00E43459" w:rsidRPr="00CC670F" w:rsidRDefault="00CB796E" w:rsidP="007A7155">
      <w:pPr>
        <w:spacing w:before="0" w:after="0"/>
        <w:rPr>
          <w:color w:val="000000" w:themeColor="text1"/>
        </w:rPr>
      </w:pPr>
      <w:r w:rsidRPr="00CC670F">
        <w:rPr>
          <w:rStyle w:val="Heading2Char"/>
          <w:color w:val="000000" w:themeColor="text1"/>
        </w:rPr>
        <w:t xml:space="preserve">Exercise </w:t>
      </w:r>
      <w:r w:rsidR="006067A1" w:rsidRPr="00CC670F">
        <w:rPr>
          <w:rStyle w:val="Heading2Char"/>
          <w:color w:val="000000" w:themeColor="text1"/>
        </w:rPr>
        <w:t>training</w:t>
      </w:r>
      <w:r w:rsidRPr="00CC670F">
        <w:rPr>
          <w:color w:val="000000" w:themeColor="text1"/>
        </w:rPr>
        <w:t xml:space="preserve"> </w:t>
      </w:r>
    </w:p>
    <w:p w14:paraId="0944F608" w14:textId="4DDD9170" w:rsidR="00E43459" w:rsidRPr="00CC670F" w:rsidRDefault="00A57A14" w:rsidP="007A7155">
      <w:pPr>
        <w:spacing w:before="0" w:after="0"/>
        <w:ind w:firstLine="720"/>
        <w:rPr>
          <w:rFonts w:eastAsia="Times New Roman"/>
          <w:color w:val="000000" w:themeColor="text1"/>
        </w:rPr>
      </w:pPr>
      <w:r w:rsidRPr="00CC670F">
        <w:rPr>
          <w:color w:val="000000" w:themeColor="text1"/>
        </w:rPr>
        <w:t xml:space="preserve">Participants were recommended to </w:t>
      </w:r>
      <w:r w:rsidR="005B1258" w:rsidRPr="00CC670F">
        <w:rPr>
          <w:color w:val="000000" w:themeColor="text1"/>
        </w:rPr>
        <w:t>follow</w:t>
      </w:r>
      <w:r w:rsidRPr="00CC670F">
        <w:rPr>
          <w:color w:val="000000" w:themeColor="text1"/>
        </w:rPr>
        <w:t xml:space="preserve"> the “B</w:t>
      </w:r>
      <w:r w:rsidR="00E43459" w:rsidRPr="00CC670F">
        <w:rPr>
          <w:color w:val="000000" w:themeColor="text1"/>
        </w:rPr>
        <w:t xml:space="preserve">eginner’s </w:t>
      </w:r>
      <w:r w:rsidRPr="00CC670F">
        <w:rPr>
          <w:color w:val="000000" w:themeColor="text1"/>
        </w:rPr>
        <w:t>T</w:t>
      </w:r>
      <w:r w:rsidR="00E43459" w:rsidRPr="00CC670F">
        <w:rPr>
          <w:color w:val="000000" w:themeColor="text1"/>
        </w:rPr>
        <w:t xml:space="preserve">raining </w:t>
      </w:r>
      <w:r w:rsidRPr="00CC670F">
        <w:rPr>
          <w:color w:val="000000" w:themeColor="text1"/>
        </w:rPr>
        <w:t>P</w:t>
      </w:r>
      <w:r w:rsidR="00E43459" w:rsidRPr="00CC670F">
        <w:rPr>
          <w:color w:val="000000" w:themeColor="text1"/>
        </w:rPr>
        <w:t>lan</w:t>
      </w:r>
      <w:r w:rsidRPr="00CC670F">
        <w:rPr>
          <w:color w:val="000000" w:themeColor="text1"/>
        </w:rPr>
        <w:t xml:space="preserve">” provided by the marathon </w:t>
      </w:r>
      <w:r w:rsidR="005B1258" w:rsidRPr="00CC670F">
        <w:rPr>
          <w:color w:val="000000" w:themeColor="text1"/>
        </w:rPr>
        <w:t>organizers</w:t>
      </w:r>
      <w:r w:rsidR="006970F4" w:rsidRPr="00CC670F">
        <w:rPr>
          <w:color w:val="000000" w:themeColor="text1"/>
        </w:rPr>
        <w:t xml:space="preserve"> with the </w:t>
      </w:r>
      <w:r w:rsidR="00FA7259" w:rsidRPr="00CC670F">
        <w:rPr>
          <w:color w:val="000000" w:themeColor="text1"/>
        </w:rPr>
        <w:t xml:space="preserve">aim of </w:t>
      </w:r>
      <w:r w:rsidR="00EB4E58" w:rsidRPr="00CC670F">
        <w:rPr>
          <w:color w:val="000000" w:themeColor="text1"/>
        </w:rPr>
        <w:t>achiev</w:t>
      </w:r>
      <w:r w:rsidR="0040018C" w:rsidRPr="00CC670F">
        <w:rPr>
          <w:color w:val="000000" w:themeColor="text1"/>
        </w:rPr>
        <w:t>ing</w:t>
      </w:r>
      <w:r w:rsidR="00EB4E58" w:rsidRPr="00CC670F">
        <w:rPr>
          <w:color w:val="000000" w:themeColor="text1"/>
        </w:rPr>
        <w:t xml:space="preserve"> marathon completion </w:t>
      </w:r>
      <w:r w:rsidR="006970F4" w:rsidRPr="00CC670F">
        <w:rPr>
          <w:color w:val="000000" w:themeColor="text1"/>
        </w:rPr>
        <w:t>rather than improve</w:t>
      </w:r>
      <w:r w:rsidR="00960833" w:rsidRPr="00CC670F">
        <w:rPr>
          <w:color w:val="000000" w:themeColor="text1"/>
        </w:rPr>
        <w:t>ment in</w:t>
      </w:r>
      <w:r w:rsidR="004B0532" w:rsidRPr="00CC670F">
        <w:rPr>
          <w:color w:val="000000" w:themeColor="text1"/>
        </w:rPr>
        <w:t xml:space="preserve"> </w:t>
      </w:r>
      <w:r w:rsidR="006970F4" w:rsidRPr="00CC670F">
        <w:rPr>
          <w:color w:val="000000" w:themeColor="text1"/>
        </w:rPr>
        <w:t xml:space="preserve">cardiovascular fitness. </w:t>
      </w:r>
      <w:r w:rsidRPr="00CC670F">
        <w:rPr>
          <w:color w:val="000000" w:themeColor="text1"/>
        </w:rPr>
        <w:t xml:space="preserve">This consists </w:t>
      </w:r>
      <w:r w:rsidR="00E43459" w:rsidRPr="00CC670F">
        <w:rPr>
          <w:color w:val="000000" w:themeColor="text1"/>
        </w:rPr>
        <w:t>of approximately 3 runs per week, increasing in difficulty for a 17-week period leading into the London Marathon race</w:t>
      </w:r>
      <w:r w:rsidRPr="00CC670F">
        <w:rPr>
          <w:color w:val="000000" w:themeColor="text1"/>
        </w:rPr>
        <w:t xml:space="preserve"> </w:t>
      </w:r>
      <w:r w:rsidR="00B0342D" w:rsidRPr="00CC670F">
        <w:rPr>
          <w:color w:val="000000" w:themeColor="text1"/>
        </w:rPr>
        <w:t>(</w:t>
      </w:r>
      <w:hyperlink r:id="rId10" w:history="1">
        <w:r w:rsidR="00B0342D" w:rsidRPr="00CC670F">
          <w:rPr>
            <w:rStyle w:val="Hyperlink"/>
            <w:rFonts w:eastAsia="Times New Roman"/>
            <w:color w:val="000000" w:themeColor="text1"/>
          </w:rPr>
          <w:t>https://bit.ly/1UOPwiN</w:t>
        </w:r>
      </w:hyperlink>
      <w:r w:rsidR="00B0342D" w:rsidRPr="00CC670F">
        <w:rPr>
          <w:color w:val="000000" w:themeColor="text1"/>
        </w:rPr>
        <w:t>)</w:t>
      </w:r>
      <w:r w:rsidR="00E43459" w:rsidRPr="00CC670F">
        <w:rPr>
          <w:color w:val="000000" w:themeColor="text1"/>
        </w:rPr>
        <w:t>.</w:t>
      </w:r>
      <w:r w:rsidR="00B0342D" w:rsidRPr="00CC670F">
        <w:rPr>
          <w:color w:val="000000" w:themeColor="text1"/>
        </w:rPr>
        <w:fldChar w:fldCharType="begin" w:fldLock="1"/>
      </w:r>
      <w:r w:rsidR="00174470">
        <w:rPr>
          <w:color w:val="000000" w:themeColor="text1"/>
        </w:rPr>
        <w:instrText>ADDIN CSL_CITATION {"citationItems":[{"id":"ITEM-1","itemData":{"URL":"https://www.virginmoneylondonmarathon.com/en-gb/trainingplans/beginner-17-week-training-plan/","accessed":{"date-parts":[["2018","1","28"]]},"id":"ITEM-1","issued":{"date-parts":[["0"]]},"title":"Virgin Money London Marathon Beginner 17 week training plan","type":"webpage"},"uris":["http://www.mendeley.com/documents/?uuid=968726f3-834b-4915-a62b-2b010028f741"]}],"mendeley":{"formattedCitation":"(17)","plainTextFormattedCitation":"(17)","previouslyFormattedCitation":"(17)"},"properties":{"noteIndex":0},"schema":"https://github.com/citation-style-language/schema/raw/master/csl-citation.json"}</w:instrText>
      </w:r>
      <w:r w:rsidR="00B0342D" w:rsidRPr="00CC670F">
        <w:rPr>
          <w:color w:val="000000" w:themeColor="text1"/>
        </w:rPr>
        <w:fldChar w:fldCharType="separate"/>
      </w:r>
      <w:r w:rsidR="00D93162" w:rsidRPr="00D93162">
        <w:rPr>
          <w:noProof/>
          <w:color w:val="000000" w:themeColor="text1"/>
        </w:rPr>
        <w:t>(17)</w:t>
      </w:r>
      <w:r w:rsidR="00B0342D" w:rsidRPr="00CC670F">
        <w:rPr>
          <w:color w:val="000000" w:themeColor="text1"/>
        </w:rPr>
        <w:fldChar w:fldCharType="end"/>
      </w:r>
      <w:r w:rsidR="00E43459" w:rsidRPr="00CC670F">
        <w:rPr>
          <w:color w:val="000000" w:themeColor="text1"/>
        </w:rPr>
        <w:t xml:space="preserve"> </w:t>
      </w:r>
      <w:r w:rsidR="00B434F0" w:rsidRPr="00CC670F">
        <w:rPr>
          <w:color w:val="000000" w:themeColor="text1"/>
        </w:rPr>
        <w:t xml:space="preserve">Those who wished </w:t>
      </w:r>
      <w:r w:rsidR="00E43459" w:rsidRPr="00CC670F">
        <w:rPr>
          <w:color w:val="000000" w:themeColor="text1"/>
        </w:rPr>
        <w:t xml:space="preserve">to follow alternative, higher intensity </w:t>
      </w:r>
      <w:r w:rsidR="00A92327" w:rsidRPr="00CC670F">
        <w:rPr>
          <w:color w:val="000000" w:themeColor="text1"/>
        </w:rPr>
        <w:t xml:space="preserve">or longer </w:t>
      </w:r>
      <w:r w:rsidR="00E43459" w:rsidRPr="00CC670F">
        <w:rPr>
          <w:color w:val="000000" w:themeColor="text1"/>
        </w:rPr>
        <w:t xml:space="preserve">training plans were </w:t>
      </w:r>
      <w:r w:rsidR="00B434F0" w:rsidRPr="00CC670F">
        <w:rPr>
          <w:color w:val="000000" w:themeColor="text1"/>
        </w:rPr>
        <w:t xml:space="preserve">however </w:t>
      </w:r>
      <w:r w:rsidR="00E43459" w:rsidRPr="00CC670F">
        <w:rPr>
          <w:color w:val="000000" w:themeColor="text1"/>
        </w:rPr>
        <w:t>not di</w:t>
      </w:r>
      <w:r w:rsidR="00A92327" w:rsidRPr="00CC670F">
        <w:rPr>
          <w:color w:val="000000" w:themeColor="text1"/>
        </w:rPr>
        <w:t>scouraged from doing so.</w:t>
      </w:r>
    </w:p>
    <w:p w14:paraId="0ECC7022" w14:textId="49C5502E" w:rsidR="00924F30" w:rsidRPr="00CC670F" w:rsidRDefault="00105090" w:rsidP="007A7155">
      <w:pPr>
        <w:pStyle w:val="Heading2"/>
        <w:spacing w:before="0" w:after="0"/>
        <w:rPr>
          <w:color w:val="000000" w:themeColor="text1"/>
        </w:rPr>
      </w:pPr>
      <w:r w:rsidRPr="00CC670F">
        <w:rPr>
          <w:color w:val="000000" w:themeColor="text1"/>
        </w:rPr>
        <w:t>Data</w:t>
      </w:r>
      <w:r w:rsidR="00924F30" w:rsidRPr="00CC670F">
        <w:rPr>
          <w:color w:val="000000" w:themeColor="text1"/>
        </w:rPr>
        <w:t xml:space="preserve"> acquisition and analysis</w:t>
      </w:r>
    </w:p>
    <w:p w14:paraId="44836349" w14:textId="3A3131DE" w:rsidR="00A77FB9" w:rsidRDefault="002F45F7" w:rsidP="007A7155">
      <w:pPr>
        <w:spacing w:before="0" w:after="0"/>
        <w:ind w:firstLine="720"/>
      </w:pPr>
      <w:r w:rsidRPr="00CC670F">
        <w:rPr>
          <w:color w:val="000000" w:themeColor="text1"/>
        </w:rPr>
        <w:t xml:space="preserve">Peripheral BP, central BP, anthropomorphic, and cardio-pulmonary exercise test assessments are described in the </w:t>
      </w:r>
      <w:r w:rsidR="007151D5">
        <w:rPr>
          <w:color w:val="000000" w:themeColor="text1"/>
        </w:rPr>
        <w:t>Online Methods</w:t>
      </w:r>
      <w:r w:rsidRPr="00CC670F">
        <w:rPr>
          <w:color w:val="000000" w:themeColor="text1"/>
        </w:rPr>
        <w:t xml:space="preserve">. </w:t>
      </w:r>
      <w:r w:rsidR="00924F30" w:rsidRPr="00CC670F">
        <w:rPr>
          <w:color w:val="000000" w:themeColor="text1"/>
        </w:rPr>
        <w:t>After BP acquisition, CMR was performed at 1.5T (Magnetom Aera, Siemens AG Healthcare, Erlangen, Germany</w:t>
      </w:r>
      <w:r w:rsidR="00033169" w:rsidRPr="00CC670F">
        <w:rPr>
          <w:color w:val="000000" w:themeColor="text1"/>
        </w:rPr>
        <w:t>). Single</w:t>
      </w:r>
      <w:r w:rsidR="00924F30" w:rsidRPr="00CC670F">
        <w:rPr>
          <w:color w:val="000000" w:themeColor="text1"/>
        </w:rPr>
        <w:t xml:space="preserve">-shot ECG-gated white blood sagittal aortic (‘candy cane’) views were acquired first to </w:t>
      </w:r>
      <w:r w:rsidR="00C61A41" w:rsidRPr="00CC670F">
        <w:rPr>
          <w:color w:val="000000" w:themeColor="text1"/>
        </w:rPr>
        <w:t>measure</w:t>
      </w:r>
      <w:r w:rsidR="00924F30" w:rsidRPr="00CC670F">
        <w:rPr>
          <w:color w:val="000000" w:themeColor="text1"/>
        </w:rPr>
        <w:t xml:space="preserve"> 3D aortic length and </w:t>
      </w:r>
      <w:r w:rsidR="004B510F" w:rsidRPr="00CC670F">
        <w:rPr>
          <w:color w:val="000000" w:themeColor="text1"/>
        </w:rPr>
        <w:t xml:space="preserve">to </w:t>
      </w:r>
      <w:r w:rsidR="00924F30" w:rsidRPr="00CC670F">
        <w:rPr>
          <w:color w:val="000000" w:themeColor="text1"/>
        </w:rPr>
        <w:t>standardize cross-sectional imaging.  This was used to pilot axial aortic blood flow-velocity maps at the level of the pulmonary artery bifurcation</w:t>
      </w:r>
      <w:r w:rsidR="00564CFB" w:rsidRPr="00CC670F">
        <w:rPr>
          <w:color w:val="000000" w:themeColor="text1"/>
        </w:rPr>
        <w:t xml:space="preserve"> and the level of the diaphragmatic descending thoracic aorta</w:t>
      </w:r>
      <w:r w:rsidR="00924F30" w:rsidRPr="00CC670F">
        <w:rPr>
          <w:color w:val="000000" w:themeColor="text1"/>
        </w:rPr>
        <w:t>. The spoiled gradient echo phase-contrast sequen</w:t>
      </w:r>
      <w:r w:rsidR="00033169" w:rsidRPr="00CC670F">
        <w:rPr>
          <w:color w:val="000000" w:themeColor="text1"/>
        </w:rPr>
        <w:t>ce used was free-breathing, ECG-</w:t>
      </w:r>
      <w:r w:rsidR="00924F30" w:rsidRPr="00CC670F">
        <w:rPr>
          <w:color w:val="000000" w:themeColor="text1"/>
        </w:rPr>
        <w:t>gated and segmented, with the following parameters: acquired temporal resolution 9</w:t>
      </w:r>
      <w:r w:rsidR="00FF4FAA" w:rsidRPr="00CC670F">
        <w:rPr>
          <w:color w:val="000000" w:themeColor="text1"/>
        </w:rPr>
        <w:t>.</w:t>
      </w:r>
      <w:r w:rsidR="00924F30" w:rsidRPr="00CC670F">
        <w:rPr>
          <w:color w:val="000000" w:themeColor="text1"/>
        </w:rPr>
        <w:t>2ms (reconstructed to 100 cardiac phases per RR interval); spatial resolution 1</w:t>
      </w:r>
      <w:r w:rsidR="00FF4FAA" w:rsidRPr="00CC670F">
        <w:rPr>
          <w:color w:val="000000" w:themeColor="text1"/>
        </w:rPr>
        <w:t>.</w:t>
      </w:r>
      <w:r w:rsidR="00924F30" w:rsidRPr="00CC670F">
        <w:rPr>
          <w:color w:val="000000" w:themeColor="text1"/>
        </w:rPr>
        <w:t>97 x 1</w:t>
      </w:r>
      <w:r w:rsidR="00FF4FAA" w:rsidRPr="00CC670F">
        <w:rPr>
          <w:color w:val="000000" w:themeColor="text1"/>
        </w:rPr>
        <w:t>.</w:t>
      </w:r>
      <w:r w:rsidR="00924F30" w:rsidRPr="00CC670F">
        <w:rPr>
          <w:color w:val="000000" w:themeColor="text1"/>
        </w:rPr>
        <w:t>77 mm</w:t>
      </w:r>
      <w:r w:rsidR="00924F30" w:rsidRPr="00CC670F">
        <w:rPr>
          <w:color w:val="000000" w:themeColor="text1"/>
          <w:vertAlign w:val="superscript"/>
        </w:rPr>
        <w:t>2</w:t>
      </w:r>
      <w:r w:rsidR="00924F30" w:rsidRPr="00CC670F">
        <w:rPr>
          <w:color w:val="000000" w:themeColor="text1"/>
        </w:rPr>
        <w:t>; slice thickness 6mm; through-plane velocity encoding 150cm/s; field of view 192 x 108mm; flip angle 20˚.</w:t>
      </w:r>
      <w:r w:rsidR="009148F6" w:rsidRPr="00CC670F">
        <w:rPr>
          <w:color w:val="000000" w:themeColor="text1"/>
        </w:rPr>
        <w:t xml:space="preserve"> </w:t>
      </w:r>
      <w:r w:rsidR="00564CFB" w:rsidRPr="00CC670F">
        <w:rPr>
          <w:color w:val="000000" w:themeColor="text1"/>
        </w:rPr>
        <w:t xml:space="preserve">The </w:t>
      </w:r>
      <w:r w:rsidR="00D76352" w:rsidRPr="00CC670F">
        <w:rPr>
          <w:color w:val="000000" w:themeColor="text1"/>
        </w:rPr>
        <w:t>contours</w:t>
      </w:r>
      <w:r w:rsidR="00564CFB" w:rsidRPr="00CC670F">
        <w:rPr>
          <w:color w:val="000000" w:themeColor="text1"/>
        </w:rPr>
        <w:t xml:space="preserve"> for the ascending, proximal and distal (diaphragmatic) descending aorta were </w:t>
      </w:r>
      <w:r w:rsidR="00D76352" w:rsidRPr="00CC670F">
        <w:rPr>
          <w:color w:val="000000" w:themeColor="text1"/>
        </w:rPr>
        <w:t>traced</w:t>
      </w:r>
      <w:r w:rsidR="00564CFB" w:rsidRPr="00CC670F">
        <w:rPr>
          <w:color w:val="000000" w:themeColor="text1"/>
        </w:rPr>
        <w:t xml:space="preserve"> </w:t>
      </w:r>
      <w:r w:rsidR="008122E5" w:rsidRPr="00CC670F">
        <w:rPr>
          <w:color w:val="000000" w:themeColor="text1"/>
        </w:rPr>
        <w:t>semi-</w:t>
      </w:r>
      <w:r w:rsidR="00564CFB" w:rsidRPr="00CC670F">
        <w:rPr>
          <w:color w:val="000000" w:themeColor="text1"/>
        </w:rPr>
        <w:t>automatically</w:t>
      </w:r>
      <w:r w:rsidR="000E11A6" w:rsidRPr="00CC670F">
        <w:rPr>
          <w:color w:val="000000" w:themeColor="text1"/>
        </w:rPr>
        <w:t xml:space="preserve"> using validated software (ArtFun)</w:t>
      </w:r>
      <w:r w:rsidR="00564CFB" w:rsidRPr="00CC670F">
        <w:rPr>
          <w:color w:val="000000" w:themeColor="text1"/>
        </w:rPr>
        <w:t xml:space="preserve"> </w:t>
      </w:r>
      <w:r w:rsidR="0085520F" w:rsidRPr="00CC670F">
        <w:rPr>
          <w:color w:val="000000" w:themeColor="text1"/>
        </w:rPr>
        <w:t xml:space="preserve">on the phase-contrast modulus </w:t>
      </w:r>
      <w:r w:rsidR="000E11A6" w:rsidRPr="00CC670F">
        <w:rPr>
          <w:color w:val="000000" w:themeColor="text1"/>
        </w:rPr>
        <w:t xml:space="preserve">for area analysis, </w:t>
      </w:r>
      <w:r w:rsidR="00C270F9" w:rsidRPr="00CC670F">
        <w:rPr>
          <w:color w:val="000000" w:themeColor="text1"/>
        </w:rPr>
        <w:t xml:space="preserve">and </w:t>
      </w:r>
      <w:r w:rsidR="000E11A6" w:rsidRPr="00CC670F">
        <w:rPr>
          <w:color w:val="000000" w:themeColor="text1"/>
        </w:rPr>
        <w:t>velocity images</w:t>
      </w:r>
      <w:r w:rsidR="0091363F" w:rsidRPr="00CC670F">
        <w:rPr>
          <w:color w:val="000000" w:themeColor="text1"/>
        </w:rPr>
        <w:t xml:space="preserve"> </w:t>
      </w:r>
      <w:r w:rsidR="000E11A6" w:rsidRPr="00CC670F">
        <w:rPr>
          <w:color w:val="000000" w:themeColor="text1"/>
        </w:rPr>
        <w:t>to derive velocity profiles</w:t>
      </w:r>
      <w:r w:rsidR="00564CFB" w:rsidRPr="00CC670F">
        <w:rPr>
          <w:color w:val="000000" w:themeColor="text1"/>
        </w:rPr>
        <w:t>.</w:t>
      </w:r>
      <w:r w:rsidR="00A3626D" w:rsidRPr="00CC670F">
        <w:rPr>
          <w:color w:val="000000" w:themeColor="text1"/>
        </w:rPr>
        <w:fldChar w:fldCharType="begin" w:fldLock="1"/>
      </w:r>
      <w:r w:rsidR="00174470">
        <w:rPr>
          <w:color w:val="000000" w:themeColor="text1"/>
        </w:rPr>
        <w:instrText>ADDIN CSL_CITATION {"citationItems":[{"id":"ITEM-1","itemData":{"DOI":"10.1002/mrm.22678","ISBN":"1522-2594 (Electronic)\\r0740-3194 (Linking)","ISSN":"07403194","PMID":"21413062","abstract":"The strain values extracted from steady-state free-precession (SSFP) and phase contrast (PC) images acquired with a 1.5T scanner on a compliant flow phantom and within the thoracic aorta of 52 healthy subjects were compared. Aortic data were acquired perpendicular to the aorta at the level of the pulmonary artery bifurcation. Cross sectional areas were obtained by using an automatic and robust segmentation method. While a good correlation (r = 0.99) was found between the aortic areas extracted from SSFP and PC sequences, a lower correlation (r = 0.71) was found between the corresponding aortic strain values. Strain values estimated using SSFP and PC sequences were equally correlated with age. Interobserver reproducibility was better for SSFP than for PC. Strain values in the ascending and descending aorta were better correlated for SSFP (r = 0.8) than for PC (r = 0.65) and fitted with the expectation of a larger strain in the ascending aorta when using SSFP. The spatial and temporal resolutions of the acquisitions had a minor influence upon the estimated strain values. Thus, if PC acquisitions can be used to estimate both pulse wave velocity and aortic strain, an additional SSFP sequence may be useful to improve the accuracy in estimating the aortic strain.","author":[{"dropping-particle":"","family":"Herment","given":"Alain","non-dropping-particle":"","parse-names":false,"suffix":""},{"dropping-particle":"","family":"Lefort","given":"Muriel","non-dropping-particle":"","parse-names":false,"suffix":""},{"dropping-particle":"","family":"Kachenoura","given":"Nadjia","non-dropping-particle":"","parse-names":false,"suffix":""},{"dropping-particle":"","family":"Cesare","given":"Alain","non-dropping-particle":"De","parse-names":false,"suffix":""},{"dropping-particle":"","family":"Taviani","given":"Valentina","non-dropping-particle":"","parse-names":false,"suffix":""},{"dropping-particle":"","family":"Graves","given":"Martin J.","non-dropping-particle":"","parse-names":false,"suffix":""},{"dropping-particle":"","family":"Pellot-Barakat","given":"Claire","non-dropping-particle":"","parse-names":false,"suffix":""},{"dropping-particle":"","family":"Frouin","given":"Frédérique","non-dropping-particle":"","parse-names":false,"suffix":""},{"dropping-particle":"","family":"Mousseaux","given":"Elie","non-dropping-particle":"","parse-names":false,"suffix":""}],"container-title":"Magnetic Resonance in Medicine","id":"ITEM-1","issue":"4","issued":{"date-parts":[["2011"]]},"page":"986-993","title":"Automated estimation of aortic strain from steady-state free-precession and phase contrast MR images","type":"article-journal","volume":"65"},"uris":["http://www.mendeley.com/documents/?uuid=e0ea50c4-9e0e-424a-bb87-563ca7e939df"]}],"mendeley":{"formattedCitation":"(18)","plainTextFormattedCitation":"(18)","previouslyFormattedCitation":"(18)"},"properties":{"noteIndex":0},"schema":"https://github.com/citation-style-language/schema/raw/master/csl-citation.json"}</w:instrText>
      </w:r>
      <w:r w:rsidR="00A3626D" w:rsidRPr="00CC670F">
        <w:rPr>
          <w:color w:val="000000" w:themeColor="text1"/>
        </w:rPr>
        <w:fldChar w:fldCharType="separate"/>
      </w:r>
      <w:r w:rsidR="00D93162" w:rsidRPr="00D93162">
        <w:rPr>
          <w:noProof/>
          <w:color w:val="000000" w:themeColor="text1"/>
        </w:rPr>
        <w:t>(18)</w:t>
      </w:r>
      <w:r w:rsidR="00A3626D" w:rsidRPr="00CC670F">
        <w:rPr>
          <w:color w:val="000000" w:themeColor="text1"/>
        </w:rPr>
        <w:fldChar w:fldCharType="end"/>
      </w:r>
      <w:r w:rsidR="00D8026D" w:rsidRPr="00CC670F">
        <w:rPr>
          <w:color w:val="000000" w:themeColor="text1"/>
        </w:rPr>
        <w:t xml:space="preserve"> </w:t>
      </w:r>
      <w:r w:rsidR="00750B64">
        <w:rPr>
          <w:color w:val="000000" w:themeColor="text1"/>
        </w:rPr>
        <w:t>Analysis was performed with the operator blinded to the scan timing (baseline or follow up), and with the paired scans analysed independently.</w:t>
      </w:r>
      <w:r w:rsidR="00A77FB9">
        <w:rPr>
          <w:color w:val="000000" w:themeColor="text1"/>
        </w:rPr>
        <w:t xml:space="preserve"> Using </w:t>
      </w:r>
      <w:r w:rsidR="00893BEC">
        <w:rPr>
          <w:color w:val="000000" w:themeColor="text1"/>
        </w:rPr>
        <w:t xml:space="preserve">ascending aortic </w:t>
      </w:r>
      <w:r w:rsidR="00A77FB9">
        <w:rPr>
          <w:color w:val="000000" w:themeColor="text1"/>
        </w:rPr>
        <w:t xml:space="preserve">pressure and flow-velocity waveforms, </w:t>
      </w:r>
      <w:r w:rsidR="00A77FB9">
        <w:t>w</w:t>
      </w:r>
      <w:r w:rsidR="00A77FB9" w:rsidRPr="00BA0B93">
        <w:t xml:space="preserve">ave separation </w:t>
      </w:r>
      <w:r w:rsidR="00A77FB9">
        <w:t xml:space="preserve">analysis was used to compute the </w:t>
      </w:r>
      <w:r w:rsidR="00893BEC">
        <w:t>ascending aortic wave speed</w:t>
      </w:r>
      <w:r w:rsidR="00B865D7">
        <w:t>, characteristic impedance</w:t>
      </w:r>
      <w:r w:rsidR="00893BEC">
        <w:t xml:space="preserve"> and </w:t>
      </w:r>
      <w:r w:rsidR="00A77FB9">
        <w:t>r</w:t>
      </w:r>
      <w:r w:rsidR="00A77FB9" w:rsidRPr="00BA0B93">
        <w:t>eflection magnitude</w:t>
      </w:r>
      <w:r w:rsidR="00B515F5">
        <w:t>, taken as the ratio of the backward to the forward wave amplitudes</w:t>
      </w:r>
      <w:r w:rsidR="00A77FB9" w:rsidRPr="00BA0B93">
        <w:t>.</w:t>
      </w:r>
      <w:r w:rsidR="00B515F5">
        <w:fldChar w:fldCharType="begin" w:fldLock="1"/>
      </w:r>
      <w:r w:rsidR="0098121F">
        <w:instrText>ADDIN CSL_CITATION {"citationItems":[{"id":"ITEM-1","itemData":{"DOI":"10.1007/s11517-009-0444-1","ISSN":"01400118","abstract":"Both impedance analysis and wave intensity analysis are used to separate measured pressure and flow waveforms into their forward and backward components. The separation is sensitive to the characteristic impedance or wave speed determined from the data. In all other aspects, the results are identical.","author":[{"dropping-particle":"","family":"Hughes","given":"A. D.","non-dropping-particle":"","parse-names":false,"suffix":""},{"dropping-particle":"","family":"Parker","given":"K. H.","non-dropping-particle":"","parse-names":false,"suffix":""}],"container-title":"Medical and Biological Engineering and Computing","id":"ITEM-1","issue":"2","issued":{"date-parts":[["2009"]]},"page":"207-210","title":"Forward and backward waves in the arterial system: Impedance or wave intensity analysis?","type":"article-journal","volume":"47"},"uris":["http://www.mendeley.com/documents/?uuid=66786110-2959-4921-820e-b770e9495253"]}],"mendeley":{"formattedCitation":"(19)","plainTextFormattedCitation":"(19)","previouslyFormattedCitation":"(19)"},"properties":{"noteIndex":0},"schema":"https://github.com/citation-style-language/schema/raw/master/csl-citation.json"}</w:instrText>
      </w:r>
      <w:r w:rsidR="00B515F5">
        <w:fldChar w:fldCharType="separate"/>
      </w:r>
      <w:r w:rsidR="00B515F5" w:rsidRPr="00B515F5">
        <w:rPr>
          <w:noProof/>
        </w:rPr>
        <w:t>(19)</w:t>
      </w:r>
      <w:r w:rsidR="00B515F5">
        <w:fldChar w:fldCharType="end"/>
      </w:r>
    </w:p>
    <w:p w14:paraId="2DC6F2FF" w14:textId="5FDD55AB" w:rsidR="00407999" w:rsidRPr="00CC670F" w:rsidRDefault="00407999" w:rsidP="007A7155">
      <w:pPr>
        <w:pStyle w:val="Heading2"/>
        <w:spacing w:before="0" w:after="0"/>
        <w:rPr>
          <w:color w:val="000000" w:themeColor="text1"/>
        </w:rPr>
      </w:pPr>
      <w:r w:rsidRPr="00CC670F">
        <w:rPr>
          <w:color w:val="000000" w:themeColor="text1"/>
        </w:rPr>
        <w:t>Local</w:t>
      </w:r>
      <w:r w:rsidR="00531A9D">
        <w:rPr>
          <w:color w:val="000000" w:themeColor="text1"/>
        </w:rPr>
        <w:t>, regional</w:t>
      </w:r>
      <w:r w:rsidR="007603A4">
        <w:rPr>
          <w:color w:val="000000" w:themeColor="text1"/>
        </w:rPr>
        <w:t xml:space="preserve"> and </w:t>
      </w:r>
      <w:r w:rsidR="008350EF">
        <w:rPr>
          <w:color w:val="000000" w:themeColor="text1"/>
        </w:rPr>
        <w:t>whole</w:t>
      </w:r>
      <w:r w:rsidRPr="00CC670F">
        <w:rPr>
          <w:color w:val="000000" w:themeColor="text1"/>
        </w:rPr>
        <w:t xml:space="preserve"> </w:t>
      </w:r>
      <w:r w:rsidR="0023686B" w:rsidRPr="00CC670F">
        <w:rPr>
          <w:color w:val="000000" w:themeColor="text1"/>
        </w:rPr>
        <w:t>aortic</w:t>
      </w:r>
      <w:r w:rsidRPr="00CC670F">
        <w:rPr>
          <w:color w:val="000000" w:themeColor="text1"/>
        </w:rPr>
        <w:t xml:space="preserve"> stiffness</w:t>
      </w:r>
    </w:p>
    <w:p w14:paraId="29434109" w14:textId="165B40FB" w:rsidR="00A37546" w:rsidRPr="00CC670F" w:rsidRDefault="00B44CDC" w:rsidP="007A7155">
      <w:pPr>
        <w:spacing w:before="0" w:after="0"/>
        <w:ind w:firstLine="720"/>
        <w:rPr>
          <w:color w:val="000000" w:themeColor="text1"/>
        </w:rPr>
      </w:pPr>
      <w:r w:rsidRPr="00CC670F">
        <w:rPr>
          <w:color w:val="000000" w:themeColor="text1"/>
        </w:rPr>
        <w:t>Because</w:t>
      </w:r>
      <w:r w:rsidR="001430C1" w:rsidRPr="00CC670F">
        <w:rPr>
          <w:color w:val="000000" w:themeColor="text1"/>
        </w:rPr>
        <w:t xml:space="preserve"> the aorta is known to have varying </w:t>
      </w:r>
      <w:r w:rsidR="00245B64" w:rsidRPr="00CC670F">
        <w:rPr>
          <w:color w:val="000000" w:themeColor="text1"/>
        </w:rPr>
        <w:t xml:space="preserve">regional </w:t>
      </w:r>
      <w:r w:rsidR="001430C1" w:rsidRPr="00CC670F">
        <w:rPr>
          <w:color w:val="000000" w:themeColor="text1"/>
        </w:rPr>
        <w:t xml:space="preserve">tissue composition, </w:t>
      </w:r>
      <w:r w:rsidR="00E3767A">
        <w:rPr>
          <w:color w:val="000000" w:themeColor="text1"/>
        </w:rPr>
        <w:t xml:space="preserve">local </w:t>
      </w:r>
      <w:r w:rsidR="00245B64" w:rsidRPr="00CC670F">
        <w:rPr>
          <w:color w:val="000000" w:themeColor="text1"/>
        </w:rPr>
        <w:t xml:space="preserve">arterial stiffness </w:t>
      </w:r>
      <w:r w:rsidR="0040018C" w:rsidRPr="00CC670F">
        <w:rPr>
          <w:color w:val="000000" w:themeColor="text1"/>
        </w:rPr>
        <w:t xml:space="preserve">was </w:t>
      </w:r>
      <w:r w:rsidR="00726B80" w:rsidRPr="00CC670F">
        <w:rPr>
          <w:color w:val="000000" w:themeColor="text1"/>
        </w:rPr>
        <w:t>measured</w:t>
      </w:r>
      <w:r w:rsidR="0040018C" w:rsidRPr="00CC670F">
        <w:rPr>
          <w:color w:val="000000" w:themeColor="text1"/>
        </w:rPr>
        <w:t xml:space="preserve"> </w:t>
      </w:r>
      <w:r w:rsidR="00245B64" w:rsidRPr="00CC670F">
        <w:rPr>
          <w:color w:val="000000" w:themeColor="text1"/>
        </w:rPr>
        <w:t xml:space="preserve">by distensibility </w:t>
      </w:r>
      <w:r w:rsidR="0040018C" w:rsidRPr="00CC670F">
        <w:rPr>
          <w:color w:val="000000" w:themeColor="text1"/>
        </w:rPr>
        <w:t xml:space="preserve">at </w:t>
      </w:r>
      <w:r w:rsidR="001430C1" w:rsidRPr="00CC670F">
        <w:rPr>
          <w:color w:val="000000" w:themeColor="text1"/>
        </w:rPr>
        <w:t>three</w:t>
      </w:r>
      <w:r w:rsidR="00E3767A">
        <w:rPr>
          <w:color w:val="000000" w:themeColor="text1"/>
        </w:rPr>
        <w:t xml:space="preserve"> </w:t>
      </w:r>
      <w:r w:rsidR="0040018C" w:rsidRPr="00CC670F">
        <w:rPr>
          <w:color w:val="000000" w:themeColor="text1"/>
        </w:rPr>
        <w:t>level</w:t>
      </w:r>
      <w:r w:rsidR="001430C1" w:rsidRPr="00CC670F">
        <w:rPr>
          <w:color w:val="000000" w:themeColor="text1"/>
        </w:rPr>
        <w:t xml:space="preserve">s </w:t>
      </w:r>
      <w:r w:rsidR="0040018C" w:rsidRPr="00CC670F">
        <w:rPr>
          <w:color w:val="000000" w:themeColor="text1"/>
        </w:rPr>
        <w:t xml:space="preserve">of the </w:t>
      </w:r>
      <w:r w:rsidRPr="00CC670F">
        <w:rPr>
          <w:color w:val="000000" w:themeColor="text1"/>
        </w:rPr>
        <w:t>thoracic aorta</w:t>
      </w:r>
      <w:r w:rsidR="001430C1" w:rsidRPr="00CC670F">
        <w:rPr>
          <w:color w:val="000000" w:themeColor="text1"/>
        </w:rPr>
        <w:t>.</w:t>
      </w:r>
      <w:r w:rsidR="007603A4">
        <w:rPr>
          <w:color w:val="000000" w:themeColor="text1"/>
        </w:rPr>
        <w:t xml:space="preserve"> </w:t>
      </w:r>
      <w:r w:rsidR="00726B80" w:rsidRPr="00CC670F">
        <w:rPr>
          <w:color w:val="000000" w:themeColor="text1"/>
        </w:rPr>
        <w:t>A</w:t>
      </w:r>
      <w:r w:rsidR="00293760" w:rsidRPr="00CC670F">
        <w:rPr>
          <w:color w:val="000000" w:themeColor="text1"/>
        </w:rPr>
        <w:t xml:space="preserve">rterial stiffness may </w:t>
      </w:r>
      <w:r w:rsidR="00CA017F" w:rsidRPr="00CC670F">
        <w:rPr>
          <w:color w:val="000000" w:themeColor="text1"/>
        </w:rPr>
        <w:t xml:space="preserve">mechanistically </w:t>
      </w:r>
      <w:r w:rsidR="00293760" w:rsidRPr="00CC670F">
        <w:rPr>
          <w:color w:val="000000" w:themeColor="text1"/>
        </w:rPr>
        <w:t xml:space="preserve">reflect either intrinsic changes in the arterial wall or the functional effect of loading conditions, </w:t>
      </w:r>
      <w:r w:rsidR="001B2E5B">
        <w:rPr>
          <w:color w:val="000000" w:themeColor="text1"/>
        </w:rPr>
        <w:t xml:space="preserve">therefore, </w:t>
      </w:r>
      <w:r w:rsidR="00726B80" w:rsidRPr="00CC670F">
        <w:rPr>
          <w:color w:val="000000" w:themeColor="text1"/>
        </w:rPr>
        <w:t>beta (</w:t>
      </w:r>
      <w:r w:rsidR="00726B80" w:rsidRPr="00CC670F">
        <w:rPr>
          <w:rFonts w:ascii="greek" w:hAnsi="greek"/>
          <w:color w:val="000000" w:themeColor="text1"/>
        </w:rPr>
        <w:t>ß</w:t>
      </w:r>
      <w:r w:rsidR="00726B80" w:rsidRPr="00CC670F">
        <w:rPr>
          <w:color w:val="000000" w:themeColor="text1"/>
        </w:rPr>
        <w:t>)-stiffness index was also calculated</w:t>
      </w:r>
      <w:r w:rsidR="00245B64" w:rsidRPr="00CC670F">
        <w:rPr>
          <w:color w:val="000000" w:themeColor="text1"/>
        </w:rPr>
        <w:t>. This is</w:t>
      </w:r>
      <w:r w:rsidR="00726B80" w:rsidRPr="00CC670F">
        <w:rPr>
          <w:color w:val="000000" w:themeColor="text1"/>
        </w:rPr>
        <w:t xml:space="preserve"> a pressure-independent measure of intrinsic arterial stiffness because it accounts for the non-linear compliance to pressure relationship. </w:t>
      </w:r>
    </w:p>
    <w:p w14:paraId="05727A1C" w14:textId="122F7830" w:rsidR="008D66A5" w:rsidRPr="00CC670F" w:rsidRDefault="00FA2A29" w:rsidP="007A7155">
      <w:pPr>
        <w:spacing w:before="0" w:after="0" w:line="240" w:lineRule="auto"/>
        <w:rPr>
          <w:rFonts w:eastAsiaTheme="minorEastAsia"/>
          <w:color w:val="000000" w:themeColor="text1"/>
        </w:rPr>
      </w:pPr>
      <m:oMathPara>
        <m:oMath>
          <m:r>
            <w:rPr>
              <w:rFonts w:ascii="Cambria Math" w:hAnsi="Cambria Math"/>
              <w:color w:val="000000" w:themeColor="text1"/>
            </w:rPr>
            <m:t>Distensibility=</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max</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min</m:t>
                  </m:r>
                </m:sub>
              </m:sSub>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min</m:t>
                  </m:r>
                </m:sub>
              </m:sSub>
              <m:r>
                <w:rPr>
                  <w:rFonts w:ascii="Cambria Math" w:hAnsi="Cambria Math"/>
                  <w:color w:val="000000" w:themeColor="text1"/>
                </w:rPr>
                <m:t xml:space="preserve"> × cPP × 1000</m:t>
              </m:r>
            </m:den>
          </m:f>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-3</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mmHg</m:t>
              </m:r>
            </m:e>
            <m:sup>
              <m:r>
                <w:rPr>
                  <w:rFonts w:ascii="Cambria Math" w:hAnsi="Cambria Math"/>
                  <w:color w:val="000000" w:themeColor="text1"/>
                </w:rPr>
                <m:t>-1</m:t>
              </m:r>
            </m:sup>
          </m:sSup>
          <m:r>
            <w:rPr>
              <w:rFonts w:ascii="Cambria Math" w:hAnsi="Cambria Math"/>
              <w:color w:val="000000" w:themeColor="text1"/>
            </w:rPr>
            <m:t xml:space="preserve"> </m:t>
          </m:r>
        </m:oMath>
      </m:oMathPara>
    </w:p>
    <w:p w14:paraId="2099DF6D" w14:textId="137E74B2" w:rsidR="00FA2A29" w:rsidRPr="00CC670F" w:rsidRDefault="00FA2A29" w:rsidP="007A7155">
      <w:pPr>
        <w:spacing w:before="0" w:after="0"/>
        <w:rPr>
          <w:color w:val="000000" w:themeColor="text1"/>
        </w:rPr>
      </w:pPr>
      <w:r w:rsidRPr="00CC670F">
        <w:rPr>
          <w:rFonts w:eastAsiaTheme="minorEastAsia"/>
          <w:color w:val="000000" w:themeColor="text1"/>
        </w:rPr>
        <w:t>where A</w:t>
      </w:r>
      <w:r w:rsidRPr="00CC670F">
        <w:rPr>
          <w:rFonts w:eastAsiaTheme="minorEastAsia"/>
          <w:color w:val="000000" w:themeColor="text1"/>
          <w:vertAlign w:val="subscript"/>
        </w:rPr>
        <w:t>max</w:t>
      </w:r>
      <w:r w:rsidRPr="00CC670F">
        <w:rPr>
          <w:rFonts w:eastAsiaTheme="minorEastAsia"/>
          <w:color w:val="000000" w:themeColor="text1"/>
        </w:rPr>
        <w:t xml:space="preserve"> and A</w:t>
      </w:r>
      <w:r w:rsidRPr="00CC670F">
        <w:rPr>
          <w:rFonts w:eastAsiaTheme="minorEastAsia"/>
          <w:color w:val="000000" w:themeColor="text1"/>
          <w:vertAlign w:val="subscript"/>
        </w:rPr>
        <w:t xml:space="preserve">min </w:t>
      </w:r>
      <w:r w:rsidR="00F53D94" w:rsidRPr="00CC670F">
        <w:rPr>
          <w:color w:val="000000" w:themeColor="text1"/>
        </w:rPr>
        <w:t>are</w:t>
      </w:r>
      <w:r w:rsidRPr="00CC670F">
        <w:rPr>
          <w:color w:val="000000" w:themeColor="text1"/>
        </w:rPr>
        <w:t xml:space="preserve"> the maximum and minimum </w:t>
      </w:r>
      <w:r w:rsidR="00F53D94" w:rsidRPr="00CC670F">
        <w:rPr>
          <w:color w:val="000000" w:themeColor="text1"/>
        </w:rPr>
        <w:t xml:space="preserve">aortic </w:t>
      </w:r>
      <w:r w:rsidRPr="00CC670F">
        <w:rPr>
          <w:color w:val="000000" w:themeColor="text1"/>
        </w:rPr>
        <w:t>areas across the cardiac cycle.</w:t>
      </w:r>
    </w:p>
    <w:p w14:paraId="3CE5FEA5" w14:textId="3A789D58" w:rsidR="00334C05" w:rsidRPr="00CC670F" w:rsidRDefault="00EE1123" w:rsidP="007A7155">
      <w:pPr>
        <w:spacing w:before="0" w:after="0"/>
        <w:rPr>
          <w:rFonts w:eastAsiaTheme="minorEastAsia"/>
          <w:color w:val="000000" w:themeColor="text1"/>
        </w:rPr>
      </w:pPr>
      <m:oMathPara>
        <m:oMath>
          <m:r>
            <w:rPr>
              <w:rFonts w:ascii="Cambria Math" w:hAnsi="Cambria Math"/>
              <w:color w:val="000000" w:themeColor="text1"/>
            </w:rPr>
            <m:t xml:space="preserve">β= </m:t>
          </m:r>
          <m:f>
            <m:fPr>
              <m:ctrlPr>
                <w:rPr>
                  <w:rFonts w:ascii="Cambria Math" w:hAnsi="Cambria Math"/>
                  <w:i/>
                  <w:color w:val="000000" w:themeColor="text1"/>
                </w:rPr>
              </m:ctrlPr>
            </m:fPr>
            <m:num>
              <m:r>
                <m:rPr>
                  <m:sty m:val="p"/>
                </m:rPr>
                <w:rPr>
                  <w:rFonts w:ascii="Cambria Math" w:hAnsi="Cambria Math"/>
                  <w:color w:val="000000" w:themeColor="text1"/>
                </w:rPr>
                <m:t>ln⁡</m:t>
              </m:r>
              <m:r>
                <w:rPr>
                  <w:rFonts w:ascii="Cambria Math" w:hAnsi="Cambria Math"/>
                  <w:color w:val="000000" w:themeColor="text1"/>
                </w:rPr>
                <m:t>(</m:t>
              </m:r>
              <m:f>
                <m:fPr>
                  <m:type m:val="lin"/>
                  <m:ctrlPr>
                    <w:rPr>
                      <w:rFonts w:ascii="Cambria Math" w:hAnsi="Cambria Math"/>
                      <w:i/>
                      <w:color w:val="000000" w:themeColor="text1"/>
                    </w:rPr>
                  </m:ctrlPr>
                </m:fPr>
                <m:num>
                  <m:r>
                    <w:rPr>
                      <w:rFonts w:ascii="Cambria Math" w:hAnsi="Cambria Math"/>
                      <w:color w:val="000000" w:themeColor="text1"/>
                    </w:rPr>
                    <m:t>cSBP</m:t>
                  </m:r>
                </m:num>
                <m:den>
                  <m:r>
                    <w:rPr>
                      <w:rFonts w:ascii="Cambria Math" w:hAnsi="Cambria Math"/>
                      <w:color w:val="000000" w:themeColor="text1"/>
                    </w:rPr>
                    <m:t>cDBP</m:t>
                  </m:r>
                </m:den>
              </m:f>
              <m:r>
                <w:rPr>
                  <w:rFonts w:ascii="Cambria Math" w:hAnsi="Cambria Math"/>
                  <w:color w:val="000000" w:themeColor="text1"/>
                </w:rPr>
                <m:t>)</m:t>
              </m:r>
            </m:num>
            <m:den>
              <m:r>
                <w:rPr>
                  <w:rFonts w:ascii="Cambria Math" w:hAnsi="Cambria Math"/>
                  <w:color w:val="000000" w:themeColor="text1"/>
                </w:rPr>
                <m:t>(</m:t>
              </m:r>
              <m:f>
                <m:fPr>
                  <m:type m:val="lin"/>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s</m:t>
                      </m:r>
                    </m:sub>
                  </m:sSub>
                </m:num>
                <m:den>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d</m:t>
                      </m:r>
                    </m:sub>
                  </m:sSub>
                  <m:r>
                    <w:rPr>
                      <w:rFonts w:ascii="Cambria Math" w:hAnsi="Cambria Math"/>
                      <w:color w:val="000000" w:themeColor="text1"/>
                    </w:rPr>
                    <m:t>)-1</m:t>
                  </m:r>
                </m:den>
              </m:f>
            </m:den>
          </m:f>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cDBP</m:t>
                  </m:r>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ref</m:t>
                      </m:r>
                    </m:sub>
                  </m:sSub>
                </m:den>
              </m:f>
              <m:r>
                <w:rPr>
                  <w:rFonts w:ascii="Cambria Math" w:hAnsi="Cambria Math"/>
                  <w:color w:val="000000" w:themeColor="text1"/>
                </w:rPr>
                <m:t>)</m:t>
              </m:r>
            </m:e>
          </m:func>
        </m:oMath>
      </m:oMathPara>
    </w:p>
    <w:p w14:paraId="65BF1592" w14:textId="2EEA2621" w:rsidR="008350EF" w:rsidRPr="00A77FB9" w:rsidRDefault="00AD6549" w:rsidP="007A7155">
      <w:pPr>
        <w:spacing w:before="0" w:after="0"/>
      </w:pPr>
      <w:r w:rsidRPr="00CC670F">
        <w:rPr>
          <w:color w:val="000000" w:themeColor="text1"/>
        </w:rPr>
        <w:t>where d</w:t>
      </w:r>
      <w:r w:rsidRPr="00CC670F">
        <w:rPr>
          <w:color w:val="000000" w:themeColor="text1"/>
          <w:vertAlign w:val="subscript"/>
        </w:rPr>
        <w:t>s</w:t>
      </w:r>
      <w:r w:rsidR="00F53D94" w:rsidRPr="00CC670F">
        <w:rPr>
          <w:color w:val="000000" w:themeColor="text1"/>
        </w:rPr>
        <w:t xml:space="preserve"> and d</w:t>
      </w:r>
      <w:r w:rsidR="00F53D94" w:rsidRPr="00CC670F">
        <w:rPr>
          <w:color w:val="000000" w:themeColor="text1"/>
          <w:vertAlign w:val="subscript"/>
        </w:rPr>
        <w:t>d</w:t>
      </w:r>
      <w:r w:rsidR="00F53D94" w:rsidRPr="00CC670F">
        <w:rPr>
          <w:color w:val="000000" w:themeColor="text1"/>
        </w:rPr>
        <w:t xml:space="preserve"> are the maximum and minimum aortic diameters</w:t>
      </w:r>
      <w:r w:rsidR="007A5BAA" w:rsidRPr="00CC670F">
        <w:rPr>
          <w:color w:val="000000" w:themeColor="text1"/>
        </w:rPr>
        <w:t xml:space="preserve"> calculated from the areas</w:t>
      </w:r>
      <w:r w:rsidR="00F53D94" w:rsidRPr="00CC670F">
        <w:rPr>
          <w:color w:val="000000" w:themeColor="text1"/>
        </w:rPr>
        <w:t xml:space="preserve"> and</w:t>
      </w:r>
      <w:r w:rsidR="00334C05" w:rsidRPr="00CC670F">
        <w:rPr>
          <w:color w:val="000000" w:themeColor="text1"/>
        </w:rPr>
        <w:t xml:space="preserve"> P</w:t>
      </w:r>
      <w:r w:rsidR="00334C05" w:rsidRPr="00CC670F">
        <w:rPr>
          <w:color w:val="000000" w:themeColor="text1"/>
          <w:vertAlign w:val="subscript"/>
        </w:rPr>
        <w:t>ref</w:t>
      </w:r>
      <w:r w:rsidR="00F53D94" w:rsidRPr="00CC670F">
        <w:rPr>
          <w:color w:val="000000" w:themeColor="text1"/>
        </w:rPr>
        <w:t xml:space="preserve"> is</w:t>
      </w:r>
      <w:r w:rsidR="00334C05" w:rsidRPr="00CC670F">
        <w:rPr>
          <w:color w:val="000000" w:themeColor="text1"/>
        </w:rPr>
        <w:t xml:space="preserve"> a reference BP, here 100mmHg</w:t>
      </w:r>
      <w:r w:rsidR="00F53D94" w:rsidRPr="00CC670F">
        <w:rPr>
          <w:color w:val="000000" w:themeColor="text1"/>
        </w:rPr>
        <w:t>.</w:t>
      </w:r>
      <w:r w:rsidR="008867BC" w:rsidRPr="00CC670F">
        <w:rPr>
          <w:color w:val="000000" w:themeColor="text1"/>
        </w:rPr>
        <w:t xml:space="preserve"> </w:t>
      </w:r>
      <w:r w:rsidR="00A77FB9" w:rsidRPr="00A03CD7">
        <w:t xml:space="preserve">Because a single central PP estimate was used for distensibility calculation at each level of the aorta, a sensitivity analysis was undertaken </w:t>
      </w:r>
      <w:r w:rsidR="00A77FB9">
        <w:t xml:space="preserve">to model the likely impact of neglect of PP amplification on the estimates of distensibility </w:t>
      </w:r>
      <w:r w:rsidR="00A77FB9" w:rsidRPr="00A03CD7">
        <w:t xml:space="preserve">using </w:t>
      </w:r>
      <w:r w:rsidR="00A77FB9">
        <w:t xml:space="preserve">the </w:t>
      </w:r>
      <w:r w:rsidR="00A77FB9" w:rsidRPr="00A03CD7">
        <w:t>changes in PP from ascending to the diaphragmatic descending aorta</w:t>
      </w:r>
      <w:r w:rsidR="00A77FB9">
        <w:t xml:space="preserve"> reported in a previous study.</w:t>
      </w:r>
      <w:r w:rsidR="00A77FB9">
        <w:rPr>
          <w:color w:val="000000" w:themeColor="text1"/>
        </w:rPr>
        <w:fldChar w:fldCharType="begin" w:fldLock="1"/>
      </w:r>
      <w:r w:rsidR="00257AD6">
        <w:rPr>
          <w:color w:val="000000" w:themeColor="text1"/>
        </w:rPr>
        <w:instrText>ADDIN CSL_CITATION {"citationItems":[{"id":"ITEM-1","itemData":{"DOI":"10.1097/HJH.0000000000001424","ISBN":"0000000000","ISSN":"14735598","abstract":"Copyright © 2017 Wolters Kluwer Health, Inc. Introduction: The development and propagation of the aortic blood pressure wave remains poorly understood, despite its clear relevance to major organ blood flow and potential association with cardiovascular outcomes. The reservoir pressure model provides a unified description of the dual conduit and reservoir functions of the aorta. Reservoir waveform analysis resolves the aortic pressure waveform into an excess (wave related) and reservoir (compliance related) pressure. The applicability of this model to the pressure waveform as it propagates along the aorta has not been investigated in humans. Methods: We analysed invasively acquired high-fidelity aortic pressure waveforms from 40 patients undergoing clinically indicated coronary catheterization. Aortic waveforms were measured using a solid-state pressure catheter at five anatomical sites: The ascending aorta, the transverse aortic arch, the diaphragm, the level of the renal arteries, and at the aortic bifurcation. Ensemble average pressure waveforms were obtained for these sites for each patient and analysed to obtain the reservoir pressure [P r (t)] and the excess pressure [P x (t)] at each aortic position. Results: Systolic blood pressure increased at a rate of 2.1 mmHg per site along the aorta, whereas diastolic blood pressure was effectively constant. Maximum P r decreased only slightly along the aorta (changing by-0.7 mmHg per site), whereas the maximum of P x increased from the proximal to distal aorta (+4.1 mmHg per site; P &lt; 0.001). The time, relative to the start of systolic upstroke, of the occurrence of the maximum excess pressure did not vary along the aorta. Of the parameters used to derive the reservoir pressure waveform the systolic and diastolic rate constants showed divergent changes with the systolic rate constant (k s) decreasing and the diastolic rate constant (k d) increasing along the aorta. Conclusions: This analysis confirms the proposition that the magnitude of the calculated reservoir pressure waveform, despite known changes in aortic structure, is effectively constant throughout the aorta. A progressive increase of excess pressure accounts for the increase in pulse pressure from the proximal to distal aorta. The reservoir pressure rate constants seem to behave as arterial functional parameters. The accompanying decrease in k s and increase in k d are consistent with a progressive decrease in aortic compliance and increase in impe…","author":[{"dropping-particle":"","family":"Narayan","given":"Om","non-dropping-particle":"","parse-names":false,"suffix":""},{"dropping-particle":"","family":"Parker","given":"Kim H.","non-dropping-particle":"","parse-names":false,"suffix":""},{"dropping-particle":"","family":"Davies","given":"Justin E.","non-dropping-particle":"","parse-names":false,"suffix":""},{"dropping-particle":"","family":"Hughes","given":"Alun D.","non-dropping-particle":"","parse-names":false,"suffix":""},{"dropping-particle":"","family":"Meredith","given":"Ian T.","non-dropping-particle":"","parse-names":false,"suffix":""},{"dropping-particle":"","family":"Cameron","given":"James D.","non-dropping-particle":"","parse-names":false,"suffix":""}],"container-title":"Journal of Hypertension","id":"ITEM-1","issue":"10","issued":{"date-parts":[["2017"]]},"page":"2025-2033","title":"Reservoir pressure analysis of aortic blood pressure: An in-vivo study at five locations in humans","type":"article-journal","volume":"35"},"uris":["http://www.mendeley.com/documents/?uuid=dc1c636d-1b46-49aa-bb97-b3e38248e9dd"]}],"mendeley":{"formattedCitation":"(20)","plainTextFormattedCitation":"(20)","previouslyFormattedCitation":"(20)"},"properties":{"noteIndex":0},"schema":"https://github.com/citation-style-language/schema/raw/master/csl-citation.json"}</w:instrText>
      </w:r>
      <w:r w:rsidR="00A77FB9">
        <w:rPr>
          <w:color w:val="000000" w:themeColor="text1"/>
        </w:rPr>
        <w:fldChar w:fldCharType="separate"/>
      </w:r>
      <w:r w:rsidR="00B515F5" w:rsidRPr="00B515F5">
        <w:rPr>
          <w:noProof/>
          <w:color w:val="000000" w:themeColor="text1"/>
        </w:rPr>
        <w:t>(20)</w:t>
      </w:r>
      <w:r w:rsidR="00A77FB9">
        <w:rPr>
          <w:color w:val="000000" w:themeColor="text1"/>
        </w:rPr>
        <w:fldChar w:fldCharType="end"/>
      </w:r>
      <w:r w:rsidR="00A77FB9" w:rsidRPr="00A03CD7">
        <w:t xml:space="preserve"> This </w:t>
      </w:r>
      <w:r w:rsidR="00A77FB9">
        <w:t xml:space="preserve">suggested neglect of PP amplification would only have small effects and would be unlikely to substantively </w:t>
      </w:r>
      <w:r w:rsidR="00A77FB9" w:rsidRPr="00A03CD7">
        <w:t>alter the findings of the study.</w:t>
      </w:r>
    </w:p>
    <w:p w14:paraId="18EF7193" w14:textId="34E4C914" w:rsidR="005D022D" w:rsidRDefault="005D022D" w:rsidP="007A7155">
      <w:pPr>
        <w:spacing w:before="0" w:after="0"/>
        <w:ind w:firstLine="720"/>
        <w:rPr>
          <w:color w:val="000000" w:themeColor="text1"/>
        </w:rPr>
      </w:pPr>
      <w:r w:rsidRPr="00CC2FC9">
        <w:t xml:space="preserve">Pulse wave velocity (PWV) was measured from the transit time between velocity profiles to derive average aortic stiffness across the </w:t>
      </w:r>
      <w:r>
        <w:t xml:space="preserve">length of the </w:t>
      </w:r>
      <w:r w:rsidRPr="00CC2FC9">
        <w:t>whole</w:t>
      </w:r>
      <w:r>
        <w:t xml:space="preserve"> aorta</w:t>
      </w:r>
      <w:r w:rsidRPr="00CC2FC9">
        <w:t xml:space="preserve">, </w:t>
      </w:r>
      <w:r>
        <w:t xml:space="preserve">and regional </w:t>
      </w:r>
      <w:r w:rsidRPr="00CC2FC9">
        <w:t>ascending</w:t>
      </w:r>
      <w:r>
        <w:t>,</w:t>
      </w:r>
      <w:r w:rsidRPr="00CC2FC9">
        <w:t xml:space="preserve"> and descending thoracic </w:t>
      </w:r>
      <w:r>
        <w:t>aortic segments</w:t>
      </w:r>
      <w:r w:rsidRPr="00CC2FC9">
        <w:t>. Further details, and reproducibility of all measures, are available in the Online Methods.</w:t>
      </w:r>
    </w:p>
    <w:p w14:paraId="38696D92" w14:textId="5DFAB0F2" w:rsidR="006B2641" w:rsidRPr="00CC670F" w:rsidRDefault="000420A2" w:rsidP="007A7155">
      <w:pPr>
        <w:pStyle w:val="Heading2"/>
        <w:spacing w:before="0" w:after="0"/>
        <w:rPr>
          <w:color w:val="000000" w:themeColor="text1"/>
        </w:rPr>
      </w:pPr>
      <w:r w:rsidRPr="00CC670F">
        <w:rPr>
          <w:color w:val="000000" w:themeColor="text1"/>
        </w:rPr>
        <w:t>Biological a</w:t>
      </w:r>
      <w:r w:rsidR="00494CC7" w:rsidRPr="00CC670F">
        <w:rPr>
          <w:color w:val="000000" w:themeColor="text1"/>
        </w:rPr>
        <w:t xml:space="preserve">ortic age </w:t>
      </w:r>
    </w:p>
    <w:p w14:paraId="78BBA5C5" w14:textId="506BDE7A" w:rsidR="00CC7F4B" w:rsidRPr="00CC670F" w:rsidRDefault="000420A2" w:rsidP="007A7155">
      <w:pPr>
        <w:spacing w:before="0" w:after="0"/>
        <w:ind w:firstLine="720"/>
        <w:rPr>
          <w:color w:val="000000" w:themeColor="text1"/>
        </w:rPr>
      </w:pPr>
      <w:r w:rsidRPr="00CC670F">
        <w:rPr>
          <w:color w:val="000000" w:themeColor="text1"/>
        </w:rPr>
        <w:t xml:space="preserve">Biological aortic age was determined from the relationship between age and local aortic </w:t>
      </w:r>
      <w:r w:rsidR="00B5309D" w:rsidRPr="00CC670F">
        <w:rPr>
          <w:color w:val="000000" w:themeColor="text1"/>
        </w:rPr>
        <w:t>stiffness</w:t>
      </w:r>
      <w:r w:rsidRPr="00CC670F">
        <w:rPr>
          <w:color w:val="000000" w:themeColor="text1"/>
        </w:rPr>
        <w:t xml:space="preserve"> at each level of the aorta using the baseline cross-sectional data</w:t>
      </w:r>
      <w:r w:rsidR="00430CDB" w:rsidRPr="00CC670F">
        <w:rPr>
          <w:color w:val="000000" w:themeColor="text1"/>
        </w:rPr>
        <w:t xml:space="preserve">, </w:t>
      </w:r>
      <w:r w:rsidR="003933AE">
        <w:rPr>
          <w:color w:val="000000" w:themeColor="text1"/>
        </w:rPr>
        <w:t>Online Methods</w:t>
      </w:r>
      <w:r w:rsidRPr="00CC670F">
        <w:rPr>
          <w:color w:val="000000" w:themeColor="text1"/>
        </w:rPr>
        <w:t xml:space="preserve">. </w:t>
      </w:r>
      <w:r w:rsidR="00652434" w:rsidRPr="00CC670F">
        <w:rPr>
          <w:color w:val="000000" w:themeColor="text1"/>
        </w:rPr>
        <w:t xml:space="preserve">Aortic stiffness </w:t>
      </w:r>
      <w:r w:rsidR="003938B9" w:rsidRPr="00CC670F">
        <w:rPr>
          <w:color w:val="000000" w:themeColor="text1"/>
        </w:rPr>
        <w:t xml:space="preserve">is strongly correlated </w:t>
      </w:r>
      <w:r w:rsidR="00652434" w:rsidRPr="00CC670F">
        <w:rPr>
          <w:color w:val="000000" w:themeColor="text1"/>
        </w:rPr>
        <w:t>with chronological age</w:t>
      </w:r>
      <w:r w:rsidR="003938B9" w:rsidRPr="00CC670F">
        <w:rPr>
          <w:color w:val="000000" w:themeColor="text1"/>
        </w:rPr>
        <w:t>,</w:t>
      </w:r>
      <w:r w:rsidR="00652434" w:rsidRPr="00CC670F">
        <w:rPr>
          <w:color w:val="000000" w:themeColor="text1"/>
        </w:rPr>
        <w:t xml:space="preserve"> </w:t>
      </w:r>
      <w:r w:rsidR="001D3E88" w:rsidRPr="00CC670F">
        <w:rPr>
          <w:color w:val="000000" w:themeColor="text1"/>
        </w:rPr>
        <w:t>and so</w:t>
      </w:r>
      <w:r w:rsidR="007838C4" w:rsidRPr="00CC670F">
        <w:rPr>
          <w:color w:val="000000" w:themeColor="text1"/>
        </w:rPr>
        <w:t xml:space="preserve"> any deviations from expected values may reflect between-subject susceptibility to accelerated ageing, or conversely, vascular adaptation. </w:t>
      </w:r>
    </w:p>
    <w:p w14:paraId="69D895FD" w14:textId="77777777" w:rsidR="00CC404E" w:rsidRPr="00CC670F" w:rsidRDefault="00CC404E" w:rsidP="007A7155">
      <w:pPr>
        <w:pStyle w:val="Heading2"/>
        <w:spacing w:before="0" w:after="0"/>
        <w:rPr>
          <w:color w:val="000000" w:themeColor="text1"/>
        </w:rPr>
      </w:pPr>
      <w:r w:rsidRPr="00CC670F">
        <w:rPr>
          <w:color w:val="000000" w:themeColor="text1"/>
        </w:rPr>
        <w:t>Statistical analysis</w:t>
      </w:r>
    </w:p>
    <w:p w14:paraId="36C66D70" w14:textId="2BC61ED8" w:rsidR="00535C25" w:rsidRPr="00CC670F" w:rsidRDefault="00CC404E" w:rsidP="007A7155">
      <w:pPr>
        <w:spacing w:before="0" w:after="0"/>
        <w:ind w:firstLine="720"/>
        <w:rPr>
          <w:color w:val="000000" w:themeColor="text1"/>
        </w:rPr>
      </w:pPr>
      <w:r w:rsidRPr="00CC670F">
        <w:rPr>
          <w:color w:val="000000" w:themeColor="text1"/>
        </w:rPr>
        <w:t xml:space="preserve">Data were analysed in R (R foundation, Vienna, Austria) using RStudio Server version </w:t>
      </w:r>
      <w:r w:rsidR="00272399" w:rsidRPr="00CC670F">
        <w:rPr>
          <w:color w:val="000000" w:themeColor="text1"/>
        </w:rPr>
        <w:t>1</w:t>
      </w:r>
      <w:r w:rsidR="00FF4FAA" w:rsidRPr="00CC670F">
        <w:rPr>
          <w:color w:val="000000" w:themeColor="text1"/>
        </w:rPr>
        <w:t>.</w:t>
      </w:r>
      <w:r w:rsidR="00272399" w:rsidRPr="00CC670F">
        <w:rPr>
          <w:color w:val="000000" w:themeColor="text1"/>
        </w:rPr>
        <w:t>0</w:t>
      </w:r>
      <w:r w:rsidR="00FF4FAA" w:rsidRPr="00CC670F">
        <w:rPr>
          <w:color w:val="000000" w:themeColor="text1"/>
        </w:rPr>
        <w:t>.</w:t>
      </w:r>
      <w:r w:rsidR="00272399" w:rsidRPr="00CC670F">
        <w:rPr>
          <w:color w:val="000000" w:themeColor="text1"/>
        </w:rPr>
        <w:t>153</w:t>
      </w:r>
      <w:r w:rsidRPr="00CC670F">
        <w:rPr>
          <w:color w:val="000000" w:themeColor="text1"/>
        </w:rPr>
        <w:t xml:space="preserve"> (Boston, Mass, USA). All continuous variables are expressed as mean±SD or median (interquartile range [IQR]) for skewed data</w:t>
      </w:r>
      <w:r w:rsidR="00320622" w:rsidRPr="00CC670F">
        <w:rPr>
          <w:color w:val="000000" w:themeColor="text1"/>
        </w:rPr>
        <w:t xml:space="preserve">, and the 95 percent confidence interval of the </w:t>
      </w:r>
      <w:r w:rsidR="008A2A39" w:rsidRPr="00CC670F">
        <w:rPr>
          <w:color w:val="000000" w:themeColor="text1"/>
        </w:rPr>
        <w:t>changes with exercise training</w:t>
      </w:r>
      <w:r w:rsidRPr="00CC670F">
        <w:rPr>
          <w:color w:val="000000" w:themeColor="text1"/>
        </w:rPr>
        <w:t xml:space="preserve">. </w:t>
      </w:r>
      <w:r w:rsidR="005D3B16" w:rsidRPr="00CC670F">
        <w:rPr>
          <w:color w:val="000000" w:themeColor="text1"/>
        </w:rPr>
        <w:t xml:space="preserve">Baseline and follow-up data </w:t>
      </w:r>
      <w:r w:rsidRPr="00CC670F">
        <w:rPr>
          <w:color w:val="000000" w:themeColor="text1"/>
        </w:rPr>
        <w:t xml:space="preserve">were compared </w:t>
      </w:r>
      <w:r w:rsidR="00F25A5C" w:rsidRPr="00CC670F">
        <w:rPr>
          <w:color w:val="000000" w:themeColor="text1"/>
        </w:rPr>
        <w:t xml:space="preserve">using </w:t>
      </w:r>
      <w:r w:rsidR="004F1F89" w:rsidRPr="00CC670F">
        <w:rPr>
          <w:color w:val="000000" w:themeColor="text1"/>
        </w:rPr>
        <w:t xml:space="preserve">paired </w:t>
      </w:r>
      <w:r w:rsidRPr="00CC670F">
        <w:rPr>
          <w:color w:val="000000" w:themeColor="text1"/>
        </w:rPr>
        <w:t>Student’s t-test</w:t>
      </w:r>
      <w:r w:rsidR="00070D02" w:rsidRPr="00CC670F">
        <w:rPr>
          <w:color w:val="000000" w:themeColor="text1"/>
        </w:rPr>
        <w:t>s</w:t>
      </w:r>
      <w:r w:rsidRPr="00CC670F">
        <w:rPr>
          <w:color w:val="000000" w:themeColor="text1"/>
        </w:rPr>
        <w:t xml:space="preserve"> for normally distributed continuous variables</w:t>
      </w:r>
      <w:r w:rsidR="00BC4987" w:rsidRPr="00CC670F">
        <w:rPr>
          <w:color w:val="000000" w:themeColor="text1"/>
        </w:rPr>
        <w:t xml:space="preserve"> or Mann-</w:t>
      </w:r>
      <w:r w:rsidR="00070D02" w:rsidRPr="00CC670F">
        <w:rPr>
          <w:color w:val="000000" w:themeColor="text1"/>
        </w:rPr>
        <w:t xml:space="preserve">Whitney U test and the Chi-square </w:t>
      </w:r>
      <w:r w:rsidR="000D2D2B" w:rsidRPr="00CC670F">
        <w:rPr>
          <w:color w:val="000000" w:themeColor="text1"/>
        </w:rPr>
        <w:t>tests for</w:t>
      </w:r>
      <w:r w:rsidR="00070D02" w:rsidRPr="00CC670F">
        <w:rPr>
          <w:color w:val="000000" w:themeColor="text1"/>
        </w:rPr>
        <w:t xml:space="preserve"> non-normally distributed and categorical variables respectively.</w:t>
      </w:r>
      <w:r w:rsidR="00895BBD" w:rsidRPr="00CC670F">
        <w:rPr>
          <w:color w:val="000000" w:themeColor="text1"/>
        </w:rPr>
        <w:t xml:space="preserve"> </w:t>
      </w:r>
      <w:r w:rsidR="00AC4A9F" w:rsidRPr="00CC670F">
        <w:rPr>
          <w:color w:val="000000" w:themeColor="text1"/>
        </w:rPr>
        <w:t xml:space="preserve">Because the study was designed to look at older and younger participants, age groups were </w:t>
      </w:r>
      <w:r w:rsidR="00F877DD" w:rsidRPr="00CC670F">
        <w:rPr>
          <w:color w:val="000000" w:themeColor="text1"/>
        </w:rPr>
        <w:t xml:space="preserve">a priori </w:t>
      </w:r>
      <w:r w:rsidR="00AC4A9F" w:rsidRPr="00CC670F">
        <w:rPr>
          <w:color w:val="000000" w:themeColor="text1"/>
        </w:rPr>
        <w:t xml:space="preserve">stratified by the mean age of </w:t>
      </w:r>
      <w:r w:rsidR="0014364E" w:rsidRPr="00CC670F">
        <w:rPr>
          <w:color w:val="000000" w:themeColor="text1"/>
        </w:rPr>
        <w:t>the cohort (</w:t>
      </w:r>
      <w:r w:rsidR="00AC4A9F" w:rsidRPr="00CC670F">
        <w:rPr>
          <w:color w:val="000000" w:themeColor="text1"/>
        </w:rPr>
        <w:t>37 years</w:t>
      </w:r>
      <w:r w:rsidR="0014364E" w:rsidRPr="00CC670F">
        <w:rPr>
          <w:color w:val="000000" w:themeColor="text1"/>
        </w:rPr>
        <w:t>)</w:t>
      </w:r>
      <w:r w:rsidR="00414E71" w:rsidRPr="00CC670F">
        <w:rPr>
          <w:color w:val="000000" w:themeColor="text1"/>
        </w:rPr>
        <w:t>, similar to Tanaka et al</w:t>
      </w:r>
      <w:r w:rsidR="00AC4A9F" w:rsidRPr="00CC670F">
        <w:rPr>
          <w:color w:val="000000" w:themeColor="text1"/>
        </w:rPr>
        <w:t>.</w:t>
      </w:r>
      <w:r w:rsidR="00414E71" w:rsidRPr="00CC670F">
        <w:rPr>
          <w:color w:val="000000" w:themeColor="text1"/>
        </w:rPr>
        <w:t>(14)</w:t>
      </w:r>
      <w:r w:rsidR="00AC4A9F" w:rsidRPr="00CC670F">
        <w:rPr>
          <w:color w:val="000000" w:themeColor="text1"/>
        </w:rPr>
        <w:t xml:space="preserve"> </w:t>
      </w:r>
      <w:r w:rsidR="00041DB4" w:rsidRPr="00CC670F">
        <w:rPr>
          <w:color w:val="000000" w:themeColor="text1"/>
        </w:rPr>
        <w:t>To minimize the influence of outliers, extreme data points (greater than six interquartile ranges below the first or above the third quartile) were removed (8 out of 1668 data points in aortic stiffness measures pre- and post- training).</w:t>
      </w:r>
    </w:p>
    <w:p w14:paraId="0AF37CCB" w14:textId="5878FD91" w:rsidR="00323CA5" w:rsidRPr="00CC670F" w:rsidRDefault="00752420" w:rsidP="007A7155">
      <w:pPr>
        <w:spacing w:before="0" w:after="0"/>
        <w:ind w:firstLine="720"/>
        <w:rPr>
          <w:color w:val="000000" w:themeColor="text1"/>
        </w:rPr>
      </w:pPr>
      <w:r w:rsidRPr="00CC670F">
        <w:rPr>
          <w:color w:val="000000" w:themeColor="text1"/>
        </w:rPr>
        <w:t>Linear regression was used to assess independent relationships after adjusting for covariates</w:t>
      </w:r>
      <w:r w:rsidR="00B80DD0" w:rsidRPr="00CC670F">
        <w:rPr>
          <w:color w:val="000000" w:themeColor="text1"/>
        </w:rPr>
        <w:t>,</w:t>
      </w:r>
      <w:r w:rsidR="00804989" w:rsidRPr="00CC670F">
        <w:rPr>
          <w:color w:val="000000" w:themeColor="text1"/>
        </w:rPr>
        <w:t xml:space="preserve"> and p</w:t>
      </w:r>
      <w:r w:rsidR="00535C25" w:rsidRPr="00CC670F">
        <w:rPr>
          <w:color w:val="000000" w:themeColor="text1"/>
        </w:rPr>
        <w:t>artial correlation coefficients (r</w:t>
      </w:r>
      <w:r w:rsidR="00535C25" w:rsidRPr="00CC670F">
        <w:rPr>
          <w:color w:val="000000" w:themeColor="text1"/>
          <w:vertAlign w:val="subscript"/>
        </w:rPr>
        <w:t>partial</w:t>
      </w:r>
      <w:r w:rsidR="00535C25" w:rsidRPr="00CC670F">
        <w:rPr>
          <w:color w:val="000000" w:themeColor="text1"/>
        </w:rPr>
        <w:t>) were used to descri</w:t>
      </w:r>
      <w:r w:rsidR="00F5359A" w:rsidRPr="00CC670F">
        <w:rPr>
          <w:color w:val="000000" w:themeColor="text1"/>
        </w:rPr>
        <w:t xml:space="preserve">be </w:t>
      </w:r>
      <w:r w:rsidR="00B80DD0" w:rsidRPr="00CC670F">
        <w:rPr>
          <w:color w:val="000000" w:themeColor="text1"/>
        </w:rPr>
        <w:t xml:space="preserve">the </w:t>
      </w:r>
      <w:r w:rsidR="00BB3FC5" w:rsidRPr="00CC670F">
        <w:rPr>
          <w:color w:val="000000" w:themeColor="text1"/>
        </w:rPr>
        <w:t>associations</w:t>
      </w:r>
      <w:r w:rsidR="001F01D7" w:rsidRPr="00CC670F">
        <w:rPr>
          <w:color w:val="000000" w:themeColor="text1"/>
        </w:rPr>
        <w:t>.</w:t>
      </w:r>
      <w:r w:rsidR="00BB3FC5" w:rsidRPr="00CC670F">
        <w:rPr>
          <w:color w:val="000000" w:themeColor="text1"/>
        </w:rPr>
        <w:t xml:space="preserve"> </w:t>
      </w:r>
      <w:r w:rsidRPr="00CC670F">
        <w:rPr>
          <w:color w:val="000000" w:themeColor="text1"/>
        </w:rPr>
        <w:t>A</w:t>
      </w:r>
      <w:r w:rsidR="00BB3FC5" w:rsidRPr="00CC670F">
        <w:rPr>
          <w:color w:val="000000" w:themeColor="text1"/>
        </w:rPr>
        <w:t xml:space="preserve">ssociations between aortic stiffness and </w:t>
      </w:r>
      <w:r w:rsidR="005537DB" w:rsidRPr="00CC670F">
        <w:rPr>
          <w:color w:val="000000" w:themeColor="text1"/>
        </w:rPr>
        <w:t xml:space="preserve">baseline BP, </w:t>
      </w:r>
      <w:r w:rsidR="00BB3FC5" w:rsidRPr="00CC670F">
        <w:rPr>
          <w:color w:val="000000" w:themeColor="text1"/>
        </w:rPr>
        <w:t>heart rate</w:t>
      </w:r>
      <w:r w:rsidR="00BA747B" w:rsidRPr="00CC670F">
        <w:rPr>
          <w:color w:val="000000" w:themeColor="text1"/>
        </w:rPr>
        <w:t>, weight,</w:t>
      </w:r>
      <w:r w:rsidR="00BB3FC5" w:rsidRPr="00CC670F">
        <w:rPr>
          <w:color w:val="000000" w:themeColor="text1"/>
        </w:rPr>
        <w:t xml:space="preserve"> body fat</w:t>
      </w:r>
      <w:r w:rsidR="005537DB" w:rsidRPr="00CC670F">
        <w:rPr>
          <w:color w:val="000000" w:themeColor="text1"/>
        </w:rPr>
        <w:t>, marathon completion time and peak VO</w:t>
      </w:r>
      <w:r w:rsidR="005537DB" w:rsidRPr="00CC670F">
        <w:rPr>
          <w:color w:val="000000" w:themeColor="text1"/>
          <w:vertAlign w:val="subscript"/>
        </w:rPr>
        <w:t xml:space="preserve">2 </w:t>
      </w:r>
      <w:r w:rsidR="00BB3FC5" w:rsidRPr="00CC670F">
        <w:rPr>
          <w:color w:val="000000" w:themeColor="text1"/>
        </w:rPr>
        <w:t>were</w:t>
      </w:r>
      <w:r w:rsidR="000515F7" w:rsidRPr="00CC670F">
        <w:rPr>
          <w:color w:val="000000" w:themeColor="text1"/>
        </w:rPr>
        <w:t xml:space="preserve"> adjusted </w:t>
      </w:r>
      <w:r w:rsidR="00535C25" w:rsidRPr="00CC670F">
        <w:rPr>
          <w:color w:val="000000" w:themeColor="text1"/>
        </w:rPr>
        <w:t xml:space="preserve">for age </w:t>
      </w:r>
      <w:r w:rsidR="00790C98" w:rsidRPr="00CC670F">
        <w:rPr>
          <w:color w:val="000000" w:themeColor="text1"/>
        </w:rPr>
        <w:t>and sex</w:t>
      </w:r>
      <w:r w:rsidR="00BB3FC5" w:rsidRPr="00CC670F">
        <w:rPr>
          <w:color w:val="000000" w:themeColor="text1"/>
        </w:rPr>
        <w:t xml:space="preserve">. </w:t>
      </w:r>
      <w:r w:rsidR="00A364F7" w:rsidRPr="00CC670F">
        <w:rPr>
          <w:color w:val="000000" w:themeColor="text1"/>
        </w:rPr>
        <w:t xml:space="preserve"> </w:t>
      </w:r>
      <w:r w:rsidR="00BB3FC5" w:rsidRPr="00CC670F">
        <w:rPr>
          <w:color w:val="000000" w:themeColor="text1"/>
        </w:rPr>
        <w:t xml:space="preserve">Associations between aortic stiffness </w:t>
      </w:r>
      <w:r w:rsidR="00A364F7" w:rsidRPr="00CC670F">
        <w:rPr>
          <w:color w:val="000000" w:themeColor="text1"/>
        </w:rPr>
        <w:t xml:space="preserve">and sex </w:t>
      </w:r>
      <w:r w:rsidR="00BB3FC5" w:rsidRPr="00CC670F">
        <w:rPr>
          <w:color w:val="000000" w:themeColor="text1"/>
        </w:rPr>
        <w:t xml:space="preserve">were </w:t>
      </w:r>
      <w:r w:rsidR="00A364F7" w:rsidRPr="00CC670F">
        <w:rPr>
          <w:color w:val="000000" w:themeColor="text1"/>
        </w:rPr>
        <w:t>adjusted for age and peak VO</w:t>
      </w:r>
      <w:r w:rsidR="00A364F7" w:rsidRPr="00CC670F">
        <w:rPr>
          <w:color w:val="000000" w:themeColor="text1"/>
          <w:vertAlign w:val="subscript"/>
        </w:rPr>
        <w:t>2</w:t>
      </w:r>
      <w:r w:rsidR="00BB3FC5" w:rsidRPr="00CC670F">
        <w:rPr>
          <w:color w:val="000000" w:themeColor="text1"/>
        </w:rPr>
        <w:t>.</w:t>
      </w:r>
      <w:r w:rsidR="00E34CA6" w:rsidRPr="00CC670F">
        <w:rPr>
          <w:color w:val="000000" w:themeColor="text1"/>
        </w:rPr>
        <w:t xml:space="preserve"> </w:t>
      </w:r>
      <w:r w:rsidR="00DC1484" w:rsidRPr="00CC670F">
        <w:rPr>
          <w:color w:val="000000" w:themeColor="text1"/>
        </w:rPr>
        <w:t xml:space="preserve">Because aortic stiffness is partly dependent on loading conditions, the association between the change in aortic distensibility and change in </w:t>
      </w:r>
      <w:r w:rsidR="0026305F" w:rsidRPr="00CC670F">
        <w:rPr>
          <w:color w:val="000000" w:themeColor="text1"/>
        </w:rPr>
        <w:t>systolic blood pressure (</w:t>
      </w:r>
      <w:r w:rsidR="00DC1484" w:rsidRPr="00CC670F">
        <w:rPr>
          <w:color w:val="000000" w:themeColor="text1"/>
        </w:rPr>
        <w:t>SBP</w:t>
      </w:r>
      <w:r w:rsidR="0026305F" w:rsidRPr="00CC670F">
        <w:rPr>
          <w:color w:val="000000" w:themeColor="text1"/>
        </w:rPr>
        <w:t>)</w:t>
      </w:r>
      <w:r w:rsidR="00DC1484" w:rsidRPr="00CC670F">
        <w:rPr>
          <w:color w:val="000000" w:themeColor="text1"/>
        </w:rPr>
        <w:t xml:space="preserve"> was adjusted for the ‘operating’ BP (baseline mean central arterial pressure).  </w:t>
      </w:r>
      <w:r w:rsidR="00C91AF0" w:rsidRPr="00CC670F">
        <w:rPr>
          <w:color w:val="000000" w:themeColor="text1"/>
        </w:rPr>
        <w:t>C</w:t>
      </w:r>
      <w:r w:rsidR="00706B96" w:rsidRPr="00CC670F">
        <w:rPr>
          <w:color w:val="000000" w:themeColor="text1"/>
        </w:rPr>
        <w:t xml:space="preserve">hanges </w:t>
      </w:r>
      <w:r w:rsidR="004B3A7D" w:rsidRPr="00CC670F">
        <w:rPr>
          <w:color w:val="000000" w:themeColor="text1"/>
        </w:rPr>
        <w:t xml:space="preserve">between aortic stiffness and </w:t>
      </w:r>
      <w:r w:rsidR="000077CA" w:rsidRPr="00CC670F">
        <w:rPr>
          <w:color w:val="000000" w:themeColor="text1"/>
        </w:rPr>
        <w:t>other dependent variables at follow-up</w:t>
      </w:r>
      <w:r w:rsidR="00706B96" w:rsidRPr="00CC670F">
        <w:rPr>
          <w:color w:val="000000" w:themeColor="text1"/>
        </w:rPr>
        <w:t xml:space="preserve"> were adjusted for the baseline measurement of the covariate.</w:t>
      </w:r>
      <w:r w:rsidR="000648B7" w:rsidRPr="00CC670F">
        <w:rPr>
          <w:color w:val="000000" w:themeColor="text1"/>
        </w:rPr>
        <w:t xml:space="preserve"> To determine whether the change in aortic stiffness was </w:t>
      </w:r>
      <w:r w:rsidR="006539F4" w:rsidRPr="00CC670F">
        <w:rPr>
          <w:color w:val="000000" w:themeColor="text1"/>
        </w:rPr>
        <w:t>attributable to</w:t>
      </w:r>
      <w:r w:rsidR="0009542D" w:rsidRPr="00CC670F">
        <w:rPr>
          <w:color w:val="000000" w:themeColor="text1"/>
        </w:rPr>
        <w:t xml:space="preserve"> a</w:t>
      </w:r>
      <w:r w:rsidR="006539F4" w:rsidRPr="00CC670F">
        <w:rPr>
          <w:color w:val="000000" w:themeColor="text1"/>
        </w:rPr>
        <w:t xml:space="preserve"> change</w:t>
      </w:r>
      <w:r w:rsidR="00D81302" w:rsidRPr="00CC670F">
        <w:rPr>
          <w:color w:val="000000" w:themeColor="text1"/>
        </w:rPr>
        <w:t xml:space="preserve"> </w:t>
      </w:r>
      <w:r w:rsidR="006539F4" w:rsidRPr="00CC670F">
        <w:rPr>
          <w:color w:val="000000" w:themeColor="text1"/>
        </w:rPr>
        <w:t xml:space="preserve">in </w:t>
      </w:r>
      <w:r w:rsidR="00200F0E" w:rsidRPr="00CC670F">
        <w:rPr>
          <w:color w:val="000000" w:themeColor="text1"/>
        </w:rPr>
        <w:t>intrinsic</w:t>
      </w:r>
      <w:r w:rsidR="006539F4" w:rsidRPr="00CC670F">
        <w:rPr>
          <w:color w:val="000000" w:themeColor="text1"/>
        </w:rPr>
        <w:t xml:space="preserve"> structure, the change in distensibility </w:t>
      </w:r>
      <w:r w:rsidR="006A4F00" w:rsidRPr="00CC670F">
        <w:rPr>
          <w:color w:val="000000" w:themeColor="text1"/>
        </w:rPr>
        <w:t xml:space="preserve">was </w:t>
      </w:r>
      <w:r w:rsidR="006539F4" w:rsidRPr="00CC670F">
        <w:rPr>
          <w:color w:val="000000" w:themeColor="text1"/>
        </w:rPr>
        <w:t xml:space="preserve">adjusted for the change in operating BP, and the change in β-stiffness </w:t>
      </w:r>
      <w:r w:rsidR="0087097D" w:rsidRPr="00CC670F">
        <w:rPr>
          <w:color w:val="000000" w:themeColor="text1"/>
        </w:rPr>
        <w:t xml:space="preserve">was </w:t>
      </w:r>
      <w:r w:rsidR="006539F4" w:rsidRPr="00CC670F">
        <w:rPr>
          <w:color w:val="000000" w:themeColor="text1"/>
        </w:rPr>
        <w:t xml:space="preserve">examined. </w:t>
      </w:r>
      <w:r w:rsidR="00493B50" w:rsidRPr="00CC670F">
        <w:rPr>
          <w:color w:val="000000" w:themeColor="text1"/>
        </w:rPr>
        <w:t xml:space="preserve">Linear regression model diagnostics were inspected, and data were power transformed if appropriate to satisfy the assumptions of constant variance and normality of residuals. </w:t>
      </w:r>
      <w:r w:rsidR="002855FD" w:rsidRPr="00CC670F">
        <w:rPr>
          <w:color w:val="000000" w:themeColor="text1"/>
        </w:rPr>
        <w:t>All tests were two-tailed and a p value of &lt;0</w:t>
      </w:r>
      <w:r w:rsidR="00FF4FAA" w:rsidRPr="00CC670F">
        <w:rPr>
          <w:color w:val="000000" w:themeColor="text1"/>
        </w:rPr>
        <w:t>.</w:t>
      </w:r>
      <w:r w:rsidR="002855FD" w:rsidRPr="00CC670F">
        <w:rPr>
          <w:color w:val="000000" w:themeColor="text1"/>
        </w:rPr>
        <w:t>05 was considered statistically significant.</w:t>
      </w:r>
      <w:r w:rsidR="004C5CB9">
        <w:rPr>
          <w:color w:val="000000" w:themeColor="text1"/>
        </w:rPr>
        <w:t xml:space="preserve"> For primary end-points,</w:t>
      </w:r>
      <w:r w:rsidR="004C5CB9" w:rsidRPr="002221EB">
        <w:rPr>
          <w:color w:val="000000" w:themeColor="text1"/>
        </w:rPr>
        <w:t xml:space="preserve"> a </w:t>
      </w:r>
      <w:r w:rsidR="004C5CB9">
        <w:rPr>
          <w:color w:val="000000" w:themeColor="text1"/>
        </w:rPr>
        <w:t xml:space="preserve">0.10 </w:t>
      </w:r>
      <w:r w:rsidR="004C5CB9" w:rsidRPr="002221EB">
        <w:rPr>
          <w:color w:val="000000" w:themeColor="text1"/>
        </w:rPr>
        <w:t>false discovery rate, according to the method described by Benjamini and Hochberg,</w:t>
      </w:r>
      <w:r w:rsidR="004C5CB9">
        <w:rPr>
          <w:color w:val="000000" w:themeColor="text1"/>
        </w:rPr>
        <w:t xml:space="preserve"> was used</w:t>
      </w:r>
      <w:r w:rsidR="004C5CB9" w:rsidRPr="002221EB">
        <w:rPr>
          <w:color w:val="000000" w:themeColor="text1"/>
        </w:rPr>
        <w:t xml:space="preserve"> to determine significant associations</w:t>
      </w:r>
      <w:r w:rsidR="004C5CB9">
        <w:rPr>
          <w:color w:val="000000" w:themeColor="text1"/>
        </w:rPr>
        <w:t>.</w:t>
      </w:r>
    </w:p>
    <w:p w14:paraId="28FD5728" w14:textId="5081847A" w:rsidR="0003631D" w:rsidRPr="00CC670F" w:rsidRDefault="00FA3574" w:rsidP="007A7155">
      <w:pPr>
        <w:pStyle w:val="Heading1"/>
        <w:spacing w:before="0" w:after="0"/>
        <w:rPr>
          <w:color w:val="000000" w:themeColor="text1"/>
        </w:rPr>
      </w:pPr>
      <w:r w:rsidRPr="00CC670F">
        <w:rPr>
          <w:color w:val="000000" w:themeColor="text1"/>
        </w:rPr>
        <w:t>Results</w:t>
      </w:r>
    </w:p>
    <w:p w14:paraId="420DC5EB" w14:textId="6DD282A7" w:rsidR="00A545ED" w:rsidRPr="00CC670F" w:rsidRDefault="00A545ED" w:rsidP="007A7155">
      <w:pPr>
        <w:pStyle w:val="Heading2"/>
        <w:spacing w:before="0" w:after="0"/>
        <w:rPr>
          <w:color w:val="000000" w:themeColor="text1"/>
        </w:rPr>
      </w:pPr>
      <w:r w:rsidRPr="00CC670F">
        <w:rPr>
          <w:color w:val="000000" w:themeColor="text1"/>
        </w:rPr>
        <w:t>Participants</w:t>
      </w:r>
    </w:p>
    <w:p w14:paraId="534861E1" w14:textId="31B98389" w:rsidR="00E25ADB" w:rsidRPr="00CC670F" w:rsidRDefault="00E3156C" w:rsidP="007A7155">
      <w:pPr>
        <w:spacing w:before="0" w:after="0"/>
        <w:ind w:firstLine="720"/>
        <w:rPr>
          <w:color w:val="000000" w:themeColor="text1"/>
        </w:rPr>
      </w:pPr>
      <w:r w:rsidRPr="00CC670F">
        <w:rPr>
          <w:color w:val="000000" w:themeColor="text1"/>
        </w:rPr>
        <w:t xml:space="preserve">138 </w:t>
      </w:r>
      <w:r w:rsidR="00C061D5" w:rsidRPr="00CC670F">
        <w:rPr>
          <w:color w:val="000000" w:themeColor="text1"/>
        </w:rPr>
        <w:t>first-time m</w:t>
      </w:r>
      <w:r w:rsidR="00056C20" w:rsidRPr="00CC670F">
        <w:rPr>
          <w:color w:val="000000" w:themeColor="text1"/>
        </w:rPr>
        <w:t xml:space="preserve">arathon completers </w:t>
      </w:r>
      <w:r w:rsidR="00C061D5" w:rsidRPr="00CC670F">
        <w:rPr>
          <w:color w:val="000000" w:themeColor="text1"/>
        </w:rPr>
        <w:t xml:space="preserve">attended assessment </w:t>
      </w:r>
      <w:r w:rsidR="00B715D2" w:rsidRPr="00CC670F">
        <w:rPr>
          <w:color w:val="000000" w:themeColor="text1"/>
        </w:rPr>
        <w:t>17</w:t>
      </w:r>
      <w:r w:rsidR="009004B0" w:rsidRPr="00CC670F">
        <w:rPr>
          <w:color w:val="000000" w:themeColor="text1"/>
        </w:rPr>
        <w:t>6</w:t>
      </w:r>
      <w:r w:rsidR="00BF44D5" w:rsidRPr="00CC670F">
        <w:rPr>
          <w:color w:val="000000" w:themeColor="text1"/>
        </w:rPr>
        <w:t>±11</w:t>
      </w:r>
      <w:r w:rsidR="00C061D5" w:rsidRPr="00CC670F">
        <w:rPr>
          <w:color w:val="000000" w:themeColor="text1"/>
        </w:rPr>
        <w:t xml:space="preserve"> days before and </w:t>
      </w:r>
      <w:r w:rsidR="00BF44D5" w:rsidRPr="00CC670F">
        <w:rPr>
          <w:color w:val="000000" w:themeColor="text1"/>
        </w:rPr>
        <w:t>1</w:t>
      </w:r>
      <w:r w:rsidR="00B50663" w:rsidRPr="00CC670F">
        <w:rPr>
          <w:color w:val="000000" w:themeColor="text1"/>
        </w:rPr>
        <w:t>6</w:t>
      </w:r>
      <w:r w:rsidR="00BF44D5" w:rsidRPr="00CC670F">
        <w:rPr>
          <w:color w:val="000000" w:themeColor="text1"/>
        </w:rPr>
        <w:t xml:space="preserve">±4 </w:t>
      </w:r>
      <w:r w:rsidR="00C061D5" w:rsidRPr="00CC670F">
        <w:rPr>
          <w:color w:val="000000" w:themeColor="text1"/>
        </w:rPr>
        <w:t>days after marathon completion</w:t>
      </w:r>
      <w:r w:rsidR="00BF44D5" w:rsidRPr="00CC670F">
        <w:rPr>
          <w:color w:val="000000" w:themeColor="text1"/>
        </w:rPr>
        <w:t>.</w:t>
      </w:r>
      <w:r w:rsidR="00522E0A" w:rsidRPr="00CC670F">
        <w:rPr>
          <w:color w:val="000000" w:themeColor="text1"/>
        </w:rPr>
        <w:t xml:space="preserve"> </w:t>
      </w:r>
      <w:r w:rsidR="00BF44D5" w:rsidRPr="00CC670F">
        <w:rPr>
          <w:color w:val="000000" w:themeColor="text1"/>
        </w:rPr>
        <w:t xml:space="preserve">The </w:t>
      </w:r>
      <w:r w:rsidR="00EB3F4A" w:rsidRPr="00CC670F">
        <w:rPr>
          <w:color w:val="000000" w:themeColor="text1"/>
        </w:rPr>
        <w:t>mean</w:t>
      </w:r>
      <w:r w:rsidR="00056C20" w:rsidRPr="00CC670F">
        <w:rPr>
          <w:color w:val="000000" w:themeColor="text1"/>
        </w:rPr>
        <w:t xml:space="preserve"> age </w:t>
      </w:r>
      <w:r w:rsidR="00BF44D5" w:rsidRPr="00CC670F">
        <w:rPr>
          <w:color w:val="000000" w:themeColor="text1"/>
        </w:rPr>
        <w:t xml:space="preserve">was </w:t>
      </w:r>
      <w:r w:rsidR="00056C20" w:rsidRPr="00CC670F">
        <w:rPr>
          <w:color w:val="000000" w:themeColor="text1"/>
        </w:rPr>
        <w:t>37</w:t>
      </w:r>
      <w:r w:rsidR="00910B2B" w:rsidRPr="00CC670F">
        <w:rPr>
          <w:color w:val="000000" w:themeColor="text1"/>
        </w:rPr>
        <w:t>±10</w:t>
      </w:r>
      <w:r w:rsidR="00056C20" w:rsidRPr="00CC670F">
        <w:rPr>
          <w:color w:val="000000" w:themeColor="text1"/>
        </w:rPr>
        <w:t xml:space="preserve"> year</w:t>
      </w:r>
      <w:r w:rsidR="00C50C76" w:rsidRPr="00CC670F">
        <w:rPr>
          <w:color w:val="000000" w:themeColor="text1"/>
        </w:rPr>
        <w:t>s</w:t>
      </w:r>
      <w:r w:rsidR="00BF44D5" w:rsidRPr="00CC670F">
        <w:rPr>
          <w:color w:val="000000" w:themeColor="text1"/>
        </w:rPr>
        <w:t xml:space="preserve"> (</w:t>
      </w:r>
      <w:r w:rsidR="00056C20" w:rsidRPr="00CC670F">
        <w:rPr>
          <w:color w:val="000000" w:themeColor="text1"/>
        </w:rPr>
        <w:t>range: 21-</w:t>
      </w:r>
      <w:r w:rsidR="00924281" w:rsidRPr="00CC670F">
        <w:rPr>
          <w:color w:val="000000" w:themeColor="text1"/>
        </w:rPr>
        <w:t>69</w:t>
      </w:r>
      <w:r w:rsidR="00C50C76" w:rsidRPr="00CC670F">
        <w:rPr>
          <w:color w:val="000000" w:themeColor="text1"/>
        </w:rPr>
        <w:t xml:space="preserve"> years</w:t>
      </w:r>
      <w:r w:rsidR="00BF44D5" w:rsidRPr="00CC670F">
        <w:rPr>
          <w:color w:val="000000" w:themeColor="text1"/>
        </w:rPr>
        <w:t xml:space="preserve">) and </w:t>
      </w:r>
      <w:r w:rsidR="006E5968" w:rsidRPr="00CC670F">
        <w:rPr>
          <w:color w:val="000000" w:themeColor="text1"/>
        </w:rPr>
        <w:t>49</w:t>
      </w:r>
      <w:r w:rsidR="00BF44D5" w:rsidRPr="00CC670F">
        <w:rPr>
          <w:color w:val="000000" w:themeColor="text1"/>
        </w:rPr>
        <w:t>% were male.</w:t>
      </w:r>
      <w:r w:rsidR="002E622D" w:rsidRPr="00CC670F">
        <w:rPr>
          <w:color w:val="000000" w:themeColor="text1"/>
        </w:rPr>
        <w:t xml:space="preserve"> Participant characteristics</w:t>
      </w:r>
      <w:r w:rsidR="002A0014" w:rsidRPr="00CC670F">
        <w:rPr>
          <w:color w:val="000000" w:themeColor="text1"/>
        </w:rPr>
        <w:t xml:space="preserve"> at baseline and follow-up</w:t>
      </w:r>
      <w:r w:rsidR="002E622D" w:rsidRPr="00CC670F">
        <w:rPr>
          <w:color w:val="000000" w:themeColor="text1"/>
        </w:rPr>
        <w:t xml:space="preserve"> are summarized in </w:t>
      </w:r>
      <w:r w:rsidR="002E622D" w:rsidRPr="00CC670F">
        <w:rPr>
          <w:color w:val="000000" w:themeColor="text1"/>
        </w:rPr>
        <w:fldChar w:fldCharType="begin"/>
      </w:r>
      <w:r w:rsidR="002E622D" w:rsidRPr="00CC670F">
        <w:rPr>
          <w:color w:val="000000" w:themeColor="text1"/>
        </w:rPr>
        <w:instrText xml:space="preserve"> REF _Ref533672574 \h  \* MERGEFORMAT </w:instrText>
      </w:r>
      <w:r w:rsidR="002E622D" w:rsidRPr="00CC670F">
        <w:rPr>
          <w:color w:val="000000" w:themeColor="text1"/>
        </w:rPr>
      </w:r>
      <w:r w:rsidR="002E622D" w:rsidRPr="00CC670F">
        <w:rPr>
          <w:color w:val="000000" w:themeColor="text1"/>
        </w:rPr>
        <w:fldChar w:fldCharType="separate"/>
      </w:r>
      <w:r w:rsidR="00AB11A5" w:rsidRPr="00CC670F">
        <w:rPr>
          <w:color w:val="000000" w:themeColor="text1"/>
        </w:rPr>
        <w:t xml:space="preserve">Table </w:t>
      </w:r>
      <w:r w:rsidR="00AB11A5" w:rsidRPr="00CC670F">
        <w:rPr>
          <w:noProof/>
          <w:color w:val="000000" w:themeColor="text1"/>
        </w:rPr>
        <w:t>1</w:t>
      </w:r>
      <w:r w:rsidR="002E622D" w:rsidRPr="00CC670F">
        <w:rPr>
          <w:color w:val="000000" w:themeColor="text1"/>
        </w:rPr>
        <w:fldChar w:fldCharType="end"/>
      </w:r>
      <w:r w:rsidR="002E622D" w:rsidRPr="00CC670F">
        <w:rPr>
          <w:color w:val="000000" w:themeColor="text1"/>
        </w:rPr>
        <w:t>.</w:t>
      </w:r>
      <w:r w:rsidR="00E25ADB" w:rsidRPr="00CC670F">
        <w:rPr>
          <w:color w:val="000000" w:themeColor="text1"/>
        </w:rPr>
        <w:t xml:space="preserve"> Average marathon running time was 5</w:t>
      </w:r>
      <w:r w:rsidR="00FF4FAA" w:rsidRPr="00CC670F">
        <w:rPr>
          <w:color w:val="000000" w:themeColor="text1"/>
        </w:rPr>
        <w:t>.</w:t>
      </w:r>
      <w:r w:rsidR="00E25ADB" w:rsidRPr="00CC670F">
        <w:rPr>
          <w:color w:val="000000" w:themeColor="text1"/>
        </w:rPr>
        <w:t>4±1</w:t>
      </w:r>
      <w:r w:rsidR="00FF4FAA" w:rsidRPr="00CC670F">
        <w:rPr>
          <w:color w:val="000000" w:themeColor="text1"/>
        </w:rPr>
        <w:t>.</w:t>
      </w:r>
      <w:r w:rsidR="00E25ADB" w:rsidRPr="00CC670F">
        <w:rPr>
          <w:color w:val="000000" w:themeColor="text1"/>
        </w:rPr>
        <w:t>0 hours for women and 4</w:t>
      </w:r>
      <w:r w:rsidR="00FF4FAA" w:rsidRPr="00CC670F">
        <w:rPr>
          <w:color w:val="000000" w:themeColor="text1"/>
        </w:rPr>
        <w:t>.</w:t>
      </w:r>
      <w:r w:rsidR="00E25ADB" w:rsidRPr="00CC670F">
        <w:rPr>
          <w:color w:val="000000" w:themeColor="text1"/>
        </w:rPr>
        <w:t>5±0</w:t>
      </w:r>
      <w:r w:rsidR="00FF4FAA" w:rsidRPr="00CC670F">
        <w:rPr>
          <w:color w:val="000000" w:themeColor="text1"/>
        </w:rPr>
        <w:t>.</w:t>
      </w:r>
      <w:r w:rsidR="00E25ADB" w:rsidRPr="00CC670F">
        <w:rPr>
          <w:color w:val="000000" w:themeColor="text1"/>
        </w:rPr>
        <w:t>8 hours for men</w:t>
      </w:r>
      <w:r w:rsidR="0008507A" w:rsidRPr="00CC670F">
        <w:rPr>
          <w:color w:val="000000" w:themeColor="text1"/>
        </w:rPr>
        <w:t>,</w:t>
      </w:r>
      <w:r w:rsidR="00C53A2F">
        <w:rPr>
          <w:color w:val="000000" w:themeColor="text1"/>
        </w:rPr>
        <w:t xml:space="preserve"> </w:t>
      </w:r>
      <w:r w:rsidR="00C53A2F" w:rsidRPr="00C53A2F">
        <w:rPr>
          <w:color w:val="000000" w:themeColor="text1"/>
        </w:rPr>
        <w:fldChar w:fldCharType="begin"/>
      </w:r>
      <w:r w:rsidR="00C53A2F" w:rsidRPr="00C53A2F">
        <w:rPr>
          <w:color w:val="000000" w:themeColor="text1"/>
        </w:rPr>
        <w:instrText xml:space="preserve"> REF _Ref13526164 \h  \* MERGEFORMAT </w:instrText>
      </w:r>
      <w:r w:rsidR="00C53A2F" w:rsidRPr="00C53A2F">
        <w:rPr>
          <w:color w:val="000000" w:themeColor="text1"/>
        </w:rPr>
      </w:r>
      <w:r w:rsidR="00C53A2F" w:rsidRPr="00C53A2F">
        <w:rPr>
          <w:color w:val="000000" w:themeColor="text1"/>
        </w:rPr>
        <w:fldChar w:fldCharType="separate"/>
      </w:r>
      <w:r w:rsidR="00C53A2F" w:rsidRPr="00C53A2F">
        <w:t xml:space="preserve">Figure </w:t>
      </w:r>
      <w:r w:rsidR="00C53A2F" w:rsidRPr="00C53A2F">
        <w:rPr>
          <w:noProof/>
        </w:rPr>
        <w:t>1</w:t>
      </w:r>
      <w:r w:rsidR="00C53A2F" w:rsidRPr="00C53A2F">
        <w:rPr>
          <w:color w:val="000000" w:themeColor="text1"/>
        </w:rPr>
        <w:fldChar w:fldCharType="end"/>
      </w:r>
      <w:r w:rsidR="00E25ADB" w:rsidRPr="00CC670F">
        <w:rPr>
          <w:color w:val="000000" w:themeColor="text1"/>
        </w:rPr>
        <w:t>. Based on weekly training data and marathon completion times from 27,000 runners, these timings are consistent with a training schedule of between 6 and 13 miles per week.</w:t>
      </w:r>
      <w:r w:rsidR="00E25ADB" w:rsidRPr="00CC670F">
        <w:rPr>
          <w:color w:val="000000" w:themeColor="text1"/>
        </w:rPr>
        <w:fldChar w:fldCharType="begin" w:fldLock="1"/>
      </w:r>
      <w:r w:rsidR="00257AD6">
        <w:rPr>
          <w:color w:val="000000" w:themeColor="text1"/>
        </w:rPr>
        <w:instrText>ADDIN CSL_CITATION {"citationItems":[{"id":"ITEM-1","itemData":{"URL":"https://www.runnersworld.com/run-the-numbers/ runners-with-more-training-miles-finish-marathons-faster","author":[{"dropping-particle":"","family":"Reese","given":"R. J","non-dropping-particle":"","parse-names":false,"suffix":""},{"dropping-particle":"","family":"Fuehrer","given":"D","non-dropping-particle":"","parse-names":false,"suffix":""},{"dropping-particle":"","family":"Fennessy","given":"C","non-dropping-particle":"","parse-names":false,"suffix":""}],"container-title":"[Web Page] Runners World","id":"ITEM-1","issued":{"date-parts":[["2014"]]},"title":"Runners With More Training Miles Finish Marathons Faster","type":"webpage"},"uris":["http://www.mendeley.com/documents/?uuid=ee38cef7-4c9c-4752-9152-43d5f6ad9201"]}],"mendeley":{"formattedCitation":"(21)","plainTextFormattedCitation":"(21)","previouslyFormattedCitation":"(21)"},"properties":{"noteIndex":0},"schema":"https://github.com/citation-style-language/schema/raw/master/csl-citation.json"}</w:instrText>
      </w:r>
      <w:r w:rsidR="00E25ADB" w:rsidRPr="00CC670F">
        <w:rPr>
          <w:color w:val="000000" w:themeColor="text1"/>
        </w:rPr>
        <w:fldChar w:fldCharType="separate"/>
      </w:r>
      <w:r w:rsidR="00B515F5" w:rsidRPr="00B515F5">
        <w:rPr>
          <w:noProof/>
          <w:color w:val="000000" w:themeColor="text1"/>
        </w:rPr>
        <w:t>(21)</w:t>
      </w:r>
      <w:r w:rsidR="00E25ADB" w:rsidRPr="00CC670F">
        <w:rPr>
          <w:color w:val="000000" w:themeColor="text1"/>
        </w:rPr>
        <w:fldChar w:fldCharType="end"/>
      </w:r>
      <w:r w:rsidR="00E25ADB" w:rsidRPr="00CC670F">
        <w:rPr>
          <w:color w:val="000000" w:themeColor="text1"/>
        </w:rPr>
        <w:t xml:space="preserve"> </w:t>
      </w:r>
    </w:p>
    <w:p w14:paraId="6AFF6B10" w14:textId="5741B44E" w:rsidR="00854DBF" w:rsidRPr="00CC670F" w:rsidRDefault="00854DBF" w:rsidP="007A7155">
      <w:pPr>
        <w:pStyle w:val="Heading2"/>
        <w:spacing w:before="0" w:after="0"/>
        <w:rPr>
          <w:color w:val="000000" w:themeColor="text1"/>
        </w:rPr>
      </w:pPr>
      <w:r w:rsidRPr="00CC670F">
        <w:rPr>
          <w:color w:val="000000" w:themeColor="text1"/>
        </w:rPr>
        <w:t xml:space="preserve">Baseline ageing and </w:t>
      </w:r>
      <w:r w:rsidR="00ED4290" w:rsidRPr="00CC670F">
        <w:rPr>
          <w:color w:val="000000" w:themeColor="text1"/>
        </w:rPr>
        <w:t>aortic stiffness</w:t>
      </w:r>
    </w:p>
    <w:p w14:paraId="2F79B41C" w14:textId="49A3C5AF" w:rsidR="00854DBF" w:rsidRPr="00CC670F" w:rsidRDefault="00854DBF" w:rsidP="007A7155">
      <w:pPr>
        <w:pStyle w:val="Heading2"/>
        <w:spacing w:before="0" w:after="0"/>
        <w:ind w:firstLine="720"/>
        <w:rPr>
          <w:b w:val="0"/>
          <w:color w:val="000000" w:themeColor="text1"/>
        </w:rPr>
      </w:pPr>
      <w:r w:rsidRPr="00CC670F">
        <w:rPr>
          <w:b w:val="0"/>
          <w:color w:val="000000" w:themeColor="text1"/>
        </w:rPr>
        <w:t>For the ascending, proximal descending and diaphragmatic descending aorta, a decade of ageing resulted in a decrease in distensibility by 2</w:t>
      </w:r>
      <w:r w:rsidR="00FF4FAA" w:rsidRPr="00CC670F">
        <w:rPr>
          <w:b w:val="0"/>
          <w:color w:val="000000" w:themeColor="text1"/>
        </w:rPr>
        <w:t>.</w:t>
      </w:r>
      <w:r w:rsidRPr="00CC670F">
        <w:rPr>
          <w:b w:val="0"/>
          <w:color w:val="000000" w:themeColor="text1"/>
        </w:rPr>
        <w:t>3, 1</w:t>
      </w:r>
      <w:r w:rsidR="00FF4FAA" w:rsidRPr="00CC670F">
        <w:rPr>
          <w:b w:val="0"/>
          <w:color w:val="000000" w:themeColor="text1"/>
        </w:rPr>
        <w:t>.</w:t>
      </w:r>
      <w:r w:rsidRPr="00CC670F">
        <w:rPr>
          <w:b w:val="0"/>
          <w:color w:val="000000" w:themeColor="text1"/>
        </w:rPr>
        <w:t>9, and 3</w:t>
      </w:r>
      <w:r w:rsidR="00FF4FAA" w:rsidRPr="00CC670F">
        <w:rPr>
          <w:b w:val="0"/>
          <w:color w:val="000000" w:themeColor="text1"/>
        </w:rPr>
        <w:t>.</w:t>
      </w:r>
      <w:r w:rsidRPr="00CC670F">
        <w:rPr>
          <w:b w:val="0"/>
          <w:color w:val="000000" w:themeColor="text1"/>
        </w:rPr>
        <w:t>1 x10</w:t>
      </w:r>
      <w:r w:rsidR="00FF4FAA" w:rsidRPr="00CC670F">
        <w:rPr>
          <w:b w:val="0"/>
          <w:color w:val="000000" w:themeColor="text1"/>
        </w:rPr>
        <w:t>.</w:t>
      </w:r>
      <w:r w:rsidRPr="00CC670F">
        <w:rPr>
          <w:b w:val="0"/>
          <w:color w:val="000000" w:themeColor="text1"/>
          <w:vertAlign w:val="superscript"/>
        </w:rPr>
        <w:t>-3</w:t>
      </w:r>
      <w:r w:rsidRPr="00CC670F">
        <w:rPr>
          <w:b w:val="0"/>
          <w:color w:val="000000" w:themeColor="text1"/>
        </w:rPr>
        <w:t>mmHg</w:t>
      </w:r>
      <w:r w:rsidRPr="00CC670F">
        <w:rPr>
          <w:b w:val="0"/>
          <w:color w:val="000000" w:themeColor="text1"/>
          <w:vertAlign w:val="superscript"/>
        </w:rPr>
        <w:t>-1</w:t>
      </w:r>
      <w:r w:rsidRPr="00CC670F">
        <w:rPr>
          <w:b w:val="0"/>
          <w:color w:val="000000" w:themeColor="text1"/>
        </w:rPr>
        <w:t xml:space="preserve"> and an increase in ß-stiffness by 27, 22, and 16% respectively, </w:t>
      </w:r>
      <w:r w:rsidR="00B6757A" w:rsidRPr="00CC670F">
        <w:rPr>
          <w:b w:val="0"/>
          <w:color w:val="000000" w:themeColor="text1"/>
        </w:rPr>
        <w:t xml:space="preserve">Online </w:t>
      </w:r>
      <w:r w:rsidRPr="00CC670F">
        <w:rPr>
          <w:b w:val="0"/>
          <w:color w:val="000000" w:themeColor="text1"/>
        </w:rPr>
        <w:t xml:space="preserve">Figure </w:t>
      </w:r>
      <w:r w:rsidR="002F6445">
        <w:rPr>
          <w:b w:val="0"/>
          <w:color w:val="000000" w:themeColor="text1"/>
        </w:rPr>
        <w:t>2</w:t>
      </w:r>
      <w:r w:rsidRPr="00CC670F">
        <w:rPr>
          <w:b w:val="0"/>
          <w:color w:val="000000" w:themeColor="text1"/>
        </w:rPr>
        <w:t xml:space="preserve">. </w:t>
      </w:r>
    </w:p>
    <w:p w14:paraId="7DE4C9EC" w14:textId="501DD64F" w:rsidR="005C5245" w:rsidRPr="00CC670F" w:rsidRDefault="005C5245" w:rsidP="007A7155">
      <w:pPr>
        <w:pStyle w:val="Heading2"/>
        <w:spacing w:before="0" w:after="0"/>
        <w:rPr>
          <w:color w:val="000000" w:themeColor="text1"/>
        </w:rPr>
      </w:pPr>
      <w:r w:rsidRPr="00CC670F">
        <w:rPr>
          <w:color w:val="000000" w:themeColor="text1"/>
        </w:rPr>
        <w:t>Effec</w:t>
      </w:r>
      <w:r w:rsidR="00A475EC" w:rsidRPr="00CC670F">
        <w:rPr>
          <w:color w:val="000000" w:themeColor="text1"/>
        </w:rPr>
        <w:t>t of training on blood pressure</w:t>
      </w:r>
      <w:r w:rsidR="00E25220" w:rsidRPr="00CC670F">
        <w:rPr>
          <w:color w:val="000000" w:themeColor="text1"/>
        </w:rPr>
        <w:t xml:space="preserve"> and heart rate</w:t>
      </w:r>
    </w:p>
    <w:p w14:paraId="4D76BBB7" w14:textId="08F1B73C" w:rsidR="00B91484" w:rsidRPr="00CC670F" w:rsidRDefault="00D32E49" w:rsidP="007A7155">
      <w:pPr>
        <w:spacing w:before="0" w:after="0"/>
        <w:ind w:firstLine="720"/>
        <w:rPr>
          <w:color w:val="000000" w:themeColor="text1"/>
        </w:rPr>
      </w:pPr>
      <w:r w:rsidRPr="00CC670F">
        <w:rPr>
          <w:color w:val="000000" w:themeColor="text1"/>
        </w:rPr>
        <w:t xml:space="preserve">Brachial SBP and DBP decreased with training by </w:t>
      </w:r>
      <w:r w:rsidR="00AF1DC4" w:rsidRPr="00CC670F">
        <w:rPr>
          <w:color w:val="000000" w:themeColor="text1"/>
        </w:rPr>
        <w:t>4 (2</w:t>
      </w:r>
      <w:r w:rsidR="00FF4FAA" w:rsidRPr="00CC670F">
        <w:rPr>
          <w:color w:val="000000" w:themeColor="text1"/>
        </w:rPr>
        <w:t>.</w:t>
      </w:r>
      <w:r w:rsidR="00AF1DC4" w:rsidRPr="00CC670F">
        <w:rPr>
          <w:color w:val="000000" w:themeColor="text1"/>
        </w:rPr>
        <w:t>8, 5</w:t>
      </w:r>
      <w:r w:rsidR="00FF4FAA" w:rsidRPr="00CC670F">
        <w:rPr>
          <w:color w:val="000000" w:themeColor="text1"/>
        </w:rPr>
        <w:t>.</w:t>
      </w:r>
      <w:r w:rsidR="00AF1DC4" w:rsidRPr="00CC670F">
        <w:rPr>
          <w:color w:val="000000" w:themeColor="text1"/>
        </w:rPr>
        <w:t>5) and 3 (</w:t>
      </w:r>
      <w:r w:rsidR="000E4F8B" w:rsidRPr="00CC670F">
        <w:rPr>
          <w:color w:val="000000" w:themeColor="text1"/>
        </w:rPr>
        <w:t>1</w:t>
      </w:r>
      <w:r w:rsidR="00FF4FAA" w:rsidRPr="00CC670F">
        <w:rPr>
          <w:color w:val="000000" w:themeColor="text1"/>
        </w:rPr>
        <w:t>.</w:t>
      </w:r>
      <w:r w:rsidR="000E4F8B" w:rsidRPr="00CC670F">
        <w:rPr>
          <w:color w:val="000000" w:themeColor="text1"/>
        </w:rPr>
        <w:t>6,3</w:t>
      </w:r>
      <w:r w:rsidR="00FF4FAA" w:rsidRPr="00CC670F">
        <w:rPr>
          <w:color w:val="000000" w:themeColor="text1"/>
        </w:rPr>
        <w:t>.</w:t>
      </w:r>
      <w:r w:rsidR="00910B2B" w:rsidRPr="00CC670F">
        <w:rPr>
          <w:color w:val="000000" w:themeColor="text1"/>
        </w:rPr>
        <w:t>5</w:t>
      </w:r>
      <w:r w:rsidR="000E4F8B" w:rsidRPr="00CC670F">
        <w:rPr>
          <w:color w:val="000000" w:themeColor="text1"/>
        </w:rPr>
        <w:t>)</w:t>
      </w:r>
      <w:r w:rsidR="00827F83">
        <w:rPr>
          <w:color w:val="000000" w:themeColor="text1"/>
        </w:rPr>
        <w:t xml:space="preserve"> </w:t>
      </w:r>
      <w:r w:rsidR="000E4F8B" w:rsidRPr="00CC670F">
        <w:rPr>
          <w:color w:val="000000" w:themeColor="text1"/>
        </w:rPr>
        <w:t>mmHg respectively,p&lt;0</w:t>
      </w:r>
      <w:r w:rsidR="00FF4FAA" w:rsidRPr="00CC670F">
        <w:rPr>
          <w:color w:val="000000" w:themeColor="text1"/>
        </w:rPr>
        <w:t>.</w:t>
      </w:r>
      <w:r w:rsidR="000E4F8B" w:rsidRPr="00CC670F">
        <w:rPr>
          <w:color w:val="000000" w:themeColor="text1"/>
        </w:rPr>
        <w:t xml:space="preserve">01 for both. </w:t>
      </w:r>
      <w:r w:rsidR="003B32F2" w:rsidRPr="00CC670F">
        <w:rPr>
          <w:color w:val="000000" w:themeColor="text1"/>
        </w:rPr>
        <w:t>Central SBP</w:t>
      </w:r>
      <w:r w:rsidR="002B778A" w:rsidRPr="00CC670F">
        <w:rPr>
          <w:color w:val="000000" w:themeColor="text1"/>
        </w:rPr>
        <w:t xml:space="preserve"> and DBP</w:t>
      </w:r>
      <w:r w:rsidR="003B32F2" w:rsidRPr="00CC670F">
        <w:rPr>
          <w:color w:val="000000" w:themeColor="text1"/>
        </w:rPr>
        <w:t xml:space="preserve"> decreased </w:t>
      </w:r>
      <w:r w:rsidR="009A703C" w:rsidRPr="00CC670F">
        <w:rPr>
          <w:color w:val="000000" w:themeColor="text1"/>
        </w:rPr>
        <w:t xml:space="preserve">with training </w:t>
      </w:r>
      <w:r w:rsidR="003B32F2" w:rsidRPr="00CC670F">
        <w:rPr>
          <w:color w:val="000000" w:themeColor="text1"/>
        </w:rPr>
        <w:t>by 4 (</w:t>
      </w:r>
      <w:r w:rsidR="0043729F" w:rsidRPr="00CC670F">
        <w:rPr>
          <w:color w:val="000000" w:themeColor="text1"/>
        </w:rPr>
        <w:t>2</w:t>
      </w:r>
      <w:r w:rsidR="00FF4FAA" w:rsidRPr="00CC670F">
        <w:rPr>
          <w:color w:val="000000" w:themeColor="text1"/>
        </w:rPr>
        <w:t>.</w:t>
      </w:r>
      <w:r w:rsidR="0043729F" w:rsidRPr="00CC670F">
        <w:rPr>
          <w:color w:val="000000" w:themeColor="text1"/>
        </w:rPr>
        <w:t>5</w:t>
      </w:r>
      <w:r w:rsidR="003B32F2" w:rsidRPr="00CC670F">
        <w:rPr>
          <w:color w:val="000000" w:themeColor="text1"/>
        </w:rPr>
        <w:t>,</w:t>
      </w:r>
      <w:r w:rsidR="0043729F" w:rsidRPr="00CC670F">
        <w:rPr>
          <w:color w:val="000000" w:themeColor="text1"/>
        </w:rPr>
        <w:t>5</w:t>
      </w:r>
      <w:r w:rsidR="00FF4FAA" w:rsidRPr="00CC670F">
        <w:rPr>
          <w:color w:val="000000" w:themeColor="text1"/>
        </w:rPr>
        <w:t>.</w:t>
      </w:r>
      <w:r w:rsidR="0043729F" w:rsidRPr="00CC670F">
        <w:rPr>
          <w:color w:val="000000" w:themeColor="text1"/>
        </w:rPr>
        <w:t>3)</w:t>
      </w:r>
      <w:r w:rsidR="002B778A" w:rsidRPr="00CC670F">
        <w:rPr>
          <w:color w:val="000000" w:themeColor="text1"/>
        </w:rPr>
        <w:t xml:space="preserve"> and 3 (1</w:t>
      </w:r>
      <w:r w:rsidR="00FF4FAA" w:rsidRPr="00CC670F">
        <w:rPr>
          <w:color w:val="000000" w:themeColor="text1"/>
        </w:rPr>
        <w:t>.</w:t>
      </w:r>
      <w:r w:rsidR="002B778A" w:rsidRPr="00CC670F">
        <w:rPr>
          <w:color w:val="000000" w:themeColor="text1"/>
        </w:rPr>
        <w:t>6,3</w:t>
      </w:r>
      <w:r w:rsidR="00FF4FAA" w:rsidRPr="00CC670F">
        <w:rPr>
          <w:color w:val="000000" w:themeColor="text1"/>
        </w:rPr>
        <w:t>.</w:t>
      </w:r>
      <w:r w:rsidR="00910B2B" w:rsidRPr="00CC670F">
        <w:rPr>
          <w:color w:val="000000" w:themeColor="text1"/>
        </w:rPr>
        <w:t>5</w:t>
      </w:r>
      <w:r w:rsidR="002B778A" w:rsidRPr="00CC670F">
        <w:rPr>
          <w:color w:val="000000" w:themeColor="text1"/>
        </w:rPr>
        <w:t>)</w:t>
      </w:r>
      <w:r w:rsidR="00827F83">
        <w:rPr>
          <w:color w:val="000000" w:themeColor="text1"/>
        </w:rPr>
        <w:t xml:space="preserve"> </w:t>
      </w:r>
      <w:r w:rsidR="00DE15EF" w:rsidRPr="00CC670F">
        <w:rPr>
          <w:color w:val="000000" w:themeColor="text1"/>
        </w:rPr>
        <w:t xml:space="preserve">mmHg </w:t>
      </w:r>
      <w:r w:rsidR="009A703C" w:rsidRPr="00CC670F">
        <w:rPr>
          <w:color w:val="000000" w:themeColor="text1"/>
        </w:rPr>
        <w:t>respectively,</w:t>
      </w:r>
      <w:r w:rsidR="00462556" w:rsidRPr="00CC670F">
        <w:rPr>
          <w:color w:val="000000" w:themeColor="text1"/>
        </w:rPr>
        <w:t xml:space="preserve"> </w:t>
      </w:r>
      <w:r w:rsidR="00050285" w:rsidRPr="00CC670F">
        <w:rPr>
          <w:color w:val="000000" w:themeColor="text1"/>
        </w:rPr>
        <w:t>p&lt;0</w:t>
      </w:r>
      <w:r w:rsidR="00FF4FAA" w:rsidRPr="00CC670F">
        <w:rPr>
          <w:color w:val="000000" w:themeColor="text1"/>
        </w:rPr>
        <w:t>.</w:t>
      </w:r>
      <w:r w:rsidR="00050285" w:rsidRPr="00CC670F">
        <w:rPr>
          <w:color w:val="000000" w:themeColor="text1"/>
        </w:rPr>
        <w:t>001</w:t>
      </w:r>
      <w:r w:rsidR="003B7DC5" w:rsidRPr="00CC670F">
        <w:rPr>
          <w:color w:val="000000" w:themeColor="text1"/>
        </w:rPr>
        <w:t xml:space="preserve"> for both</w:t>
      </w:r>
      <w:r w:rsidR="009D6711" w:rsidRPr="00CC670F">
        <w:rPr>
          <w:color w:val="000000" w:themeColor="text1"/>
        </w:rPr>
        <w:t xml:space="preserve">, </w:t>
      </w:r>
      <w:r w:rsidR="009D6711" w:rsidRPr="00CC670F">
        <w:rPr>
          <w:color w:val="000000" w:themeColor="text1"/>
        </w:rPr>
        <w:fldChar w:fldCharType="begin"/>
      </w:r>
      <w:r w:rsidR="009D6711" w:rsidRPr="00CC670F">
        <w:rPr>
          <w:color w:val="000000" w:themeColor="text1"/>
        </w:rPr>
        <w:instrText xml:space="preserve"> REF _Ref536451035 \h  \* MERGEFORMAT </w:instrText>
      </w:r>
      <w:r w:rsidR="009D6711" w:rsidRPr="00CC670F">
        <w:rPr>
          <w:color w:val="000000" w:themeColor="text1"/>
        </w:rPr>
      </w:r>
      <w:r w:rsidR="009D6711" w:rsidRPr="00CC670F">
        <w:rPr>
          <w:color w:val="000000" w:themeColor="text1"/>
        </w:rPr>
        <w:fldChar w:fldCharType="separate"/>
      </w:r>
      <w:r w:rsidR="009D6711" w:rsidRPr="00CC670F">
        <w:rPr>
          <w:color w:val="000000" w:themeColor="text1"/>
        </w:rPr>
        <w:t xml:space="preserve">Figure </w:t>
      </w:r>
      <w:r w:rsidR="009D6711" w:rsidRPr="00CC670F">
        <w:rPr>
          <w:noProof/>
          <w:color w:val="000000" w:themeColor="text1"/>
        </w:rPr>
        <w:t>2</w:t>
      </w:r>
      <w:r w:rsidR="009D6711" w:rsidRPr="00CC670F">
        <w:rPr>
          <w:color w:val="000000" w:themeColor="text1"/>
        </w:rPr>
        <w:fldChar w:fldCharType="end"/>
      </w:r>
      <w:r w:rsidR="003B32F2" w:rsidRPr="00CC670F">
        <w:rPr>
          <w:color w:val="000000" w:themeColor="text1"/>
        </w:rPr>
        <w:t xml:space="preserve">. </w:t>
      </w:r>
      <w:r w:rsidR="00CA665C" w:rsidRPr="00CC670F">
        <w:rPr>
          <w:color w:val="000000" w:themeColor="text1"/>
        </w:rPr>
        <w:t>There was no significant change in h</w:t>
      </w:r>
      <w:r w:rsidR="000E4F8B" w:rsidRPr="00CC670F">
        <w:rPr>
          <w:color w:val="000000" w:themeColor="text1"/>
        </w:rPr>
        <w:t>eart rate with training</w:t>
      </w:r>
      <w:r w:rsidR="00A654D3" w:rsidRPr="00CC670F">
        <w:rPr>
          <w:color w:val="000000" w:themeColor="text1"/>
        </w:rPr>
        <w:t xml:space="preserve"> (</w:t>
      </w:r>
      <w:r w:rsidR="00CA665C" w:rsidRPr="00CC670F">
        <w:rPr>
          <w:color w:val="000000" w:themeColor="text1"/>
        </w:rPr>
        <w:t>-</w:t>
      </w:r>
      <w:r w:rsidR="000E4F8B" w:rsidRPr="00CC670F">
        <w:rPr>
          <w:color w:val="000000" w:themeColor="text1"/>
        </w:rPr>
        <w:t>2</w:t>
      </w:r>
      <w:r w:rsidR="00FF4FAA" w:rsidRPr="00CC670F">
        <w:rPr>
          <w:color w:val="000000" w:themeColor="text1"/>
        </w:rPr>
        <w:t>.</w:t>
      </w:r>
      <w:r w:rsidR="00910B2B" w:rsidRPr="00CC670F">
        <w:rPr>
          <w:color w:val="000000" w:themeColor="text1"/>
        </w:rPr>
        <w:t xml:space="preserve">3 </w:t>
      </w:r>
      <w:r w:rsidR="00A654D3" w:rsidRPr="00CC670F">
        <w:rPr>
          <w:color w:val="000000" w:themeColor="text1"/>
        </w:rPr>
        <w:t>[</w:t>
      </w:r>
      <w:r w:rsidR="000E4F8B" w:rsidRPr="00CC670F">
        <w:rPr>
          <w:color w:val="000000" w:themeColor="text1"/>
        </w:rPr>
        <w:t>0</w:t>
      </w:r>
      <w:r w:rsidR="00FF4FAA" w:rsidRPr="00CC670F">
        <w:rPr>
          <w:color w:val="000000" w:themeColor="text1"/>
        </w:rPr>
        <w:t>.</w:t>
      </w:r>
      <w:r w:rsidR="000E4F8B" w:rsidRPr="00CC670F">
        <w:rPr>
          <w:color w:val="000000" w:themeColor="text1"/>
        </w:rPr>
        <w:t>3,-4</w:t>
      </w:r>
      <w:r w:rsidR="00FF4FAA" w:rsidRPr="00CC670F">
        <w:rPr>
          <w:color w:val="000000" w:themeColor="text1"/>
        </w:rPr>
        <w:t>.</w:t>
      </w:r>
      <w:r w:rsidR="000E4F8B" w:rsidRPr="00CC670F">
        <w:rPr>
          <w:color w:val="000000" w:themeColor="text1"/>
        </w:rPr>
        <w:t>3</w:t>
      </w:r>
      <w:r w:rsidR="00A654D3" w:rsidRPr="00CC670F">
        <w:rPr>
          <w:color w:val="000000" w:themeColor="text1"/>
        </w:rPr>
        <w:t>]</w:t>
      </w:r>
      <w:r w:rsidR="000E4F8B" w:rsidRPr="00CC670F">
        <w:rPr>
          <w:color w:val="000000" w:themeColor="text1"/>
        </w:rPr>
        <w:t>beats per minute</w:t>
      </w:r>
      <w:r w:rsidR="00A654D3" w:rsidRPr="00CC670F">
        <w:rPr>
          <w:color w:val="000000" w:themeColor="text1"/>
        </w:rPr>
        <w:t>)</w:t>
      </w:r>
      <w:r w:rsidR="000E4F8B" w:rsidRPr="00CC670F">
        <w:rPr>
          <w:color w:val="000000" w:themeColor="text1"/>
        </w:rPr>
        <w:t>,</w:t>
      </w:r>
      <w:r w:rsidR="001C6033" w:rsidRPr="00CC670F">
        <w:rPr>
          <w:color w:val="000000" w:themeColor="text1"/>
        </w:rPr>
        <w:t xml:space="preserve"> </w:t>
      </w:r>
      <w:r w:rsidR="009A3314" w:rsidRPr="00CC670F">
        <w:rPr>
          <w:color w:val="000000" w:themeColor="text1"/>
        </w:rPr>
        <w:t>p=0</w:t>
      </w:r>
      <w:r w:rsidR="00FF4FAA" w:rsidRPr="00CC670F">
        <w:rPr>
          <w:color w:val="000000" w:themeColor="text1"/>
        </w:rPr>
        <w:t>.</w:t>
      </w:r>
      <w:r w:rsidR="00910B2B" w:rsidRPr="00CC670F">
        <w:rPr>
          <w:color w:val="000000" w:themeColor="text1"/>
        </w:rPr>
        <w:t>07</w:t>
      </w:r>
      <w:r w:rsidR="000E4F8B" w:rsidRPr="00CC670F">
        <w:rPr>
          <w:color w:val="000000" w:themeColor="text1"/>
        </w:rPr>
        <w:t>.</w:t>
      </w:r>
      <w:r w:rsidR="00662C4E" w:rsidRPr="00CC670F">
        <w:rPr>
          <w:color w:val="000000" w:themeColor="text1"/>
        </w:rPr>
        <w:t xml:space="preserve"> </w:t>
      </w:r>
    </w:p>
    <w:p w14:paraId="66DB7A66" w14:textId="111E7684" w:rsidR="00D96EE8" w:rsidRPr="00CC670F" w:rsidRDefault="00D96EE8" w:rsidP="007A7155">
      <w:pPr>
        <w:pStyle w:val="Heading2"/>
        <w:spacing w:before="0" w:after="0"/>
        <w:rPr>
          <w:color w:val="000000" w:themeColor="text1"/>
        </w:rPr>
      </w:pPr>
      <w:r w:rsidRPr="00CC670F">
        <w:rPr>
          <w:color w:val="000000" w:themeColor="text1"/>
        </w:rPr>
        <w:t xml:space="preserve">Effect of training on </w:t>
      </w:r>
      <w:r w:rsidR="00AC19FE">
        <w:rPr>
          <w:color w:val="000000" w:themeColor="text1"/>
        </w:rPr>
        <w:t xml:space="preserve">regional </w:t>
      </w:r>
      <w:r w:rsidRPr="00CC670F">
        <w:rPr>
          <w:color w:val="000000" w:themeColor="text1"/>
        </w:rPr>
        <w:t>aortic stiffness</w:t>
      </w:r>
    </w:p>
    <w:p w14:paraId="5E7E3008" w14:textId="2A800F9C" w:rsidR="00EB4F85" w:rsidRPr="00CC670F" w:rsidRDefault="00EB4F85" w:rsidP="007A7155">
      <w:pPr>
        <w:spacing w:before="0" w:after="0"/>
        <w:ind w:firstLine="720"/>
        <w:rPr>
          <w:color w:val="000000" w:themeColor="text1"/>
        </w:rPr>
      </w:pPr>
      <w:r w:rsidRPr="00CC670F">
        <w:rPr>
          <w:color w:val="000000" w:themeColor="text1"/>
        </w:rPr>
        <w:t xml:space="preserve">Aortic </w:t>
      </w:r>
      <w:r w:rsidR="00F24808" w:rsidRPr="00CC670F">
        <w:rPr>
          <w:color w:val="000000" w:themeColor="text1"/>
        </w:rPr>
        <w:t>stiffness</w:t>
      </w:r>
      <w:r w:rsidR="00734170" w:rsidRPr="00CC670F">
        <w:rPr>
          <w:color w:val="000000" w:themeColor="text1"/>
        </w:rPr>
        <w:t xml:space="preserve"> </w:t>
      </w:r>
      <w:r w:rsidR="00F24808" w:rsidRPr="00CC670F">
        <w:rPr>
          <w:color w:val="000000" w:themeColor="text1"/>
        </w:rPr>
        <w:t xml:space="preserve">reduced </w:t>
      </w:r>
      <w:r w:rsidR="00F9619C" w:rsidRPr="00CC670F">
        <w:rPr>
          <w:color w:val="000000" w:themeColor="text1"/>
        </w:rPr>
        <w:t>with training</w:t>
      </w:r>
      <w:r w:rsidR="001C6033" w:rsidRPr="00CC670F">
        <w:rPr>
          <w:color w:val="000000" w:themeColor="text1"/>
        </w:rPr>
        <w:t>,</w:t>
      </w:r>
      <w:r w:rsidR="00F9619C" w:rsidRPr="00CC670F">
        <w:rPr>
          <w:color w:val="000000" w:themeColor="text1"/>
        </w:rPr>
        <w:t xml:space="preserve"> </w:t>
      </w:r>
      <w:r w:rsidR="00863623" w:rsidRPr="00CC670F">
        <w:rPr>
          <w:color w:val="000000" w:themeColor="text1"/>
        </w:rPr>
        <w:t>and</w:t>
      </w:r>
      <w:r w:rsidR="00F9619C" w:rsidRPr="00CC670F">
        <w:rPr>
          <w:color w:val="000000" w:themeColor="text1"/>
        </w:rPr>
        <w:t xml:space="preserve"> </w:t>
      </w:r>
      <w:r w:rsidR="003C5CA5" w:rsidRPr="00CC670F">
        <w:rPr>
          <w:color w:val="000000" w:themeColor="text1"/>
        </w:rPr>
        <w:t xml:space="preserve">was more pronounced </w:t>
      </w:r>
      <w:r w:rsidR="00827F83">
        <w:rPr>
          <w:color w:val="000000" w:themeColor="text1"/>
        </w:rPr>
        <w:t xml:space="preserve">in the </w:t>
      </w:r>
      <w:r w:rsidR="003C5CA5" w:rsidRPr="00CC670F">
        <w:rPr>
          <w:color w:val="000000" w:themeColor="text1"/>
        </w:rPr>
        <w:t>distal</w:t>
      </w:r>
      <w:r w:rsidR="00827F83">
        <w:rPr>
          <w:color w:val="000000" w:themeColor="text1"/>
        </w:rPr>
        <w:t xml:space="preserve"> aorta</w:t>
      </w:r>
      <w:r w:rsidR="00B94A6D" w:rsidRPr="00CC670F">
        <w:rPr>
          <w:color w:val="000000" w:themeColor="text1"/>
        </w:rPr>
        <w:t xml:space="preserve">, </w:t>
      </w:r>
      <w:r w:rsidR="00B94A6D" w:rsidRPr="00CC670F">
        <w:rPr>
          <w:color w:val="000000" w:themeColor="text1"/>
        </w:rPr>
        <w:fldChar w:fldCharType="begin"/>
      </w:r>
      <w:r w:rsidR="00B94A6D" w:rsidRPr="00CC670F">
        <w:rPr>
          <w:color w:val="000000" w:themeColor="text1"/>
        </w:rPr>
        <w:instrText xml:space="preserve"> REF _Ref533754759 \h  \* MERGEFORMAT </w:instrText>
      </w:r>
      <w:r w:rsidR="00B94A6D" w:rsidRPr="00CC670F">
        <w:rPr>
          <w:color w:val="000000" w:themeColor="text1"/>
        </w:rPr>
      </w:r>
      <w:r w:rsidR="00B94A6D" w:rsidRPr="00CC670F">
        <w:rPr>
          <w:color w:val="000000" w:themeColor="text1"/>
        </w:rPr>
        <w:fldChar w:fldCharType="separate"/>
      </w:r>
      <w:r w:rsidR="00AB11A5" w:rsidRPr="00CC670F">
        <w:rPr>
          <w:color w:val="000000" w:themeColor="text1"/>
        </w:rPr>
        <w:t xml:space="preserve">Table </w:t>
      </w:r>
      <w:r w:rsidR="00AB11A5" w:rsidRPr="00CC670F">
        <w:rPr>
          <w:noProof/>
          <w:color w:val="000000" w:themeColor="text1"/>
        </w:rPr>
        <w:t>2</w:t>
      </w:r>
      <w:r w:rsidR="00B94A6D" w:rsidRPr="00CC670F">
        <w:rPr>
          <w:color w:val="000000" w:themeColor="text1"/>
        </w:rPr>
        <w:fldChar w:fldCharType="end"/>
      </w:r>
      <w:r w:rsidR="00F9619C" w:rsidRPr="00CC670F">
        <w:rPr>
          <w:color w:val="000000" w:themeColor="text1"/>
        </w:rPr>
        <w:t xml:space="preserve">. </w:t>
      </w:r>
      <w:r w:rsidR="00AB4AE1" w:rsidRPr="00CC670F">
        <w:rPr>
          <w:color w:val="000000" w:themeColor="text1"/>
        </w:rPr>
        <w:t xml:space="preserve">Distensibility </w:t>
      </w:r>
      <w:r w:rsidR="00734170" w:rsidRPr="00CC670F">
        <w:rPr>
          <w:color w:val="000000" w:themeColor="text1"/>
        </w:rPr>
        <w:t xml:space="preserve">did not </w:t>
      </w:r>
      <w:r w:rsidR="00872280" w:rsidRPr="00CC670F">
        <w:rPr>
          <w:color w:val="000000" w:themeColor="text1"/>
        </w:rPr>
        <w:t>change</w:t>
      </w:r>
      <w:r w:rsidR="00734170" w:rsidRPr="00CC670F">
        <w:rPr>
          <w:color w:val="000000" w:themeColor="text1"/>
        </w:rPr>
        <w:t xml:space="preserve"> in the ascending aorta</w:t>
      </w:r>
      <w:r w:rsidR="002522C4" w:rsidRPr="00CC670F">
        <w:rPr>
          <w:color w:val="000000" w:themeColor="text1"/>
        </w:rPr>
        <w:t xml:space="preserve"> (p=0</w:t>
      </w:r>
      <w:r w:rsidR="00FF4FAA" w:rsidRPr="00CC670F">
        <w:rPr>
          <w:color w:val="000000" w:themeColor="text1"/>
        </w:rPr>
        <w:t>.</w:t>
      </w:r>
      <w:r w:rsidR="009E2692" w:rsidRPr="00CC670F">
        <w:rPr>
          <w:color w:val="000000" w:themeColor="text1"/>
        </w:rPr>
        <w:t>14</w:t>
      </w:r>
      <w:r w:rsidR="002522C4" w:rsidRPr="00CC670F">
        <w:rPr>
          <w:color w:val="000000" w:themeColor="text1"/>
        </w:rPr>
        <w:t>)</w:t>
      </w:r>
      <w:r w:rsidR="0091584D" w:rsidRPr="00CC670F">
        <w:rPr>
          <w:color w:val="000000" w:themeColor="text1"/>
        </w:rPr>
        <w:t>,</w:t>
      </w:r>
      <w:r w:rsidR="00734170" w:rsidRPr="00CC670F">
        <w:rPr>
          <w:color w:val="000000" w:themeColor="text1"/>
        </w:rPr>
        <w:t xml:space="preserve"> but</w:t>
      </w:r>
      <w:r w:rsidRPr="00CC670F">
        <w:rPr>
          <w:color w:val="000000" w:themeColor="text1"/>
        </w:rPr>
        <w:t xml:space="preserve"> </w:t>
      </w:r>
      <w:r w:rsidR="00810B37" w:rsidRPr="00CC670F">
        <w:rPr>
          <w:color w:val="000000" w:themeColor="text1"/>
        </w:rPr>
        <w:t xml:space="preserve">increased by </w:t>
      </w:r>
      <w:r w:rsidR="00616834" w:rsidRPr="00CC670F">
        <w:rPr>
          <w:color w:val="000000" w:themeColor="text1"/>
        </w:rPr>
        <w:t>9</w:t>
      </w:r>
      <w:r w:rsidR="0014364E" w:rsidRPr="00CC670F">
        <w:rPr>
          <w:color w:val="000000" w:themeColor="text1"/>
        </w:rPr>
        <w:t>%</w:t>
      </w:r>
      <w:r w:rsidR="00810B37" w:rsidRPr="00CC670F">
        <w:rPr>
          <w:color w:val="000000" w:themeColor="text1"/>
        </w:rPr>
        <w:t xml:space="preserve"> and </w:t>
      </w:r>
      <w:r w:rsidR="00A72A99" w:rsidRPr="00CC670F">
        <w:rPr>
          <w:color w:val="000000" w:themeColor="text1"/>
        </w:rPr>
        <w:t>16</w:t>
      </w:r>
      <w:r w:rsidR="00810B37" w:rsidRPr="00CC670F">
        <w:rPr>
          <w:color w:val="000000" w:themeColor="text1"/>
        </w:rPr>
        <w:t xml:space="preserve">% </w:t>
      </w:r>
      <w:r w:rsidR="00CA340D" w:rsidRPr="00CC670F">
        <w:rPr>
          <w:color w:val="000000" w:themeColor="text1"/>
        </w:rPr>
        <w:t xml:space="preserve">in the proximal descending and </w:t>
      </w:r>
      <w:r w:rsidRPr="00CC670F">
        <w:rPr>
          <w:color w:val="000000" w:themeColor="text1"/>
        </w:rPr>
        <w:t>diaphragmatic descending aorta</w:t>
      </w:r>
      <w:r w:rsidR="00D1429A" w:rsidRPr="00CC670F">
        <w:rPr>
          <w:color w:val="000000" w:themeColor="text1"/>
        </w:rPr>
        <w:t>,</w:t>
      </w:r>
      <w:r w:rsidR="001C6033" w:rsidRPr="00CC670F">
        <w:rPr>
          <w:color w:val="000000" w:themeColor="text1"/>
        </w:rPr>
        <w:t xml:space="preserve"> </w:t>
      </w:r>
      <w:r w:rsidR="00734170" w:rsidRPr="00CC670F">
        <w:rPr>
          <w:color w:val="000000" w:themeColor="text1"/>
        </w:rPr>
        <w:t>p=0</w:t>
      </w:r>
      <w:r w:rsidR="00FF4FAA" w:rsidRPr="00CC670F">
        <w:rPr>
          <w:color w:val="000000" w:themeColor="text1"/>
        </w:rPr>
        <w:t>.</w:t>
      </w:r>
      <w:r w:rsidR="00734170" w:rsidRPr="00CC670F">
        <w:rPr>
          <w:color w:val="000000" w:themeColor="text1"/>
        </w:rPr>
        <w:t>009 and 0</w:t>
      </w:r>
      <w:r w:rsidR="00FF4FAA" w:rsidRPr="00CC670F">
        <w:rPr>
          <w:color w:val="000000" w:themeColor="text1"/>
        </w:rPr>
        <w:t>.</w:t>
      </w:r>
      <w:r w:rsidR="00A72A99" w:rsidRPr="00CC670F">
        <w:rPr>
          <w:color w:val="000000" w:themeColor="text1"/>
        </w:rPr>
        <w:t xml:space="preserve">002 </w:t>
      </w:r>
      <w:r w:rsidR="00734170" w:rsidRPr="00CC670F">
        <w:rPr>
          <w:color w:val="000000" w:themeColor="text1"/>
        </w:rPr>
        <w:t>respectively,</w:t>
      </w:r>
      <w:r w:rsidR="003471A2" w:rsidRPr="00CC670F">
        <w:rPr>
          <w:color w:val="000000" w:themeColor="text1"/>
        </w:rPr>
        <w:t xml:space="preserve"> </w:t>
      </w:r>
      <w:r w:rsidR="00B6757A" w:rsidRPr="00CC670F">
        <w:rPr>
          <w:color w:val="000000" w:themeColor="text1"/>
        </w:rPr>
        <w:t xml:space="preserve">Online </w:t>
      </w:r>
      <w:r w:rsidR="00190469">
        <w:rPr>
          <w:color w:val="000000" w:themeColor="text1"/>
        </w:rPr>
        <w:t>Table 2</w:t>
      </w:r>
      <w:r w:rsidR="00D1429A" w:rsidRPr="00CC670F">
        <w:rPr>
          <w:color w:val="000000" w:themeColor="text1"/>
        </w:rPr>
        <w:t>.</w:t>
      </w:r>
      <w:r w:rsidRPr="00CC670F">
        <w:rPr>
          <w:color w:val="000000" w:themeColor="text1"/>
        </w:rPr>
        <w:t xml:space="preserve"> </w:t>
      </w:r>
      <w:r w:rsidR="008603A7" w:rsidRPr="00CC670F">
        <w:rPr>
          <w:color w:val="000000" w:themeColor="text1"/>
        </w:rPr>
        <w:t>The change in distensibility was independent of the change in mean arterial pressure</w:t>
      </w:r>
      <w:r w:rsidR="00371CD6" w:rsidRPr="00CC670F">
        <w:rPr>
          <w:color w:val="000000" w:themeColor="text1"/>
        </w:rPr>
        <w:t xml:space="preserve"> (p&lt;0.001 for the </w:t>
      </w:r>
      <w:r w:rsidR="004E7A6C">
        <w:rPr>
          <w:color w:val="000000" w:themeColor="text1"/>
        </w:rPr>
        <w:t xml:space="preserve">descending </w:t>
      </w:r>
      <w:r w:rsidR="00371CD6" w:rsidRPr="00CC670F">
        <w:rPr>
          <w:color w:val="000000" w:themeColor="text1"/>
        </w:rPr>
        <w:t>aorta)</w:t>
      </w:r>
      <w:r w:rsidR="008603A7" w:rsidRPr="00CC670F">
        <w:rPr>
          <w:color w:val="000000" w:themeColor="text1"/>
        </w:rPr>
        <w:t xml:space="preserve">. </w:t>
      </w:r>
      <w:r w:rsidR="001B13FF" w:rsidRPr="00CC670F">
        <w:rPr>
          <w:color w:val="000000" w:themeColor="text1"/>
        </w:rPr>
        <w:t>β</w:t>
      </w:r>
      <w:r w:rsidRPr="00CC670F">
        <w:rPr>
          <w:color w:val="000000" w:themeColor="text1"/>
        </w:rPr>
        <w:t>-stiffness</w:t>
      </w:r>
      <w:r w:rsidR="00F941CE" w:rsidRPr="00CC670F">
        <w:rPr>
          <w:color w:val="000000" w:themeColor="text1"/>
        </w:rPr>
        <w:t xml:space="preserve"> showed </w:t>
      </w:r>
      <w:r w:rsidR="00107A1D" w:rsidRPr="00CC670F">
        <w:rPr>
          <w:color w:val="000000" w:themeColor="text1"/>
        </w:rPr>
        <w:t xml:space="preserve">less pronounced </w:t>
      </w:r>
      <w:r w:rsidR="00E25220" w:rsidRPr="00CC670F">
        <w:rPr>
          <w:color w:val="000000" w:themeColor="text1"/>
        </w:rPr>
        <w:t xml:space="preserve">but </w:t>
      </w:r>
      <w:r w:rsidR="00107A1D" w:rsidRPr="00CC670F">
        <w:rPr>
          <w:color w:val="000000" w:themeColor="text1"/>
        </w:rPr>
        <w:t xml:space="preserve">similar </w:t>
      </w:r>
      <w:r w:rsidR="0027707F" w:rsidRPr="00CC670F">
        <w:rPr>
          <w:color w:val="000000" w:themeColor="text1"/>
        </w:rPr>
        <w:t xml:space="preserve">regional </w:t>
      </w:r>
      <w:r w:rsidR="00D00A01" w:rsidRPr="00CC670F">
        <w:rPr>
          <w:color w:val="000000" w:themeColor="text1"/>
        </w:rPr>
        <w:t>trends</w:t>
      </w:r>
      <w:r w:rsidR="008F4A12" w:rsidRPr="00CC670F">
        <w:rPr>
          <w:color w:val="000000" w:themeColor="text1"/>
        </w:rPr>
        <w:t xml:space="preserve">. </w:t>
      </w:r>
      <w:r w:rsidR="00264EF6" w:rsidRPr="00CC670F">
        <w:rPr>
          <w:color w:val="000000" w:themeColor="text1"/>
        </w:rPr>
        <w:t>β</w:t>
      </w:r>
      <w:r w:rsidR="008F4A12" w:rsidRPr="00CC670F">
        <w:rPr>
          <w:color w:val="000000" w:themeColor="text1"/>
        </w:rPr>
        <w:t xml:space="preserve">-stiffness </w:t>
      </w:r>
      <w:r w:rsidR="00872280" w:rsidRPr="00CC670F">
        <w:rPr>
          <w:color w:val="000000" w:themeColor="text1"/>
        </w:rPr>
        <w:t xml:space="preserve">did not change in the ascending </w:t>
      </w:r>
      <w:r w:rsidR="009E2692" w:rsidRPr="00CC670F">
        <w:rPr>
          <w:color w:val="000000" w:themeColor="text1"/>
        </w:rPr>
        <w:t>(p=0</w:t>
      </w:r>
      <w:r w:rsidR="00FF4FAA" w:rsidRPr="00CC670F">
        <w:rPr>
          <w:color w:val="000000" w:themeColor="text1"/>
        </w:rPr>
        <w:t>.</w:t>
      </w:r>
      <w:r w:rsidR="009E2692" w:rsidRPr="00CC670F">
        <w:rPr>
          <w:color w:val="000000" w:themeColor="text1"/>
        </w:rPr>
        <w:t>60)</w:t>
      </w:r>
      <w:r w:rsidR="002A77F7" w:rsidRPr="00CC670F">
        <w:rPr>
          <w:color w:val="000000" w:themeColor="text1"/>
        </w:rPr>
        <w:t xml:space="preserve"> or </w:t>
      </w:r>
      <w:r w:rsidR="00872280" w:rsidRPr="00CC670F">
        <w:rPr>
          <w:color w:val="000000" w:themeColor="text1"/>
        </w:rPr>
        <w:t>proximal descending aorta</w:t>
      </w:r>
      <w:r w:rsidR="009E2692" w:rsidRPr="00CC670F">
        <w:rPr>
          <w:color w:val="000000" w:themeColor="text1"/>
        </w:rPr>
        <w:t xml:space="preserve"> (p=0</w:t>
      </w:r>
      <w:r w:rsidR="00FF4FAA" w:rsidRPr="00CC670F">
        <w:rPr>
          <w:color w:val="000000" w:themeColor="text1"/>
        </w:rPr>
        <w:t>.</w:t>
      </w:r>
      <w:r w:rsidR="00A72A99" w:rsidRPr="00CC670F">
        <w:rPr>
          <w:color w:val="000000" w:themeColor="text1"/>
        </w:rPr>
        <w:t>08</w:t>
      </w:r>
      <w:r w:rsidR="009E2692" w:rsidRPr="00CC670F">
        <w:rPr>
          <w:color w:val="000000" w:themeColor="text1"/>
        </w:rPr>
        <w:t>)</w:t>
      </w:r>
      <w:r w:rsidR="00872280" w:rsidRPr="00CC670F">
        <w:rPr>
          <w:color w:val="000000" w:themeColor="text1"/>
        </w:rPr>
        <w:t xml:space="preserve">, but decreased by </w:t>
      </w:r>
      <w:r w:rsidR="00A72A99" w:rsidRPr="00CC670F">
        <w:rPr>
          <w:color w:val="000000" w:themeColor="text1"/>
        </w:rPr>
        <w:t>6</w:t>
      </w:r>
      <w:r w:rsidR="00872280" w:rsidRPr="00CC670F">
        <w:rPr>
          <w:color w:val="000000" w:themeColor="text1"/>
        </w:rPr>
        <w:t xml:space="preserve">% </w:t>
      </w:r>
      <w:r w:rsidR="00314898" w:rsidRPr="00CC670F">
        <w:rPr>
          <w:color w:val="000000" w:themeColor="text1"/>
        </w:rPr>
        <w:t xml:space="preserve">in the </w:t>
      </w:r>
      <w:r w:rsidRPr="00CC670F">
        <w:rPr>
          <w:color w:val="000000" w:themeColor="text1"/>
        </w:rPr>
        <w:t xml:space="preserve">diaphragmatic descending </w:t>
      </w:r>
      <w:r w:rsidRPr="00C53A2F">
        <w:rPr>
          <w:color w:val="000000" w:themeColor="text1"/>
        </w:rPr>
        <w:t>aorta</w:t>
      </w:r>
      <w:r w:rsidR="005012FC" w:rsidRPr="00C53A2F">
        <w:rPr>
          <w:color w:val="000000" w:themeColor="text1"/>
        </w:rPr>
        <w:t xml:space="preserve"> (</w:t>
      </w:r>
      <w:r w:rsidR="007319B2" w:rsidRPr="00C53A2F">
        <w:rPr>
          <w:color w:val="000000" w:themeColor="text1"/>
        </w:rPr>
        <w:t>p=0</w:t>
      </w:r>
      <w:r w:rsidR="00FF4FAA" w:rsidRPr="00C53A2F">
        <w:rPr>
          <w:color w:val="000000" w:themeColor="text1"/>
        </w:rPr>
        <w:t>.</w:t>
      </w:r>
      <w:r w:rsidR="00A72A99" w:rsidRPr="00C53A2F">
        <w:rPr>
          <w:color w:val="000000" w:themeColor="text1"/>
        </w:rPr>
        <w:t>04</w:t>
      </w:r>
      <w:r w:rsidR="005012FC" w:rsidRPr="00C53A2F">
        <w:rPr>
          <w:color w:val="000000" w:themeColor="text1"/>
        </w:rPr>
        <w:t>)</w:t>
      </w:r>
      <w:r w:rsidR="00D04580" w:rsidRPr="00C53A2F">
        <w:rPr>
          <w:color w:val="000000" w:themeColor="text1"/>
        </w:rPr>
        <w:t>,</w:t>
      </w:r>
      <w:r w:rsidR="00C53A2F" w:rsidRPr="00C53A2F">
        <w:rPr>
          <w:color w:val="000000" w:themeColor="text1"/>
        </w:rPr>
        <w:t xml:space="preserve"> </w:t>
      </w:r>
      <w:r w:rsidR="00C53A2F" w:rsidRPr="00C53A2F">
        <w:rPr>
          <w:color w:val="000000" w:themeColor="text1"/>
        </w:rPr>
        <w:fldChar w:fldCharType="begin"/>
      </w:r>
      <w:r w:rsidR="00C53A2F" w:rsidRPr="00C53A2F">
        <w:rPr>
          <w:color w:val="000000" w:themeColor="text1"/>
        </w:rPr>
        <w:instrText xml:space="preserve"> REF _Ref13526198 \h  \* MERGEFORMAT </w:instrText>
      </w:r>
      <w:r w:rsidR="00C53A2F" w:rsidRPr="00C53A2F">
        <w:rPr>
          <w:color w:val="000000" w:themeColor="text1"/>
        </w:rPr>
      </w:r>
      <w:r w:rsidR="00C53A2F" w:rsidRPr="00C53A2F">
        <w:rPr>
          <w:color w:val="000000" w:themeColor="text1"/>
        </w:rPr>
        <w:fldChar w:fldCharType="separate"/>
      </w:r>
      <w:r w:rsidR="00C53A2F" w:rsidRPr="00C53A2F">
        <w:t xml:space="preserve">Figure </w:t>
      </w:r>
      <w:r w:rsidR="00C53A2F" w:rsidRPr="00C53A2F">
        <w:rPr>
          <w:noProof/>
        </w:rPr>
        <w:t>3</w:t>
      </w:r>
      <w:r w:rsidR="00C53A2F" w:rsidRPr="00C53A2F">
        <w:rPr>
          <w:color w:val="000000" w:themeColor="text1"/>
        </w:rPr>
        <w:fldChar w:fldCharType="end"/>
      </w:r>
      <w:r w:rsidRPr="00CC670F">
        <w:rPr>
          <w:color w:val="000000" w:themeColor="text1"/>
        </w:rPr>
        <w:t>.</w:t>
      </w:r>
      <w:r w:rsidR="00D81302" w:rsidRPr="00CC670F">
        <w:rPr>
          <w:color w:val="000000" w:themeColor="text1"/>
        </w:rPr>
        <w:t xml:space="preserve"> </w:t>
      </w:r>
      <w:r w:rsidR="00E26477" w:rsidRPr="00CC670F">
        <w:rPr>
          <w:color w:val="000000" w:themeColor="text1"/>
        </w:rPr>
        <w:t xml:space="preserve">The change in β-stiffness was not associated with the change in distensibility in the ascending </w:t>
      </w:r>
      <w:r w:rsidR="00250303" w:rsidRPr="00CC670F">
        <w:rPr>
          <w:color w:val="000000" w:themeColor="text1"/>
        </w:rPr>
        <w:t xml:space="preserve">(p=0.13) </w:t>
      </w:r>
      <w:r w:rsidR="00E26477" w:rsidRPr="00CC670F">
        <w:rPr>
          <w:color w:val="000000" w:themeColor="text1"/>
        </w:rPr>
        <w:t>or proximal descending aorta</w:t>
      </w:r>
      <w:r w:rsidR="00250303" w:rsidRPr="00CC670F">
        <w:rPr>
          <w:color w:val="000000" w:themeColor="text1"/>
        </w:rPr>
        <w:t xml:space="preserve"> (p=0.11)</w:t>
      </w:r>
      <w:r w:rsidR="00E26477" w:rsidRPr="00CC670F">
        <w:rPr>
          <w:color w:val="000000" w:themeColor="text1"/>
        </w:rPr>
        <w:t>, but explained 42% of the change in distensibility in the diaphragmatic descending aorta</w:t>
      </w:r>
      <w:r w:rsidR="00250303" w:rsidRPr="00CC670F">
        <w:rPr>
          <w:color w:val="000000" w:themeColor="text1"/>
        </w:rPr>
        <w:t xml:space="preserve"> (p&lt;0.001)</w:t>
      </w:r>
      <w:r w:rsidR="00E26477" w:rsidRPr="00CC670F">
        <w:rPr>
          <w:color w:val="000000" w:themeColor="text1"/>
        </w:rPr>
        <w:t>.</w:t>
      </w:r>
      <w:r w:rsidR="00FA6CAC" w:rsidRPr="00FA6CAC">
        <w:rPr>
          <w:color w:val="000000" w:themeColor="text1"/>
        </w:rPr>
        <w:t xml:space="preserve"> </w:t>
      </w:r>
      <w:r w:rsidR="00FA6CAC">
        <w:rPr>
          <w:color w:val="000000" w:themeColor="text1"/>
        </w:rPr>
        <w:t>PWV showed similar but less pronounced regional trends to local distensibility measurements</w:t>
      </w:r>
      <w:r w:rsidR="00194783" w:rsidRPr="00CC670F">
        <w:rPr>
          <w:color w:val="000000" w:themeColor="text1"/>
        </w:rPr>
        <w:t xml:space="preserve">, </w:t>
      </w:r>
      <w:r w:rsidR="00194783" w:rsidRPr="00CC670F">
        <w:rPr>
          <w:color w:val="000000" w:themeColor="text1"/>
        </w:rPr>
        <w:fldChar w:fldCharType="begin"/>
      </w:r>
      <w:r w:rsidR="00194783" w:rsidRPr="00CC670F">
        <w:rPr>
          <w:color w:val="000000" w:themeColor="text1"/>
        </w:rPr>
        <w:instrText xml:space="preserve"> REF _Ref533754759 \h  \* MERGEFORMAT </w:instrText>
      </w:r>
      <w:r w:rsidR="00194783" w:rsidRPr="00CC670F">
        <w:rPr>
          <w:color w:val="000000" w:themeColor="text1"/>
        </w:rPr>
      </w:r>
      <w:r w:rsidR="00194783" w:rsidRPr="00CC670F">
        <w:rPr>
          <w:color w:val="000000" w:themeColor="text1"/>
        </w:rPr>
        <w:fldChar w:fldCharType="separate"/>
      </w:r>
      <w:r w:rsidR="00194783" w:rsidRPr="00CC670F">
        <w:rPr>
          <w:color w:val="000000" w:themeColor="text1"/>
        </w:rPr>
        <w:t xml:space="preserve">Table </w:t>
      </w:r>
      <w:r w:rsidR="00194783" w:rsidRPr="00CC670F">
        <w:rPr>
          <w:noProof/>
          <w:color w:val="000000" w:themeColor="text1"/>
        </w:rPr>
        <w:t>2</w:t>
      </w:r>
      <w:r w:rsidR="00194783" w:rsidRPr="00CC670F">
        <w:rPr>
          <w:color w:val="000000" w:themeColor="text1"/>
        </w:rPr>
        <w:fldChar w:fldCharType="end"/>
      </w:r>
      <w:r w:rsidR="00FA6CAC">
        <w:rPr>
          <w:color w:val="000000" w:themeColor="text1"/>
        </w:rPr>
        <w:t>.</w:t>
      </w:r>
    </w:p>
    <w:p w14:paraId="4B67C6DB" w14:textId="024D00B3" w:rsidR="005B550F" w:rsidRPr="00CC670F" w:rsidRDefault="005B550F" w:rsidP="007A7155">
      <w:pPr>
        <w:pStyle w:val="Heading2"/>
        <w:spacing w:before="0" w:after="0"/>
        <w:rPr>
          <w:color w:val="000000" w:themeColor="text1"/>
        </w:rPr>
      </w:pPr>
      <w:r w:rsidRPr="00CC670F">
        <w:rPr>
          <w:color w:val="000000" w:themeColor="text1"/>
        </w:rPr>
        <w:t>Effect of training on biological aortic age</w:t>
      </w:r>
    </w:p>
    <w:p w14:paraId="03795351" w14:textId="707EE38A" w:rsidR="00B42713" w:rsidRPr="00CC670F" w:rsidRDefault="00EE3B5C" w:rsidP="007A7155">
      <w:pPr>
        <w:spacing w:before="0" w:after="0"/>
        <w:ind w:left="720" w:firstLine="720"/>
        <w:rPr>
          <w:color w:val="000000" w:themeColor="text1"/>
        </w:rPr>
      </w:pPr>
      <w:r w:rsidRPr="00CC670F">
        <w:rPr>
          <w:color w:val="000000" w:themeColor="text1"/>
        </w:rPr>
        <w:t>After</w:t>
      </w:r>
      <w:r w:rsidR="00A60D94" w:rsidRPr="00CC670F">
        <w:rPr>
          <w:color w:val="000000" w:themeColor="text1"/>
        </w:rPr>
        <w:t xml:space="preserve"> training, </w:t>
      </w:r>
      <w:r w:rsidR="0061090E" w:rsidRPr="00CC670F">
        <w:rPr>
          <w:color w:val="000000" w:themeColor="text1"/>
        </w:rPr>
        <w:t xml:space="preserve">the increase in distensibility </w:t>
      </w:r>
      <w:r w:rsidR="002F5F85" w:rsidRPr="00CC670F">
        <w:rPr>
          <w:color w:val="000000" w:themeColor="text1"/>
        </w:rPr>
        <w:t xml:space="preserve">translated to a reduction in biological aortic age </w:t>
      </w:r>
      <w:r w:rsidR="00753110" w:rsidRPr="00CC670F">
        <w:rPr>
          <w:color w:val="000000" w:themeColor="text1"/>
        </w:rPr>
        <w:t>by</w:t>
      </w:r>
      <w:r w:rsidR="00B42713" w:rsidRPr="00CC670F">
        <w:rPr>
          <w:color w:val="000000" w:themeColor="text1"/>
        </w:rPr>
        <w:t xml:space="preserve"> 1</w:t>
      </w:r>
      <w:r w:rsidR="00FF4FAA" w:rsidRPr="00CC670F">
        <w:rPr>
          <w:color w:val="000000" w:themeColor="text1"/>
        </w:rPr>
        <w:t>.</w:t>
      </w:r>
      <w:r w:rsidR="00C1275C" w:rsidRPr="00CC670F">
        <w:rPr>
          <w:color w:val="000000" w:themeColor="text1"/>
        </w:rPr>
        <w:t>5</w:t>
      </w:r>
      <w:r w:rsidR="00462556" w:rsidRPr="00CC670F">
        <w:rPr>
          <w:color w:val="000000" w:themeColor="text1"/>
        </w:rPr>
        <w:t xml:space="preserve"> </w:t>
      </w:r>
      <w:r w:rsidR="006A59DA" w:rsidRPr="00CC670F">
        <w:rPr>
          <w:color w:val="000000" w:themeColor="text1"/>
        </w:rPr>
        <w:t>(</w:t>
      </w:r>
      <w:r w:rsidR="00877196" w:rsidRPr="00CC670F">
        <w:rPr>
          <w:color w:val="000000" w:themeColor="text1"/>
        </w:rPr>
        <w:t>-</w:t>
      </w:r>
      <w:r w:rsidR="00AB1206" w:rsidRPr="00CC670F">
        <w:rPr>
          <w:color w:val="000000" w:themeColor="text1"/>
        </w:rPr>
        <w:t>0</w:t>
      </w:r>
      <w:r w:rsidR="00FF4FAA" w:rsidRPr="00CC670F">
        <w:rPr>
          <w:color w:val="000000" w:themeColor="text1"/>
        </w:rPr>
        <w:t>.</w:t>
      </w:r>
      <w:r w:rsidR="00C1275C" w:rsidRPr="00CC670F">
        <w:rPr>
          <w:color w:val="000000" w:themeColor="text1"/>
        </w:rPr>
        <w:t>9</w:t>
      </w:r>
      <w:r w:rsidR="00877196" w:rsidRPr="00CC670F">
        <w:rPr>
          <w:color w:val="000000" w:themeColor="text1"/>
        </w:rPr>
        <w:t>,</w:t>
      </w:r>
      <w:r w:rsidR="00AB1206" w:rsidRPr="00CC670F">
        <w:rPr>
          <w:color w:val="000000" w:themeColor="text1"/>
        </w:rPr>
        <w:t>5</w:t>
      </w:r>
      <w:r w:rsidR="00FF4FAA" w:rsidRPr="00CC670F">
        <w:rPr>
          <w:color w:val="000000" w:themeColor="text1"/>
        </w:rPr>
        <w:t>.</w:t>
      </w:r>
      <w:r w:rsidR="00AB1206" w:rsidRPr="00CC670F">
        <w:rPr>
          <w:color w:val="000000" w:themeColor="text1"/>
        </w:rPr>
        <w:t>4</w:t>
      </w:r>
      <w:r w:rsidR="00AA5604" w:rsidRPr="00CC670F">
        <w:rPr>
          <w:color w:val="000000" w:themeColor="text1"/>
        </w:rPr>
        <w:t>;</w:t>
      </w:r>
      <w:r w:rsidR="00462556" w:rsidRPr="00CC670F">
        <w:rPr>
          <w:color w:val="000000" w:themeColor="text1"/>
        </w:rPr>
        <w:t xml:space="preserve"> </w:t>
      </w:r>
      <w:r w:rsidR="00AA5604" w:rsidRPr="00CC670F">
        <w:rPr>
          <w:color w:val="000000" w:themeColor="text1"/>
        </w:rPr>
        <w:t>p=0</w:t>
      </w:r>
      <w:r w:rsidR="00FF4FAA" w:rsidRPr="00CC670F">
        <w:rPr>
          <w:color w:val="000000" w:themeColor="text1"/>
        </w:rPr>
        <w:t>.</w:t>
      </w:r>
      <w:r w:rsidR="00AA5604" w:rsidRPr="00CC670F">
        <w:rPr>
          <w:color w:val="000000" w:themeColor="text1"/>
        </w:rPr>
        <w:t>1</w:t>
      </w:r>
      <w:r w:rsidR="00C1275C" w:rsidRPr="00CC670F">
        <w:rPr>
          <w:color w:val="000000" w:themeColor="text1"/>
        </w:rPr>
        <w:t>6</w:t>
      </w:r>
      <w:r w:rsidR="00AB1206" w:rsidRPr="00CC670F">
        <w:rPr>
          <w:color w:val="000000" w:themeColor="text1"/>
        </w:rPr>
        <w:t>)</w:t>
      </w:r>
      <w:r w:rsidR="00B42713" w:rsidRPr="00CC670F">
        <w:rPr>
          <w:color w:val="000000" w:themeColor="text1"/>
        </w:rPr>
        <w:t xml:space="preserve">, </w:t>
      </w:r>
      <w:r w:rsidR="00452F55" w:rsidRPr="00CC670F">
        <w:rPr>
          <w:color w:val="000000" w:themeColor="text1"/>
        </w:rPr>
        <w:t>3</w:t>
      </w:r>
      <w:r w:rsidR="00FF4FAA" w:rsidRPr="00CC670F">
        <w:rPr>
          <w:color w:val="000000" w:themeColor="text1"/>
        </w:rPr>
        <w:t>.</w:t>
      </w:r>
      <w:r w:rsidR="00452F55" w:rsidRPr="00CC670F">
        <w:rPr>
          <w:color w:val="000000" w:themeColor="text1"/>
        </w:rPr>
        <w:t>9</w:t>
      </w:r>
      <w:r w:rsidR="00462556" w:rsidRPr="00CC670F">
        <w:rPr>
          <w:color w:val="000000" w:themeColor="text1"/>
        </w:rPr>
        <w:t xml:space="preserve"> </w:t>
      </w:r>
      <w:r w:rsidR="00AB1206" w:rsidRPr="00CC670F">
        <w:rPr>
          <w:color w:val="000000" w:themeColor="text1"/>
        </w:rPr>
        <w:t>(1</w:t>
      </w:r>
      <w:r w:rsidR="00FF4FAA" w:rsidRPr="00CC670F">
        <w:rPr>
          <w:color w:val="000000" w:themeColor="text1"/>
        </w:rPr>
        <w:t>.</w:t>
      </w:r>
      <w:r w:rsidR="00AB1206" w:rsidRPr="00CC670F">
        <w:rPr>
          <w:color w:val="000000" w:themeColor="text1"/>
        </w:rPr>
        <w:t xml:space="preserve">1, </w:t>
      </w:r>
      <w:r w:rsidR="00C1275C" w:rsidRPr="00CC670F">
        <w:rPr>
          <w:color w:val="000000" w:themeColor="text1"/>
        </w:rPr>
        <w:t>7</w:t>
      </w:r>
      <w:r w:rsidR="00FF4FAA" w:rsidRPr="00CC670F">
        <w:rPr>
          <w:color w:val="000000" w:themeColor="text1"/>
        </w:rPr>
        <w:t>.</w:t>
      </w:r>
      <w:r w:rsidR="00C1275C" w:rsidRPr="00CC670F">
        <w:rPr>
          <w:color w:val="000000" w:themeColor="text1"/>
        </w:rPr>
        <w:t>6</w:t>
      </w:r>
      <w:r w:rsidR="00AA5604" w:rsidRPr="00CC670F">
        <w:rPr>
          <w:color w:val="000000" w:themeColor="text1"/>
        </w:rPr>
        <w:t>;</w:t>
      </w:r>
      <w:r w:rsidR="00462556" w:rsidRPr="00CC670F">
        <w:rPr>
          <w:color w:val="000000" w:themeColor="text1"/>
        </w:rPr>
        <w:t xml:space="preserve"> </w:t>
      </w:r>
      <w:r w:rsidR="00AA5604" w:rsidRPr="00CC670F">
        <w:rPr>
          <w:color w:val="000000" w:themeColor="text1"/>
        </w:rPr>
        <w:t>p=0</w:t>
      </w:r>
      <w:r w:rsidR="00FF4FAA" w:rsidRPr="00CC670F">
        <w:rPr>
          <w:color w:val="000000" w:themeColor="text1"/>
        </w:rPr>
        <w:t>.</w:t>
      </w:r>
      <w:r w:rsidR="00AA5604" w:rsidRPr="00CC670F">
        <w:rPr>
          <w:color w:val="000000" w:themeColor="text1"/>
        </w:rPr>
        <w:t>00</w:t>
      </w:r>
      <w:r w:rsidR="00F531EE" w:rsidRPr="00CC670F">
        <w:rPr>
          <w:color w:val="000000" w:themeColor="text1"/>
        </w:rPr>
        <w:t>9</w:t>
      </w:r>
      <w:r w:rsidR="00AB1206" w:rsidRPr="00CC670F">
        <w:rPr>
          <w:color w:val="000000" w:themeColor="text1"/>
        </w:rPr>
        <w:t xml:space="preserve">) </w:t>
      </w:r>
      <w:r w:rsidR="00B42713" w:rsidRPr="00CC670F">
        <w:rPr>
          <w:color w:val="000000" w:themeColor="text1"/>
        </w:rPr>
        <w:t xml:space="preserve">and </w:t>
      </w:r>
      <w:r w:rsidR="00462556" w:rsidRPr="00CC670F">
        <w:rPr>
          <w:color w:val="000000" w:themeColor="text1"/>
        </w:rPr>
        <w:t>4</w:t>
      </w:r>
      <w:r w:rsidR="00FF4FAA" w:rsidRPr="00CC670F">
        <w:rPr>
          <w:color w:val="000000" w:themeColor="text1"/>
        </w:rPr>
        <w:t>.</w:t>
      </w:r>
      <w:r w:rsidR="00462556" w:rsidRPr="00CC670F">
        <w:rPr>
          <w:color w:val="000000" w:themeColor="text1"/>
        </w:rPr>
        <w:t xml:space="preserve">0 </w:t>
      </w:r>
      <w:r w:rsidR="00AB1206" w:rsidRPr="00CC670F">
        <w:rPr>
          <w:color w:val="000000" w:themeColor="text1"/>
        </w:rPr>
        <w:t>(1</w:t>
      </w:r>
      <w:r w:rsidR="00FF4FAA" w:rsidRPr="00CC670F">
        <w:rPr>
          <w:color w:val="000000" w:themeColor="text1"/>
        </w:rPr>
        <w:t>.</w:t>
      </w:r>
      <w:r w:rsidR="00C1275C" w:rsidRPr="00CC670F">
        <w:rPr>
          <w:color w:val="000000" w:themeColor="text1"/>
        </w:rPr>
        <w:t>7</w:t>
      </w:r>
      <w:r w:rsidR="00AB1206" w:rsidRPr="00CC670F">
        <w:rPr>
          <w:color w:val="000000" w:themeColor="text1"/>
        </w:rPr>
        <w:t>,8</w:t>
      </w:r>
      <w:r w:rsidR="00FF4FAA" w:rsidRPr="00CC670F">
        <w:rPr>
          <w:color w:val="000000" w:themeColor="text1"/>
        </w:rPr>
        <w:t>.</w:t>
      </w:r>
      <w:r w:rsidR="00C1275C" w:rsidRPr="00CC670F">
        <w:rPr>
          <w:color w:val="000000" w:themeColor="text1"/>
        </w:rPr>
        <w:t>0</w:t>
      </w:r>
      <w:r w:rsidR="00AA5604" w:rsidRPr="00CC670F">
        <w:rPr>
          <w:color w:val="000000" w:themeColor="text1"/>
        </w:rPr>
        <w:t>;</w:t>
      </w:r>
      <w:r w:rsidR="00462556" w:rsidRPr="00CC670F">
        <w:rPr>
          <w:color w:val="000000" w:themeColor="text1"/>
        </w:rPr>
        <w:t xml:space="preserve"> </w:t>
      </w:r>
      <w:r w:rsidR="00AA5604" w:rsidRPr="00CC670F">
        <w:rPr>
          <w:color w:val="000000" w:themeColor="text1"/>
        </w:rPr>
        <w:t>p=0</w:t>
      </w:r>
      <w:r w:rsidR="00FF4FAA" w:rsidRPr="00CC670F">
        <w:rPr>
          <w:color w:val="000000" w:themeColor="text1"/>
        </w:rPr>
        <w:t>.</w:t>
      </w:r>
      <w:r w:rsidR="00C1275C" w:rsidRPr="00CC670F">
        <w:rPr>
          <w:color w:val="000000" w:themeColor="text1"/>
        </w:rPr>
        <w:t>002</w:t>
      </w:r>
      <w:r w:rsidR="00AB1206" w:rsidRPr="00CC670F">
        <w:rPr>
          <w:color w:val="000000" w:themeColor="text1"/>
        </w:rPr>
        <w:t xml:space="preserve">) </w:t>
      </w:r>
      <w:r w:rsidR="00B42713" w:rsidRPr="00CC670F">
        <w:rPr>
          <w:color w:val="000000" w:themeColor="text1"/>
        </w:rPr>
        <w:t xml:space="preserve">years </w:t>
      </w:r>
      <w:r w:rsidR="00E45A45" w:rsidRPr="00CC670F">
        <w:rPr>
          <w:color w:val="000000" w:themeColor="text1"/>
        </w:rPr>
        <w:t>in</w:t>
      </w:r>
      <w:r w:rsidR="00B42713" w:rsidRPr="00CC670F">
        <w:rPr>
          <w:color w:val="000000" w:themeColor="text1"/>
        </w:rPr>
        <w:t xml:space="preserve"> the ascending, proximal descending and diaphragmatic descending aorta respectively.</w:t>
      </w:r>
      <w:r w:rsidR="00753110" w:rsidRPr="00CC670F">
        <w:rPr>
          <w:color w:val="000000" w:themeColor="text1"/>
        </w:rPr>
        <w:t xml:space="preserve"> When estimated from </w:t>
      </w:r>
      <w:r w:rsidR="00D60590" w:rsidRPr="00CC670F">
        <w:rPr>
          <w:color w:val="000000" w:themeColor="text1"/>
        </w:rPr>
        <w:t>β</w:t>
      </w:r>
      <w:r w:rsidR="00753110" w:rsidRPr="00CC670F">
        <w:rPr>
          <w:color w:val="000000" w:themeColor="text1"/>
        </w:rPr>
        <w:t>-stiffness, biological aortic age reduced by 0 (-2</w:t>
      </w:r>
      <w:r w:rsidR="00FF4FAA" w:rsidRPr="00CC670F">
        <w:rPr>
          <w:color w:val="000000" w:themeColor="text1"/>
        </w:rPr>
        <w:t>.</w:t>
      </w:r>
      <w:r w:rsidR="00753110" w:rsidRPr="00CC670F">
        <w:rPr>
          <w:color w:val="000000" w:themeColor="text1"/>
        </w:rPr>
        <w:t>8,2</w:t>
      </w:r>
      <w:r w:rsidR="00FF4FAA" w:rsidRPr="00CC670F">
        <w:rPr>
          <w:color w:val="000000" w:themeColor="text1"/>
        </w:rPr>
        <w:t>.</w:t>
      </w:r>
      <w:r w:rsidR="00753110" w:rsidRPr="00CC670F">
        <w:rPr>
          <w:color w:val="000000" w:themeColor="text1"/>
        </w:rPr>
        <w:t>8</w:t>
      </w:r>
      <w:r w:rsidR="00F531EE" w:rsidRPr="00CC670F">
        <w:rPr>
          <w:color w:val="000000" w:themeColor="text1"/>
        </w:rPr>
        <w:t>;</w:t>
      </w:r>
      <w:r w:rsidR="00CE18DC" w:rsidRPr="00CC670F">
        <w:rPr>
          <w:color w:val="000000" w:themeColor="text1"/>
        </w:rPr>
        <w:t xml:space="preserve"> </w:t>
      </w:r>
      <w:r w:rsidR="00F531EE" w:rsidRPr="00CC670F">
        <w:rPr>
          <w:color w:val="000000" w:themeColor="text1"/>
        </w:rPr>
        <w:t>p=0</w:t>
      </w:r>
      <w:r w:rsidR="00FF4FAA" w:rsidRPr="00CC670F">
        <w:rPr>
          <w:color w:val="000000" w:themeColor="text1"/>
        </w:rPr>
        <w:t>.</w:t>
      </w:r>
      <w:r w:rsidR="00F531EE" w:rsidRPr="00CC670F">
        <w:rPr>
          <w:color w:val="000000" w:themeColor="text1"/>
        </w:rPr>
        <w:t>99</w:t>
      </w:r>
      <w:r w:rsidR="00753110" w:rsidRPr="00CC670F">
        <w:rPr>
          <w:color w:val="000000" w:themeColor="text1"/>
        </w:rPr>
        <w:t>), 2</w:t>
      </w:r>
      <w:r w:rsidR="00FF4FAA" w:rsidRPr="00CC670F">
        <w:rPr>
          <w:color w:val="000000" w:themeColor="text1"/>
        </w:rPr>
        <w:t>.</w:t>
      </w:r>
      <w:r w:rsidR="00753110" w:rsidRPr="00CC670F">
        <w:rPr>
          <w:color w:val="000000" w:themeColor="text1"/>
        </w:rPr>
        <w:t>4 (-0</w:t>
      </w:r>
      <w:r w:rsidR="00FF4FAA" w:rsidRPr="00CC670F">
        <w:rPr>
          <w:color w:val="000000" w:themeColor="text1"/>
        </w:rPr>
        <w:t>.</w:t>
      </w:r>
      <w:r w:rsidR="00753110" w:rsidRPr="00CC670F">
        <w:rPr>
          <w:color w:val="000000" w:themeColor="text1"/>
        </w:rPr>
        <w:t>5,5</w:t>
      </w:r>
      <w:r w:rsidR="00FF4FAA" w:rsidRPr="00CC670F">
        <w:rPr>
          <w:color w:val="000000" w:themeColor="text1"/>
        </w:rPr>
        <w:t>.</w:t>
      </w:r>
      <w:r w:rsidR="00372E38" w:rsidRPr="00CC670F">
        <w:rPr>
          <w:color w:val="000000" w:themeColor="text1"/>
        </w:rPr>
        <w:t>3</w:t>
      </w:r>
      <w:r w:rsidR="00F531EE" w:rsidRPr="00CC670F">
        <w:rPr>
          <w:color w:val="000000" w:themeColor="text1"/>
        </w:rPr>
        <w:t>;</w:t>
      </w:r>
      <w:r w:rsidR="00CE18DC" w:rsidRPr="00CC670F">
        <w:rPr>
          <w:color w:val="000000" w:themeColor="text1"/>
        </w:rPr>
        <w:t xml:space="preserve"> </w:t>
      </w:r>
      <w:r w:rsidR="00F531EE" w:rsidRPr="00CC670F">
        <w:rPr>
          <w:color w:val="000000" w:themeColor="text1"/>
        </w:rPr>
        <w:t>p=0</w:t>
      </w:r>
      <w:r w:rsidR="00FF4FAA" w:rsidRPr="00CC670F">
        <w:rPr>
          <w:color w:val="000000" w:themeColor="text1"/>
        </w:rPr>
        <w:t>.</w:t>
      </w:r>
      <w:r w:rsidR="00C1275C" w:rsidRPr="00CC670F">
        <w:rPr>
          <w:color w:val="000000" w:themeColor="text1"/>
        </w:rPr>
        <w:t>11</w:t>
      </w:r>
      <w:r w:rsidR="00753110" w:rsidRPr="00CC670F">
        <w:rPr>
          <w:color w:val="000000" w:themeColor="text1"/>
        </w:rPr>
        <w:t>) and 3</w:t>
      </w:r>
      <w:r w:rsidR="00FF4FAA" w:rsidRPr="00CC670F">
        <w:rPr>
          <w:color w:val="000000" w:themeColor="text1"/>
        </w:rPr>
        <w:t>.</w:t>
      </w:r>
      <w:r w:rsidR="00C1275C" w:rsidRPr="00CC670F">
        <w:rPr>
          <w:color w:val="000000" w:themeColor="text1"/>
        </w:rPr>
        <w:t xml:space="preserve">2 </w:t>
      </w:r>
      <w:r w:rsidR="00753110" w:rsidRPr="00CC670F">
        <w:rPr>
          <w:color w:val="000000" w:themeColor="text1"/>
        </w:rPr>
        <w:t>(0</w:t>
      </w:r>
      <w:r w:rsidR="00FF4FAA" w:rsidRPr="00CC670F">
        <w:rPr>
          <w:color w:val="000000" w:themeColor="text1"/>
        </w:rPr>
        <w:t>.</w:t>
      </w:r>
      <w:r w:rsidR="00372E38" w:rsidRPr="00CC670F">
        <w:rPr>
          <w:color w:val="000000" w:themeColor="text1"/>
        </w:rPr>
        <w:t>1</w:t>
      </w:r>
      <w:r w:rsidR="00753110" w:rsidRPr="00CC670F">
        <w:rPr>
          <w:color w:val="000000" w:themeColor="text1"/>
        </w:rPr>
        <w:t>,6</w:t>
      </w:r>
      <w:r w:rsidR="00FF4FAA" w:rsidRPr="00CC670F">
        <w:rPr>
          <w:color w:val="000000" w:themeColor="text1"/>
        </w:rPr>
        <w:t>.</w:t>
      </w:r>
      <w:r w:rsidR="00C1275C" w:rsidRPr="00CC670F">
        <w:rPr>
          <w:color w:val="000000" w:themeColor="text1"/>
        </w:rPr>
        <w:t>2</w:t>
      </w:r>
      <w:r w:rsidR="00F531EE" w:rsidRPr="00CC670F">
        <w:rPr>
          <w:color w:val="000000" w:themeColor="text1"/>
        </w:rPr>
        <w:t>;</w:t>
      </w:r>
      <w:r w:rsidR="00462556" w:rsidRPr="00CC670F">
        <w:rPr>
          <w:color w:val="000000" w:themeColor="text1"/>
        </w:rPr>
        <w:t xml:space="preserve"> </w:t>
      </w:r>
      <w:r w:rsidR="00F531EE" w:rsidRPr="00CC670F">
        <w:rPr>
          <w:color w:val="000000" w:themeColor="text1"/>
        </w:rPr>
        <w:t>p=0</w:t>
      </w:r>
      <w:r w:rsidR="00FF4FAA" w:rsidRPr="00CC670F">
        <w:rPr>
          <w:color w:val="000000" w:themeColor="text1"/>
        </w:rPr>
        <w:t>.</w:t>
      </w:r>
      <w:r w:rsidR="00C1275C" w:rsidRPr="00CC670F">
        <w:rPr>
          <w:color w:val="000000" w:themeColor="text1"/>
        </w:rPr>
        <w:t>04</w:t>
      </w:r>
      <w:r w:rsidR="00753110" w:rsidRPr="00CC670F">
        <w:rPr>
          <w:color w:val="000000" w:themeColor="text1"/>
        </w:rPr>
        <w:t xml:space="preserve">) </w:t>
      </w:r>
      <w:r w:rsidR="00025E72" w:rsidRPr="00CC670F">
        <w:rPr>
          <w:color w:val="000000" w:themeColor="text1"/>
        </w:rPr>
        <w:t xml:space="preserve">years </w:t>
      </w:r>
      <w:r w:rsidR="00E45A45" w:rsidRPr="00CC670F">
        <w:rPr>
          <w:color w:val="000000" w:themeColor="text1"/>
        </w:rPr>
        <w:t>in</w:t>
      </w:r>
      <w:r w:rsidR="00753110" w:rsidRPr="00CC670F">
        <w:rPr>
          <w:color w:val="000000" w:themeColor="text1"/>
        </w:rPr>
        <w:t xml:space="preserve"> the ascending, proximal descending and diaphragmatic descending aorta respectively</w:t>
      </w:r>
      <w:r w:rsidR="003471A2" w:rsidRPr="00CC670F">
        <w:rPr>
          <w:color w:val="000000" w:themeColor="text1"/>
        </w:rPr>
        <w:t xml:space="preserve">, </w:t>
      </w:r>
      <w:r w:rsidR="00B6757A" w:rsidRPr="00CC670F">
        <w:rPr>
          <w:color w:val="000000" w:themeColor="text1"/>
        </w:rPr>
        <w:t xml:space="preserve">Online </w:t>
      </w:r>
      <w:r w:rsidR="006F2C98" w:rsidRPr="00CC670F">
        <w:rPr>
          <w:color w:val="000000" w:themeColor="text1"/>
        </w:rPr>
        <w:t xml:space="preserve">Table </w:t>
      </w:r>
      <w:r w:rsidR="00190469">
        <w:rPr>
          <w:color w:val="000000" w:themeColor="text1"/>
        </w:rPr>
        <w:t>2</w:t>
      </w:r>
      <w:r w:rsidR="00753110" w:rsidRPr="00CC670F">
        <w:rPr>
          <w:color w:val="000000" w:themeColor="text1"/>
        </w:rPr>
        <w:t>.</w:t>
      </w:r>
    </w:p>
    <w:p w14:paraId="0945D524" w14:textId="425EFAE9" w:rsidR="008213C5" w:rsidRPr="00CC670F" w:rsidRDefault="008213C5" w:rsidP="007A7155">
      <w:pPr>
        <w:pStyle w:val="Heading2"/>
        <w:spacing w:before="0" w:after="0"/>
        <w:rPr>
          <w:color w:val="000000" w:themeColor="text1"/>
        </w:rPr>
      </w:pPr>
      <w:r w:rsidRPr="00CC670F">
        <w:rPr>
          <w:color w:val="000000" w:themeColor="text1"/>
        </w:rPr>
        <w:t>Associations with the training-related change in aortic stiffness</w:t>
      </w:r>
    </w:p>
    <w:p w14:paraId="2B9FDE62" w14:textId="183A0EF6" w:rsidR="00487C7F" w:rsidRPr="00CC670F" w:rsidRDefault="007F0795" w:rsidP="007A7155">
      <w:pPr>
        <w:spacing w:before="0" w:after="0"/>
        <w:ind w:firstLine="720"/>
        <w:rPr>
          <w:color w:val="000000" w:themeColor="text1"/>
        </w:rPr>
      </w:pPr>
      <w:r w:rsidRPr="00CC670F">
        <w:rPr>
          <w:color w:val="000000" w:themeColor="text1"/>
        </w:rPr>
        <w:t>I</w:t>
      </w:r>
      <w:r w:rsidR="00682A6E" w:rsidRPr="00CC670F">
        <w:rPr>
          <w:color w:val="000000" w:themeColor="text1"/>
        </w:rPr>
        <w:t>ncreasing age was associated with greater reduction in either measure of aortic stiffness in the descending aorta (greatest r</w:t>
      </w:r>
      <w:r w:rsidR="00682A6E" w:rsidRPr="00CC670F">
        <w:rPr>
          <w:color w:val="000000" w:themeColor="text1"/>
          <w:vertAlign w:val="subscript"/>
        </w:rPr>
        <w:t>partial</w:t>
      </w:r>
      <w:r w:rsidR="00682A6E" w:rsidRPr="00CC670F">
        <w:rPr>
          <w:color w:val="000000" w:themeColor="text1"/>
        </w:rPr>
        <w:t xml:space="preserve"> 0</w:t>
      </w:r>
      <w:r w:rsidR="00FF4FAA" w:rsidRPr="00CC670F">
        <w:rPr>
          <w:color w:val="000000" w:themeColor="text1"/>
        </w:rPr>
        <w:t>.</w:t>
      </w:r>
      <w:r w:rsidR="00682A6E" w:rsidRPr="00CC670F">
        <w:rPr>
          <w:color w:val="000000" w:themeColor="text1"/>
        </w:rPr>
        <w:t>2</w:t>
      </w:r>
      <w:r w:rsidR="00B70A54">
        <w:rPr>
          <w:color w:val="000000" w:themeColor="text1"/>
        </w:rPr>
        <w:t>1</w:t>
      </w:r>
      <w:r w:rsidR="00682A6E" w:rsidRPr="00CC670F">
        <w:rPr>
          <w:color w:val="000000" w:themeColor="text1"/>
        </w:rPr>
        <w:t>,</w:t>
      </w:r>
      <w:r w:rsidR="00462556" w:rsidRPr="00CC670F">
        <w:rPr>
          <w:color w:val="000000" w:themeColor="text1"/>
        </w:rPr>
        <w:t xml:space="preserve"> </w:t>
      </w:r>
      <w:r w:rsidR="00682A6E" w:rsidRPr="00CC670F">
        <w:rPr>
          <w:color w:val="000000" w:themeColor="text1"/>
        </w:rPr>
        <w:t>p=0</w:t>
      </w:r>
      <w:r w:rsidR="00FF4FAA" w:rsidRPr="00CC670F">
        <w:rPr>
          <w:color w:val="000000" w:themeColor="text1"/>
        </w:rPr>
        <w:t>.</w:t>
      </w:r>
      <w:r w:rsidR="00682A6E" w:rsidRPr="00CC670F">
        <w:rPr>
          <w:color w:val="000000" w:themeColor="text1"/>
        </w:rPr>
        <w:t>0</w:t>
      </w:r>
      <w:r w:rsidR="00901A75">
        <w:rPr>
          <w:color w:val="000000" w:themeColor="text1"/>
        </w:rPr>
        <w:t>2</w:t>
      </w:r>
      <w:r w:rsidR="00682A6E" w:rsidRPr="00CC670F">
        <w:rPr>
          <w:color w:val="000000" w:themeColor="text1"/>
        </w:rPr>
        <w:t>)</w:t>
      </w:r>
      <w:r w:rsidR="008213C5" w:rsidRPr="00CC670F">
        <w:rPr>
          <w:color w:val="000000" w:themeColor="text1"/>
        </w:rPr>
        <w:t>,</w:t>
      </w:r>
      <w:r w:rsidR="00700A8C" w:rsidRPr="00CC670F">
        <w:rPr>
          <w:color w:val="000000" w:themeColor="text1"/>
        </w:rPr>
        <w:t xml:space="preserve"> </w:t>
      </w:r>
      <w:r w:rsidR="0050667C" w:rsidRPr="00CC670F">
        <w:rPr>
          <w:color w:val="000000" w:themeColor="text1"/>
        </w:rPr>
        <w:fldChar w:fldCharType="begin"/>
      </w:r>
      <w:r w:rsidR="0050667C" w:rsidRPr="00CC670F">
        <w:rPr>
          <w:color w:val="000000" w:themeColor="text1"/>
        </w:rPr>
        <w:instrText xml:space="preserve"> REF _Ref533754759 \h  \* MERGEFORMAT </w:instrText>
      </w:r>
      <w:r w:rsidR="0050667C" w:rsidRPr="00CC670F">
        <w:rPr>
          <w:color w:val="000000" w:themeColor="text1"/>
        </w:rPr>
      </w:r>
      <w:r w:rsidR="0050667C" w:rsidRPr="00CC670F">
        <w:rPr>
          <w:color w:val="000000" w:themeColor="text1"/>
        </w:rPr>
        <w:fldChar w:fldCharType="separate"/>
      </w:r>
      <w:r w:rsidR="009D6711" w:rsidRPr="00CC670F">
        <w:rPr>
          <w:color w:val="000000" w:themeColor="text1"/>
        </w:rPr>
        <w:t>Table 2</w:t>
      </w:r>
      <w:r w:rsidR="0050667C" w:rsidRPr="00CC670F">
        <w:rPr>
          <w:color w:val="000000" w:themeColor="text1"/>
        </w:rPr>
        <w:fldChar w:fldCharType="end"/>
      </w:r>
      <w:r w:rsidR="00C97B8C" w:rsidRPr="00CC670F">
        <w:rPr>
          <w:color w:val="000000" w:themeColor="text1"/>
        </w:rPr>
        <w:t xml:space="preserve"> and </w:t>
      </w:r>
      <w:r w:rsidR="00C97B8C" w:rsidRPr="00CC670F">
        <w:rPr>
          <w:color w:val="000000" w:themeColor="text1"/>
        </w:rPr>
        <w:fldChar w:fldCharType="begin"/>
      </w:r>
      <w:r w:rsidR="00C97B8C" w:rsidRPr="00CC670F">
        <w:rPr>
          <w:color w:val="000000" w:themeColor="text1"/>
        </w:rPr>
        <w:instrText xml:space="preserve"> REF _Ref536451035 \h  \* MERGEFORMAT </w:instrText>
      </w:r>
      <w:r w:rsidR="00C97B8C" w:rsidRPr="00CC670F">
        <w:rPr>
          <w:color w:val="000000" w:themeColor="text1"/>
        </w:rPr>
      </w:r>
      <w:r w:rsidR="00C97B8C" w:rsidRPr="00CC670F">
        <w:rPr>
          <w:color w:val="000000" w:themeColor="text1"/>
        </w:rPr>
        <w:fldChar w:fldCharType="separate"/>
      </w:r>
      <w:r w:rsidR="00C97B8C" w:rsidRPr="00CC670F">
        <w:rPr>
          <w:color w:val="000000" w:themeColor="text1"/>
        </w:rPr>
        <w:t>Figure 2</w:t>
      </w:r>
      <w:r w:rsidR="00C97B8C" w:rsidRPr="00CC670F">
        <w:rPr>
          <w:color w:val="000000" w:themeColor="text1"/>
        </w:rPr>
        <w:fldChar w:fldCharType="end"/>
      </w:r>
      <w:r w:rsidR="008213C5" w:rsidRPr="00CC670F">
        <w:rPr>
          <w:color w:val="000000" w:themeColor="text1"/>
        </w:rPr>
        <w:t xml:space="preserve">. </w:t>
      </w:r>
      <w:r w:rsidR="00FD22C5" w:rsidRPr="00CC670F">
        <w:rPr>
          <w:color w:val="000000" w:themeColor="text1"/>
        </w:rPr>
        <w:t xml:space="preserve">Males had a greater reduction </w:t>
      </w:r>
      <w:r w:rsidR="001B421B" w:rsidRPr="00CC670F">
        <w:rPr>
          <w:color w:val="000000" w:themeColor="text1"/>
        </w:rPr>
        <w:t xml:space="preserve">than females </w:t>
      </w:r>
      <w:r w:rsidR="00FD22C5" w:rsidRPr="00CC670F">
        <w:rPr>
          <w:color w:val="000000" w:themeColor="text1"/>
        </w:rPr>
        <w:t xml:space="preserve">in </w:t>
      </w:r>
      <w:r w:rsidR="003D318F" w:rsidRPr="00CC670F">
        <w:rPr>
          <w:color w:val="000000" w:themeColor="text1"/>
        </w:rPr>
        <w:t xml:space="preserve">descending aorta </w:t>
      </w:r>
      <w:r w:rsidR="00FD22C5" w:rsidRPr="00CC670F">
        <w:rPr>
          <w:color w:val="000000" w:themeColor="text1"/>
        </w:rPr>
        <w:t>β</w:t>
      </w:r>
      <w:r w:rsidR="00CB20AC" w:rsidRPr="00CC670F">
        <w:rPr>
          <w:color w:val="000000" w:themeColor="text1"/>
        </w:rPr>
        <w:t>-</w:t>
      </w:r>
      <w:r w:rsidR="00FD22C5" w:rsidRPr="00CC670F">
        <w:rPr>
          <w:color w:val="000000" w:themeColor="text1"/>
        </w:rPr>
        <w:t xml:space="preserve">stiffness </w:t>
      </w:r>
      <w:r w:rsidR="001B421B" w:rsidRPr="00CC670F">
        <w:rPr>
          <w:color w:val="000000" w:themeColor="text1"/>
        </w:rPr>
        <w:t>(r</w:t>
      </w:r>
      <w:r w:rsidR="001B421B" w:rsidRPr="00CC670F">
        <w:rPr>
          <w:color w:val="000000" w:themeColor="text1"/>
          <w:vertAlign w:val="subscript"/>
        </w:rPr>
        <w:t xml:space="preserve">partial </w:t>
      </w:r>
      <w:r w:rsidR="001B421B" w:rsidRPr="00CC670F">
        <w:rPr>
          <w:color w:val="000000" w:themeColor="text1"/>
        </w:rPr>
        <w:t>0</w:t>
      </w:r>
      <w:r w:rsidR="00FF4FAA" w:rsidRPr="00CC670F">
        <w:rPr>
          <w:color w:val="000000" w:themeColor="text1"/>
        </w:rPr>
        <w:t>.</w:t>
      </w:r>
      <w:r w:rsidR="001B421B" w:rsidRPr="00CC670F">
        <w:rPr>
          <w:color w:val="000000" w:themeColor="text1"/>
        </w:rPr>
        <w:t>19 and 0</w:t>
      </w:r>
      <w:r w:rsidR="00FF4FAA" w:rsidRPr="00CC670F">
        <w:rPr>
          <w:color w:val="000000" w:themeColor="text1"/>
        </w:rPr>
        <w:t>.</w:t>
      </w:r>
      <w:r w:rsidR="001B421B" w:rsidRPr="00CC670F">
        <w:rPr>
          <w:color w:val="000000" w:themeColor="text1"/>
        </w:rPr>
        <w:t>16,</w:t>
      </w:r>
      <w:r w:rsidR="00CE18DC" w:rsidRPr="00CC670F">
        <w:rPr>
          <w:color w:val="000000" w:themeColor="text1"/>
        </w:rPr>
        <w:t xml:space="preserve"> </w:t>
      </w:r>
      <w:r w:rsidR="001B421B" w:rsidRPr="00CC670F">
        <w:rPr>
          <w:color w:val="000000" w:themeColor="text1"/>
        </w:rPr>
        <w:t>p=0</w:t>
      </w:r>
      <w:r w:rsidR="00FF4FAA" w:rsidRPr="00CC670F">
        <w:rPr>
          <w:color w:val="000000" w:themeColor="text1"/>
        </w:rPr>
        <w:t>.</w:t>
      </w:r>
      <w:r w:rsidR="001B421B" w:rsidRPr="00CC670F">
        <w:rPr>
          <w:color w:val="000000" w:themeColor="text1"/>
        </w:rPr>
        <w:t>03 and p=0</w:t>
      </w:r>
      <w:r w:rsidR="00FF4FAA" w:rsidRPr="00CC670F">
        <w:rPr>
          <w:color w:val="000000" w:themeColor="text1"/>
        </w:rPr>
        <w:t>.</w:t>
      </w:r>
      <w:r w:rsidR="00271304" w:rsidRPr="00CC670F">
        <w:rPr>
          <w:color w:val="000000" w:themeColor="text1"/>
        </w:rPr>
        <w:t xml:space="preserve">03 </w:t>
      </w:r>
      <w:r w:rsidR="001B421B" w:rsidRPr="00CC670F">
        <w:rPr>
          <w:color w:val="000000" w:themeColor="text1"/>
        </w:rPr>
        <w:t>respectively)</w:t>
      </w:r>
      <w:r w:rsidR="00552F4F" w:rsidRPr="00CC670F">
        <w:rPr>
          <w:color w:val="000000" w:themeColor="text1"/>
        </w:rPr>
        <w:t xml:space="preserve"> when adjusted for age and peak VO</w:t>
      </w:r>
      <w:r w:rsidR="00552F4F" w:rsidRPr="00CC670F">
        <w:rPr>
          <w:color w:val="000000" w:themeColor="text1"/>
          <w:vertAlign w:val="subscript"/>
        </w:rPr>
        <w:t>2</w:t>
      </w:r>
      <w:r w:rsidR="0019301C" w:rsidRPr="00CC670F">
        <w:rPr>
          <w:color w:val="000000" w:themeColor="text1"/>
        </w:rPr>
        <w:t>.</w:t>
      </w:r>
      <w:r w:rsidR="0030224F" w:rsidRPr="00CC670F">
        <w:rPr>
          <w:color w:val="000000" w:themeColor="text1"/>
        </w:rPr>
        <w:t xml:space="preserve"> This was equivalent to</w:t>
      </w:r>
      <w:r w:rsidR="00B2220B" w:rsidRPr="00CC670F">
        <w:rPr>
          <w:color w:val="000000" w:themeColor="text1"/>
        </w:rPr>
        <w:t xml:space="preserve"> a median</w:t>
      </w:r>
      <w:r w:rsidR="0030224F" w:rsidRPr="00CC670F">
        <w:rPr>
          <w:color w:val="000000" w:themeColor="text1"/>
        </w:rPr>
        <w:t xml:space="preserve"> 1</w:t>
      </w:r>
      <w:r w:rsidR="00FF4FAA" w:rsidRPr="00CC670F">
        <w:rPr>
          <w:color w:val="000000" w:themeColor="text1"/>
        </w:rPr>
        <w:t>.</w:t>
      </w:r>
      <w:r w:rsidR="0030224F" w:rsidRPr="00CC670F">
        <w:rPr>
          <w:color w:val="000000" w:themeColor="text1"/>
        </w:rPr>
        <w:t>4 year greater benefit</w:t>
      </w:r>
      <w:r w:rsidR="00AA6BA1" w:rsidRPr="00CC670F">
        <w:rPr>
          <w:color w:val="000000" w:themeColor="text1"/>
        </w:rPr>
        <w:t xml:space="preserve"> in men</w:t>
      </w:r>
      <w:r w:rsidR="0030224F" w:rsidRPr="00CC670F">
        <w:rPr>
          <w:color w:val="000000" w:themeColor="text1"/>
        </w:rPr>
        <w:t>.</w:t>
      </w:r>
      <w:r w:rsidR="00462556" w:rsidRPr="00CC670F">
        <w:rPr>
          <w:color w:val="000000" w:themeColor="text1"/>
        </w:rPr>
        <w:t xml:space="preserve"> </w:t>
      </w:r>
      <w:r w:rsidR="008E3DFB" w:rsidRPr="00CC670F">
        <w:rPr>
          <w:color w:val="000000" w:themeColor="text1"/>
        </w:rPr>
        <w:t>Higher baseline central SBP was associated with a greater reduction in β-stiffness of the proximal and diaphragmatic descending aorta (r</w:t>
      </w:r>
      <w:r w:rsidR="008E3DFB" w:rsidRPr="00CC670F">
        <w:rPr>
          <w:color w:val="000000" w:themeColor="text1"/>
          <w:vertAlign w:val="subscript"/>
        </w:rPr>
        <w:t>partial</w:t>
      </w:r>
      <w:r w:rsidR="008E3DFB" w:rsidRPr="00CC670F">
        <w:rPr>
          <w:color w:val="000000" w:themeColor="text1"/>
        </w:rPr>
        <w:t xml:space="preserve"> 0</w:t>
      </w:r>
      <w:r w:rsidR="00FF4FAA" w:rsidRPr="00CC670F">
        <w:rPr>
          <w:color w:val="000000" w:themeColor="text1"/>
        </w:rPr>
        <w:t>.</w:t>
      </w:r>
      <w:r w:rsidR="00F91EC8" w:rsidRPr="00CC670F">
        <w:rPr>
          <w:color w:val="000000" w:themeColor="text1"/>
        </w:rPr>
        <w:t xml:space="preserve">23 </w:t>
      </w:r>
      <w:r w:rsidR="008E3DFB" w:rsidRPr="00CC670F">
        <w:rPr>
          <w:color w:val="000000" w:themeColor="text1"/>
        </w:rPr>
        <w:t>and 0</w:t>
      </w:r>
      <w:r w:rsidR="00FF4FAA" w:rsidRPr="00CC670F">
        <w:rPr>
          <w:color w:val="000000" w:themeColor="text1"/>
        </w:rPr>
        <w:t>.</w:t>
      </w:r>
      <w:r w:rsidR="00F91EC8" w:rsidRPr="00CC670F">
        <w:rPr>
          <w:color w:val="000000" w:themeColor="text1"/>
        </w:rPr>
        <w:t>21</w:t>
      </w:r>
      <w:r w:rsidR="008E3DFB" w:rsidRPr="00CC670F">
        <w:rPr>
          <w:color w:val="000000" w:themeColor="text1"/>
        </w:rPr>
        <w:t>,</w:t>
      </w:r>
      <w:r w:rsidR="00462556" w:rsidRPr="00CC670F">
        <w:rPr>
          <w:color w:val="000000" w:themeColor="text1"/>
        </w:rPr>
        <w:t xml:space="preserve"> </w:t>
      </w:r>
      <w:r w:rsidR="008E3DFB" w:rsidRPr="00CC670F">
        <w:rPr>
          <w:color w:val="000000" w:themeColor="text1"/>
        </w:rPr>
        <w:t>p=0</w:t>
      </w:r>
      <w:r w:rsidR="00FF4FAA" w:rsidRPr="00CC670F">
        <w:rPr>
          <w:color w:val="000000" w:themeColor="text1"/>
        </w:rPr>
        <w:t>.</w:t>
      </w:r>
      <w:r w:rsidR="00F91EC8" w:rsidRPr="00CC670F">
        <w:rPr>
          <w:color w:val="000000" w:themeColor="text1"/>
        </w:rPr>
        <w:t xml:space="preserve">006 </w:t>
      </w:r>
      <w:r w:rsidR="008E3DFB" w:rsidRPr="00CC670F">
        <w:rPr>
          <w:color w:val="000000" w:themeColor="text1"/>
        </w:rPr>
        <w:t>and 0</w:t>
      </w:r>
      <w:r w:rsidR="00FF4FAA" w:rsidRPr="00CC670F">
        <w:rPr>
          <w:color w:val="000000" w:themeColor="text1"/>
        </w:rPr>
        <w:t>.</w:t>
      </w:r>
      <w:r w:rsidR="00F91EC8" w:rsidRPr="00CC670F">
        <w:rPr>
          <w:color w:val="000000" w:themeColor="text1"/>
        </w:rPr>
        <w:t xml:space="preserve">02 </w:t>
      </w:r>
      <w:r w:rsidR="008E3DFB" w:rsidRPr="00CC670F">
        <w:rPr>
          <w:color w:val="000000" w:themeColor="text1"/>
        </w:rPr>
        <w:t>respectively). The</w:t>
      </w:r>
      <w:r w:rsidR="003C35D1" w:rsidRPr="00CC670F">
        <w:rPr>
          <w:color w:val="000000" w:themeColor="text1"/>
        </w:rPr>
        <w:t xml:space="preserve"> strength of these</w:t>
      </w:r>
      <w:r w:rsidR="008E3DFB" w:rsidRPr="00CC670F">
        <w:rPr>
          <w:color w:val="000000" w:themeColor="text1"/>
        </w:rPr>
        <w:t xml:space="preserve"> associations were reduce</w:t>
      </w:r>
      <w:r w:rsidR="00B81E33" w:rsidRPr="00CC670F">
        <w:rPr>
          <w:color w:val="000000" w:themeColor="text1"/>
        </w:rPr>
        <w:t>d</w:t>
      </w:r>
      <w:r w:rsidR="008E3DFB" w:rsidRPr="00CC670F">
        <w:rPr>
          <w:color w:val="000000" w:themeColor="text1"/>
        </w:rPr>
        <w:t xml:space="preserve"> when adjusted for age and </w:t>
      </w:r>
      <w:r w:rsidR="00E4637A" w:rsidRPr="00CC670F">
        <w:rPr>
          <w:color w:val="000000" w:themeColor="text1"/>
        </w:rPr>
        <w:t>sex</w:t>
      </w:r>
      <w:r w:rsidR="008E3DFB" w:rsidRPr="00CC670F">
        <w:rPr>
          <w:color w:val="000000" w:themeColor="text1"/>
        </w:rPr>
        <w:t xml:space="preserve"> (r</w:t>
      </w:r>
      <w:r w:rsidR="008E3DFB" w:rsidRPr="00CC670F">
        <w:rPr>
          <w:color w:val="000000" w:themeColor="text1"/>
          <w:vertAlign w:val="subscript"/>
        </w:rPr>
        <w:t>partial</w:t>
      </w:r>
      <w:r w:rsidR="008E3DFB" w:rsidRPr="00CC670F">
        <w:rPr>
          <w:color w:val="000000" w:themeColor="text1"/>
        </w:rPr>
        <w:t xml:space="preserve"> 0</w:t>
      </w:r>
      <w:r w:rsidR="00FF4FAA" w:rsidRPr="00CC670F">
        <w:rPr>
          <w:color w:val="000000" w:themeColor="text1"/>
        </w:rPr>
        <w:t>.</w:t>
      </w:r>
      <w:r w:rsidR="00F91EC8" w:rsidRPr="00CC670F">
        <w:rPr>
          <w:color w:val="000000" w:themeColor="text1"/>
        </w:rPr>
        <w:t xml:space="preserve">16 </w:t>
      </w:r>
      <w:r w:rsidR="008E3DFB" w:rsidRPr="00CC670F">
        <w:rPr>
          <w:color w:val="000000" w:themeColor="text1"/>
        </w:rPr>
        <w:t>and 0</w:t>
      </w:r>
      <w:r w:rsidR="00FF4FAA" w:rsidRPr="00CC670F">
        <w:rPr>
          <w:color w:val="000000" w:themeColor="text1"/>
        </w:rPr>
        <w:t>.</w:t>
      </w:r>
      <w:r w:rsidR="00F91EC8" w:rsidRPr="00CC670F">
        <w:rPr>
          <w:color w:val="000000" w:themeColor="text1"/>
        </w:rPr>
        <w:t>20</w:t>
      </w:r>
      <w:r w:rsidR="008E3DFB" w:rsidRPr="00CC670F">
        <w:rPr>
          <w:color w:val="000000" w:themeColor="text1"/>
        </w:rPr>
        <w:t>,</w:t>
      </w:r>
      <w:r w:rsidR="00462556" w:rsidRPr="00CC670F">
        <w:rPr>
          <w:color w:val="000000" w:themeColor="text1"/>
        </w:rPr>
        <w:t xml:space="preserve"> </w:t>
      </w:r>
      <w:r w:rsidR="008E3DFB" w:rsidRPr="00CC670F">
        <w:rPr>
          <w:color w:val="000000" w:themeColor="text1"/>
        </w:rPr>
        <w:t>p=0</w:t>
      </w:r>
      <w:r w:rsidR="00FF4FAA" w:rsidRPr="00CC670F">
        <w:rPr>
          <w:color w:val="000000" w:themeColor="text1"/>
        </w:rPr>
        <w:t>.</w:t>
      </w:r>
      <w:r w:rsidR="00F91EC8" w:rsidRPr="00CC670F">
        <w:rPr>
          <w:color w:val="000000" w:themeColor="text1"/>
        </w:rPr>
        <w:t xml:space="preserve">06 </w:t>
      </w:r>
      <w:r w:rsidR="008E3DFB" w:rsidRPr="00CC670F">
        <w:rPr>
          <w:color w:val="000000" w:themeColor="text1"/>
        </w:rPr>
        <w:t>and 0</w:t>
      </w:r>
      <w:r w:rsidR="00FF4FAA" w:rsidRPr="00CC670F">
        <w:rPr>
          <w:color w:val="000000" w:themeColor="text1"/>
        </w:rPr>
        <w:t>.</w:t>
      </w:r>
      <w:r w:rsidR="00F91EC8" w:rsidRPr="00CC670F">
        <w:rPr>
          <w:color w:val="000000" w:themeColor="text1"/>
        </w:rPr>
        <w:t xml:space="preserve">02 </w:t>
      </w:r>
      <w:r w:rsidR="008E3DFB" w:rsidRPr="00CC670F">
        <w:rPr>
          <w:color w:val="000000" w:themeColor="text1"/>
        </w:rPr>
        <w:t>respectively</w:t>
      </w:r>
      <w:r w:rsidR="00B81E33" w:rsidRPr="00CC670F">
        <w:rPr>
          <w:color w:val="000000" w:themeColor="text1"/>
        </w:rPr>
        <w:t>).</w:t>
      </w:r>
      <w:r w:rsidR="00227855" w:rsidRPr="00CC670F">
        <w:rPr>
          <w:color w:val="000000" w:themeColor="text1"/>
        </w:rPr>
        <w:t xml:space="preserve"> </w:t>
      </w:r>
      <w:r w:rsidR="008B3806" w:rsidRPr="00CC670F">
        <w:rPr>
          <w:color w:val="000000" w:themeColor="text1"/>
        </w:rPr>
        <w:t xml:space="preserve">There was no association between baseline central SBP and the change in distensibility with training. </w:t>
      </w:r>
      <w:r w:rsidR="00724912" w:rsidRPr="00CC670F">
        <w:rPr>
          <w:color w:val="000000" w:themeColor="text1"/>
        </w:rPr>
        <w:t>With</w:t>
      </w:r>
      <w:r w:rsidR="00D548C4" w:rsidRPr="00CC670F">
        <w:rPr>
          <w:color w:val="000000" w:themeColor="text1"/>
        </w:rPr>
        <w:t xml:space="preserve"> training, a</w:t>
      </w:r>
      <w:r w:rsidR="003A0FBC" w:rsidRPr="00CC670F">
        <w:rPr>
          <w:color w:val="000000" w:themeColor="text1"/>
        </w:rPr>
        <w:t xml:space="preserve"> greater </w:t>
      </w:r>
      <w:r w:rsidR="009F56F3" w:rsidRPr="00CC670F">
        <w:rPr>
          <w:color w:val="000000" w:themeColor="text1"/>
        </w:rPr>
        <w:t xml:space="preserve">reduction in </w:t>
      </w:r>
      <w:r w:rsidR="00786F83" w:rsidRPr="00CC670F">
        <w:rPr>
          <w:color w:val="000000" w:themeColor="text1"/>
        </w:rPr>
        <w:t xml:space="preserve">either measure of </w:t>
      </w:r>
      <w:r w:rsidR="00227855" w:rsidRPr="00CC670F">
        <w:rPr>
          <w:color w:val="000000" w:themeColor="text1"/>
        </w:rPr>
        <w:t xml:space="preserve">aortic stiffness </w:t>
      </w:r>
      <w:r w:rsidR="003A0FBC" w:rsidRPr="00CC670F">
        <w:rPr>
          <w:color w:val="000000" w:themeColor="text1"/>
        </w:rPr>
        <w:t xml:space="preserve">was associated with a greater reduction in </w:t>
      </w:r>
      <w:r w:rsidR="00D5701B" w:rsidRPr="00CC670F">
        <w:rPr>
          <w:color w:val="000000" w:themeColor="text1"/>
        </w:rPr>
        <w:t>SBP</w:t>
      </w:r>
      <w:r w:rsidR="00A95E13" w:rsidRPr="00CC670F">
        <w:rPr>
          <w:color w:val="000000" w:themeColor="text1"/>
        </w:rPr>
        <w:t xml:space="preserve">, </w:t>
      </w:r>
      <w:r w:rsidR="008D5A5F" w:rsidRPr="00CC670F">
        <w:rPr>
          <w:color w:val="000000" w:themeColor="text1"/>
        </w:rPr>
        <w:t xml:space="preserve">adjusted for </w:t>
      </w:r>
      <w:r w:rsidR="005106E2" w:rsidRPr="00CC670F">
        <w:rPr>
          <w:color w:val="000000" w:themeColor="text1"/>
        </w:rPr>
        <w:t>loading conditions</w:t>
      </w:r>
      <w:r w:rsidR="008D5A5F" w:rsidRPr="00CC670F">
        <w:rPr>
          <w:color w:val="000000" w:themeColor="text1"/>
        </w:rPr>
        <w:t xml:space="preserve"> </w:t>
      </w:r>
      <w:r w:rsidR="003A0FBC" w:rsidRPr="00CC670F">
        <w:rPr>
          <w:color w:val="000000" w:themeColor="text1"/>
        </w:rPr>
        <w:t>(greatest r</w:t>
      </w:r>
      <w:r w:rsidR="003A0FBC" w:rsidRPr="00CC670F">
        <w:rPr>
          <w:color w:val="000000" w:themeColor="text1"/>
          <w:vertAlign w:val="subscript"/>
        </w:rPr>
        <w:t xml:space="preserve">partial </w:t>
      </w:r>
      <w:r w:rsidR="003A0FBC" w:rsidRPr="00CC670F">
        <w:rPr>
          <w:color w:val="000000" w:themeColor="text1"/>
        </w:rPr>
        <w:t>-0</w:t>
      </w:r>
      <w:r w:rsidR="00FF4FAA" w:rsidRPr="00CC670F">
        <w:rPr>
          <w:color w:val="000000" w:themeColor="text1"/>
        </w:rPr>
        <w:t>.</w:t>
      </w:r>
      <w:r w:rsidR="003A0FBC" w:rsidRPr="00CC670F">
        <w:rPr>
          <w:color w:val="000000" w:themeColor="text1"/>
        </w:rPr>
        <w:t>3</w:t>
      </w:r>
      <w:r w:rsidR="00E35D98" w:rsidRPr="00CC670F">
        <w:rPr>
          <w:color w:val="000000" w:themeColor="text1"/>
        </w:rPr>
        <w:t>1</w:t>
      </w:r>
      <w:r w:rsidR="003A0FBC" w:rsidRPr="00CC670F">
        <w:rPr>
          <w:color w:val="000000" w:themeColor="text1"/>
        </w:rPr>
        <w:t>,</w:t>
      </w:r>
      <w:r w:rsidR="00462556" w:rsidRPr="00CC670F">
        <w:rPr>
          <w:color w:val="000000" w:themeColor="text1"/>
        </w:rPr>
        <w:t xml:space="preserve"> </w:t>
      </w:r>
      <w:r w:rsidR="003A0FBC" w:rsidRPr="00CC670F">
        <w:rPr>
          <w:color w:val="000000" w:themeColor="text1"/>
        </w:rPr>
        <w:t>p&lt;0</w:t>
      </w:r>
      <w:r w:rsidR="00FF4FAA" w:rsidRPr="00CC670F">
        <w:rPr>
          <w:color w:val="000000" w:themeColor="text1"/>
        </w:rPr>
        <w:t>.</w:t>
      </w:r>
      <w:r w:rsidR="003A0FBC" w:rsidRPr="00CC670F">
        <w:rPr>
          <w:color w:val="000000" w:themeColor="text1"/>
        </w:rPr>
        <w:t>001),</w:t>
      </w:r>
      <w:r w:rsidR="005113E3" w:rsidRPr="00CC670F">
        <w:rPr>
          <w:color w:val="000000" w:themeColor="text1"/>
        </w:rPr>
        <w:t xml:space="preserve"> </w:t>
      </w:r>
      <w:r w:rsidR="00B6757A" w:rsidRPr="00CC670F">
        <w:rPr>
          <w:color w:val="000000" w:themeColor="text1"/>
        </w:rPr>
        <w:t xml:space="preserve">Online </w:t>
      </w:r>
      <w:r w:rsidR="008A6EA9" w:rsidRPr="00CC670F">
        <w:rPr>
          <w:color w:val="000000" w:themeColor="text1"/>
        </w:rPr>
        <w:t xml:space="preserve">Table </w:t>
      </w:r>
      <w:r w:rsidR="00190469">
        <w:rPr>
          <w:color w:val="000000" w:themeColor="text1"/>
        </w:rPr>
        <w:t>3</w:t>
      </w:r>
      <w:r w:rsidR="003A0FBC" w:rsidRPr="00CC670F">
        <w:rPr>
          <w:color w:val="000000" w:themeColor="text1"/>
        </w:rPr>
        <w:t>.</w:t>
      </w:r>
      <w:r w:rsidR="00174ECE" w:rsidRPr="00CC670F">
        <w:rPr>
          <w:color w:val="000000" w:themeColor="text1"/>
        </w:rPr>
        <w:t xml:space="preserve"> </w:t>
      </w:r>
    </w:p>
    <w:p w14:paraId="6015C46A" w14:textId="24F92A04" w:rsidR="006F5256" w:rsidRPr="00CC670F" w:rsidRDefault="00AC4188" w:rsidP="007A7155">
      <w:pPr>
        <w:spacing w:before="0" w:after="0"/>
        <w:ind w:firstLine="720"/>
        <w:rPr>
          <w:color w:val="000000" w:themeColor="text1"/>
        </w:rPr>
      </w:pPr>
      <w:r w:rsidRPr="00CC670F">
        <w:rPr>
          <w:color w:val="000000" w:themeColor="text1"/>
        </w:rPr>
        <w:t>Slower marathon running time was associated with a greater increase in proximal descending aortic distensibility with exercise training (r</w:t>
      </w:r>
      <w:r w:rsidRPr="00CC670F">
        <w:rPr>
          <w:color w:val="000000" w:themeColor="text1"/>
          <w:vertAlign w:val="subscript"/>
        </w:rPr>
        <w:t xml:space="preserve">partial </w:t>
      </w:r>
      <w:r w:rsidRPr="00CC670F">
        <w:rPr>
          <w:color w:val="000000" w:themeColor="text1"/>
        </w:rPr>
        <w:t>-0</w:t>
      </w:r>
      <w:r w:rsidR="00FF4FAA" w:rsidRPr="00CC670F">
        <w:rPr>
          <w:color w:val="000000" w:themeColor="text1"/>
        </w:rPr>
        <w:t>.</w:t>
      </w:r>
      <w:r w:rsidRPr="00CC670F">
        <w:rPr>
          <w:color w:val="000000" w:themeColor="text1"/>
        </w:rPr>
        <w:t>20,</w:t>
      </w:r>
      <w:r w:rsidR="00462556" w:rsidRPr="00CC670F">
        <w:rPr>
          <w:color w:val="000000" w:themeColor="text1"/>
        </w:rPr>
        <w:t xml:space="preserve"> </w:t>
      </w:r>
      <w:r w:rsidRPr="00CC670F">
        <w:rPr>
          <w:color w:val="000000" w:themeColor="text1"/>
        </w:rPr>
        <w:t>p=0</w:t>
      </w:r>
      <w:r w:rsidR="00FF4FAA" w:rsidRPr="00CC670F">
        <w:rPr>
          <w:color w:val="000000" w:themeColor="text1"/>
        </w:rPr>
        <w:t>.</w:t>
      </w:r>
      <w:r w:rsidRPr="00CC670F">
        <w:rPr>
          <w:color w:val="000000" w:themeColor="text1"/>
        </w:rPr>
        <w:t xml:space="preserve">02), </w:t>
      </w:r>
      <w:r w:rsidR="00B6757A" w:rsidRPr="00CC670F">
        <w:rPr>
          <w:color w:val="000000" w:themeColor="text1"/>
        </w:rPr>
        <w:t xml:space="preserve">Online </w:t>
      </w:r>
      <w:r w:rsidR="00D04604" w:rsidRPr="00CC670F">
        <w:rPr>
          <w:color w:val="000000" w:themeColor="text1"/>
        </w:rPr>
        <w:t xml:space="preserve">Table </w:t>
      </w:r>
      <w:r w:rsidR="00190469">
        <w:rPr>
          <w:color w:val="000000" w:themeColor="text1"/>
        </w:rPr>
        <w:t>3</w:t>
      </w:r>
      <w:r w:rsidRPr="00CC670F">
        <w:rPr>
          <w:color w:val="000000" w:themeColor="text1"/>
        </w:rPr>
        <w:t>. There was no association with the change in β-stiffness and marathon performance.</w:t>
      </w:r>
      <w:r w:rsidR="006F5256" w:rsidRPr="00CC670F">
        <w:rPr>
          <w:color w:val="000000" w:themeColor="text1"/>
        </w:rPr>
        <w:t xml:space="preserve"> </w:t>
      </w:r>
    </w:p>
    <w:p w14:paraId="729044ED" w14:textId="678810FA" w:rsidR="005106E2" w:rsidRPr="00CC670F" w:rsidRDefault="008E3DFB" w:rsidP="007A7155">
      <w:pPr>
        <w:spacing w:before="0" w:after="0"/>
        <w:rPr>
          <w:color w:val="000000" w:themeColor="text1"/>
        </w:rPr>
      </w:pPr>
      <w:r w:rsidRPr="00CC670F">
        <w:rPr>
          <w:color w:val="000000" w:themeColor="text1"/>
        </w:rPr>
        <w:t>Baseline peak VO</w:t>
      </w:r>
      <w:r w:rsidRPr="00CC670F">
        <w:rPr>
          <w:color w:val="000000" w:themeColor="text1"/>
          <w:vertAlign w:val="subscript"/>
        </w:rPr>
        <w:t>2</w:t>
      </w:r>
      <w:r w:rsidRPr="00CC670F">
        <w:rPr>
          <w:color w:val="000000" w:themeColor="text1"/>
        </w:rPr>
        <w:t>, heart rate, body fat, and weight</w:t>
      </w:r>
      <w:r w:rsidR="00827F83">
        <w:rPr>
          <w:color w:val="000000" w:themeColor="text1"/>
        </w:rPr>
        <w:t xml:space="preserve"> or alterations in these parameters with training</w:t>
      </w:r>
      <w:r w:rsidRPr="00CC670F">
        <w:rPr>
          <w:color w:val="000000" w:themeColor="text1"/>
        </w:rPr>
        <w:t xml:space="preserve"> were not associated with the change in either measure of aortic stiffness </w:t>
      </w:r>
      <w:r w:rsidR="00827F83">
        <w:rPr>
          <w:color w:val="000000" w:themeColor="text1"/>
        </w:rPr>
        <w:t>with</w:t>
      </w:r>
      <w:r w:rsidRPr="00CC670F">
        <w:rPr>
          <w:color w:val="000000" w:themeColor="text1"/>
        </w:rPr>
        <w:t xml:space="preserve"> training. </w:t>
      </w:r>
    </w:p>
    <w:p w14:paraId="61219213" w14:textId="1E0FBBB2" w:rsidR="00A62429" w:rsidRPr="00CC670F" w:rsidRDefault="00A62429" w:rsidP="007A7155">
      <w:pPr>
        <w:pStyle w:val="Heading1"/>
        <w:spacing w:before="0" w:after="0"/>
        <w:rPr>
          <w:color w:val="000000" w:themeColor="text1"/>
        </w:rPr>
      </w:pPr>
      <w:r w:rsidRPr="00CC670F">
        <w:rPr>
          <w:color w:val="000000" w:themeColor="text1"/>
        </w:rPr>
        <w:t>Discussion</w:t>
      </w:r>
    </w:p>
    <w:p w14:paraId="15A7F633" w14:textId="37A6C642" w:rsidR="00562F81" w:rsidRPr="00CC670F" w:rsidRDefault="00FE32F0" w:rsidP="007A7155">
      <w:pPr>
        <w:spacing w:before="0" w:after="0"/>
        <w:ind w:firstLine="720"/>
        <w:rPr>
          <w:color w:val="000000" w:themeColor="text1"/>
        </w:rPr>
      </w:pPr>
      <w:r w:rsidRPr="00CC670F">
        <w:rPr>
          <w:color w:val="000000" w:themeColor="text1"/>
        </w:rPr>
        <w:t xml:space="preserve">This </w:t>
      </w:r>
      <w:r w:rsidR="001D472C" w:rsidRPr="00CC670F">
        <w:rPr>
          <w:color w:val="000000" w:themeColor="text1"/>
        </w:rPr>
        <w:t xml:space="preserve">prospective longitudinal cohort </w:t>
      </w:r>
      <w:r w:rsidRPr="00CC670F">
        <w:rPr>
          <w:color w:val="000000" w:themeColor="text1"/>
        </w:rPr>
        <w:t>study shows</w:t>
      </w:r>
      <w:r w:rsidR="0056471A" w:rsidRPr="00CC670F">
        <w:rPr>
          <w:color w:val="000000" w:themeColor="text1"/>
        </w:rPr>
        <w:t xml:space="preserve"> </w:t>
      </w:r>
      <w:r w:rsidR="00D5240B" w:rsidRPr="00CC670F">
        <w:rPr>
          <w:color w:val="000000" w:themeColor="text1"/>
        </w:rPr>
        <w:t xml:space="preserve">that </w:t>
      </w:r>
      <w:r w:rsidR="00BE0A69" w:rsidRPr="00CC670F">
        <w:rPr>
          <w:color w:val="000000" w:themeColor="text1"/>
        </w:rPr>
        <w:t>six</w:t>
      </w:r>
      <w:r w:rsidR="002A6257">
        <w:rPr>
          <w:color w:val="000000" w:themeColor="text1"/>
        </w:rPr>
        <w:t>-</w:t>
      </w:r>
      <w:r w:rsidR="00D5240B" w:rsidRPr="00CC670F">
        <w:rPr>
          <w:color w:val="000000" w:themeColor="text1"/>
        </w:rPr>
        <w:t>months of training and completion of a first-time marathon is sufficient to achieve reduction</w:t>
      </w:r>
      <w:r w:rsidR="00BE0A69" w:rsidRPr="00CC670F">
        <w:rPr>
          <w:color w:val="000000" w:themeColor="text1"/>
        </w:rPr>
        <w:t>s</w:t>
      </w:r>
      <w:r w:rsidR="00D5240B" w:rsidRPr="00CC670F">
        <w:rPr>
          <w:color w:val="000000" w:themeColor="text1"/>
        </w:rPr>
        <w:t xml:space="preserve"> in </w:t>
      </w:r>
      <w:r w:rsidR="00BE0A69" w:rsidRPr="00CC670F">
        <w:rPr>
          <w:color w:val="000000" w:themeColor="text1"/>
        </w:rPr>
        <w:t>blood pressure</w:t>
      </w:r>
      <w:r w:rsidR="00CD0DBE" w:rsidRPr="00CC670F">
        <w:rPr>
          <w:color w:val="000000" w:themeColor="text1"/>
        </w:rPr>
        <w:t xml:space="preserve"> and</w:t>
      </w:r>
      <w:r w:rsidR="00E34F5E" w:rsidRPr="00CC670F">
        <w:rPr>
          <w:color w:val="000000" w:themeColor="text1"/>
        </w:rPr>
        <w:t xml:space="preserve"> </w:t>
      </w:r>
      <w:r w:rsidR="00525003" w:rsidRPr="00CC670F">
        <w:rPr>
          <w:color w:val="000000" w:themeColor="text1"/>
        </w:rPr>
        <w:t xml:space="preserve">aortic stiffness. </w:t>
      </w:r>
      <w:r w:rsidR="00CA72F1" w:rsidRPr="00CC670F">
        <w:rPr>
          <w:color w:val="000000" w:themeColor="text1"/>
        </w:rPr>
        <w:t>I</w:t>
      </w:r>
      <w:r w:rsidR="00562F81" w:rsidRPr="00CC670F">
        <w:rPr>
          <w:color w:val="000000" w:themeColor="text1"/>
        </w:rPr>
        <w:t>t was possible to reverse the consequences of ageing on vessel stiffening by approximately four years</w:t>
      </w:r>
      <w:r w:rsidR="00CD7A68" w:rsidRPr="00CC670F">
        <w:rPr>
          <w:color w:val="000000" w:themeColor="text1"/>
        </w:rPr>
        <w:t xml:space="preserve">, as measured in the aorta rather than </w:t>
      </w:r>
      <w:r w:rsidR="00A079E4" w:rsidRPr="00CC670F">
        <w:rPr>
          <w:color w:val="000000" w:themeColor="text1"/>
        </w:rPr>
        <w:t xml:space="preserve">more </w:t>
      </w:r>
      <w:r w:rsidR="00CD7A68" w:rsidRPr="00CC670F">
        <w:rPr>
          <w:color w:val="000000" w:themeColor="text1"/>
        </w:rPr>
        <w:t xml:space="preserve">peripheral </w:t>
      </w:r>
      <w:r w:rsidR="00A079E4" w:rsidRPr="00CC670F">
        <w:rPr>
          <w:color w:val="000000" w:themeColor="text1"/>
        </w:rPr>
        <w:t>vessels</w:t>
      </w:r>
      <w:r w:rsidR="00562F81" w:rsidRPr="00CC670F">
        <w:rPr>
          <w:color w:val="000000" w:themeColor="text1"/>
        </w:rPr>
        <w:t xml:space="preserve">. </w:t>
      </w:r>
      <w:r w:rsidR="005D680A" w:rsidRPr="00CC670F">
        <w:rPr>
          <w:color w:val="000000" w:themeColor="text1"/>
        </w:rPr>
        <w:t>Both brachial and aortic SBP reduced by 4 mmHg, a magnitude comparable to first line anti-hypertensive medications.</w:t>
      </w:r>
      <w:r w:rsidR="005D680A" w:rsidRPr="00CC670F">
        <w:rPr>
          <w:color w:val="000000" w:themeColor="text1"/>
        </w:rPr>
        <w:fldChar w:fldCharType="begin" w:fldLock="1"/>
      </w:r>
      <w:r w:rsidR="00257AD6">
        <w:rPr>
          <w:color w:val="000000" w:themeColor="text1"/>
        </w:rPr>
        <w:instrText>ADDIN CSL_CITATION {"citationItems":[{"id":"ITEM-1","itemData":{"DOI":"10.1097/HJH.0000000000001547","PMID":"28858984","abstract":"BACKGROUND It is currently unknown whether individuals with SBP/DBP values in the ranges 120-139/80-89 mmHg, usually defined as with prehypertension or high-normal and normal blood pressure (BP), benefit from BP-lowering treatment and whether benefits in these individuals depend on the level of their cardiovascular risk. OBJECTIVES Meta-analyzing all available data from randomized controlled trials (RCTs) about the effects on cardiovascular outcomes of BP-lowering treatment in individuals with normal or high-normal BP values in absence of baseline antihypertensive drugs and free from a recent myocardial infarction, left ventricular dysfunction and heart failure. METHODS From an available database of BP-lowering RCTs updated to end 2016, RCTs were selected only including normotensive individuals or including both hypertensive and normotensive individuals but providing separate information in normotensive individuals. Risk ratios and 95% confidence intervals, and absolute risk reduction of cardiovascular outcomes and all deaths were calculated by a random-effects model. RESULTS We identified 24 RCTs providing data on 47 991 high-normal or normal BP individuals. BP-lowering treatment was found to significantly reduce cardiovascular disease risk in these individuals, but risk reduction was limited to stroke. When RCTs were stratified according to total cardiovascular risk, no significant benefits were found in RCTs including individuals at low-moderate risk (13 RCTs, 21 128 individuals), whereas a significant reduction in stroke risk (-60% to a SBP/DBP reduction of 10/5 mmHg) was found in RCTs including individuals at high-very high risk mostly because of symptomatic cardiovascular disease (11 RCTs, 26 863 individuals). In high-very high-risk normotensive individuals, BP-lowering treatment appeared to reduce stroke risk independently of the drug class used. CONCLUSION Individuals with very high cardiovascular risk due to symptomatic cardiovascular disease should consider BP-lowering treatment even when their BP is in the high-normal and normal range.","author":[{"dropping-particle":"","family":"Thomopoulos","given":"Costas","non-dropping-particle":"","parse-names":false,"suffix":""},{"dropping-particle":"","family":"Parati","given":"Gianfranco","non-dropping-particle":"","parse-names":false,"suffix":""},{"dropping-particle":"","family":"Zanchetti","given":"Alberto","non-dropping-particle":"","parse-names":false,"suffix":""}],"container-title":"Journal of Hypertension","id":"ITEM-1","issue":"11","issued":{"date-parts":[["2017","11"]]},"page":"2150-2160","title":"Effects of blood-pressure-lowering treatment on outcome incidence","type":"article-journal","volume":"35"},"uris":["http://www.mendeley.com/documents/?uuid=d6d8dc39-823d-3695-b14b-972c2778c355"]}],"mendeley":{"formattedCitation":"(22)","plainTextFormattedCitation":"(22)","previouslyFormattedCitation":"(22)"},"properties":{"noteIndex":0},"schema":"https://github.com/citation-style-language/schema/raw/master/csl-citation.json"}</w:instrText>
      </w:r>
      <w:r w:rsidR="005D680A" w:rsidRPr="00CC670F">
        <w:rPr>
          <w:color w:val="000000" w:themeColor="text1"/>
        </w:rPr>
        <w:fldChar w:fldCharType="separate"/>
      </w:r>
      <w:r w:rsidR="00B515F5" w:rsidRPr="00B515F5">
        <w:rPr>
          <w:noProof/>
          <w:color w:val="000000" w:themeColor="text1"/>
        </w:rPr>
        <w:t>(22)</w:t>
      </w:r>
      <w:r w:rsidR="005D680A" w:rsidRPr="00CC670F">
        <w:rPr>
          <w:color w:val="000000" w:themeColor="text1"/>
        </w:rPr>
        <w:fldChar w:fldCharType="end"/>
      </w:r>
      <w:r w:rsidR="005D680A" w:rsidRPr="00CC670F">
        <w:rPr>
          <w:color w:val="000000" w:themeColor="text1"/>
        </w:rPr>
        <w:t xml:space="preserve"> </w:t>
      </w:r>
      <w:r w:rsidR="00052254" w:rsidRPr="00CC670F">
        <w:rPr>
          <w:color w:val="000000" w:themeColor="text1"/>
        </w:rPr>
        <w:t xml:space="preserve">Benefits were observed in healthy individuals across a broad age range, </w:t>
      </w:r>
      <w:r w:rsidR="005C2441">
        <w:rPr>
          <w:color w:val="000000" w:themeColor="text1"/>
        </w:rPr>
        <w:t xml:space="preserve">and </w:t>
      </w:r>
      <w:r w:rsidR="00CA5677" w:rsidRPr="00CC670F">
        <w:rPr>
          <w:color w:val="000000" w:themeColor="text1"/>
        </w:rPr>
        <w:t>were greate</w:t>
      </w:r>
      <w:r w:rsidR="00D74F26">
        <w:rPr>
          <w:color w:val="000000" w:themeColor="text1"/>
        </w:rPr>
        <w:t>r</w:t>
      </w:r>
      <w:r w:rsidR="00CA5677" w:rsidRPr="00CC670F">
        <w:rPr>
          <w:color w:val="000000" w:themeColor="text1"/>
        </w:rPr>
        <w:t xml:space="preserve"> in older, slower, male marathon runners</w:t>
      </w:r>
      <w:r w:rsidR="00414DEA" w:rsidRPr="00CC670F">
        <w:rPr>
          <w:color w:val="000000" w:themeColor="text1"/>
        </w:rPr>
        <w:t xml:space="preserve"> with higher baseline BP</w:t>
      </w:r>
      <w:r w:rsidR="00CA5677" w:rsidRPr="00CC670F">
        <w:rPr>
          <w:color w:val="000000" w:themeColor="text1"/>
        </w:rPr>
        <w:t>.</w:t>
      </w:r>
      <w:r w:rsidR="00F14283" w:rsidRPr="00CC670F">
        <w:rPr>
          <w:color w:val="000000" w:themeColor="text1"/>
        </w:rPr>
        <w:t xml:space="preserve"> </w:t>
      </w:r>
      <w:r w:rsidR="005C2441">
        <w:rPr>
          <w:color w:val="000000" w:themeColor="text1"/>
        </w:rPr>
        <w:t>P</w:t>
      </w:r>
      <w:r w:rsidR="005C2441" w:rsidRPr="00CC670F">
        <w:rPr>
          <w:color w:val="000000" w:themeColor="text1"/>
        </w:rPr>
        <w:t xml:space="preserve">erformance times </w:t>
      </w:r>
      <w:r w:rsidR="005C2441">
        <w:rPr>
          <w:color w:val="000000" w:themeColor="text1"/>
        </w:rPr>
        <w:t xml:space="preserve">were </w:t>
      </w:r>
      <w:r w:rsidR="005C2441" w:rsidRPr="00CC670F">
        <w:rPr>
          <w:color w:val="000000" w:themeColor="text1"/>
        </w:rPr>
        <w:t xml:space="preserve">suggestive of achievable exercise doses in real-world novice participants– approximately thirty minutes slower than the average </w:t>
      </w:r>
      <w:r w:rsidR="005C2441">
        <w:rPr>
          <w:color w:val="000000" w:themeColor="text1"/>
        </w:rPr>
        <w:t xml:space="preserve">completion time </w:t>
      </w:r>
      <w:r w:rsidR="005C2441" w:rsidRPr="00CC670F">
        <w:rPr>
          <w:color w:val="000000" w:themeColor="text1"/>
        </w:rPr>
        <w:t xml:space="preserve">for the London Marathon. </w:t>
      </w:r>
      <w:r w:rsidR="00E10D1C" w:rsidRPr="00CC670F">
        <w:rPr>
          <w:color w:val="000000" w:themeColor="text1"/>
        </w:rPr>
        <w:t>Based on completion times, participants trained for 6-13 miles a week, in line with the suggested 17-week training program and within the recommendations of the 2018 USA Physical Activity Guidelines.</w:t>
      </w:r>
      <w:r w:rsidR="00E10D1C" w:rsidRPr="00CC670F">
        <w:rPr>
          <w:color w:val="000000" w:themeColor="text1"/>
        </w:rPr>
        <w:fldChar w:fldCharType="begin" w:fldLock="1"/>
      </w:r>
      <w:r w:rsidR="00257AD6">
        <w:rPr>
          <w:color w:val="000000" w:themeColor="text1"/>
        </w:rPr>
        <w:instrText>ADDIN CSL_CITATION {"citationItems":[{"id":"ITEM-1","itemData":{"DOI":"10.1001/jama.2018.14854","ISBN":"0030-1787","ISSN":"0098-7484","PMID":"19090067","abstract":"Importance: Approximately 80% of US adults and adolescents are insufficiently active. Physical activity fosters normal growth and development and can make people feel, function, and sleep better and reduce risk of many chronic diseases. Objective: To summarize key guidelines in the Physical Activity Guidelines for Americans, 2nd edition (PAG). Process and Evidence Synthesis: The 2018 Physical Activity Guidelines Advisory Committee conducted a systematic review of the science supporting physical activity and health. The committee addressed 38 questions and 104 subquestions and graded the evidence based on consistency and quality of the research. Evidence graded as strong or moderate was the basis of the key guidelines. The Department of Health and Human Services (HHS) based the PAG on the 2018 Physical Activity Guidelines Advisory Committee Scientific Report. Recommendations: The PAG provides information and guidance on the types and amounts of physical activity to improve a variety of health outcomes for multiple population groups. Preschool-aged children (3 through 5 years) should be physically active throughout the day to enhance growth and development. Children and adolescents aged 6 through 17 years should do 60 minutes or more of moderate-to-vigorous physical activity daily. Adults should do at least 150 minutes to 300 minutes a week of moderate-intensity, or 75 minutes to 150 minutes a week of vigorous-intensity aerobic physical activity, or an equivalent combination of moderate- and vigorous-intensity aerobic activity. They should also do muscle-strengthening activities on 2 or more days a week. Older adults should do multicomponent physical activity that includes balance training as well as aerobic and muscle-strengthening activities. Pregnant and postpartum women should do at least 150 minutes of moderate-intensity aerobic activity a week. Adults with chronic conditions or disabilities, who are able, should follow the key guidelines for adults and do both aerobic and muscle-strengthening activities. Recommendations emphasize that moving more and sitting less will benefit nearly everyone. Individuals performing the least physical activity benefit most by even modest increases in moderate-to-vigorous physical activity. Additional benefits occur with more physical activity. Both aerobic and muscle-strengthening physical activity are beneficial. Conclusions and Relevance: The Physical Activity Guidelines for Americans, 2nd edition, provides informa…","author":[{"dropping-particle":"","family":"Piercy","given":"Katrina L.","non-dropping-particle":"","parse-names":false,"suffix":""},{"dropping-particle":"","family":"Troiano","given":"Richard P.","non-dropping-particle":"","parse-names":false,"suffix":""},{"dropping-particle":"","family":"Ballard","given":"Rachel M.","non-dropping-particle":"","parse-names":false,"suffix":""},{"dropping-particle":"","family":"Carlson","given":"Susan A.","non-dropping-particle":"","parse-names":false,"suffix":""},{"dropping-particle":"","family":"Fulton","given":"Janet E.","non-dropping-particle":"","parse-names":false,"suffix":""},{"dropping-particle":"","family":"Galuska","given":"Deborah A.","non-dropping-particle":"","parse-names":false,"suffix":""},{"dropping-particle":"","family":"George","given":"Stephanie M.","non-dropping-particle":"","parse-names":false,"suffix":""},{"dropping-particle":"","family":"Olson","given":"Richard D.","non-dropping-particle":"","parse-names":false,"suffix":""}],"container-title":"JAMA","id":"ITEM-1","issue":"19","issued":{"date-parts":[["2018","11","20"]]},"page":"2020","title":"The Physical Activity Guidelines for Americans","type":"article-journal","volume":"320"},"uris":["http://www.mendeley.com/documents/?uuid=a05c36f5-df97-4489-a1cd-33dba238896b"]}],"mendeley":{"formattedCitation":"(23)","plainTextFormattedCitation":"(23)","previouslyFormattedCitation":"(23)"},"properties":{"noteIndex":0},"schema":"https://github.com/citation-style-language/schema/raw/master/csl-citation.json"}</w:instrText>
      </w:r>
      <w:r w:rsidR="00E10D1C" w:rsidRPr="00CC670F">
        <w:rPr>
          <w:color w:val="000000" w:themeColor="text1"/>
        </w:rPr>
        <w:fldChar w:fldCharType="separate"/>
      </w:r>
      <w:r w:rsidR="00B515F5" w:rsidRPr="00B515F5">
        <w:rPr>
          <w:noProof/>
          <w:color w:val="000000" w:themeColor="text1"/>
        </w:rPr>
        <w:t>(23)</w:t>
      </w:r>
      <w:r w:rsidR="00E10D1C" w:rsidRPr="00CC670F">
        <w:rPr>
          <w:color w:val="000000" w:themeColor="text1"/>
        </w:rPr>
        <w:fldChar w:fldCharType="end"/>
      </w:r>
    </w:p>
    <w:p w14:paraId="724BEBD0" w14:textId="3B00DD61" w:rsidR="00A85CB0" w:rsidRPr="00CC670F" w:rsidRDefault="00E10D1C" w:rsidP="007A7155">
      <w:pPr>
        <w:spacing w:before="0" w:after="0"/>
        <w:ind w:firstLine="720"/>
        <w:rPr>
          <w:color w:val="000000" w:themeColor="text1"/>
        </w:rPr>
      </w:pPr>
      <w:r w:rsidRPr="00CC670F">
        <w:rPr>
          <w:color w:val="000000" w:themeColor="text1"/>
        </w:rPr>
        <w:t>In healthy individuals, chronological ageing leads to a gradual increase in aortic stiffness and elevated cardiovascular risk. However, chronological age is not the same as the biological process which captures life course influences</w:t>
      </w:r>
      <w:r w:rsidR="005C419C">
        <w:rPr>
          <w:color w:val="000000" w:themeColor="text1"/>
        </w:rPr>
        <w:t>,</w:t>
      </w:r>
      <w:r w:rsidRPr="00CC670F">
        <w:rPr>
          <w:color w:val="000000" w:themeColor="text1"/>
        </w:rPr>
        <w:t xml:space="preserve"> and frames how we make choices that can accelerate or rejuvenate the vasculature.</w:t>
      </w:r>
      <w:r w:rsidRPr="00CC670F">
        <w:rPr>
          <w:color w:val="000000" w:themeColor="text1"/>
        </w:rPr>
        <w:fldChar w:fldCharType="begin" w:fldLock="1"/>
      </w:r>
      <w:r w:rsidR="00257AD6">
        <w:rPr>
          <w:color w:val="000000" w:themeColor="text1"/>
        </w:rPr>
        <w:instrText>ADDIN CSL_CITATION {"citationItems":[{"id":"ITEM-1","itemData":{"DOI":"10.1152/ajpheart.00802.2015","ISBN":"0363-6135","ISSN":"0363-6135","PMID":"26747504","abstract":"Removal of the normal head-to-foot gravity vector and chronic weightlessness during spaceflight might induce cardiovascular and metabolic adaptations related to changes in arterial pressure and reduction in physical activity. We tested hypotheses that stiffness of arteries located above the heart would be increased postflight, and that blood biomarkers inflight would be consistent with changes in vascular function. Possible sex differences in responses were explored in four male and four female astronauts who lived on the International Space Station for 6 mo. Carotid artery distensibility coefficient (P = 0.005) and β-stiffness index (P = 0.006) reflected 17-30% increases in arterial stiffness when measured within 38 h of return to Earth compared with preflight. Spaceflight-by-sex interaction effects were found with greater changes in β-stiffness index in women (P = 0.017), but greater changes in pulse wave transit time in men (P = 0.006). Several blood biomarkers were changed from preflight to inflight, including an increase in an index of insulin resistance (P &lt; 0.001) with a spaceflight-by-sex term suggesting greater change in men (P = 0.034). Spaceflight-by-sex interactions for renin (P = 0.016) and aldosterone (P = 0.010) indicated greater increases in women than men. Six-month spaceflight caused increased arterial stiffness. Altered hydrostatic arterial pressure gradients as well as changes in insulin resistance and other biomarkers might have contributed to alterations in arterial properties, including sex differences between male and female astronauts.","author":[{"dropping-particle":"","family":"Hughson","given":"Richard L.","non-dropping-particle":"","parse-names":false,"suffix":""},{"dropping-particle":"","family":"Robertson","given":"Andrew D.","non-dropping-particle":"","parse-names":false,"suffix":""},{"dropping-particle":"","family":"Arbeille","given":"Philippe","non-dropping-particle":"","parse-names":false,"suffix":""},{"dropping-particle":"","family":"Shoemaker","given":"J. Kevin","non-dropping-particle":"","parse-names":false,"suffix":""},{"dropping-particle":"","family":"Rush","given":"James W. E.","non-dropping-particle":"","parse-names":false,"suffix":""},{"dropping-particle":"","family":"Fraser","given":"Katelyn S.","non-dropping-particle":"","parse-names":false,"suffix":""},{"dropping-particle":"","family":"Greaves","given":"Danielle K.","non-dropping-particle":"","parse-names":false,"suffix":""}],"container-title":"American Journal of Physiology - Heart and Circulatory Physiology","id":"ITEM-1","issue":"5","issued":{"date-parts":[["2016"]]},"page":"H628-H638","title":"Increased postflight carotid artery stiffness and inflight insulin resistance resulting from 6-mo spaceflight in male and female astronauts","type":"article-journal","volume":"310"},"uris":["http://www.mendeley.com/documents/?uuid=ab531568-dcd3-42fe-a152-33b7ab301435"]}],"mendeley":{"formattedCitation":"(24)","plainTextFormattedCitation":"(24)","previouslyFormattedCitation":"(24)"},"properties":{"noteIndex":0},"schema":"https://github.com/citation-style-language/schema/raw/master/csl-citation.json"}</w:instrText>
      </w:r>
      <w:r w:rsidRPr="00CC670F">
        <w:rPr>
          <w:color w:val="000000" w:themeColor="text1"/>
        </w:rPr>
        <w:fldChar w:fldCharType="separate"/>
      </w:r>
      <w:r w:rsidR="00B515F5" w:rsidRPr="00B515F5">
        <w:rPr>
          <w:noProof/>
          <w:color w:val="000000" w:themeColor="text1"/>
        </w:rPr>
        <w:t>(24)</w:t>
      </w:r>
      <w:r w:rsidRPr="00CC670F">
        <w:rPr>
          <w:color w:val="000000" w:themeColor="text1"/>
        </w:rPr>
        <w:fldChar w:fldCharType="end"/>
      </w:r>
      <w:r w:rsidRPr="00CC670F">
        <w:rPr>
          <w:color w:val="000000" w:themeColor="text1"/>
        </w:rPr>
        <w:t xml:space="preserve"> Cross-sectional studies have shown that moderate intensity exercise at 4-5 days a week </w:t>
      </w:r>
      <w:r w:rsidRPr="00112581">
        <w:rPr>
          <w:color w:val="000000" w:themeColor="text1"/>
        </w:rPr>
        <w:t>preserves ‘youthful’ compliance</w:t>
      </w:r>
      <w:r w:rsidRPr="00CC670F">
        <w:rPr>
          <w:color w:val="000000" w:themeColor="text1"/>
        </w:rPr>
        <w:t xml:space="preserve"> of the carotid artery.</w:t>
      </w:r>
      <w:r w:rsidRPr="00CC670F">
        <w:rPr>
          <w:color w:val="000000" w:themeColor="text1"/>
        </w:rPr>
        <w:fldChar w:fldCharType="begin" w:fldLock="1"/>
      </w:r>
      <w:r w:rsidR="00257AD6">
        <w:rPr>
          <w:color w:val="000000" w:themeColor="text1"/>
        </w:rPr>
        <w:instrText>ADDIN CSL_CITATION {"citationItems":[{"id":"ITEM-1","itemData":{"DOI":"10.1113/JP275301","ISSN":"14697793","PMID":"29781119","abstract":"Central arterial stiffness increases with sedentary aging. While near-daily, vigorous lifelong (&gt;25 yr) endurance exercise training prevents arterial stiffening with aging, this rigorous routine of exercise training over a lifetime is impractical for most individuals. The aim was to examine whether a less frequent 'dose' of lifelong exercise training (4-5 sessions/wk for &gt; 30 min) that is consistent with current physical activity recommendations elicits similar benefits on central arterial stiffening with aging. A cross-sectional examination of 102 seniors (&gt;60 yrs old), who had a consistent lifelong exercise history was performed. Subjects were stratified into 4 groups based on exercise frequency as an index of exercise 'dose': sedentary: &lt; 2 sessions/wk; casual exercisers: 2-3 sessions/wk; committed exercisers: 4-5 sessions/wk; Masters athletes: 6-7 sessions/wk plus regular competitions. Detailed measures of arterial stiffness and left ventricular afterload were collected. Biological aortic age and central PWV were younger in committed exercisers and Masters athletes compared to sedentary seniors. TACi (total arterial compliance) was lower, while Carotid β-stiffness index and Eai (effective arterial elastance) were higher in sedentary seniors compared to the other groups. There appeared to be a dose-response threshold for carotid β-stiffness index and TACi. Peripheral arterial stiffness was not significantly different among the groups. These data suggest that 4-5 weekly exercise sessions over a lifetime is associated with reduced central arterial stiffness in the elderly. A less frequent dose of lifelong exercise (2-3 sessions/wk) is associated with decreased ventricular afterload and peripheral resistance, while peripheral arterial stiffness is unaffected by any dose of exercise. This article is protected by copyright. All rights reserved.","author":[{"dropping-particle":"","family":"Shibata","given":"Shigeki","non-dropping-particle":"","parse-names":false,"suffix":""},{"dropping-particle":"","family":"Fujimoto","given":"Naoki","non-dropping-particle":"","parse-names":false,"suffix":""},{"dropping-particle":"","family":"Hastings","given":"Jeffrey L.","non-dropping-particle":"","parse-names":false,"suffix":""},{"dropping-particle":"","family":"Carrick-Ranson","given":"Graeme","non-dropping-particle":"","parse-names":false,"suffix":""},{"dropping-particle":"","family":"Bhella","given":"Paul S.","non-dropping-particle":"","parse-names":false,"suffix":""},{"dropping-particle":"","family":"Hearon","given":"Christopher","non-dropping-particle":"","parse-names":false,"suffix":""},{"dropping-particle":"","family":"Levine","given":"Benjamin D.","non-dropping-particle":"","parse-names":false,"suffix":""}],"container-title":"Journal of Physiology","id":"ITEM-1","issued":{"date-parts":[["2018"]]},"page":"1-13","title":"The effect of lifelong exercise frequency on arterial stiffness","type":"article-journal","volume":"0"},"uris":["http://www.mendeley.com/documents/?uuid=51fbce9a-6566-41d3-a82c-e5c3827f2901"]}],"mendeley":{"formattedCitation":"(25)","plainTextFormattedCitation":"(25)","previouslyFormattedCitation":"(25)"},"properties":{"noteIndex":0},"schema":"https://github.com/citation-style-language/schema/raw/master/csl-citation.json"}</w:instrText>
      </w:r>
      <w:r w:rsidRPr="00CC670F">
        <w:rPr>
          <w:color w:val="000000" w:themeColor="text1"/>
        </w:rPr>
        <w:fldChar w:fldCharType="separate"/>
      </w:r>
      <w:r w:rsidR="00B515F5" w:rsidRPr="00B515F5">
        <w:rPr>
          <w:noProof/>
          <w:color w:val="000000" w:themeColor="text1"/>
        </w:rPr>
        <w:t>(25)</w:t>
      </w:r>
      <w:r w:rsidRPr="00CC670F">
        <w:rPr>
          <w:color w:val="000000" w:themeColor="text1"/>
        </w:rPr>
        <w:fldChar w:fldCharType="end"/>
      </w:r>
      <w:r w:rsidRPr="00CC670F">
        <w:rPr>
          <w:color w:val="000000" w:themeColor="text1"/>
        </w:rPr>
        <w:t xml:space="preserve"> </w:t>
      </w:r>
      <w:r w:rsidR="006B20B2">
        <w:rPr>
          <w:color w:val="000000" w:themeColor="text1"/>
        </w:rPr>
        <w:t>However i</w:t>
      </w:r>
      <w:r w:rsidR="006B20B2" w:rsidRPr="00CC670F">
        <w:rPr>
          <w:color w:val="000000" w:themeColor="text1"/>
        </w:rPr>
        <w:t>t is important to know both the effect of exercise on aortic rather than peripheral arterial stiffening given its greater prognostic importance, and the mechanism of changes in stiffness.</w:t>
      </w:r>
      <w:r w:rsidR="006B20B2" w:rsidRPr="00CC670F">
        <w:rPr>
          <w:color w:val="000000" w:themeColor="text1"/>
        </w:rPr>
        <w:fldChar w:fldCharType="begin" w:fldLock="1"/>
      </w:r>
      <w:r w:rsidR="00174470">
        <w:rPr>
          <w:color w:val="000000" w:themeColor="text1"/>
        </w:rPr>
        <w:instrText>ADDIN CSL_CITATION {"citationItems":[{"id":"ITEM-1","itemData":{"DOI":"10.1016/j.jacc.2013.09.063","ISBN":"1558-3597 (Electronic)\\r0735-1097 (Linking)","ISSN":"07351097","PMID":"24239664","abstract":"Objectives The goal of this study was to determine whether aortic pulse wave velocity (aPWV) improves prediction of cardiovascular disease (CVD) events beyond conventional risk factors. Background Several studies have shown that aPWV may be a useful risk factor for predicting CVD, but they have been underpowered to examine whether this is true for different subgroups. Methods We undertook a systematic review and obtained individual participant data from 16 studies. Study-specific associations of aPWV with CVD outcomes were determined using Cox proportional hazard models and random effect models to estimate pooled effects. Results Of 17,635 participants, a total of 1,785 (10%) had a CVD event. The pooled age- and sex-adjusted hazard ratios (HRs) per 1-SD change in loge aPWV were 1.35 (95% confidence interval [CI]: 1.22 to 1.50; p &lt; 0.001) for coronary heart disease, 1.54 (95% CI: 1.34 to 1.78; p &lt; 0.001) for stroke, and 1.45 (95% CI: 1.30 to 1.61; p &lt; 0.001) for CVD. Associations stratified according to sex, diabetes, and hypertension were similar but decreased with age (1.89, 1.77, 1.36, and 1.23 for age ≤50, 51 to 60, 61 to 70, and &gt;70 years, respectively; pinteraction &lt;0.001). After adjusting for conventional risk factors, aPWV remained a predictor of coronary heart disease (HR: 1.23 [95% CI: 1.11 to 1.35]; p &lt; 0.001), stroke (HR: 1.28 [95% CI: 1.16 to 1.42]; p &lt; 0.001), and CVD events (HR: 1.30 [95% CI: 1.18 to 1.43]; p &lt; 0.001). Reclassification indices showed that the addition of aPWV improved risk prediction (13% for 10-year CVD risk for intermediate risk) for some subgroups. Conclusions Consideration of aPWV improves model fit and reclassifies risk for future CVD events in models that include standard risk factors. aPWV may enable better identification of high-risk populations that might benefit from more aggressive CVD risk factor management.","author":[{"dropping-particle":"","family":"Ben-Shlomo","given":"Yoav","non-dropping-particle":"","parse-names":false,"suffix":""},{"dropping-particle":"","family":"Spears","given":"Melissa","non-dropping-particle":"","parse-names":false,"suffix":""},{"dropping-particle":"","family":"Boustred","given":"Chris","non-dropping-particle":"","parse-names":false,"suffix":""},{"dropping-particle":"","family":"May","given":"Margaret","non-dropping-particle":"","parse-names":false,"suffix":""},{"dropping-particle":"","family":"Anderson","given":"Simon G.","non-dropping-particle":"","parse-names":false,"suffix":""},{"dropping-particle":"","family":"Benjamin","given":"Emelia J.","non-dropping-particle":"","parse-names":false,"suffix":""},{"dropping-particle":"","family":"Boutouyrie","given":"Pierre","non-dropping-particle":"","parse-names":false,"suffix":""},{"dropping-particle":"","family":"Cameron","given":"James","non-dropping-particle":"","parse-names":false,"suffix":""},{"dropping-particle":"","family":"Chen","given":"Chen-Huan","non-dropping-particle":"","parse-names":false,"suffix":""},{"dropping-particle":"","family":"Cruickshank","given":"J. Kennedy","non-dropping-particle":"","parse-names":false,"suffix":""},{"dropping-particle":"","family":"Hwang","given":"Shih-Jen","non-dropping-particle":"","parse-names":false,"suffix":""},{"dropping-particle":"","family":"Lakatta","given":"Edward G.","non-dropping-particle":"","parse-names":false,"suffix":""},{"dropping-particle":"","family":"Laurent","given":"Stephane","non-dropping-particle":"","parse-names":false,"suffix":""},{"dropping-particle":"","family":"Maldonado","given":"João","non-dropping-particle":"","parse-names":false,"suffix":""},{"dropping-particle":"","family":"Mitchell","given":"Gary F.","non-dropping-particle":"","parse-names":false,"suffix":""},{"dropping-particle":"","family":"Najjar","given":"Samer S.","non-dropping-particle":"","parse-names":false,"suffix":""},{"dropping-particle":"","family":"Newman","given":"Anne B.","non-dropping-particle":"","parse-names":false,"suffix":""},{"dropping-particle":"","family":"Ohishi","given":"Mitsuru","non-dropping-particle":"","parse-names":false,"suffix":""},{"dropping-particle":"","family":"Pannier","given":"Bruno","non-dropping-particle":"","parse-names":false,"suffix":""},{"dropping-particle":"","family":"Pereira","given":"Telmo","non-dropping-particle":"","parse-names":false,"suffix":""},{"dropping-particle":"","family":"Vasan","given":"Ramachandran S.","non-dropping-particle":"","parse-names":false,"suffix":""},{"dropping-particle":"","family":"Shokawa","given":"Tomoki","non-dropping-particle":"","parse-names":false,"suffix":""},{"dropping-particle":"","family":"Sutton-Tyrell","given":"Kim","non-dropping-particle":"","parse-names":false,"suffix":""},{"dropping-particle":"","family":"Verbeke","given":"Francis","non-dropping-particle":"","parse-names":false,"suffix":""},{"dropping-particle":"","family":"Wang","given":"Kang-Ling","non-dropping-particle":"","parse-names":false,"suffix":""},{"dropping-particle":"","family":"Webb","given":"David J.","non-dropping-particle":"","parse-names":false,"suffix":""},{"dropping-particle":"","family":"Willum Hansen","given":"Tine","non-dropping-particle":"","parse-names":false,"suffix":""},{"dropping-particle":"","family":"Zoungas","given":"Sophia","non-dropping-particle":"","parse-names":false,"suffix":""},{"dropping-particle":"","family":"McEniery","given":"Carmel M.","non-dropping-particle":"","parse-names":false,"suffix":""},{"dropping-particle":"","family":"Cockcroft","given":"John R.","non-dropping-particle":"","parse-names":false,"suffix":""},{"dropping-particle":"","family":"Wilkinson","given":"Ian B.","non-dropping-particle":"","parse-names":false,"suffix":""}],"container-title":"Journal of the American College of Cardiology","id":"ITEM-1","issue":"7","issued":{"date-parts":[["2014","2"]]},"page":"636-646","title":"Aortic Pulse Wave Velocity Improves Cardiovascular Event Prediction","type":"article-journal","volume":"63"},"uris":["http://www.mendeley.com/documents/?uuid=dbfb940c-e170-4166-8e3e-53262379c1f7"]}],"mendeley":{"formattedCitation":"(6)","plainTextFormattedCitation":"(6)","previouslyFormattedCitation":"(6)"},"properties":{"noteIndex":0},"schema":"https://github.com/citation-style-language/schema/raw/master/csl-citation.json"}</w:instrText>
      </w:r>
      <w:r w:rsidR="006B20B2" w:rsidRPr="00CC670F">
        <w:rPr>
          <w:color w:val="000000" w:themeColor="text1"/>
        </w:rPr>
        <w:fldChar w:fldCharType="separate"/>
      </w:r>
      <w:r w:rsidR="00D93162" w:rsidRPr="00D93162">
        <w:rPr>
          <w:noProof/>
          <w:color w:val="000000" w:themeColor="text1"/>
        </w:rPr>
        <w:t>(6)</w:t>
      </w:r>
      <w:r w:rsidR="006B20B2" w:rsidRPr="00CC670F">
        <w:rPr>
          <w:color w:val="000000" w:themeColor="text1"/>
        </w:rPr>
        <w:fldChar w:fldCharType="end"/>
      </w:r>
      <w:r w:rsidR="006B20B2" w:rsidRPr="00CC670F">
        <w:rPr>
          <w:color w:val="000000" w:themeColor="text1"/>
        </w:rPr>
        <w:t xml:space="preserve"> </w:t>
      </w:r>
      <w:r w:rsidR="00F867C5">
        <w:rPr>
          <w:color w:val="000000" w:themeColor="text1"/>
        </w:rPr>
        <w:t>C</w:t>
      </w:r>
      <w:r w:rsidRPr="00CC670F">
        <w:rPr>
          <w:color w:val="000000" w:themeColor="text1"/>
        </w:rPr>
        <w:t xml:space="preserve">ross-sectional findings may be attributable to genetic or confounding influences, and vascular capacitance itself may determine exercise capacity. </w:t>
      </w:r>
      <w:r w:rsidR="00450A9C" w:rsidRPr="00CC670F">
        <w:rPr>
          <w:color w:val="000000" w:themeColor="text1"/>
        </w:rPr>
        <w:t xml:space="preserve">Several studies </w:t>
      </w:r>
      <w:r w:rsidR="005057CE" w:rsidRPr="00CC670F">
        <w:rPr>
          <w:color w:val="000000" w:themeColor="text1"/>
        </w:rPr>
        <w:t xml:space="preserve">have </w:t>
      </w:r>
      <w:r w:rsidR="00957078" w:rsidRPr="00CC670F">
        <w:rPr>
          <w:color w:val="000000" w:themeColor="text1"/>
        </w:rPr>
        <w:t xml:space="preserve">demonstrated the efficacy of </w:t>
      </w:r>
      <w:r w:rsidR="005057CE" w:rsidRPr="00CC670F">
        <w:rPr>
          <w:color w:val="000000" w:themeColor="text1"/>
        </w:rPr>
        <w:t>supervised training program</w:t>
      </w:r>
      <w:r w:rsidR="00704A5B" w:rsidRPr="00CC670F">
        <w:rPr>
          <w:color w:val="000000" w:themeColor="text1"/>
        </w:rPr>
        <w:t>me</w:t>
      </w:r>
      <w:r w:rsidR="005057CE" w:rsidRPr="00CC670F">
        <w:rPr>
          <w:color w:val="000000" w:themeColor="text1"/>
        </w:rPr>
        <w:t xml:space="preserve">s </w:t>
      </w:r>
      <w:r w:rsidR="00957078" w:rsidRPr="00CC670F">
        <w:rPr>
          <w:color w:val="000000" w:themeColor="text1"/>
        </w:rPr>
        <w:t>that prescribe the</w:t>
      </w:r>
      <w:r w:rsidR="005057CE" w:rsidRPr="00CC670F">
        <w:rPr>
          <w:color w:val="000000" w:themeColor="text1"/>
        </w:rPr>
        <w:t xml:space="preserve"> type, dose and frequency</w:t>
      </w:r>
      <w:r w:rsidR="00957078" w:rsidRPr="00CC670F">
        <w:rPr>
          <w:color w:val="000000" w:themeColor="text1"/>
        </w:rPr>
        <w:t xml:space="preserve"> of exercise</w:t>
      </w:r>
      <w:r w:rsidR="005057CE" w:rsidRPr="00CC670F">
        <w:rPr>
          <w:color w:val="000000" w:themeColor="text1"/>
        </w:rPr>
        <w:t>.</w:t>
      </w:r>
      <w:r w:rsidR="003C1286" w:rsidRPr="00CC670F">
        <w:rPr>
          <w:color w:val="000000" w:themeColor="text1"/>
        </w:rPr>
        <w:fldChar w:fldCharType="begin" w:fldLock="1"/>
      </w:r>
      <w:r w:rsidR="00257AD6">
        <w:rPr>
          <w:color w:val="000000" w:themeColor="text1"/>
        </w:rPr>
        <w:instrText>ADDIN CSL_CITATION {"citationItems":[{"id":"ITEM-1","itemData":{"DOI":"10.1161/CIRCULATIONAHA.117.030617","ISSN":"15244539","abstract":"Background: Poor fitness in middle age is a risk factor for heart failure, particularly heart failure with a preserved ejection fraction. The development of heart failure with a preserved ejection fraction is likely mediated through increased left ventricular (LV) stiffness, a consequence of sedentary aging. In a prospective, parallel group, randomized controlled trial, we examined the effect of 2 years of supervised high</w:instrText>
      </w:r>
      <w:r w:rsidR="00257AD6">
        <w:rPr>
          <w:rFonts w:ascii="Cambria Math" w:hAnsi="Cambria Math" w:cs="Cambria Math"/>
          <w:color w:val="000000" w:themeColor="text1"/>
        </w:rPr>
        <w:instrText>‐</w:instrText>
      </w:r>
      <w:r w:rsidR="00257AD6">
        <w:rPr>
          <w:color w:val="000000" w:themeColor="text1"/>
        </w:rPr>
        <w:instrText>intensity exercise training on LV stiffness. Methods: Sixty</w:instrText>
      </w:r>
      <w:r w:rsidR="00257AD6">
        <w:rPr>
          <w:rFonts w:ascii="Cambria Math" w:hAnsi="Cambria Math" w:cs="Cambria Math"/>
          <w:color w:val="000000" w:themeColor="text1"/>
        </w:rPr>
        <w:instrText>‐</w:instrText>
      </w:r>
      <w:r w:rsidR="00257AD6">
        <w:rPr>
          <w:color w:val="000000" w:themeColor="text1"/>
        </w:rPr>
        <w:instrText>one (48% male) healthy, sedentary, middle</w:instrText>
      </w:r>
      <w:r w:rsidR="00257AD6">
        <w:rPr>
          <w:rFonts w:ascii="Cambria Math" w:hAnsi="Cambria Math" w:cs="Cambria Math"/>
          <w:color w:val="000000" w:themeColor="text1"/>
        </w:rPr>
        <w:instrText>‐</w:instrText>
      </w:r>
      <w:r w:rsidR="00257AD6">
        <w:rPr>
          <w:color w:val="000000" w:themeColor="text1"/>
        </w:rPr>
        <w:instrText>aged participants (53±5 years) were randomly assigned to either 2 years of exercise training (n=34) or attention control (control; n=27). Right heart catheterization and 3</w:instrText>
      </w:r>
      <w:r w:rsidR="00257AD6">
        <w:rPr>
          <w:rFonts w:ascii="Cambria Math" w:hAnsi="Cambria Math" w:cs="Cambria Math"/>
          <w:color w:val="000000" w:themeColor="text1"/>
        </w:rPr>
        <w:instrText>‐</w:instrText>
      </w:r>
      <w:r w:rsidR="00257AD6">
        <w:rPr>
          <w:color w:val="000000" w:themeColor="text1"/>
        </w:rPr>
        <w:instrText>dimensional echocardiography were performed with preload manipulations to define LV end</w:instrText>
      </w:r>
      <w:r w:rsidR="00257AD6">
        <w:rPr>
          <w:rFonts w:ascii="Cambria Math" w:hAnsi="Cambria Math" w:cs="Cambria Math"/>
          <w:color w:val="000000" w:themeColor="text1"/>
        </w:rPr>
        <w:instrText>‐</w:instrText>
      </w:r>
      <w:r w:rsidR="00257AD6">
        <w:rPr>
          <w:color w:val="000000" w:themeColor="text1"/>
        </w:rPr>
        <w:instrText>diastolic pressure</w:instrText>
      </w:r>
      <w:r w:rsidR="00257AD6">
        <w:rPr>
          <w:rFonts w:ascii="Cambria Math" w:hAnsi="Cambria Math" w:cs="Cambria Math"/>
          <w:color w:val="000000" w:themeColor="text1"/>
        </w:rPr>
        <w:instrText>‐</w:instrText>
      </w:r>
      <w:r w:rsidR="00257AD6">
        <w:rPr>
          <w:color w:val="000000" w:themeColor="text1"/>
        </w:rPr>
        <w:instrText>volume relationships and Frank</w:instrText>
      </w:r>
      <w:r w:rsidR="00257AD6">
        <w:rPr>
          <w:rFonts w:ascii="Cambria Math" w:hAnsi="Cambria Math" w:cs="Cambria Math"/>
          <w:color w:val="000000" w:themeColor="text1"/>
        </w:rPr>
        <w:instrText>‐</w:instrText>
      </w:r>
      <w:r w:rsidR="00257AD6">
        <w:rPr>
          <w:color w:val="000000" w:themeColor="text1"/>
        </w:rPr>
        <w:instrText>Starling curves. LV stiffness was calculated by curve fit of the diastolic pressure</w:instrText>
      </w:r>
      <w:r w:rsidR="00257AD6">
        <w:rPr>
          <w:rFonts w:ascii="Cambria Math" w:hAnsi="Cambria Math" w:cs="Cambria Math"/>
          <w:color w:val="000000" w:themeColor="text1"/>
        </w:rPr>
        <w:instrText>‐</w:instrText>
      </w:r>
      <w:r w:rsidR="00257AD6">
        <w:rPr>
          <w:color w:val="000000" w:themeColor="text1"/>
        </w:rPr>
        <w:instrText>volume curve. Maximal oxygen uptake (Vo2max) was measured to quantify changes in fitness. Results: Fifty</w:instrText>
      </w:r>
      <w:r w:rsidR="00257AD6">
        <w:rPr>
          <w:rFonts w:ascii="Cambria Math" w:hAnsi="Cambria Math" w:cs="Cambria Math"/>
          <w:color w:val="000000" w:themeColor="text1"/>
        </w:rPr>
        <w:instrText>‐</w:instrText>
      </w:r>
      <w:r w:rsidR="00257AD6">
        <w:rPr>
          <w:color w:val="000000" w:themeColor="text1"/>
        </w:rPr>
        <w:instrText>three participants completed the study. Adherence to prescribed exercise sessions was 88±11%. Vo2max increased by 18% (exercise training: pre 29.0±4.8 to post 34.4±6.4; control: pre 29.5±5.3 to post 28.7±5.4, group×time P&lt;0.001) and LV stiffness was reduced (right/downward shift in the end</w:instrText>
      </w:r>
      <w:r w:rsidR="00257AD6">
        <w:rPr>
          <w:rFonts w:ascii="Cambria Math" w:hAnsi="Cambria Math" w:cs="Cambria Math"/>
          <w:color w:val="000000" w:themeColor="text1"/>
        </w:rPr>
        <w:instrText>‐</w:instrText>
      </w:r>
      <w:r w:rsidR="00257AD6">
        <w:rPr>
          <w:color w:val="000000" w:themeColor="text1"/>
        </w:rPr>
        <w:instrText>diastolic pressure</w:instrText>
      </w:r>
      <w:r w:rsidR="00257AD6">
        <w:rPr>
          <w:rFonts w:ascii="Cambria Math" w:hAnsi="Cambria Math" w:cs="Cambria Math"/>
          <w:color w:val="000000" w:themeColor="text1"/>
        </w:rPr>
        <w:instrText>‐</w:instrText>
      </w:r>
      <w:r w:rsidR="00257AD6">
        <w:rPr>
          <w:color w:val="000000" w:themeColor="text1"/>
        </w:rPr>
        <w:instrText>volume relationships; preexercise training stiffness constant 0.072±0.037 to postexercise training 0.051±0.0268, P=0.0018), whereas there was no change in controls (group×time P&lt;0.001; pre stiffness constant 0.0635±0.026 to post 0.062±0.031, P=0.83). Exercise increased LV end</w:instrText>
      </w:r>
      <w:r w:rsidR="00257AD6">
        <w:rPr>
          <w:rFonts w:ascii="Cambria Math" w:hAnsi="Cambria Math" w:cs="Cambria Math"/>
          <w:color w:val="000000" w:themeColor="text1"/>
        </w:rPr>
        <w:instrText>‐</w:instrText>
      </w:r>
      <w:r w:rsidR="00257AD6">
        <w:rPr>
          <w:color w:val="000000" w:themeColor="text1"/>
        </w:rPr>
        <w:instrText>diastolic volume (group×time P&lt;0.001), whereas pulmonary capillary wedge pressure was unchanged, providing greater stroke volume for any given filling pressure (loading×group×time P=0.007). Conclusions: In previously sedentary healthy middle</w:instrText>
      </w:r>
      <w:r w:rsidR="00257AD6">
        <w:rPr>
          <w:rFonts w:ascii="Cambria Math" w:hAnsi="Cambria Math" w:cs="Cambria Math"/>
          <w:color w:val="000000" w:themeColor="text1"/>
        </w:rPr>
        <w:instrText>‐</w:instrText>
      </w:r>
      <w:r w:rsidR="00257AD6">
        <w:rPr>
          <w:color w:val="000000" w:themeColor="text1"/>
        </w:rPr>
        <w:instrText>aged adults, 2 years of exercise training improved maximal oxygen uptake and decreased cardiac stiffness. Regular exercise training may provide protection against the future risk of heart failure with a preserved ejection fraction by preventing the increase in cardiac stiffness attributable to sedentary aging. Clinical Trial Registration: URL: https://www.clinicaltrials.gov. Unique identifier: NCT02039154.","author":[{"dropping-particle":"","family":"Howden","given":"Erin J.","non-dropping-particle":"","parse-names":false,"suffix":""},{"dropping-particle":"","family":"Sarma","given":"Satyam","non-dropping-particle":"","parse-names":false,"suffix":""},{"dropping-particle":"","family":"Lawley","given":"Justin S.","non-dropping-particle":"","parse-names":false,"suffix":""},{"dropping-particle":"","family":"Opondo","given":"Mildred","non-dropping-particle":"","parse-names":false,"suffix":""},{"dropping-particle":"","family":"Cornwell","given":"William","non-dropping-particle":"","parse-names":false,"suffix":""},{"dropping-particle":"","family":"Stoller","given":"Douglas","non-dropping-particle":"","parse-names":false,"suffix":""},{"dropping-particle":"","family":"Urey","given":"Marcus A.","non-dropping-particle":"","parse-names":false,"suffix":""},{"dropping-particle":"","family":"Adams-Huet","given":"Beverley","non-dropping-particle":"","parse-names":false,"suffix":""},{"dropping-particle":"","family":"Levine","given":"Benjamin D.","non-dropping-particle":"","parse-names":false,"suffix":""}],"container-title":"Circulation","id":"ITEM-1","issue":"15","issued":{"date-parts":[["2018"]]},"page":"1549-1560","title":"Reversing the Cardiac Effects of Sedentary Aging in Middle Age-A Randomized Controlled Trial: Implications for Heart Failure Prevention","type":"article-journal","volume":"137"},"uris":["http://www.mendeley.com/documents/?uuid=b82c158b-3734-4fed-bb5a-e0a25c7a1583"]},{"id":"ITEM-2","itemData":{"DOI":"10.1038/mp.2011.182.doi","abstract":"Background—Healthy but sedentary aging leads to ca; whereas life-long endurance training preserves lef; it is unknown whether exercise training started la; secondary functional outcomes included Doppler ech; magnetic resonance imaging assessment of cardiac m; arterial stiffness (total aortic compliance and ar; and maximal exercise testing. Nine of 12 sedentary; 6 male; 3 female) completed 1 year of endurance training f; during decreased cardiac filling with lower-body n; and increased filling with saline infusion. LV com; V̇O2max; LV mass; LV end-diastolic volume; and stroke volume were significantly smaller and t; it reduced arterial elastance and improved V̇O2 ma; P&lt;0.001). LV mass increased (10%; 64.5±7.9 versus 71.2±12.3 g/m2; P=0.037) with no change in the mass-volume ratio. ; it nonetheless induced physiological LV remodeling","author":[{"dropping-particle":"","family":"Fujimoto","given":"Naoki","non-dropping-particle":"","parse-names":false,"suffix":""},{"dropping-particle":"","family":"Prasad","given":"Anand","non-dropping-particle":"","parse-names":false,"suffix":""},{"dropping-particle":"","family":"Hastings","given":"JL","non-dropping-particle":"","parse-names":false,"suffix":""},{"dropping-particle":"","family":"Arbab-Zadeh","given":"A","non-dropping-particle":"","parse-names":false,"suffix":""},{"dropping-particle":"","family":"Bhella","given":"PS","non-dropping-particle":"","parse-names":false,"suffix":""},{"dropping-particle":"","family":"S","given":"Shibata","non-dropping-particle":"","parse-names":false,"suffix":""},{"dropping-particle":"","family":"Palmer","given":"D","non-dropping-particle":"","parse-names":false,"suffix":""},{"dropping-particle":"","family":"Levine","given":"B","non-dropping-particle":"","parse-names":false,"suffix":""}],"container-title":"Circulation","id":"ITEM-2","issue":"18","issued":{"date-parts":[["2010"]]},"page":"1797-1805","title":"Cardiovascular Effects of 1 Year of Progressive and Vigorous Exercise Training in Previously Sedentary Individuals Older Than 65 Years of Age","type":"article-journal","volume":"122"},"uris":["http://www.mendeley.com/documents/?uuid=6afc8a85-0350-4372-95a3-0501bc909dce"]}],"mendeley":{"formattedCitation":"(12,26)","plainTextFormattedCitation":"(12,26)","previouslyFormattedCitation":"(12,26)"},"properties":{"noteIndex":0},"schema":"https://github.com/citation-style-language/schema/raw/master/csl-citation.json"}</w:instrText>
      </w:r>
      <w:r w:rsidR="003C1286" w:rsidRPr="00CC670F">
        <w:rPr>
          <w:color w:val="000000" w:themeColor="text1"/>
        </w:rPr>
        <w:fldChar w:fldCharType="separate"/>
      </w:r>
      <w:r w:rsidR="00B515F5" w:rsidRPr="00B515F5">
        <w:rPr>
          <w:noProof/>
          <w:color w:val="000000" w:themeColor="text1"/>
        </w:rPr>
        <w:t>(12,26)</w:t>
      </w:r>
      <w:r w:rsidR="003C1286" w:rsidRPr="00CC670F">
        <w:rPr>
          <w:color w:val="000000" w:themeColor="text1"/>
        </w:rPr>
        <w:fldChar w:fldCharType="end"/>
      </w:r>
      <w:r w:rsidR="00387564">
        <w:rPr>
          <w:color w:val="000000" w:themeColor="text1"/>
        </w:rPr>
        <w:t xml:space="preserve"> </w:t>
      </w:r>
      <w:r w:rsidR="00827F83">
        <w:rPr>
          <w:lang w:val="en-GB"/>
        </w:rPr>
        <w:t xml:space="preserve">Examining the consequences of </w:t>
      </w:r>
      <w:r w:rsidR="00387564" w:rsidRPr="00AF6438">
        <w:rPr>
          <w:lang w:val="en-GB"/>
        </w:rPr>
        <w:t xml:space="preserve">first-time marathon </w:t>
      </w:r>
      <w:r w:rsidR="00FA7302">
        <w:rPr>
          <w:lang w:val="en-GB"/>
        </w:rPr>
        <w:t xml:space="preserve">training </w:t>
      </w:r>
      <w:r w:rsidR="00387564" w:rsidRPr="00AF6438">
        <w:rPr>
          <w:lang w:val="en-GB"/>
        </w:rPr>
        <w:t>helps to understand the benefits from real-world exercise behavior that people enjoy and may continue</w:t>
      </w:r>
      <w:r w:rsidR="00893BEC">
        <w:rPr>
          <w:lang w:val="en-GB"/>
        </w:rPr>
        <w:t xml:space="preserve"> if motivated and free </w:t>
      </w:r>
      <w:r w:rsidR="004C5CB9">
        <w:rPr>
          <w:lang w:val="en-GB"/>
        </w:rPr>
        <w:t>from</w:t>
      </w:r>
      <w:r w:rsidR="00893BEC">
        <w:rPr>
          <w:lang w:val="en-GB"/>
        </w:rPr>
        <w:t xml:space="preserve"> injury</w:t>
      </w:r>
      <w:r w:rsidR="00387564" w:rsidRPr="00AF6438">
        <w:rPr>
          <w:lang w:val="en-GB"/>
        </w:rPr>
        <w:t>.</w:t>
      </w:r>
      <w:r w:rsidR="00C5587B" w:rsidRPr="00CC670F">
        <w:rPr>
          <w:color w:val="000000" w:themeColor="text1"/>
        </w:rPr>
        <w:t xml:space="preserve"> </w:t>
      </w:r>
      <w:r w:rsidR="003C1286" w:rsidRPr="00CC670F">
        <w:rPr>
          <w:color w:val="000000" w:themeColor="text1"/>
        </w:rPr>
        <w:t>A</w:t>
      </w:r>
      <w:r w:rsidR="00124070" w:rsidRPr="00CC670F">
        <w:rPr>
          <w:color w:val="000000" w:themeColor="text1"/>
        </w:rPr>
        <w:t xml:space="preserve"> goal-orientated exercise </w:t>
      </w:r>
      <w:r w:rsidR="002B3C0A" w:rsidRPr="00CC670F">
        <w:rPr>
          <w:color w:val="000000" w:themeColor="text1"/>
        </w:rPr>
        <w:t>training recommendation (“</w:t>
      </w:r>
      <w:r w:rsidR="002B3C0A" w:rsidRPr="00CC670F">
        <w:rPr>
          <w:i/>
          <w:color w:val="000000" w:themeColor="text1"/>
        </w:rPr>
        <w:t>sign-up for a marathon</w:t>
      </w:r>
      <w:r w:rsidR="002B3C0A" w:rsidRPr="00CC670F">
        <w:rPr>
          <w:color w:val="000000" w:themeColor="text1"/>
        </w:rPr>
        <w:t>” or “</w:t>
      </w:r>
      <w:r w:rsidR="002B3C0A" w:rsidRPr="00CC670F">
        <w:rPr>
          <w:i/>
          <w:color w:val="000000" w:themeColor="text1"/>
        </w:rPr>
        <w:t>run a fun-run</w:t>
      </w:r>
      <w:r w:rsidR="002B3C0A" w:rsidRPr="00CC670F">
        <w:rPr>
          <w:color w:val="000000" w:themeColor="text1"/>
        </w:rPr>
        <w:t xml:space="preserve">”) </w:t>
      </w:r>
      <w:r w:rsidR="00230F87" w:rsidRPr="00CC670F">
        <w:rPr>
          <w:color w:val="000000" w:themeColor="text1"/>
        </w:rPr>
        <w:t>can be a good motivator to keep active and may increase the likelihood of sustaining benefits. T</w:t>
      </w:r>
      <w:r w:rsidR="00691401" w:rsidRPr="00CC670F">
        <w:rPr>
          <w:color w:val="000000" w:themeColor="text1"/>
        </w:rPr>
        <w:t xml:space="preserve">his study </w:t>
      </w:r>
      <w:r w:rsidR="002B3C0A" w:rsidRPr="00CC670F">
        <w:rPr>
          <w:color w:val="000000" w:themeColor="text1"/>
        </w:rPr>
        <w:t>emphasize</w:t>
      </w:r>
      <w:r w:rsidR="00691401" w:rsidRPr="00CC670F">
        <w:rPr>
          <w:color w:val="000000" w:themeColor="text1"/>
        </w:rPr>
        <w:t>s</w:t>
      </w:r>
      <w:r w:rsidR="002B3C0A" w:rsidRPr="00CC670F">
        <w:rPr>
          <w:color w:val="000000" w:themeColor="text1"/>
        </w:rPr>
        <w:t xml:space="preserve"> the importance of lifestyle to modify the ageing process, particularly as it appears “never too late” to gain the benefit</w:t>
      </w:r>
      <w:r w:rsidR="007141A1" w:rsidRPr="00CC670F">
        <w:rPr>
          <w:color w:val="000000" w:themeColor="text1"/>
        </w:rPr>
        <w:t xml:space="preserve"> as seen</w:t>
      </w:r>
      <w:r w:rsidR="003C1286" w:rsidRPr="00CC670F">
        <w:rPr>
          <w:color w:val="000000" w:themeColor="text1"/>
        </w:rPr>
        <w:t xml:space="preserve"> in older, slower runner</w:t>
      </w:r>
      <w:r w:rsidR="00D81302" w:rsidRPr="00CC670F">
        <w:rPr>
          <w:color w:val="000000" w:themeColor="text1"/>
        </w:rPr>
        <w:t>s</w:t>
      </w:r>
      <w:r w:rsidR="002B3C0A" w:rsidRPr="00CC670F">
        <w:rPr>
          <w:color w:val="000000" w:themeColor="text1"/>
        </w:rPr>
        <w:t>.</w:t>
      </w:r>
      <w:r w:rsidR="00713325" w:rsidRPr="00CC670F">
        <w:rPr>
          <w:color w:val="000000" w:themeColor="text1"/>
        </w:rPr>
        <w:fldChar w:fldCharType="begin" w:fldLock="1"/>
      </w:r>
      <w:r w:rsidR="00257AD6">
        <w:rPr>
          <w:color w:val="000000" w:themeColor="text1"/>
        </w:rPr>
        <w:instrText>ADDIN CSL_CITATION {"citationItems":[{"id":"ITEM-1","itemData":{"DOI":"10.1161/01.CIR.99.7.963","ISBN":"0009-7322 (Print)\\r0009-7322 (Linking)","ISSN":"0009-7322","PMID":"10758068","abstract":"For many years, cardiac physicians were strongly influenced by Thomas Hilton’s “Rest and Pain” and advocated prolonged rest for the majority of their patients. However, the past 3 decades have seen a complete revolution in this thinking, and moderate to vigorous exercise is now prescribed not only for the prevention of ischemic heart disease1 but also as a major component of treatment after myocardial infarction,2 angioplasty and coronary bypass surgery, and heart transplantation3 and in congenital heart disease4 and stable congestive heart failure.5,6 This report defines exercise and physical activity, considering their impact on susceptibility to cardiovascular disease. It also examines the physiological effects of regular exercise, suggesting how exercise-induced changes might improve cardiac performance. It discusses the influence of the type, intensity, frequency, duration, and volume of exercise and their respective contributions to the development of a rational exercise prescription, commenting on problems of sustaining compliance and the potential dangers of excessive exercise. A final section of the article suggests possible avenues for future research.","author":[{"dropping-particle":"","family":"Shephard","given":"Roy J","non-dropping-particle":"","parse-names":false,"suffix":""},{"dropping-particle":"","family":"Balady","given":"Gary J","non-dropping-particle":"","parse-names":false,"suffix":""}],"container-title":"Circulation","id":"ITEM-1","issue":"99","issued":{"date-parts":[["1999"]]},"page":"963-972","title":"Clinical Cardiology : New Frontiers Exercise as Cardiovascular Therapy","type":"article-journal","volume":"0"},"uris":["http://www.mendeley.com/documents/?uuid=65af1aa3-3cb9-4d26-946f-1839a7c2b4a5"]}],"mendeley":{"formattedCitation":"(27)","plainTextFormattedCitation":"(27)","previouslyFormattedCitation":"(27)"},"properties":{"noteIndex":0},"schema":"https://github.com/citation-style-language/schema/raw/master/csl-citation.json"}</w:instrText>
      </w:r>
      <w:r w:rsidR="00713325" w:rsidRPr="00CC670F">
        <w:rPr>
          <w:color w:val="000000" w:themeColor="text1"/>
        </w:rPr>
        <w:fldChar w:fldCharType="separate"/>
      </w:r>
      <w:r w:rsidR="00B515F5" w:rsidRPr="00B515F5">
        <w:rPr>
          <w:noProof/>
          <w:color w:val="000000" w:themeColor="text1"/>
        </w:rPr>
        <w:t>(27)</w:t>
      </w:r>
      <w:r w:rsidR="00713325" w:rsidRPr="00CC670F">
        <w:rPr>
          <w:color w:val="000000" w:themeColor="text1"/>
        </w:rPr>
        <w:fldChar w:fldCharType="end"/>
      </w:r>
      <w:r w:rsidR="008F6258" w:rsidRPr="00CC670F">
        <w:rPr>
          <w:color w:val="000000" w:themeColor="text1"/>
        </w:rPr>
        <w:t xml:space="preserve"> </w:t>
      </w:r>
    </w:p>
    <w:p w14:paraId="57AB7797" w14:textId="58CE02D3" w:rsidR="00400349" w:rsidRPr="00CC670F" w:rsidRDefault="00105C12" w:rsidP="007A7155">
      <w:pPr>
        <w:spacing w:before="0" w:after="0"/>
        <w:ind w:firstLine="720"/>
        <w:rPr>
          <w:color w:val="000000" w:themeColor="text1"/>
        </w:rPr>
      </w:pPr>
      <w:r w:rsidRPr="00CC670F">
        <w:rPr>
          <w:color w:val="000000" w:themeColor="text1"/>
        </w:rPr>
        <w:t>In this context, this study contributes a number of findings in</w:t>
      </w:r>
      <w:r w:rsidR="00E10D1C">
        <w:rPr>
          <w:color w:val="000000" w:themeColor="text1"/>
        </w:rPr>
        <w:t xml:space="preserve"> a large</w:t>
      </w:r>
      <w:r w:rsidRPr="00CC670F">
        <w:rPr>
          <w:color w:val="000000" w:themeColor="text1"/>
        </w:rPr>
        <w:t xml:space="preserve"> real-world </w:t>
      </w:r>
      <w:r w:rsidR="008B10D3">
        <w:rPr>
          <w:color w:val="000000" w:themeColor="text1"/>
        </w:rPr>
        <w:t xml:space="preserve">cohort </w:t>
      </w:r>
      <w:r w:rsidR="00E10D1C">
        <w:rPr>
          <w:color w:val="000000" w:themeColor="text1"/>
        </w:rPr>
        <w:t>comprising both sex</w:t>
      </w:r>
      <w:r w:rsidR="009A0D8A">
        <w:rPr>
          <w:color w:val="000000" w:themeColor="text1"/>
        </w:rPr>
        <w:t>es</w:t>
      </w:r>
      <w:r w:rsidRPr="00CC670F">
        <w:rPr>
          <w:color w:val="000000" w:themeColor="text1"/>
        </w:rPr>
        <w:t xml:space="preserve">. </w:t>
      </w:r>
      <w:r w:rsidR="00B66F59" w:rsidRPr="00CC670F">
        <w:rPr>
          <w:color w:val="000000" w:themeColor="text1"/>
        </w:rPr>
        <w:t xml:space="preserve">The </w:t>
      </w:r>
      <w:r w:rsidR="008F705D" w:rsidRPr="00CC670F">
        <w:rPr>
          <w:color w:val="000000" w:themeColor="text1"/>
        </w:rPr>
        <w:t xml:space="preserve">relative </w:t>
      </w:r>
      <w:r w:rsidR="00573B82" w:rsidRPr="00CC670F">
        <w:rPr>
          <w:color w:val="000000" w:themeColor="text1"/>
        </w:rPr>
        <w:t xml:space="preserve">reduction </w:t>
      </w:r>
      <w:r w:rsidR="00B66F59" w:rsidRPr="00CC670F">
        <w:rPr>
          <w:color w:val="000000" w:themeColor="text1"/>
        </w:rPr>
        <w:t xml:space="preserve">in </w:t>
      </w:r>
      <w:r w:rsidR="00E57CCB" w:rsidRPr="00CC670F">
        <w:rPr>
          <w:color w:val="000000" w:themeColor="text1"/>
        </w:rPr>
        <w:t>S</w:t>
      </w:r>
      <w:r w:rsidR="00B66F59" w:rsidRPr="00CC670F">
        <w:rPr>
          <w:color w:val="000000" w:themeColor="text1"/>
        </w:rPr>
        <w:t>BP</w:t>
      </w:r>
      <w:r w:rsidR="00E57CCB" w:rsidRPr="00CC670F">
        <w:rPr>
          <w:color w:val="000000" w:themeColor="text1"/>
        </w:rPr>
        <w:t xml:space="preserve"> observed </w:t>
      </w:r>
      <w:r w:rsidR="008F6258" w:rsidRPr="00CC670F">
        <w:rPr>
          <w:color w:val="000000" w:themeColor="text1"/>
        </w:rPr>
        <w:t>is</w:t>
      </w:r>
      <w:r w:rsidR="00E57CCB" w:rsidRPr="00CC670F">
        <w:rPr>
          <w:color w:val="000000" w:themeColor="text1"/>
        </w:rPr>
        <w:t xml:space="preserve"> comparable to antihypertensive medication</w:t>
      </w:r>
      <w:r w:rsidR="001B67C0" w:rsidRPr="00CC670F">
        <w:rPr>
          <w:color w:val="000000" w:themeColor="text1"/>
        </w:rPr>
        <w:t>,</w:t>
      </w:r>
      <w:r w:rsidR="00E57CCB" w:rsidRPr="00CC670F">
        <w:rPr>
          <w:color w:val="000000" w:themeColor="text1"/>
        </w:rPr>
        <w:t xml:space="preserve"> given the </w:t>
      </w:r>
      <w:r w:rsidR="00795321" w:rsidRPr="00CC670F">
        <w:rPr>
          <w:color w:val="000000" w:themeColor="text1"/>
        </w:rPr>
        <w:t xml:space="preserve">participants </w:t>
      </w:r>
      <w:r w:rsidR="00E57CCB" w:rsidRPr="00CC670F">
        <w:rPr>
          <w:color w:val="000000" w:themeColor="text1"/>
        </w:rPr>
        <w:t xml:space="preserve">in this study </w:t>
      </w:r>
      <w:r w:rsidR="00795321" w:rsidRPr="00CC670F">
        <w:rPr>
          <w:color w:val="000000" w:themeColor="text1"/>
        </w:rPr>
        <w:t xml:space="preserve">were </w:t>
      </w:r>
      <w:r w:rsidR="00E57CCB" w:rsidRPr="00CC670F">
        <w:rPr>
          <w:color w:val="000000" w:themeColor="text1"/>
        </w:rPr>
        <w:t>normotensive and a greater improvement was observed in those with higher SBP.</w:t>
      </w:r>
      <w:r w:rsidR="00E57CCB" w:rsidRPr="00A2437E">
        <w:rPr>
          <w:color w:val="000000" w:themeColor="text1"/>
        </w:rPr>
        <w:fldChar w:fldCharType="begin" w:fldLock="1"/>
      </w:r>
      <w:r w:rsidR="00257AD6">
        <w:rPr>
          <w:color w:val="000000" w:themeColor="text1"/>
        </w:rPr>
        <w:instrText>ADDIN CSL_CITATION {"citationItems":[{"id":"ITEM-1","itemData":{"DOI":"10.1136/bjsports-2018-099921","ISSN":"0306-3674","PMID":"30563873","abstract":"Objective To compare the effect of exercise regimens and medications on systolic blood pressure (SBP). Data sources Medline (via PubMed) and the Cochrane Library. Eligibility criteria Randomised controlled trials (RCTs) of angiotensin-converting enzyme inhibitors (ACE-I), angiotensin-2 receptor blockers (ARBs), β-blockers, calcium channel blockers (CCBs) and diuretics were identified from existing Cochrane reviews. A previously published meta-analysis of exercise interventions was updated to identify recent RCTs that tested the SBP-lowering effects of endurance, dynamic resistance, isometric resistance, and combined endurance and resistance exercise interventions (up to September 2018). Design Random-effects network meta-analysis. Outcome Difference in mean change from baseline SBP between comparator treatments (change from baseline in one group minus that in the other group) and its 95% credible interval (95% CrI), measured in mmHg. Results We included a total of 391 RCTs, 197 of which evaluated exercise interventions (10 461 participants) and 194 evaluated antihypertensive medications (29 281 participants). No RCTs compared directly exercise against medications. While all medication trials included hypertensive populations, only 56 exercise trials included hypertensive participants (≥140 mmHg), corresponding to 3508 individuals. In a 10% random sample, risk of bias was higher in exercise RCTs, primarily due to lack of blinding and incomplete outcome data. In analyses that combined all populations, antihypertensive medications achieved higher reductions in baseline SBP compared with exercise interventions (mean difference −3.96 mmHg, 95% CrI −5.02 to −2.91). Compared with control, all types of exercise (including combination of endurance and resistance) and all classes of antihypertensive medications were effective in lowering baseline SBP. Among hypertensive populations, there were no detectable differences in the SBP-lowering effects of ACE-I, ARB, β-blocker and diuretic medications when compared with endurance or dynamic resistance exercise. There was no detectable inconsistency between direct and indirect comparisons. Although there was evidence of small-study effects, this affected both medication and exercise trials. Conclusions The effect of exercise interventions on SBP remains under-studied, especially among hypertensive populations. Our findings confirm modest but consistent reductions in SBP in many studied exercise interventions across all …","author":[{"dropping-particle":"","family":"Naci","given":"Huseyin","non-dropping-particle":"","parse-names":false,"suffix":""},{"dropping-particle":"","family":"Salcher-Konrad","given":"Maximilian","non-dropping-particle":"","parse-names":false,"suffix":""},{"dropping-particle":"","family":"Dias","given":"Sofia","non-dropping-particle":"","parse-names":false,"suffix":""},{"dropping-particle":"","family":"Blum","given":"Manuel R","non-dropping-particle":"","parse-names":false,"suffix":""},{"dropping-particle":"","family":"Sahoo","given":"Samali Anova","non-dropping-particle":"","parse-names":false,"suffix":""},{"dropping-particle":"","family":"Nunan","given":"David","non-dropping-particle":"","parse-names":false,"suffix":""},{"dropping-particle":"","family":"Ioannidis","given":"John P A","non-dropping-particle":"","parse-names":false,"suffix":""}],"container-title":"Br J Sports Med","id":"ITEM-1","issued":{"date-parts":[["2018"]]},"page":"1-12","title":"How does exercise treatment compare with antihypertensive medications? A network meta-analysis of 391 randomised controlled trials assessing exercise and medication effects on systolic blood pressure","type":"article-journal","volume":"0"},"uris":["http://www.mendeley.com/documents/?uuid=4594ea21-bbd6-4a15-89c8-c3383be24311"]}],"mendeley":{"formattedCitation":"(28)","plainTextFormattedCitation":"(28)","previouslyFormattedCitation":"(28)"},"properties":{"noteIndex":0},"schema":"https://github.com/citation-style-language/schema/raw/master/csl-citation.json"}</w:instrText>
      </w:r>
      <w:r w:rsidR="00E57CCB" w:rsidRPr="00A2437E">
        <w:rPr>
          <w:color w:val="000000" w:themeColor="text1"/>
        </w:rPr>
        <w:fldChar w:fldCharType="separate"/>
      </w:r>
      <w:r w:rsidR="00B515F5" w:rsidRPr="00B515F5">
        <w:rPr>
          <w:noProof/>
          <w:color w:val="000000" w:themeColor="text1"/>
        </w:rPr>
        <w:t>(28)</w:t>
      </w:r>
      <w:r w:rsidR="00E57CCB" w:rsidRPr="00A2437E">
        <w:rPr>
          <w:color w:val="000000" w:themeColor="text1"/>
        </w:rPr>
        <w:fldChar w:fldCharType="end"/>
      </w:r>
      <w:r w:rsidR="004636B6" w:rsidRPr="00A2437E">
        <w:rPr>
          <w:color w:val="000000" w:themeColor="text1"/>
        </w:rPr>
        <w:t xml:space="preserve"> Persistent reductions in SBP of this magnitude reduce stroke mortality by </w:t>
      </w:r>
      <w:r w:rsidR="009442C8" w:rsidRPr="00A2437E">
        <w:rPr>
          <w:color w:val="000000" w:themeColor="text1"/>
        </w:rPr>
        <w:t xml:space="preserve">over </w:t>
      </w:r>
      <w:r w:rsidR="004636B6" w:rsidRPr="00A2437E">
        <w:rPr>
          <w:color w:val="000000" w:themeColor="text1"/>
        </w:rPr>
        <w:t xml:space="preserve">10% and avoid large numbers of premature deaths in </w:t>
      </w:r>
      <w:r w:rsidR="00B83F18" w:rsidRPr="00A2437E">
        <w:rPr>
          <w:color w:val="000000" w:themeColor="text1"/>
        </w:rPr>
        <w:t>the general population</w:t>
      </w:r>
      <w:r w:rsidR="004636B6" w:rsidRPr="00A2437E">
        <w:rPr>
          <w:color w:val="000000" w:themeColor="text1"/>
        </w:rPr>
        <w:t>.</w:t>
      </w:r>
      <w:r w:rsidR="004636B6" w:rsidRPr="00A2437E">
        <w:rPr>
          <w:color w:val="000000" w:themeColor="text1"/>
        </w:rPr>
        <w:fldChar w:fldCharType="begin" w:fldLock="1"/>
      </w:r>
      <w:r w:rsidR="00257AD6">
        <w:rPr>
          <w:color w:val="000000" w:themeColor="text1"/>
        </w:rPr>
        <w:instrText>ADDIN CSL_CITATION {"citationItems":[{"id":"ITEM-1","itemData":{"DOI":"10.1016/s0140-6736(02)11911-8","PMID":"12493255","abstract":"BACKGROUND The age-specific relevance of blood pressure to cause-specific mortality is best assessed by collaborative meta-analysis of individual participant data from the separate prospective studies. METHODS Information was obtained on each of one million adults with no previous vascular disease recorded at baseline in 61 prospective observational studies of blood pressure and mortality. During 12.7 million person-years at risk, there were about 56000 vascular deaths (12000 stroke, 34000 ischaemic heart disease [IHD], 10000 other vascular) and 66000 other deaths at ages 40-89 years. Meta-analyses, involving \"time-dependent\" correction for regression dilution, related mortality during each decade of age at death to the estimated usual blood pressure at the start of that decade. FINDINGS Within each decade of age at death, the proportional difference in the risk of vascular death associated with a given absolute difference in usual blood pressure is about the same down to at least 115 mm Hg usual systolic blood pressure (SBP) and 75 mm Hg usual diastolic blood pressure (DBP), below which there is little evidence. At ages 40-69 years, each difference of 20 mm Hg usual SBP (or, approximately equivalently, 10 mm Hg usual DBP) is associated with more than a twofold difference in the stroke death rate, and with twofold differences in the death rates from IHD and from other vascular causes. All of these proportional differences in vascular mortality are about half as extreme at ages 80-89 years as at ages 40-49 years, but the annual absolute differences in risk are greater in old age. The age-specific associations are similar for men and women, and for cerebral haemorrhage and cerebral ischaemia. For predicting vascular mortality from a single blood pressure measurement, the average of SBP and DBP is slightly more informative than either alone, and pulse pressure is much less informative. INTERPRETATION Throughout middle and old age, usual blood pressure is strongly and directly related to vascular (and overall) mortality, without any evidence of a threshold down to at least 115/75 mm Hg.","author":[{"dropping-particle":"","family":"Lewington","given":"Sarah","non-dropping-particle":"","parse-names":false,"suffix":""},{"dropping-particle":"","family":"Clarke","given":"Robert","non-dropping-particle":"","parse-names":false,"suffix":""},{"dropping-particle":"","family":"Qizilbash","given":"Nawab","non-dropping-particle":"","parse-names":false,"suffix":""},{"dropping-particle":"","family":"Peto","given":"Richard","non-dropping-particle":"","parse-names":false,"suffix":""},{"dropping-particle":"","family":"Collins","given":"Rory","non-dropping-particle":"","parse-names":false,"suffix":""},{"dropping-particle":"","family":"Prospective Studies Collaboration","given":"","non-dropping-particle":"","parse-names":false,"suffix":""}],"container-title":"Lancet (London, England)","id":"ITEM-1","issue":"9349","issued":{"date-parts":[["2002","12","14"]]},"page":"1903-13","publisher":"Elsevier","title":"Age-specific relevance of usual blood pressure to vascular mortality: a meta-analysis of individual data for one million adults in 61 prospective studies.","type":"article-journal","volume":"360"},"uris":["http://www.mendeley.com/documents/?uuid=b9488f7d-df09-3b0b-a7fd-6c83321b01d8"]}],"mendeley":{"formattedCitation":"(29)","plainTextFormattedCitation":"(29)","previouslyFormattedCitation":"(29)"},"properties":{"noteIndex":0},"schema":"https://github.com/citation-style-language/schema/raw/master/csl-citation.json"}</w:instrText>
      </w:r>
      <w:r w:rsidR="004636B6" w:rsidRPr="00A2437E">
        <w:rPr>
          <w:color w:val="000000" w:themeColor="text1"/>
        </w:rPr>
        <w:fldChar w:fldCharType="separate"/>
      </w:r>
      <w:r w:rsidR="00B515F5" w:rsidRPr="00B515F5">
        <w:rPr>
          <w:noProof/>
          <w:color w:val="000000" w:themeColor="text1"/>
        </w:rPr>
        <w:t>(29)</w:t>
      </w:r>
      <w:r w:rsidR="004636B6" w:rsidRPr="00A2437E">
        <w:rPr>
          <w:color w:val="000000" w:themeColor="text1"/>
        </w:rPr>
        <w:fldChar w:fldCharType="end"/>
      </w:r>
      <w:r w:rsidR="004636B6" w:rsidRPr="00A2437E">
        <w:rPr>
          <w:color w:val="000000" w:themeColor="text1"/>
        </w:rPr>
        <w:t xml:space="preserve"> </w:t>
      </w:r>
      <w:r w:rsidR="00D14271" w:rsidRPr="00A2437E">
        <w:rPr>
          <w:color w:val="000000" w:themeColor="text1"/>
        </w:rPr>
        <w:t>Both</w:t>
      </w:r>
      <w:r w:rsidR="008F6258" w:rsidRPr="00A2437E">
        <w:rPr>
          <w:color w:val="000000" w:themeColor="text1"/>
        </w:rPr>
        <w:t xml:space="preserve"> reduction</w:t>
      </w:r>
      <w:r w:rsidR="005C419C">
        <w:rPr>
          <w:color w:val="000000" w:themeColor="text1"/>
        </w:rPr>
        <w:t>s</w:t>
      </w:r>
      <w:r w:rsidR="008F6258" w:rsidRPr="00A2437E">
        <w:rPr>
          <w:color w:val="000000" w:themeColor="text1"/>
        </w:rPr>
        <w:t xml:space="preserve"> in </w:t>
      </w:r>
      <w:r w:rsidR="00B66F59" w:rsidRPr="00A2437E">
        <w:rPr>
          <w:color w:val="000000" w:themeColor="text1"/>
        </w:rPr>
        <w:t xml:space="preserve">aortic stiffness </w:t>
      </w:r>
      <w:r w:rsidR="00D14271" w:rsidRPr="00A2437E">
        <w:rPr>
          <w:color w:val="000000" w:themeColor="text1"/>
        </w:rPr>
        <w:t xml:space="preserve">and BP are </w:t>
      </w:r>
      <w:r w:rsidR="00B66F59" w:rsidRPr="00A2437E">
        <w:rPr>
          <w:color w:val="000000" w:themeColor="text1"/>
        </w:rPr>
        <w:t xml:space="preserve">in keeping with </w:t>
      </w:r>
      <w:r w:rsidR="008F6258" w:rsidRPr="00A2437E">
        <w:rPr>
          <w:color w:val="000000" w:themeColor="text1"/>
        </w:rPr>
        <w:t xml:space="preserve">the magnitude of benefit </w:t>
      </w:r>
      <w:r w:rsidR="007A78DC" w:rsidRPr="00A2437E">
        <w:rPr>
          <w:color w:val="000000" w:themeColor="text1"/>
        </w:rPr>
        <w:t xml:space="preserve">from </w:t>
      </w:r>
      <w:r w:rsidR="008F6258" w:rsidRPr="00A2437E">
        <w:rPr>
          <w:color w:val="000000" w:themeColor="text1"/>
        </w:rPr>
        <w:t>other</w:t>
      </w:r>
      <w:r w:rsidR="008448F9" w:rsidRPr="00A2437E">
        <w:rPr>
          <w:color w:val="000000" w:themeColor="text1"/>
        </w:rPr>
        <w:t xml:space="preserve"> aerobic</w:t>
      </w:r>
      <w:r w:rsidR="008F6258" w:rsidRPr="00A2437E">
        <w:rPr>
          <w:color w:val="000000" w:themeColor="text1"/>
        </w:rPr>
        <w:t xml:space="preserve"> </w:t>
      </w:r>
      <w:r w:rsidR="006C34C5" w:rsidRPr="00A2437E">
        <w:rPr>
          <w:color w:val="000000" w:themeColor="text1"/>
        </w:rPr>
        <w:t>exercise interv</w:t>
      </w:r>
      <w:r w:rsidR="006C34C5" w:rsidRPr="00CC670F">
        <w:rPr>
          <w:color w:val="000000" w:themeColor="text1"/>
        </w:rPr>
        <w:t>ention</w:t>
      </w:r>
      <w:r w:rsidR="007A78DC" w:rsidRPr="00CC670F">
        <w:rPr>
          <w:color w:val="000000" w:themeColor="text1"/>
        </w:rPr>
        <w:t>s</w:t>
      </w:r>
      <w:r w:rsidR="00B66F59" w:rsidRPr="00CC670F">
        <w:rPr>
          <w:color w:val="000000" w:themeColor="text1"/>
        </w:rPr>
        <w:t>.</w:t>
      </w:r>
      <w:r w:rsidR="008F6258" w:rsidRPr="00CC670F">
        <w:rPr>
          <w:color w:val="000000" w:themeColor="text1"/>
        </w:rPr>
        <w:fldChar w:fldCharType="begin" w:fldLock="1"/>
      </w:r>
      <w:r w:rsidR="00257AD6">
        <w:rPr>
          <w:color w:val="000000" w:themeColor="text1"/>
        </w:rPr>
        <w:instrText>ADDIN CSL_CITATION {"citationItems":[{"id":"ITEM-1","itemData":{"DOI":"10.1371/journal.pone.0110034","PMID":"25333969","abstract":"BACKGROUND AND OBJECTIVES Physical activity is associated with lower cardiovascular and all-cause mortality. However, the effects of different exercise modalities on arterial stiffness are currently unclear. Our objectives were to investigate the effects of exercise modalities (aerobic, resistance or combined) on pulse wave velocity (PWV) and augmentation index (AIx), and to determine whether the effects on these indices differed according to the participants' or exercise characteristics. METHODS We searched the Medline, Embase and Cochrane Library databases from inception until April 2014 for randomized controlled trials lasting ≥ 4 weeks investigating the effects of exercise modalities on PWV and AIx in adults aged ≥ 18 years. RESULTS Forty-two studies (1627 participants) were included in this analysis. Aerobic exercise improved both PWV (WMD: -0.63 m/s, 95% CI: -0.90, -0.35) and AIx (WMD:-2.63%, 95% CI: -5.25 to -0.02) significantly. Aerobic exercise training showed significantly greater reduction in brachial-ankle (WMD: -1.01 m/s, 95% CI: -1.57, -0.44) than in carotid-femoral (WMD: -0.39 m/s, 95% CI: -0.52, -0.27) PWV. Higher aerobic exercise intensity was associated with larger reductions in AIx (β: -1.55%, CI -3.09, 0.0001). In addition, aerobic exercise had a significantly larger effect in reducing PWV (WMD:-1.0 m/s, 95% CI: -1.43, -0.57) in participants with stiffer arteries (PWV ≥ 8 m/s). Resistance exercise had no effect on PWV and AIx. There was no significant effect of combined exercise on PWV and AIx. CONCLUSIONS We conclude that aerobic exercise improved arterial stiffness significantly and that the effect was enhanced with higher aerobic exercise intensity and in participants with greater arterial stiffness at baseline. TRIAL REGISTRATION PROSPERO Database registration: CRD42014009744.","author":[{"dropping-particle":"","family":"Ashor","given":"Ammar W","non-dropping-particle":"","parse-names":false,"suffix":""},{"dropping-particle":"","family":"Lara","given":"Jose","non-dropping-particle":"","parse-names":false,"suffix":""},{"dropping-particle":"","family":"Siervo","given":"Mario","non-dropping-particle":"","parse-names":false,"suffix":""},{"dropping-particle":"","family":"Celis-Morales","given":"Carlos","non-dropping-particle":"","parse-names":false,"suffix":""},{"dropping-particle":"","family":"Mathers","given":"John C","non-dropping-particle":"","parse-names":false,"suffix":""}],"container-title":"PloS one","id":"ITEM-1","issue":"10","issued":{"date-parts":[["2014"]]},"page":"e110034","publisher":"Public Library of Science","title":"Effects of exercise modalities on arterial stiffness and wave reflection: a systematic review and meta-analysis of randomized controlled trials.","type":"article-journal","volume":"9"},"uris":["http://www.mendeley.com/documents/?uuid=a21f34f9-70e3-4486-afaf-6a0cca2fb4eb"]}],"mendeley":{"formattedCitation":"(30)","plainTextFormattedCitation":"(30)","previouslyFormattedCitation":"(30)"},"properties":{"noteIndex":0},"schema":"https://github.com/citation-style-language/schema/raw/master/csl-citation.json"}</w:instrText>
      </w:r>
      <w:r w:rsidR="008F6258" w:rsidRPr="00CC670F">
        <w:rPr>
          <w:color w:val="000000" w:themeColor="text1"/>
        </w:rPr>
        <w:fldChar w:fldCharType="separate"/>
      </w:r>
      <w:r w:rsidR="00B515F5" w:rsidRPr="00B515F5">
        <w:rPr>
          <w:noProof/>
          <w:color w:val="000000" w:themeColor="text1"/>
        </w:rPr>
        <w:t>(30)</w:t>
      </w:r>
      <w:r w:rsidR="008F6258" w:rsidRPr="00CC670F">
        <w:rPr>
          <w:color w:val="000000" w:themeColor="text1"/>
        </w:rPr>
        <w:fldChar w:fldCharType="end"/>
      </w:r>
      <w:r w:rsidR="00D47AC3" w:rsidRPr="00CC670F">
        <w:rPr>
          <w:color w:val="000000" w:themeColor="text1"/>
        </w:rPr>
        <w:t xml:space="preserve"> </w:t>
      </w:r>
      <w:r w:rsidR="001D709D" w:rsidRPr="00CC670F">
        <w:rPr>
          <w:color w:val="000000" w:themeColor="text1"/>
        </w:rPr>
        <w:t>There was a small change in peak VO</w:t>
      </w:r>
      <w:r w:rsidR="001D709D" w:rsidRPr="00CC670F">
        <w:rPr>
          <w:color w:val="000000" w:themeColor="text1"/>
          <w:vertAlign w:val="subscript"/>
        </w:rPr>
        <w:t xml:space="preserve">2 </w:t>
      </w:r>
      <w:r w:rsidR="001D709D" w:rsidRPr="00CC670F">
        <w:rPr>
          <w:color w:val="000000" w:themeColor="text1"/>
        </w:rPr>
        <w:t>which did not explain the change in stiffness</w:t>
      </w:r>
      <w:r w:rsidR="00EC4C97" w:rsidRPr="00CC670F">
        <w:rPr>
          <w:color w:val="000000" w:themeColor="text1"/>
        </w:rPr>
        <w:t>, contrary to expectation</w:t>
      </w:r>
      <w:r w:rsidR="005C419C">
        <w:rPr>
          <w:color w:val="000000" w:themeColor="text1"/>
        </w:rPr>
        <w:t>,</w:t>
      </w:r>
      <w:r w:rsidR="00BC5157" w:rsidRPr="00CC670F">
        <w:rPr>
          <w:color w:val="000000" w:themeColor="text1"/>
        </w:rPr>
        <w:t xml:space="preserve"> but</w:t>
      </w:r>
      <w:r w:rsidR="00EC4C97" w:rsidRPr="00CC670F">
        <w:rPr>
          <w:color w:val="000000" w:themeColor="text1"/>
        </w:rPr>
        <w:t xml:space="preserve"> </w:t>
      </w:r>
      <w:r w:rsidR="00BC5157" w:rsidRPr="00CC670F">
        <w:rPr>
          <w:color w:val="000000" w:themeColor="text1"/>
        </w:rPr>
        <w:t xml:space="preserve">also </w:t>
      </w:r>
      <w:r w:rsidR="00EC4C97" w:rsidRPr="00CC670F">
        <w:rPr>
          <w:color w:val="000000" w:themeColor="text1"/>
        </w:rPr>
        <w:t>observed in other studies.</w:t>
      </w:r>
      <w:r w:rsidR="00C67D6D" w:rsidRPr="00CC670F">
        <w:rPr>
          <w:color w:val="000000" w:themeColor="text1"/>
        </w:rPr>
        <w:fldChar w:fldCharType="begin" w:fldLock="1"/>
      </w:r>
      <w:r w:rsidR="00257AD6">
        <w:rPr>
          <w:color w:val="000000" w:themeColor="text1"/>
        </w:rPr>
        <w:instrText>ADDIN CSL_CITATION {"citationItems":[{"id":"ITEM-1","itemData":{"abstract":"Background—A reduction in compliance of the large-sized cardiothoracic (central) arteries is an independent risk factor for the development of cardiovascular disease with advancing age. Methods and Results—We determined the role of habitual exercise on the age-related decrease in central arterial compliance by using both cross-sectional and interventional approaches. First, we studied 151 healthy men aged 18 to 77 years: 54 were sedentary, 45 were recreationally active, and 53 were endurance exercise–trained. Central arterial compliance (simultaneous B-mode ultrasound and arterial applanation tonometry on the common carotid artery) was lower (PϽ0.05) in middle-aged and older men than in young men in all 3 groups. There were no significant differences between sedentary and recreationally active men at any age. However, arterial compliance in the endurance-trained middle-aged and older men was 20% to 35% higher than in the 2 less active groups (PϽ0.01). As such, age-related differences in central arterial compliance were smaller in the endurance-trained men than in the sedentary and recreationally active men. Second, we studied 20 middle-aged and older (53Ϯ2 years) sedentary healthy men before and after a 3-month aerobic exercise intervention (primarily walking). Regular exercise increased central arterial compliance (PϽ0.01) to levels similar to those of the middle-aged and older endurance-trained men. These effects were independent of changes in body mass, adiposity, arterial blood pressure, or maximal oxygen consumption. Conclusions—Regular aerobic-endurance exercise attenuates age-related reductions in central arterial compliance and restores levels in previously sedentary healthy middle-aged and older men. This may be one mechanism by which habitual exercise lowers the risk of cardiovascular disease in this population. (Circulation. 2000;102:1270-1275.) A rterial compliance reflects the ability of an artery to expand and recoil with cardiac pulsation and relax-ation. 1 In sedentary humans, the compliance of the large-sized arteries in the cardiothoracic region (central circulation) decreases with advancing age. 1–3 These reductions are asso-ciated with several pathological states common to older adults, including isolated systolic hypertension, left ventric-ular hypertrophy, congestive heart failure, aortic root regur-gitation, and orthostatic and postprandial hypotension. 1,4 As such, decreased central arterial compliance has been identi-fied as an …","author":[{"dropping-particle":"","family":"Tanaka","given":"Hirofumi","non-dropping-particle":"","parse-names":false,"suffix":""},{"dropping-particle":"","family":"Dinenno","given":"Frank A","non-dropping-particle":"","parse-names":false,"suffix":""},{"dropping-particle":"","family":"Monahan","given":"Kevin D","non-dropping-particle":"","parse-names":false,"suffix":""},{"dropping-particle":"","family":"Clevenger","given":"Christopher M","non-dropping-particle":"","parse-names":false,"suffix":""},{"dropping-particle":"","family":"Desouza","given":"Christopher A","non-dropping-particle":"","parse-names":false,"suffix":""},{"dropping-particle":"","family":"Seals","given":"Douglas R","non-dropping-particle":"","parse-names":false,"suffix":""}],"container-title":"Circulation","id":"ITEM-1","issued":{"date-parts":[["2000"]]},"page":"1270-1275","title":"Aging, Habitual Exercise, and Dynamic Arterial Compliance","type":"article-journal","volume":"102"},"uris":["http://www.mendeley.com/documents/?uuid=02a8fc52-b049-4605-b07d-ae5a3aed7391"]},{"id":"ITEM-2","itemData":{"DOI":"10.1186/s12947-016-0063-6","ISSN":"1476-7120","author":[{"dropping-particle":"","family":"Hafner","given":"Nicole M.","non-dropping-particle":"","parse-names":false,"suffix":""},{"dropping-particle":"","family":"Womack","given":"Christopher J.","non-dropping-particle":"","parse-names":false,"suffix":""},{"dropping-particle":"","family":"Luden","given":"Nicholas D.","non-dropping-particle":"","parse-names":false,"suffix":""},{"dropping-particle":"","family":"Todd","given":"Mikel K.","non-dropping-particle":"","parse-names":false,"suffix":""}],"container-title":"Cardiovascular Ultrasound","id":"ITEM-2","issue":"1","issued":{"date-parts":[["2016","12","26"]]},"page":"19","title":"Arterial adaptations to training among first time marathoners","type":"article-journal","volume":"14"},"uris":["http://www.mendeley.com/documents/?uuid=1fe28f49-ffaf-38d8-8823-d13fc01f34e5"]}],"mendeley":{"formattedCitation":"(11,31)","plainTextFormattedCitation":"(11,31)","previouslyFormattedCitation":"(11,31)"},"properties":{"noteIndex":0},"schema":"https://github.com/citation-style-language/schema/raw/master/csl-citation.json"}</w:instrText>
      </w:r>
      <w:r w:rsidR="00C67D6D" w:rsidRPr="00CC670F">
        <w:rPr>
          <w:color w:val="000000" w:themeColor="text1"/>
        </w:rPr>
        <w:fldChar w:fldCharType="separate"/>
      </w:r>
      <w:r w:rsidR="00B515F5" w:rsidRPr="00B515F5">
        <w:rPr>
          <w:noProof/>
          <w:color w:val="000000" w:themeColor="text1"/>
        </w:rPr>
        <w:t>(11,31)</w:t>
      </w:r>
      <w:r w:rsidR="00C67D6D" w:rsidRPr="00CC670F">
        <w:rPr>
          <w:color w:val="000000" w:themeColor="text1"/>
        </w:rPr>
        <w:fldChar w:fldCharType="end"/>
      </w:r>
      <w:r w:rsidR="00C67D6D" w:rsidRPr="00CC670F">
        <w:rPr>
          <w:color w:val="000000" w:themeColor="text1"/>
        </w:rPr>
        <w:t xml:space="preserve"> </w:t>
      </w:r>
      <w:r w:rsidR="00AE3B93" w:rsidRPr="00CC670F">
        <w:rPr>
          <w:color w:val="000000" w:themeColor="text1"/>
        </w:rPr>
        <w:t>The training program was designed to habituate individuals to sustained running rather than augment fitness,</w:t>
      </w:r>
      <w:r w:rsidR="00F06449" w:rsidRPr="00CC670F">
        <w:rPr>
          <w:color w:val="000000" w:themeColor="text1"/>
        </w:rPr>
        <w:fldChar w:fldCharType="begin" w:fldLock="1"/>
      </w:r>
      <w:r w:rsidR="00174470">
        <w:rPr>
          <w:color w:val="000000" w:themeColor="text1"/>
        </w:rPr>
        <w:instrText>ADDIN CSL_CITATION {"citationItems":[{"id":"ITEM-1","itemData":{"URL":"https://www.virginmoneylondonmarathon.com/en-gb/trainingplans/beginner-17-week-training-plan/","accessed":{"date-parts":[["2018","1","28"]]},"id":"ITEM-1","issued":{"date-parts":[["0"]]},"title":"Virgin Money London Marathon Beginner 17 week training plan","type":"webpage"},"uris":["http://www.mendeley.com/documents/?uuid=968726f3-834b-4915-a62b-2b010028f741"]}],"mendeley":{"formattedCitation":"(17)","plainTextFormattedCitation":"(17)","previouslyFormattedCitation":"(17)"},"properties":{"noteIndex":0},"schema":"https://github.com/citation-style-language/schema/raw/master/csl-citation.json"}</w:instrText>
      </w:r>
      <w:r w:rsidR="00F06449" w:rsidRPr="00CC670F">
        <w:rPr>
          <w:color w:val="000000" w:themeColor="text1"/>
        </w:rPr>
        <w:fldChar w:fldCharType="separate"/>
      </w:r>
      <w:r w:rsidR="00D93162" w:rsidRPr="00D93162">
        <w:rPr>
          <w:noProof/>
          <w:color w:val="000000" w:themeColor="text1"/>
        </w:rPr>
        <w:t>(17)</w:t>
      </w:r>
      <w:r w:rsidR="00F06449" w:rsidRPr="00CC670F">
        <w:rPr>
          <w:color w:val="000000" w:themeColor="text1"/>
        </w:rPr>
        <w:fldChar w:fldCharType="end"/>
      </w:r>
      <w:r w:rsidR="00AE3B93" w:rsidRPr="00CC670F">
        <w:rPr>
          <w:color w:val="000000" w:themeColor="text1"/>
        </w:rPr>
        <w:t xml:space="preserve"> </w:t>
      </w:r>
      <w:r w:rsidR="00D434EF" w:rsidRPr="00CC670F">
        <w:rPr>
          <w:color w:val="000000" w:themeColor="text1"/>
        </w:rPr>
        <w:t xml:space="preserve">and this is </w:t>
      </w:r>
      <w:r w:rsidR="00AE3B93" w:rsidRPr="00CC670F">
        <w:rPr>
          <w:color w:val="000000" w:themeColor="text1"/>
        </w:rPr>
        <w:t xml:space="preserve">supported by </w:t>
      </w:r>
      <w:r w:rsidR="00873027" w:rsidRPr="00CC670F">
        <w:rPr>
          <w:color w:val="000000" w:themeColor="text1"/>
        </w:rPr>
        <w:t>a</w:t>
      </w:r>
      <w:r w:rsidR="00AE3B93" w:rsidRPr="00CC670F">
        <w:rPr>
          <w:color w:val="000000" w:themeColor="text1"/>
        </w:rPr>
        <w:t xml:space="preserve"> previous study</w:t>
      </w:r>
      <w:r w:rsidR="000E44A1" w:rsidRPr="00CC670F">
        <w:rPr>
          <w:color w:val="000000" w:themeColor="text1"/>
        </w:rPr>
        <w:t xml:space="preserve"> in this cohort</w:t>
      </w:r>
      <w:r w:rsidR="00AE3B93" w:rsidRPr="00CC670F">
        <w:rPr>
          <w:color w:val="000000" w:themeColor="text1"/>
        </w:rPr>
        <w:t xml:space="preserve"> showing greater improvements </w:t>
      </w:r>
      <w:r w:rsidR="00BC561A" w:rsidRPr="00CC670F">
        <w:rPr>
          <w:color w:val="000000" w:themeColor="text1"/>
        </w:rPr>
        <w:t xml:space="preserve">in </w:t>
      </w:r>
      <w:r w:rsidR="00AE3B93" w:rsidRPr="00CC670F">
        <w:rPr>
          <w:color w:val="000000" w:themeColor="text1"/>
        </w:rPr>
        <w:t>skeletal muscle peak VO</w:t>
      </w:r>
      <w:r w:rsidR="00AE3B93" w:rsidRPr="00CC670F">
        <w:rPr>
          <w:color w:val="000000" w:themeColor="text1"/>
          <w:vertAlign w:val="subscript"/>
        </w:rPr>
        <w:t>2</w:t>
      </w:r>
      <w:r w:rsidR="00AE3B93" w:rsidRPr="00CC670F">
        <w:rPr>
          <w:color w:val="000000" w:themeColor="text1"/>
        </w:rPr>
        <w:t xml:space="preserve"> than cardio-pulmonary peak VO</w:t>
      </w:r>
      <w:r w:rsidR="00AE3B93" w:rsidRPr="00CC670F">
        <w:rPr>
          <w:color w:val="000000" w:themeColor="text1"/>
          <w:vertAlign w:val="subscript"/>
        </w:rPr>
        <w:t>2</w:t>
      </w:r>
      <w:r w:rsidR="00AE3B93" w:rsidRPr="00CC670F">
        <w:rPr>
          <w:color w:val="000000" w:themeColor="text1"/>
        </w:rPr>
        <w:t>.</w:t>
      </w:r>
      <w:r w:rsidR="00F06449" w:rsidRPr="00CC670F">
        <w:rPr>
          <w:color w:val="000000" w:themeColor="text1"/>
        </w:rPr>
        <w:fldChar w:fldCharType="begin" w:fldLock="1"/>
      </w:r>
      <w:r w:rsidR="00174470">
        <w:rPr>
          <w:color w:val="000000" w:themeColor="text1"/>
        </w:rPr>
        <w:instrText>ADDIN CSL_CITATION {"citationItems":[{"id":"ITEM-1","itemData":{"DOI":"10.3389/fphys.2017.01018","ISBN":"1664-042X","ISSN":"1664042X","abstract":"© 2017 Jones, D'Silva, Bhuva, Lloyd, Manisty, Moon, Sharma and Hughes. Skeletal muscle metabolic function is known to respond positively to exercise interventions. Developing non-invasive techniques that quantify metabolic adaptations and identifying interventions that impart successful response are ongoing challenges for research. Healthy non-athletic adults (18-35 years old) were enrolled in a study investigating physiological adaptations to a minimum of 16 weeks endurance training prior to undertaking their first marathon. Before beginning training, participants underwent measurements of skeletal muscle oxygen consumption using near-infrared spectroscopy (NIRS) at rest (resting muscleV·O 2 ) and immediately following a maximal exercise test (post-exercise muscleV·O 2 ). Exercise-related increase in muscleV·O 2 (ΔmV·O 2 ) was derived from these measurements and cardio-pulmonary peakV·O 2 measured by analysis of expired gases. All measurements were repeated within 3 weeks of participants completing following the marath on and marathon completion time recorded. MuscleV·O 2 was positively correlated with cardio-pulmonary peakV·O 2 (r = 0.63, p &lt; 0.001). MuscleV·O 2 increased at follow-up (48% increase; p = 0.004) despite no change in cardio-pulmonary peakV·O 2 (0% change; p = 0.97). Faster marathon completion time correlated with higher cardio-pulmonary peakV·O 2 (r partial = -0.58, p = 0.002) but not muscleV·O 2 O 2 (r partial = 0.16, p = 0.44) after adjustment for age and sex [and adipose tissue thickness (ATT) for muscleV·O 2 measurements]. Skeletal muscle metabolic adaptions occur following training and completion of a first-time marathon; these can be identified non-invasively using NIRS. Although the cardio-pulmonary system is limiting for running performance, skeletal muscle changes can be detected despite minimal improvement in cardio-pulmonary function.","author":[{"dropping-particle":"","family":"Jones","given":"Siana","non-dropping-particle":"","parse-names":false,"suffix":""},{"dropping-particle":"","family":"D'Silva","given":"Andrew","non-dropping-particle":"","parse-names":false,"suffix":""},{"dropping-particle":"","family":"Bhuva","given":"Anish","non-dropping-particle":"","parse-names":false,"suffix":""},{"dropping-particle":"","family":"Lloyd","given":"Guy","non-dropping-particle":"","parse-names":false,"suffix":""},{"dropping-particle":"","family":"Manisty","given":"Charlotte","non-dropping-particle":"","parse-names":false,"suffix":""},{"dropping-particle":"","family":"Moon","given":"James C.","non-dropping-particle":"","parse-names":false,"suffix":""},{"dropping-particle":"","family":"Sharma","given":"Sanjay","non-dropping-particle":"","parse-names":false,"suffix":""},{"dropping-particle":"","family":"Hughes","given":"Alun D.","non-dropping-particle":"","parse-names":false,"suffix":""}],"container-title":"Frontiers in Physiology","id":"ITEM-1","issue":"DEC","issued":{"date-parts":[["2017"]]},"page":"1-8","title":"Improved exercise-related skeletal muscle oxygen consumption following uptake of endurance training measured using near-infrared spectroscopy","type":"article-journal","volume":"8"},"uris":["http://www.mendeley.com/documents/?uuid=fca094bc-af8d-4b5f-9da2-9ddf2f9ab61a"]}],"mendeley":{"formattedCitation":"(16)","plainTextFormattedCitation":"(16)","previouslyFormattedCitation":"(16)"},"properties":{"noteIndex":0},"schema":"https://github.com/citation-style-language/schema/raw/master/csl-citation.json"}</w:instrText>
      </w:r>
      <w:r w:rsidR="00F06449" w:rsidRPr="00CC670F">
        <w:rPr>
          <w:color w:val="000000" w:themeColor="text1"/>
        </w:rPr>
        <w:fldChar w:fldCharType="separate"/>
      </w:r>
      <w:r w:rsidR="00D93162" w:rsidRPr="00D93162">
        <w:rPr>
          <w:noProof/>
          <w:color w:val="000000" w:themeColor="text1"/>
        </w:rPr>
        <w:t>(16)</w:t>
      </w:r>
      <w:r w:rsidR="00F06449" w:rsidRPr="00CC670F">
        <w:rPr>
          <w:color w:val="000000" w:themeColor="text1"/>
        </w:rPr>
        <w:fldChar w:fldCharType="end"/>
      </w:r>
      <w:r w:rsidR="00AE3B93" w:rsidRPr="00CC670F">
        <w:rPr>
          <w:color w:val="000000" w:themeColor="text1"/>
        </w:rPr>
        <w:t xml:space="preserve"> </w:t>
      </w:r>
      <w:r w:rsidR="00BC5157" w:rsidRPr="00CC670F">
        <w:rPr>
          <w:color w:val="000000" w:themeColor="text1"/>
        </w:rPr>
        <w:t xml:space="preserve">Changes in stiffness were </w:t>
      </w:r>
      <w:r w:rsidR="00D96F30" w:rsidRPr="00CC670F">
        <w:rPr>
          <w:color w:val="000000" w:themeColor="text1"/>
        </w:rPr>
        <w:t xml:space="preserve">also </w:t>
      </w:r>
      <w:r w:rsidR="00BC5157" w:rsidRPr="00CC670F">
        <w:rPr>
          <w:color w:val="000000" w:themeColor="text1"/>
        </w:rPr>
        <w:t>not associated with changes in other measures</w:t>
      </w:r>
      <w:r w:rsidR="00D96F30" w:rsidRPr="00CC670F">
        <w:rPr>
          <w:color w:val="000000" w:themeColor="text1"/>
        </w:rPr>
        <w:t xml:space="preserve"> (heart rate, weight or </w:t>
      </w:r>
      <w:r w:rsidR="00C016E4" w:rsidRPr="00CC670F">
        <w:rPr>
          <w:color w:val="000000" w:themeColor="text1"/>
        </w:rPr>
        <w:t>adiposity</w:t>
      </w:r>
      <w:r w:rsidR="00D96F30" w:rsidRPr="00CC670F">
        <w:rPr>
          <w:color w:val="000000" w:themeColor="text1"/>
        </w:rPr>
        <w:t>)</w:t>
      </w:r>
      <w:r w:rsidR="00BC5157" w:rsidRPr="00CC670F">
        <w:rPr>
          <w:color w:val="000000" w:themeColor="text1"/>
        </w:rPr>
        <w:t xml:space="preserve">, suggesting that </w:t>
      </w:r>
      <w:r w:rsidR="009F5D6D" w:rsidRPr="00CC670F">
        <w:rPr>
          <w:color w:val="000000" w:themeColor="text1"/>
        </w:rPr>
        <w:t xml:space="preserve">the hemodynamic impact of more frequent exercise sessions and lifestyle modification has </w:t>
      </w:r>
      <w:r w:rsidR="006134F8" w:rsidRPr="00CC670F">
        <w:rPr>
          <w:color w:val="000000" w:themeColor="text1"/>
        </w:rPr>
        <w:t xml:space="preserve">a direct effect on </w:t>
      </w:r>
      <w:r w:rsidR="00BC5157" w:rsidRPr="00CC670F">
        <w:rPr>
          <w:color w:val="000000" w:themeColor="text1"/>
        </w:rPr>
        <w:t xml:space="preserve">intrinsic </w:t>
      </w:r>
      <w:r w:rsidR="006134F8" w:rsidRPr="00CC670F">
        <w:rPr>
          <w:color w:val="000000" w:themeColor="text1"/>
        </w:rPr>
        <w:t xml:space="preserve">aortic </w:t>
      </w:r>
      <w:r w:rsidR="00BC5157" w:rsidRPr="00CC670F">
        <w:rPr>
          <w:color w:val="000000" w:themeColor="text1"/>
        </w:rPr>
        <w:t>remodeling.</w:t>
      </w:r>
    </w:p>
    <w:p w14:paraId="1546DCD8" w14:textId="644B3059" w:rsidR="002910AC" w:rsidRPr="00CC670F" w:rsidRDefault="006046EA" w:rsidP="007A7155">
      <w:pPr>
        <w:spacing w:before="0" w:after="0"/>
        <w:ind w:firstLine="720"/>
        <w:rPr>
          <w:color w:val="000000" w:themeColor="text1"/>
        </w:rPr>
      </w:pPr>
      <w:r w:rsidRPr="00CC670F">
        <w:rPr>
          <w:color w:val="000000" w:themeColor="text1"/>
        </w:rPr>
        <w:t>The improvement in aortic stiffness was</w:t>
      </w:r>
      <w:r w:rsidR="00600B74" w:rsidRPr="00CC670F">
        <w:rPr>
          <w:color w:val="000000" w:themeColor="text1"/>
        </w:rPr>
        <w:t xml:space="preserve"> </w:t>
      </w:r>
      <w:r w:rsidR="00AF51C4">
        <w:rPr>
          <w:color w:val="000000" w:themeColor="text1"/>
        </w:rPr>
        <w:t xml:space="preserve">both </w:t>
      </w:r>
      <w:r w:rsidRPr="00CC670F">
        <w:rPr>
          <w:color w:val="000000" w:themeColor="text1"/>
        </w:rPr>
        <w:t>functional due to blood pressure lowering</w:t>
      </w:r>
      <w:r w:rsidR="0011404A" w:rsidRPr="00CC670F">
        <w:rPr>
          <w:color w:val="000000" w:themeColor="text1"/>
        </w:rPr>
        <w:t>,</w:t>
      </w:r>
      <w:r w:rsidRPr="00CC670F">
        <w:rPr>
          <w:color w:val="000000" w:themeColor="text1"/>
        </w:rPr>
        <w:t xml:space="preserve"> </w:t>
      </w:r>
      <w:r w:rsidR="00AF51C4">
        <w:rPr>
          <w:color w:val="000000" w:themeColor="text1"/>
        </w:rPr>
        <w:t>as well as</w:t>
      </w:r>
      <w:r w:rsidR="00F366DF" w:rsidRPr="00CC670F">
        <w:rPr>
          <w:color w:val="000000" w:themeColor="text1"/>
        </w:rPr>
        <w:t xml:space="preserve"> </w:t>
      </w:r>
      <w:r w:rsidRPr="00CC670F">
        <w:rPr>
          <w:color w:val="000000" w:themeColor="text1"/>
        </w:rPr>
        <w:t xml:space="preserve">intrinsic </w:t>
      </w:r>
      <w:r w:rsidR="0011404A" w:rsidRPr="00CC670F">
        <w:rPr>
          <w:color w:val="000000" w:themeColor="text1"/>
        </w:rPr>
        <w:t xml:space="preserve">due to </w:t>
      </w:r>
      <w:r w:rsidRPr="00CC670F">
        <w:rPr>
          <w:color w:val="000000" w:themeColor="text1"/>
        </w:rPr>
        <w:t xml:space="preserve">structural changes in the descending aorta, </w:t>
      </w:r>
      <w:r w:rsidR="00C808E3" w:rsidRPr="00CC670F">
        <w:rPr>
          <w:color w:val="000000" w:themeColor="text1"/>
        </w:rPr>
        <w:fldChar w:fldCharType="begin"/>
      </w:r>
      <w:r w:rsidR="00C808E3" w:rsidRPr="00CC670F">
        <w:rPr>
          <w:color w:val="000000" w:themeColor="text1"/>
        </w:rPr>
        <w:instrText xml:space="preserve"> REF _Ref536539562 \h  \* MERGEFORMAT </w:instrText>
      </w:r>
      <w:r w:rsidR="00C808E3" w:rsidRPr="00CC670F">
        <w:rPr>
          <w:color w:val="000000" w:themeColor="text1"/>
        </w:rPr>
      </w:r>
      <w:r w:rsidR="00C808E3" w:rsidRPr="00CC670F">
        <w:rPr>
          <w:color w:val="000000" w:themeColor="text1"/>
        </w:rPr>
        <w:fldChar w:fldCharType="separate"/>
      </w:r>
      <w:r w:rsidR="00327057" w:rsidRPr="00CC670F">
        <w:rPr>
          <w:color w:val="000000" w:themeColor="text1"/>
        </w:rPr>
        <w:t>Figure 4</w:t>
      </w:r>
      <w:r w:rsidR="00C808E3" w:rsidRPr="00CC670F">
        <w:rPr>
          <w:color w:val="000000" w:themeColor="text1"/>
        </w:rPr>
        <w:fldChar w:fldCharType="end"/>
      </w:r>
      <w:r w:rsidR="00C808E3" w:rsidRPr="00CC670F">
        <w:rPr>
          <w:color w:val="000000" w:themeColor="text1"/>
        </w:rPr>
        <w:t>.</w:t>
      </w:r>
      <w:r w:rsidR="00284D62" w:rsidRPr="00CC670F">
        <w:rPr>
          <w:color w:val="000000" w:themeColor="text1"/>
        </w:rPr>
        <w:t xml:space="preserve"> </w:t>
      </w:r>
      <w:r w:rsidR="00257AD6">
        <w:rPr>
          <w:color w:val="000000" w:themeColor="text1"/>
        </w:rPr>
        <w:t xml:space="preserve">This is supported by wave separation analysis which showed reflection magnitude was unchanged. </w:t>
      </w:r>
      <w:r w:rsidR="007D1E76" w:rsidRPr="00CC670F">
        <w:rPr>
          <w:color w:val="000000" w:themeColor="text1"/>
        </w:rPr>
        <w:t xml:space="preserve">One study of 13 males observed similar benefits after </w:t>
      </w:r>
      <w:r w:rsidR="00B77A7D" w:rsidRPr="00CC670F">
        <w:rPr>
          <w:color w:val="000000" w:themeColor="text1"/>
        </w:rPr>
        <w:t xml:space="preserve">just </w:t>
      </w:r>
      <w:r w:rsidR="007D1E76" w:rsidRPr="00CC670F">
        <w:rPr>
          <w:color w:val="000000" w:themeColor="text1"/>
        </w:rPr>
        <w:t>four weeks of training,</w:t>
      </w:r>
      <w:r w:rsidR="007D1E76" w:rsidRPr="00CC670F">
        <w:rPr>
          <w:color w:val="000000" w:themeColor="text1"/>
        </w:rPr>
        <w:fldChar w:fldCharType="begin" w:fldLock="1"/>
      </w:r>
      <w:r w:rsidR="00051C79">
        <w:rPr>
          <w:color w:val="000000" w:themeColor="text1"/>
        </w:rPr>
        <w:instrText>ADDIN CSL_CITATION {"citationItems":[{"id":"ITEM-1","itemData":{"DOI":"10.1152/ajpheart.1994.266.2.H693","ISSN":"0363-6135","PMID":"8141370","abstract":"Using a noninvasive technique we have investigated the effect of 4 wk of exercise training on total systemic arterial compliance (SAC) in 13 previously sedentary young males. SAC is assessed from simultaneous measurements of ascending aortic blood velocity using Doppler velocimetry and surrogate estimates of aortic root pressure obtained by applanation tonometry of the right carotid artery. Subsequent calibration of the pressure waveform is by linear interpolation against brachial arterial pressures measured sphygmomanometrically. Exercise training increased the overall mean maximum oxygen consumption (VO2 max) by 5.1 ml.min-1 x kg-1 (95% confidence limits 1.30-8.80, P &lt; 0.01) and decreased mean systolic blood pressure by 8.4 mmHg [95% confidence interval (CI) 2.9-13.9, P &lt; 0.01]. Mean SAC increased by 0.26 units (95% CI 0.10-0.43, P &lt; 0.01) with the regional stiffness of the aortic arch (measured echocardiographically using the beta-index) showing a complementary decrease of 1.03 (95% CI -2.25-0.19, P &lt; 0.05). Assuming a logarithmic arterial volume-pressure relationship, we were able to dissociate the change in SAC due to the exercise training-induced decrease in blood pressure from that due to change in the intrinsic compliance of the systemic arteries. Our results indicate that 1) exercise training increases SAC; 2) that the increase in SAC is greater than that due to changes in blood pressure and is likely to include a component due to change in intrinsic arterial compliance; and 3) that the induced change in SAC is linearly related to change in VO2 max.","author":[{"dropping-particle":"","family":"Cameron","given":"J. D.","non-dropping-particle":"","parse-names":false,"suffix":""},{"dropping-particle":"","family":"Dart","given":"A. M.","non-dropping-particle":"","parse-names":false,"suffix":""}],"container-title":"American Journal of Physiology-Heart and Circulatory Physiology","id":"ITEM-1","issue":"2","issued":{"date-parts":[["1994","2"]]},"page":"H693-H701","title":"Exercise training increases total systemic arterial compliance in humans","type":"article-journal","volume":"266"},"uris":["http://www.mendeley.com/documents/?uuid=b5e22895-d92a-4d42-bcaa-d8cd7d094576"]}],"mendeley":{"formattedCitation":"(32)","plainTextFormattedCitation":"(32)","previouslyFormattedCitation":"(32)"},"properties":{"noteIndex":0},"schema":"https://github.com/citation-style-language/schema/raw/master/csl-citation.json"}</w:instrText>
      </w:r>
      <w:r w:rsidR="007D1E76" w:rsidRPr="00CC670F">
        <w:rPr>
          <w:color w:val="000000" w:themeColor="text1"/>
        </w:rPr>
        <w:fldChar w:fldCharType="separate"/>
      </w:r>
      <w:r w:rsidR="00B515F5" w:rsidRPr="00B515F5">
        <w:rPr>
          <w:noProof/>
          <w:color w:val="000000" w:themeColor="text1"/>
        </w:rPr>
        <w:t>(32)</w:t>
      </w:r>
      <w:r w:rsidR="007D1E76" w:rsidRPr="00CC670F">
        <w:rPr>
          <w:color w:val="000000" w:themeColor="text1"/>
        </w:rPr>
        <w:fldChar w:fldCharType="end"/>
      </w:r>
      <w:r w:rsidR="007D1E76" w:rsidRPr="00CC670F">
        <w:rPr>
          <w:color w:val="000000" w:themeColor="text1"/>
        </w:rPr>
        <w:t xml:space="preserve"> but other studies of </w:t>
      </w:r>
      <w:r w:rsidR="00947F9F" w:rsidRPr="00CC670F">
        <w:rPr>
          <w:color w:val="000000" w:themeColor="text1"/>
        </w:rPr>
        <w:t>two to four months duration observed that the reduction in stiffness was predominantly functional.</w:t>
      </w:r>
      <w:r w:rsidR="003F516D" w:rsidRPr="00CC670F">
        <w:rPr>
          <w:color w:val="000000" w:themeColor="text1"/>
        </w:rPr>
        <w:fldChar w:fldCharType="begin" w:fldLock="1"/>
      </w:r>
      <w:r w:rsidR="00051C79">
        <w:rPr>
          <w:color w:val="000000" w:themeColor="text1"/>
        </w:rPr>
        <w:instrText>ADDIN CSL_CITATION {"citationItems":[{"id":"ITEM-1","itemData":{"DOI":"10.1111/ijcp.12021","ISBN":"1742-1241; 1368-5031","ISSN":"13685031","PMID":"23574102","abstract":"AIMS OF THE STUDY: Stiffening of large arteries has been associated with increased cardiovascular outcomes among older subjects. Endurance exercises might attenuate artery stiffness, but little is known about the effects of intermittent training programme. We evaluate the effect of a short Intermittent Work Exercise Training Program (IWEP) on arterial stiffness estimated by the measure of the pulse wave velocity (PWV).\\n\\nMETHODS AND SUBJECTS: Seventy-one healthy volunteers (mean age: 64.6 years) free of symptomatic cardiac and pulmonary disease performed a 9-week IWEP that consisted of a 30-min cycling twice a week over a 9-week period. Each session involved six 5-min bouts of exercise, each of the latter separated into 4-min cycling at the first ventilatory threshold alternated with 1-min cycling at 90% of the pretraining maximal tolerated power. Before and after the IWEP, the following measurements were made: carotid-radial PWV and carotid-femoral PWV with a tonometer and systolic and diastolic blood pressure.\\n\\nRESULTS: Training resulted in a non-significant decrease of the carotid-radial PWV, a significant decrease of the carotid-femoral PWV from 10.2 to 9.6 m/s (p &lt; 0.001) (that was no longer significant after adjustment for mean arterial pressure) and a significant decrease in both systolic and diastolic blood pressure, respectively, from 129.6 ± 14.9 mmHg to 120.1 ± 14.1 mmHg (p &lt; 0.001) and from 77.2 ± 8.8 mmHg to 71.4 ± 10.1 mmHg (p &lt; 0.001).\\n\\nCONCLUSION: The present results support the idea that a short-term intermittent aerobic exercise programme may be an effective lifestyle intervention for reducing rapidly blood pressure and probably central arterial stiffness among older healthy subjects.","author":[{"dropping-particle":"","family":"Vogel","given":"T.","non-dropping-particle":"","parse-names":false,"suffix":""},{"dropping-particle":"","family":"Leprêtre","given":"P.-M.","non-dropping-particle":"","parse-names":false,"suffix":""},{"dropping-particle":"","family":"Brechat","given":"P.-H.","non-dropping-particle":"","parse-names":false,"suffix":""},{"dropping-particle":"","family":"Lonsdorfer-Wolf","given":"E.","non-dropping-particle":"","parse-names":false,"suffix":""},{"dropping-particle":"","family":"Kaltenbach","given":"G.","non-dropping-particle":"","parse-names":false,"suffix":""},{"dropping-particle":"","family":"Lonsdorfer","given":"J.","non-dropping-particle":"","parse-names":false,"suffix":""},{"dropping-particle":"","family":"Benetos","given":"A.","non-dropping-particle":"","parse-names":false,"suffix":""}],"container-title":"International Journal of Clinical Practice","id":"ITEM-1","issue":"5","issued":{"date-parts":[["2013","5"]]},"page":"420-426","title":"Effect of a short-term intermittent exercise-training programme on the pulse wave velocity and arterial pressure: a prospective study among 71 healthy older subjects","type":"article-journal","volume":"67"},"uris":["http://www.mendeley.com/documents/?uuid=d9d3732b-fd1e-4b75-b660-a4d0256b1ff3"]},{"id":"ITEM-2","itemData":{"DOI":"10.2170/jjphysiol.S2116","ISBN":"8129861666","ISSN":"0021-521X","PMID":"16248931","abstract":"Aortic pulse wave velocity (PWV) significantly decreased after 16 weeks of moderate-intensity exercise training (walking/jogging) in 17 sedentary middle-aged men, whereas leg PWV did not. These results suggest that in contrast with central arterial stiffness, peripheral arterial stiffness is difficult to change with aerobic exercise training.","author":[{"dropping-particle":"","family":"Hayashi","given":"Koichiro","non-dropping-particle":"","parse-names":false,"suffix":""},{"dropping-particle":"","family":"Sugawara","given":"Jun","non-dropping-particle":"","parse-names":false,"suffix":""},{"dropping-particle":"","family":"Komine","given":"Hidehiko","non-dropping-particle":"","parse-names":false,"suffix":""},{"dropping-particle":"","family":"Maeda","given":"Seiji","non-dropping-particle":"","parse-names":false,"suffix":""},{"dropping-particle":"","family":"Yokoi","given":"Takashi","non-dropping-particle":"","parse-names":false,"suffix":""}],"container-title":"The Japanese Journal of Physiology","id":"ITEM-2","issue":"4","issued":{"date-parts":[["2005"]]},"page":"235-239","title":"Effects of Aerobic Exercise Training on the Stiffness of Central and Peripheral Arteries in Middle-Aged Sedentary Men","type":"article-journal","volume":"55"},"uris":["http://www.mendeley.com/documents/?uuid=a74af8e1-32fc-455b-977a-2cc64c913877"]}],"mendeley":{"formattedCitation":"(33,34)","plainTextFormattedCitation":"(33,34)","previouslyFormattedCitation":"(33,34)"},"properties":{"noteIndex":0},"schema":"https://github.com/citation-style-language/schema/raw/master/csl-citation.json"}</w:instrText>
      </w:r>
      <w:r w:rsidR="003F516D" w:rsidRPr="00CC670F">
        <w:rPr>
          <w:color w:val="000000" w:themeColor="text1"/>
        </w:rPr>
        <w:fldChar w:fldCharType="separate"/>
      </w:r>
      <w:r w:rsidR="00B515F5" w:rsidRPr="00B515F5">
        <w:rPr>
          <w:noProof/>
          <w:color w:val="000000" w:themeColor="text1"/>
        </w:rPr>
        <w:t>(33,34)</w:t>
      </w:r>
      <w:r w:rsidR="003F516D" w:rsidRPr="00CC670F">
        <w:rPr>
          <w:color w:val="000000" w:themeColor="text1"/>
        </w:rPr>
        <w:fldChar w:fldCharType="end"/>
      </w:r>
      <w:r w:rsidR="00B77A7D" w:rsidRPr="00CC670F">
        <w:rPr>
          <w:color w:val="000000" w:themeColor="text1"/>
        </w:rPr>
        <w:t xml:space="preserve"> Unlike previous studies, we used direct </w:t>
      </w:r>
      <w:r w:rsidR="004A0082" w:rsidRPr="00CC670F">
        <w:rPr>
          <w:color w:val="000000" w:themeColor="text1"/>
        </w:rPr>
        <w:t xml:space="preserve">CMR </w:t>
      </w:r>
      <w:r w:rsidR="00B77A7D" w:rsidRPr="00CC670F">
        <w:rPr>
          <w:color w:val="000000" w:themeColor="text1"/>
        </w:rPr>
        <w:t xml:space="preserve">assessment of the aorta </w:t>
      </w:r>
      <w:r w:rsidR="001B67C0" w:rsidRPr="00CC670F">
        <w:rPr>
          <w:color w:val="000000" w:themeColor="text1"/>
        </w:rPr>
        <w:t xml:space="preserve">and </w:t>
      </w:r>
      <w:r w:rsidR="00560FEF" w:rsidRPr="00CC670F">
        <w:rPr>
          <w:color w:val="000000" w:themeColor="text1"/>
        </w:rPr>
        <w:t>over a longer</w:t>
      </w:r>
      <w:r w:rsidR="00B77A7D" w:rsidRPr="00CC670F">
        <w:rPr>
          <w:color w:val="000000" w:themeColor="text1"/>
        </w:rPr>
        <w:t xml:space="preserve"> duration of training</w:t>
      </w:r>
      <w:r w:rsidR="0082207A" w:rsidRPr="00CC670F">
        <w:rPr>
          <w:color w:val="000000" w:themeColor="text1"/>
        </w:rPr>
        <w:t xml:space="preserve"> </w:t>
      </w:r>
      <w:r w:rsidR="001B67C0" w:rsidRPr="00CC670F">
        <w:rPr>
          <w:color w:val="000000" w:themeColor="text1"/>
        </w:rPr>
        <w:t xml:space="preserve">for </w:t>
      </w:r>
      <w:r w:rsidR="008B1682" w:rsidRPr="00CC670F">
        <w:rPr>
          <w:color w:val="000000" w:themeColor="text1"/>
        </w:rPr>
        <w:t xml:space="preserve">aortic </w:t>
      </w:r>
      <w:r w:rsidR="00947883" w:rsidRPr="00CC670F">
        <w:rPr>
          <w:color w:val="000000" w:themeColor="text1"/>
        </w:rPr>
        <w:t>remodeling</w:t>
      </w:r>
      <w:r w:rsidR="00B77A7D" w:rsidRPr="00CC670F">
        <w:rPr>
          <w:color w:val="000000" w:themeColor="text1"/>
        </w:rPr>
        <w:t>.</w:t>
      </w:r>
      <w:r w:rsidR="005D4570" w:rsidRPr="00CC670F">
        <w:rPr>
          <w:color w:val="000000" w:themeColor="text1"/>
        </w:rPr>
        <w:t xml:space="preserve"> Differences in intrinsic stiffness may be due to endothelial function, smooth muscle tone or dietary factors</w:t>
      </w:r>
      <w:r w:rsidR="008B1682" w:rsidRPr="00CC670F">
        <w:rPr>
          <w:color w:val="000000" w:themeColor="text1"/>
        </w:rPr>
        <w:t xml:space="preserve"> </w:t>
      </w:r>
      <w:r w:rsidR="0016747A" w:rsidRPr="00CC670F">
        <w:rPr>
          <w:color w:val="000000" w:themeColor="text1"/>
        </w:rPr>
        <w:t>but</w:t>
      </w:r>
      <w:r w:rsidR="008B1682" w:rsidRPr="00CC670F">
        <w:rPr>
          <w:color w:val="000000" w:themeColor="text1"/>
        </w:rPr>
        <w:t xml:space="preserve"> were beyond the </w:t>
      </w:r>
      <w:r w:rsidR="003A503B" w:rsidRPr="00CC670F">
        <w:rPr>
          <w:color w:val="000000" w:themeColor="text1"/>
        </w:rPr>
        <w:t xml:space="preserve">measurement </w:t>
      </w:r>
      <w:r w:rsidR="008B1682" w:rsidRPr="00CC670F">
        <w:rPr>
          <w:color w:val="000000" w:themeColor="text1"/>
        </w:rPr>
        <w:t>scope of this study.</w:t>
      </w:r>
      <w:r w:rsidR="00F2082A" w:rsidRPr="00CC670F">
        <w:rPr>
          <w:color w:val="000000" w:themeColor="text1"/>
        </w:rPr>
        <w:fldChar w:fldCharType="begin" w:fldLock="1"/>
      </w:r>
      <w:r w:rsidR="00257AD6">
        <w:rPr>
          <w:color w:val="000000" w:themeColor="text1"/>
        </w:rPr>
        <w:instrText>ADDIN CSL_CITATION {"citationItems":[{"id":"ITEM-1","itemData":{"DOI":"10.1186/s12947-016-0063-6","ISSN":"1476-7120","author":[{"dropping-particle":"","family":"Hafner","given":"Nicole M.","non-dropping-particle":"","parse-names":false,"suffix":""},{"dropping-particle":"","family":"Womack","given":"Christopher J.","non-dropping-particle":"","parse-names":false,"suffix":""},{"dropping-particle":"","family":"Luden","given":"Nicholas D.","non-dropping-particle":"","parse-names":false,"suffix":""},{"dropping-particle":"","family":"Todd","given":"Mikel K.","non-dropping-particle":"","parse-names":false,"suffix":""}],"container-title":"Cardiovascular Ultrasound","id":"ITEM-1","issue":"1","issued":{"date-parts":[["2016","12","26"]]},"page":"19","title":"Arterial adaptations to training among first time marathoners","type":"article-journal","volume":"14"},"uris":["http://www.mendeley.com/documents/?uuid=1fe28f49-ffaf-38d8-8823-d13fc01f34e5"]}],"mendeley":{"formattedCitation":"(31)","plainTextFormattedCitation":"(31)","previouslyFormattedCitation":"(31)"},"properties":{"noteIndex":0},"schema":"https://github.com/citation-style-language/schema/raw/master/csl-citation.json"}</w:instrText>
      </w:r>
      <w:r w:rsidR="00F2082A" w:rsidRPr="00CC670F">
        <w:rPr>
          <w:color w:val="000000" w:themeColor="text1"/>
        </w:rPr>
        <w:fldChar w:fldCharType="separate"/>
      </w:r>
      <w:r w:rsidR="00B515F5" w:rsidRPr="00B515F5">
        <w:rPr>
          <w:noProof/>
          <w:color w:val="000000" w:themeColor="text1"/>
        </w:rPr>
        <w:t>(31)</w:t>
      </w:r>
      <w:r w:rsidR="00F2082A" w:rsidRPr="00CC670F">
        <w:rPr>
          <w:color w:val="000000" w:themeColor="text1"/>
        </w:rPr>
        <w:fldChar w:fldCharType="end"/>
      </w:r>
      <w:r w:rsidR="002910AC" w:rsidRPr="00CC670F">
        <w:rPr>
          <w:color w:val="000000" w:themeColor="text1"/>
        </w:rPr>
        <w:t xml:space="preserve"> Older</w:t>
      </w:r>
      <w:r w:rsidR="00B9210A" w:rsidRPr="00CC670F">
        <w:rPr>
          <w:color w:val="000000" w:themeColor="text1"/>
        </w:rPr>
        <w:t>,</w:t>
      </w:r>
      <w:r w:rsidR="002910AC" w:rsidRPr="00CC670F">
        <w:rPr>
          <w:color w:val="000000" w:themeColor="text1"/>
        </w:rPr>
        <w:t xml:space="preserve"> male runners had a greater reduction in aortic stiffness, attributable to greater baseline BP and aortic stiffness.</w:t>
      </w:r>
      <w:r w:rsidR="002F6B08" w:rsidRPr="00CC670F">
        <w:rPr>
          <w:color w:val="000000" w:themeColor="text1"/>
        </w:rPr>
        <w:t xml:space="preserve"> </w:t>
      </w:r>
      <w:r w:rsidR="00DE0085" w:rsidRPr="00CC670F">
        <w:rPr>
          <w:color w:val="000000" w:themeColor="text1"/>
        </w:rPr>
        <w:t>Whilst a</w:t>
      </w:r>
      <w:r w:rsidR="002F6B08" w:rsidRPr="00CC670F">
        <w:rPr>
          <w:color w:val="000000" w:themeColor="text1"/>
        </w:rPr>
        <w:t xml:space="preserve">ortic stiffening increases significantly after the age of 50, </w:t>
      </w:r>
      <w:r w:rsidR="003B6B3C" w:rsidRPr="00CC670F">
        <w:rPr>
          <w:color w:val="000000" w:themeColor="text1"/>
        </w:rPr>
        <w:t>these data</w:t>
      </w:r>
      <w:r w:rsidR="002F6B08" w:rsidRPr="00CC670F">
        <w:rPr>
          <w:color w:val="000000" w:themeColor="text1"/>
        </w:rPr>
        <w:t xml:space="preserve"> suggest</w:t>
      </w:r>
      <w:r w:rsidR="003B6B3C" w:rsidRPr="00CC670F">
        <w:rPr>
          <w:color w:val="000000" w:themeColor="text1"/>
        </w:rPr>
        <w:t xml:space="preserve"> </w:t>
      </w:r>
      <w:r w:rsidR="002F6B08" w:rsidRPr="00CC670F">
        <w:rPr>
          <w:color w:val="000000" w:themeColor="text1"/>
        </w:rPr>
        <w:t xml:space="preserve">that this is </w:t>
      </w:r>
      <w:r w:rsidR="00EF1AC0" w:rsidRPr="00CC670F">
        <w:rPr>
          <w:color w:val="000000" w:themeColor="text1"/>
        </w:rPr>
        <w:t xml:space="preserve">in part </w:t>
      </w:r>
      <w:r w:rsidR="00C257B7" w:rsidRPr="00CC670F">
        <w:rPr>
          <w:color w:val="000000" w:themeColor="text1"/>
        </w:rPr>
        <w:t xml:space="preserve">modifiable </w:t>
      </w:r>
      <w:r w:rsidR="002F6B08" w:rsidRPr="00CC670F">
        <w:rPr>
          <w:color w:val="000000" w:themeColor="text1"/>
        </w:rPr>
        <w:t>in non-hypertensive individua</w:t>
      </w:r>
      <w:r w:rsidR="00DE0085" w:rsidRPr="00CC670F">
        <w:rPr>
          <w:color w:val="000000" w:themeColor="text1"/>
        </w:rPr>
        <w:t>l</w:t>
      </w:r>
      <w:r w:rsidR="002F6B08" w:rsidRPr="00CC670F">
        <w:rPr>
          <w:color w:val="000000" w:themeColor="text1"/>
        </w:rPr>
        <w:t>s.</w:t>
      </w:r>
      <w:r w:rsidR="00DE0085" w:rsidRPr="00CC670F">
        <w:rPr>
          <w:color w:val="000000" w:themeColor="text1"/>
        </w:rPr>
        <w:fldChar w:fldCharType="begin" w:fldLock="1"/>
      </w:r>
      <w:r w:rsidR="00257AD6">
        <w:rPr>
          <w:color w:val="000000" w:themeColor="text1"/>
        </w:rPr>
        <w:instrText>ADDIN CSL_CITATION {"citationItems":[{"id":"ITEM-1","itemData":{"DOI":"10.1016/j.jacc.2005.07.037","ISSN":"0735-1097","author":[{"dropping-particle":"","family":"McEniery","given":"Carmel M.","non-dropping-particle":"","parse-names":false,"suffix":""},{"dropping-particle":"","family":"Yasmin","given":"","non-dropping-particle":"","parse-names":false,"suffix":""},{"dropping-particle":"","family":"Hall","given":"Ian R.","non-dropping-particle":"","parse-names":false,"suffix":""},{"dropping-particle":"","family":"Qasem","given":"Ahmad","non-dropping-particle":"","parse-names":false,"suffix":""},{"dropping-particle":"","family":"Wilkinson","given":"Ian B.","non-dropping-particle":"","parse-names":false,"suffix":""},{"dropping-particle":"","family":"Cockcroft","given":"John R.","non-dropping-particle":"","parse-names":false,"suffix":""},{"dropping-particle":"","family":"Investigators","given":"ACCT","non-dropping-particle":"","parse-names":false,"suffix":""}],"container-title":"Journal of the American College of Cardiology","id":"ITEM-1","issue":"9","issued":{"date-parts":[["2005"]]},"page":"1753-1760","publisher":"Elsevier Masson SAS","title":"Normal Vascular Aging : Differential Effects on Wave Reflection and Aortic Pulse Wave Velocity","type":"article-journal","volume":"46"},"uris":["http://www.mendeley.com/documents/?uuid=a1663489-127c-4820-8f29-466f2795e039"]}],"mendeley":{"formattedCitation":"(35)","plainTextFormattedCitation":"(35)","previouslyFormattedCitation":"(35)"},"properties":{"noteIndex":0},"schema":"https://github.com/citation-style-language/schema/raw/master/csl-citation.json"}</w:instrText>
      </w:r>
      <w:r w:rsidR="00DE0085" w:rsidRPr="00CC670F">
        <w:rPr>
          <w:color w:val="000000" w:themeColor="text1"/>
        </w:rPr>
        <w:fldChar w:fldCharType="separate"/>
      </w:r>
      <w:r w:rsidR="00B515F5" w:rsidRPr="00B515F5">
        <w:rPr>
          <w:noProof/>
          <w:color w:val="000000" w:themeColor="text1"/>
        </w:rPr>
        <w:t>(35)</w:t>
      </w:r>
      <w:r w:rsidR="00DE0085" w:rsidRPr="00CC670F">
        <w:rPr>
          <w:color w:val="000000" w:themeColor="text1"/>
        </w:rPr>
        <w:fldChar w:fldCharType="end"/>
      </w:r>
      <w:r w:rsidR="002F6B08" w:rsidRPr="00CC670F">
        <w:rPr>
          <w:color w:val="000000" w:themeColor="text1"/>
        </w:rPr>
        <w:t xml:space="preserve"> </w:t>
      </w:r>
      <w:r w:rsidR="001A0D55" w:rsidRPr="00CC670F">
        <w:rPr>
          <w:color w:val="000000" w:themeColor="text1"/>
        </w:rPr>
        <w:t xml:space="preserve">Slower marathon runners also had a greater </w:t>
      </w:r>
      <w:r w:rsidR="00A11070" w:rsidRPr="00CC670F">
        <w:rPr>
          <w:color w:val="000000" w:themeColor="text1"/>
        </w:rPr>
        <w:t>reduction</w:t>
      </w:r>
      <w:r w:rsidR="001A0D55" w:rsidRPr="00CC670F">
        <w:rPr>
          <w:color w:val="000000" w:themeColor="text1"/>
        </w:rPr>
        <w:t xml:space="preserve"> in distensi</w:t>
      </w:r>
      <w:r w:rsidR="00E95DEF" w:rsidRPr="00CC670F">
        <w:rPr>
          <w:color w:val="000000" w:themeColor="text1"/>
        </w:rPr>
        <w:t>bi</w:t>
      </w:r>
      <w:r w:rsidR="001A0D55" w:rsidRPr="00CC670F">
        <w:rPr>
          <w:color w:val="000000" w:themeColor="text1"/>
        </w:rPr>
        <w:t>lity</w:t>
      </w:r>
      <w:r w:rsidR="00C257B7" w:rsidRPr="00CC670F">
        <w:rPr>
          <w:color w:val="000000" w:themeColor="text1"/>
        </w:rPr>
        <w:t xml:space="preserve"> from higher baseline measures of stiffness</w:t>
      </w:r>
      <w:r w:rsidR="00602AA7" w:rsidRPr="00CC670F">
        <w:rPr>
          <w:color w:val="000000" w:themeColor="text1"/>
        </w:rPr>
        <w:t xml:space="preserve">, although </w:t>
      </w:r>
      <w:r w:rsidR="0089441C" w:rsidRPr="00CC670F">
        <w:rPr>
          <w:color w:val="000000" w:themeColor="text1"/>
        </w:rPr>
        <w:t>directionality can</w:t>
      </w:r>
      <w:r w:rsidR="00C257B7" w:rsidRPr="00CC670F">
        <w:rPr>
          <w:color w:val="000000" w:themeColor="text1"/>
        </w:rPr>
        <w:t xml:space="preserve"> only be assumed </w:t>
      </w:r>
      <w:r w:rsidR="0089441C" w:rsidRPr="00CC670F">
        <w:rPr>
          <w:color w:val="000000" w:themeColor="text1"/>
        </w:rPr>
        <w:t>in this study</w:t>
      </w:r>
      <w:r w:rsidR="00602AA7" w:rsidRPr="00CC670F">
        <w:rPr>
          <w:color w:val="000000" w:themeColor="text1"/>
        </w:rPr>
        <w:t>.</w:t>
      </w:r>
      <w:r w:rsidR="00B350D2" w:rsidRPr="00CC670F">
        <w:rPr>
          <w:color w:val="000000" w:themeColor="text1"/>
        </w:rPr>
        <w:t xml:space="preserve"> </w:t>
      </w:r>
    </w:p>
    <w:p w14:paraId="7F807596" w14:textId="49B27446" w:rsidR="00C63C61" w:rsidRDefault="00EB71DA" w:rsidP="007A7155">
      <w:pPr>
        <w:spacing w:before="0" w:after="0"/>
        <w:ind w:firstLine="720"/>
        <w:rPr>
          <w:color w:val="000000" w:themeColor="text1"/>
        </w:rPr>
      </w:pPr>
      <w:r w:rsidRPr="00CC670F">
        <w:rPr>
          <w:color w:val="000000" w:themeColor="text1"/>
          <w:shd w:val="clear" w:color="auto" w:fill="FFFFFF"/>
        </w:rPr>
        <w:t xml:space="preserve">Structural properties may explain the preferential effect of exercise on the descending thoracic aorta. </w:t>
      </w:r>
      <w:r w:rsidR="00827EEF" w:rsidRPr="00CC670F">
        <w:rPr>
          <w:color w:val="000000" w:themeColor="text1"/>
          <w:shd w:val="clear" w:color="auto" w:fill="FFFFFF"/>
        </w:rPr>
        <w:t>The proximal aorta media has a higher elastin:collagen ratio to maintain high compliance.</w:t>
      </w:r>
      <w:r w:rsidR="00827EEF" w:rsidRPr="00CC670F">
        <w:rPr>
          <w:color w:val="000000" w:themeColor="text1"/>
          <w:shd w:val="clear" w:color="auto" w:fill="FFFFFF"/>
        </w:rPr>
        <w:fldChar w:fldCharType="begin" w:fldLock="1"/>
      </w:r>
      <w:r w:rsidR="00257AD6">
        <w:rPr>
          <w:color w:val="000000" w:themeColor="text1"/>
          <w:shd w:val="clear" w:color="auto" w:fill="FFFFFF"/>
        </w:rPr>
        <w:instrText>ADDIN CSL_CITATION {"citationItems":[{"id":"ITEM-1","itemData":{"DOI":"10.1161/01.CIR.0000069826.36125.B4","ISBN":"0895-7061","ISSN":"00097322","PMID":"12796414","abstract":"... other molecules, through their role in cell-cell and cell- matrix attachments, may ... 33 On the other hand, chronic aldosterone excess produces increased isobaric carotid stiffness and arterial ... in VSM tone may occur either directly or through signals arising from endothelial cells . ... \\n","author":[{"dropping-particle":"","family":"Safar","given":"Michel E.","non-dropping-particle":"","parse-names":false,"suffix":""},{"dropping-particle":"","family":"Levy","given":"Bernard I.","non-dropping-particle":"","parse-names":false,"suffix":""},{"dropping-particle":"","family":"Struijker-Boudier","given":"Harry","non-dropping-particle":"","parse-names":false,"suffix":""}],"container-title":"Circulation","id":"ITEM-1","issue":"22","issued":{"date-parts":[["2003"]]},"page":"2864-2869","title":"Current perspectives on arterial stiffness and pulse pressure in hypertension and cardiovascular diseases","type":"article-journal","volume":"107"},"uris":["http://www.mendeley.com/documents/?uuid=ecd1fc6f-2dad-462f-8579-1819e9dcd070"]}],"mendeley":{"formattedCitation":"(36)","plainTextFormattedCitation":"(36)","previouslyFormattedCitation":"(36)"},"properties":{"noteIndex":0},"schema":"https://github.com/citation-style-language/schema/raw/master/csl-citation.json"}</w:instrText>
      </w:r>
      <w:r w:rsidR="00827EEF" w:rsidRPr="00CC670F">
        <w:rPr>
          <w:color w:val="000000" w:themeColor="text1"/>
          <w:shd w:val="clear" w:color="auto" w:fill="FFFFFF"/>
        </w:rPr>
        <w:fldChar w:fldCharType="separate"/>
      </w:r>
      <w:r w:rsidR="00B515F5" w:rsidRPr="00B515F5">
        <w:rPr>
          <w:noProof/>
          <w:color w:val="000000" w:themeColor="text1"/>
          <w:shd w:val="clear" w:color="auto" w:fill="FFFFFF"/>
        </w:rPr>
        <w:t>(36)</w:t>
      </w:r>
      <w:r w:rsidR="00827EEF" w:rsidRPr="00CC670F">
        <w:rPr>
          <w:color w:val="000000" w:themeColor="text1"/>
          <w:shd w:val="clear" w:color="auto" w:fill="FFFFFF"/>
        </w:rPr>
        <w:fldChar w:fldCharType="end"/>
      </w:r>
      <w:r w:rsidR="00827EEF" w:rsidRPr="00CC670F">
        <w:rPr>
          <w:color w:val="000000" w:themeColor="text1"/>
          <w:shd w:val="clear" w:color="auto" w:fill="FFFFFF"/>
        </w:rPr>
        <w:t xml:space="preserve"> Conversely, the distal aorta media contains a higher proportion of smooth muscle</w:t>
      </w:r>
      <w:r w:rsidR="00DB2F60" w:rsidRPr="00CC670F">
        <w:rPr>
          <w:color w:val="000000" w:themeColor="text1"/>
          <w:shd w:val="clear" w:color="auto" w:fill="FFFFFF"/>
        </w:rPr>
        <w:t xml:space="preserve"> that may be more </w:t>
      </w:r>
      <w:r w:rsidR="00D717A5" w:rsidRPr="00CC670F">
        <w:rPr>
          <w:color w:val="000000" w:themeColor="text1"/>
          <w:shd w:val="clear" w:color="auto" w:fill="FFFFFF"/>
        </w:rPr>
        <w:t xml:space="preserve">readily </w:t>
      </w:r>
      <w:r w:rsidR="00DB2F60" w:rsidRPr="00CC670F">
        <w:rPr>
          <w:color w:val="000000" w:themeColor="text1"/>
          <w:shd w:val="clear" w:color="auto" w:fill="FFFFFF"/>
        </w:rPr>
        <w:t xml:space="preserve">modifiable </w:t>
      </w:r>
      <w:r w:rsidR="00D717A5" w:rsidRPr="00CC670F">
        <w:rPr>
          <w:color w:val="000000" w:themeColor="text1"/>
          <w:shd w:val="clear" w:color="auto" w:fill="FFFFFF"/>
        </w:rPr>
        <w:t>with</w:t>
      </w:r>
      <w:r w:rsidR="006B6903" w:rsidRPr="00CC670F">
        <w:rPr>
          <w:color w:val="000000" w:themeColor="text1"/>
          <w:shd w:val="clear" w:color="auto" w:fill="FFFFFF"/>
        </w:rPr>
        <w:t>in a six</w:t>
      </w:r>
      <w:r w:rsidR="002A6257">
        <w:rPr>
          <w:color w:val="000000" w:themeColor="text1"/>
          <w:shd w:val="clear" w:color="auto" w:fill="FFFFFF"/>
        </w:rPr>
        <w:t>-</w:t>
      </w:r>
      <w:r w:rsidR="006B6903" w:rsidRPr="00CC670F">
        <w:rPr>
          <w:color w:val="000000" w:themeColor="text1"/>
          <w:shd w:val="clear" w:color="auto" w:fill="FFFFFF"/>
        </w:rPr>
        <w:t>month period</w:t>
      </w:r>
      <w:r w:rsidR="00827EEF" w:rsidRPr="00CC670F">
        <w:rPr>
          <w:color w:val="000000" w:themeColor="text1"/>
          <w:shd w:val="clear" w:color="auto" w:fill="FFFFFF"/>
        </w:rPr>
        <w:t>.</w:t>
      </w:r>
      <w:r w:rsidR="00EB565B">
        <w:rPr>
          <w:color w:val="000000" w:themeColor="text1"/>
          <w:shd w:val="clear" w:color="auto" w:fill="FFFFFF"/>
        </w:rPr>
        <w:fldChar w:fldCharType="begin" w:fldLock="1"/>
      </w:r>
      <w:r w:rsidR="00174470">
        <w:rPr>
          <w:color w:val="000000" w:themeColor="text1"/>
          <w:shd w:val="clear" w:color="auto" w:fill="FFFFFF"/>
        </w:rPr>
        <w:instrText>ADDIN CSL_CITATION {"citationItems":[{"id":"ITEM-1","itemData":{"DOI":"10.1016/S0002-9149(77)80004-0","ISSN":"00029149","abstract":"The histologic changes that occur in the media of the normal aorta at various ages were studied in 100 normal aortas. These changes encompassed (1) cystic medial necrosis, defined as pooling of mucoid material; (2) elastin fragmentation, characterized by disruption of elastin lamellae; (3) fibrosis, defined as an increase in collagen at the expense of smooth muscle cells; and (4) medionecrosis, defined as areas with apparent loss of nuclei. The changes showed a striking correlation with age and may represent the normal aging process for the aorta as determined histologically. The alterations showed a close relation in onset and location within the media, suggesting a phenomenon of injury and repair caused by hemodynamic events. These findings in the normal aging aorta reveal that none of the histologic changes observed can be regarded as the specific structural alteration responsible for the development of dissecting aneurysm. © 1977 Dun • Donnelley Publishing Corporation 666 Fifth Avenue, New York, New York 10019 All rights reserved.","author":[{"dropping-particle":"","family":"Schlatmann","given":"Thomas J.M.","non-dropping-particle":"","parse-names":false,"suffix":""},{"dropping-particle":"","family":"Becker","given":"Anton E.","non-dropping-particle":"","parse-names":false,"suffix":""}],"container-title":"The American Journal of Cardiology","id":"ITEM-1","issue":"1","issued":{"date-parts":[["1977"]]},"page":"13-20","title":"Histologic changes in the normal aging aorta: Implications for dissecting aortic aneurysm","type":"article-journal","volume":"39"},"uris":["http://www.mendeley.com/documents/?uuid=0f94cd28-1c6b-4cb7-ba28-4cc641b4bc33"]}],"mendeley":{"formattedCitation":"(15)","plainTextFormattedCitation":"(15)","previouslyFormattedCitation":"(15)"},"properties":{"noteIndex":0},"schema":"https://github.com/citation-style-language/schema/raw/master/csl-citation.json"}</w:instrText>
      </w:r>
      <w:r w:rsidR="00EB565B">
        <w:rPr>
          <w:color w:val="000000" w:themeColor="text1"/>
          <w:shd w:val="clear" w:color="auto" w:fill="FFFFFF"/>
        </w:rPr>
        <w:fldChar w:fldCharType="separate"/>
      </w:r>
      <w:r w:rsidR="00D93162" w:rsidRPr="00D93162">
        <w:rPr>
          <w:noProof/>
          <w:color w:val="000000" w:themeColor="text1"/>
          <w:shd w:val="clear" w:color="auto" w:fill="FFFFFF"/>
        </w:rPr>
        <w:t>(15)</w:t>
      </w:r>
      <w:r w:rsidR="00EB565B">
        <w:rPr>
          <w:color w:val="000000" w:themeColor="text1"/>
          <w:shd w:val="clear" w:color="auto" w:fill="FFFFFF"/>
        </w:rPr>
        <w:fldChar w:fldCharType="end"/>
      </w:r>
      <w:r w:rsidR="00827EEF" w:rsidRPr="00CC670F">
        <w:rPr>
          <w:color w:val="000000" w:themeColor="text1"/>
        </w:rPr>
        <w:t xml:space="preserve"> </w:t>
      </w:r>
      <w:r w:rsidR="006D604F" w:rsidRPr="00CC670F">
        <w:rPr>
          <w:color w:val="000000" w:themeColor="text1"/>
        </w:rPr>
        <w:t>The effect of b</w:t>
      </w:r>
      <w:r w:rsidR="00827EEF" w:rsidRPr="00CC670F">
        <w:rPr>
          <w:color w:val="000000" w:themeColor="text1"/>
        </w:rPr>
        <w:t xml:space="preserve">oth exercise and combination medication have </w:t>
      </w:r>
      <w:r w:rsidR="006D604F" w:rsidRPr="00CC670F">
        <w:rPr>
          <w:color w:val="000000" w:themeColor="text1"/>
        </w:rPr>
        <w:t xml:space="preserve">previously </w:t>
      </w:r>
      <w:r w:rsidR="00827EEF" w:rsidRPr="00CC670F">
        <w:rPr>
          <w:color w:val="000000" w:themeColor="text1"/>
        </w:rPr>
        <w:t xml:space="preserve">been noted to have </w:t>
      </w:r>
      <w:r w:rsidR="00B7155E" w:rsidRPr="00CC670F">
        <w:rPr>
          <w:color w:val="000000" w:themeColor="text1"/>
        </w:rPr>
        <w:t xml:space="preserve">an </w:t>
      </w:r>
      <w:r w:rsidR="00827EEF" w:rsidRPr="00CC670F">
        <w:rPr>
          <w:color w:val="000000" w:themeColor="text1"/>
        </w:rPr>
        <w:t xml:space="preserve">effect </w:t>
      </w:r>
      <w:r w:rsidR="006D604F" w:rsidRPr="00CC670F">
        <w:rPr>
          <w:color w:val="000000" w:themeColor="text1"/>
        </w:rPr>
        <w:t xml:space="preserve">on the arterial tree </w:t>
      </w:r>
      <w:r w:rsidR="00827EEF" w:rsidRPr="00CC670F">
        <w:rPr>
          <w:color w:val="000000" w:themeColor="text1"/>
        </w:rPr>
        <w:t xml:space="preserve">that can vary </w:t>
      </w:r>
      <w:r w:rsidR="00646B1C" w:rsidRPr="00CC670F">
        <w:rPr>
          <w:color w:val="000000" w:themeColor="text1"/>
        </w:rPr>
        <w:t xml:space="preserve">by </w:t>
      </w:r>
      <w:r w:rsidR="009E1D28" w:rsidRPr="00CC670F">
        <w:rPr>
          <w:color w:val="000000" w:themeColor="text1"/>
        </w:rPr>
        <w:t>25</w:t>
      </w:r>
      <w:r w:rsidR="00827EEF" w:rsidRPr="00CC670F">
        <w:rPr>
          <w:color w:val="000000" w:themeColor="text1"/>
        </w:rPr>
        <w:t>%</w:t>
      </w:r>
      <w:r w:rsidR="00A62ABD" w:rsidRPr="00CC670F">
        <w:rPr>
          <w:color w:val="000000" w:themeColor="text1"/>
        </w:rPr>
        <w:t xml:space="preserve"> depending on the </w:t>
      </w:r>
      <w:r w:rsidR="00B7155E" w:rsidRPr="00CC670F">
        <w:rPr>
          <w:color w:val="000000" w:themeColor="text1"/>
        </w:rPr>
        <w:t>branch</w:t>
      </w:r>
      <w:r w:rsidR="00827EEF" w:rsidRPr="00CC670F">
        <w:rPr>
          <w:color w:val="000000" w:themeColor="text1"/>
        </w:rPr>
        <w:t>.</w:t>
      </w:r>
      <w:r w:rsidR="00827EEF" w:rsidRPr="00CC670F">
        <w:rPr>
          <w:color w:val="000000" w:themeColor="text1"/>
        </w:rPr>
        <w:fldChar w:fldCharType="begin" w:fldLock="1"/>
      </w:r>
      <w:r w:rsidR="00257AD6">
        <w:rPr>
          <w:color w:val="000000" w:themeColor="text1"/>
        </w:rPr>
        <w:instrText>ADDIN CSL_CITATION {"citationItems":[{"id":"ITEM-1","itemData":{"DOI":"10.2170/jjphysiol.S2116","ISBN":"8129861666","ISSN":"0021-521X","PMID":"16248931","abstract":"Aortic pulse wave velocity (PWV) significantly decreased after 16 weeks of moderate-intensity exercise training (walking/jogging) in 17 sedentary middle-aged men, whereas leg PWV did not. These results suggest that in contrast with central arterial stiffness, peripheral arterial stiffness is difficult to change with aerobic exercise training.","author":[{"dropping-particle":"","family":"Hayashi","given":"Koichiro","non-dropping-particle":"","parse-names":false,"suffix":""},{"dropping-particle":"","family":"Sugawara","given":"Jun","non-dropping-particle":"","parse-names":false,"suffix":""},{"dropping-particle":"","family":"Komine","given":"Hidehiko","non-dropping-particle":"","parse-names":false,"suffix":""},{"dropping-particle":"","family":"Maeda","given":"Seiji","non-dropping-particle":"","parse-names":false,"suffix":""},{"dropping-particle":"","family":"Yokoi","given":"Takashi","non-dropping-particle":"","parse-names":false,"suffix":""}],"container-title":"The Japanese Journal of Physiology","id":"ITEM-1","issue":"4","issued":{"date-parts":[["2005"]]},"page":"235-239","title":"Effects of Aerobic Exercise Training on the Stiffness of Central and Peripheral Arteries in Middle-Aged Sedentary Men","type":"article-journal","volume":"55"},"uris":["http://www.mendeley.com/documents/?uuid=a74af8e1-32fc-455b-977a-2cc64c913877"]},{"id":"ITEM-2","itemData":{"ISSN":"0039-2499","PMID":"10229744","abstract":"BACKGROUND AND PURPOSE Converting enzyme inhibition and calcium blockade alter large arteries in hypertension. However, the heterogeneity of the response according to the site of cardiovascular measurements has never been investigated. METHODS In a double-blind study, we compared for 180 days 3 hypertensive patient groups treated with verapamil, trandolapril, or their combination. Using echo-Doppler technique and applanation tonometry, we independently measured mean pressure, local pulse pressure, arterial diameter, and distensibility at 3 arterial sites (brachial and common carotid arteries and abdominal aorta), as well as cardiac and carotid wall structure. RESULTS Mean and pulse pressure decreased significantly to a greater extent with the drug combination. Regarding arterial and cardiac hemodynamics, significant and similar changes were noted in the 3 groups: decreases in abdominal aorta and carotid but not brachial diameter; increases in carotid artery, abdominal aorta, and brachial distensibility even after adjustment to mean blood pressure reduction; and more substantial regression of cardiac mass than carotid wall thickness. CONCLUSIONS This study shows that both compounds and more significantly combination therapy decreased mean and pulse pressures measured independently and that the changes in diameter, thickness, and stiffness were influenced primarily by the site of cardiovascular measurements, resulting in a predominant increase in distensibility of muscular arteries, little change in carotid wall thickness, but a significant regression of cardiac hypertrophy.","author":[{"dropping-particle":"","family":"Topouchian","given":"J","non-dropping-particle":"","parse-names":false,"suffix":""},{"dropping-particle":"","family":"Asmar","given":"R","non-dropping-particle":"","parse-names":false,"suffix":""},{"dropping-particle":"","family":"Sayegh","given":"F","non-dropping-particle":"","parse-names":false,"suffix":""},{"dropping-particle":"","family":"Rudnicki","given":"A","non-dropping-particle":"","parse-names":false,"suffix":""},{"dropping-particle":"","family":"Benetos","given":"A","non-dropping-particle":"","parse-names":false,"suffix":""},{"dropping-particle":"","family":"Bacri","given":"A M","non-dropping-particle":"","parse-names":false,"suffix":""},{"dropping-particle":"","family":"Safar","given":"M E","non-dropping-particle":"","parse-names":false,"suffix":""}],"container-title":"Stroke","id":"ITEM-2","issue":"5","issued":{"date-parts":[["1999","5"]]},"page":"1056-64","title":"Changes in arterial structure and function under trandolapril-verapamil combination in hypertension.","type":"article-journal","volume":"30"},"uris":["http://www.mendeley.com/documents/?uuid=ef320377-f180-38f2-8c9d-9a1104675c5b"]}],"mendeley":{"formattedCitation":"(34,37)","plainTextFormattedCitation":"(34,37)","previouslyFormattedCitation":"(34,37)"},"properties":{"noteIndex":0},"schema":"https://github.com/citation-style-language/schema/raw/master/csl-citation.json"}</w:instrText>
      </w:r>
      <w:r w:rsidR="00827EEF" w:rsidRPr="00CC670F">
        <w:rPr>
          <w:color w:val="000000" w:themeColor="text1"/>
        </w:rPr>
        <w:fldChar w:fldCharType="separate"/>
      </w:r>
      <w:r w:rsidR="00B515F5" w:rsidRPr="00B515F5">
        <w:rPr>
          <w:noProof/>
          <w:color w:val="000000" w:themeColor="text1"/>
        </w:rPr>
        <w:t>(34,37)</w:t>
      </w:r>
      <w:r w:rsidR="00827EEF" w:rsidRPr="00CC670F">
        <w:rPr>
          <w:color w:val="000000" w:themeColor="text1"/>
        </w:rPr>
        <w:fldChar w:fldCharType="end"/>
      </w:r>
      <w:r w:rsidR="0032265C" w:rsidRPr="00C63C61">
        <w:t xml:space="preserve"> </w:t>
      </w:r>
      <w:r w:rsidR="00C63C61" w:rsidRPr="00C63C61">
        <w:t xml:space="preserve">Regional (PWV) and local (distensibility) </w:t>
      </w:r>
      <w:r w:rsidR="00C63C61">
        <w:t xml:space="preserve">measurement of </w:t>
      </w:r>
      <w:r w:rsidR="00C63C61" w:rsidRPr="00C63C61">
        <w:t xml:space="preserve">aortic stiffness </w:t>
      </w:r>
      <w:r w:rsidR="00C63C61">
        <w:t>both capture this heterogeneity</w:t>
      </w:r>
      <w:r w:rsidR="00903F20">
        <w:t>,</w:t>
      </w:r>
      <w:r w:rsidR="00C63C61">
        <w:t xml:space="preserve"> but are </w:t>
      </w:r>
      <w:r w:rsidR="00C63C61" w:rsidRPr="00C63C61">
        <w:t>associated with different cardiovascular outcomes,</w:t>
      </w:r>
      <w:r w:rsidR="00C63C61">
        <w:t xml:space="preserve"> and demonstrate distinct sensitivities to downstream pathological manifestations of arterial stiffening.</w:t>
      </w:r>
      <w:r w:rsidR="00C63C61" w:rsidRPr="00C63C61">
        <w:fldChar w:fldCharType="begin" w:fldLock="1"/>
      </w:r>
      <w:r w:rsidR="00257AD6">
        <w:instrText>ADDIN CSL_CITATION {"citationItems":[{"id":"ITEM-1","itemData":{"DOI":"10.1186/1532-429X-16-33","ISSN":"1532-429X","abstract":"Cardiovascular magnetic resonance (CMR) has been validated for the noninvasive assessment of total arterial compliance and aortic stiffness, but their associations with cardiovascular outcomes is unknown. The purpose of this study was to evaluate associations of CMR measures of total arterial compliance and two CMR measures of aortic stiffness with respect to future cardiovascular events.","author":[{"dropping-particle":"","family":"Maroules","given":"Christopher D","non-dropping-particle":"","parse-names":false,"suffix":""},{"dropping-particle":"","family":"Khera","given":"Amit","non-dropping-particle":"","parse-names":false,"suffix":""},{"dropping-particle":"","family":"Ayers","given":"Colby","non-dropping-particle":"","parse-names":false,"suffix":""},{"dropping-particle":"","family":"Goel","given":"Akshay","non-dropping-particle":"","parse-names":false,"suffix":""},{"dropping-particle":"","family":"Peshock","given":"Ronald M","non-dropping-particle":"","parse-names":false,"suffix":""},{"dropping-particle":"","family":"Abbara","given":"Suhny","non-dropping-particle":"","parse-names":false,"suffix":""},{"dropping-particle":"","family":"King","given":"Kevin S","non-dropping-particle":"","parse-names":false,"suffix":""}],"container-title":"Journal of Cardiovascular Magnetic Resonance","id":"ITEM-1","issue":"1","issued":{"date-parts":[["2014","12","14"]]},"page":"33","title":"Cardiovascular outcome associations among cardiovascular magnetic resonance measures of arterial stiffness: the Dallas heart study","type":"article-journal","volume":"16"},"uris":["http://www.mendeley.com/documents/?uuid=bc43cf83-2b58-44ec-ae54-f89a03fd1d05","http://www.mendeley.com/documents/?uuid=379db275-84c3-4bf7-a997-2710b293e517"]},{"id":"ITEM-2","itemData":{"DOI":"10.1161/HYPERTENSIONAHA.109.141275","PMID":"20065154","abstract":"Arterial stiffness predicts cardiovascular events beyond traditional risk factors. However, the relationship with aging of novel noninvasive measures of aortic function by MRI and their interrelationship with established markers of vascular stiffness remain unclear and currently limit their potential impact. Our aim was to compare age-related changes of central measures of aortic function with carotid distensibility, global carotid-femoral pulse wave velocity, and wave reflections. We determined aortic strain, distensibility, and aortic arch pulse wave velocity by MRI, carotid distensibility by ultrasound, and carotid-femoral pulse wave velocity by tonometry in 111 asymptomatic subjects (54 men, age range: 20 to 84 years). Central pressures were used to calculate aortic distensibility. Peripheral and central pulse pressure, augmentation index, and carotid-femoral pulse wave velocity increased with age, but aortic strain and aortic arch PWV were most closely and specifically related to aging. Ascending aortic (AA) strain and distensibility decreased, respectively, by 5.3+/-0.5% (R(2)=0.54, P&lt;0.0001) and 13.6+/-1 kPa(-1)x10(-3) (R(2)=0.62, P&lt;0.0001), and aortic arch pulse wave velocity increased by 1.6+/-0.13 m/sec (R(2)=0.60, P&lt;0.0001) for each decade of age after adjustment for gender, body size, and heart rate. We demonstrate in this study a dramatic decrease in AA distensibility before the fifth decade of life in individuals with diverse prevalence of risk factors free of overt cardiovascular disease. In particular, compared with other measures of aortic function, the best markers of subclinical large artery stiffening, were AA distensibility in younger and aortic arch pulse wave velocity in older individuals.","author":[{"dropping-particle":"","family":"Redheuil","given":"Alban","non-dropping-particle":"","parse-names":false,"suffix":""},{"dropping-particle":"","family":"Yu","given":"Wen-Chung","non-dropping-particle":"","parse-names":false,"suffix":""},{"dropping-particle":"","family":"Wu","given":"Colin O","non-dropping-particle":"","parse-names":false,"suffix":""},{"dropping-particle":"","family":"Mousseaux","given":"Elie","non-dropping-particle":"","parse-names":false,"suffix":""},{"dropping-particle":"","family":"Cesare","given":"Alain","non-dropping-particle":"de","parse-names":false,"suffix":""},{"dropping-particle":"","family":"Yan","given":"Raymond","non-dropping-particle":"","parse-names":false,"suffix":""},{"dropping-particle":"","family":"Kachenoura","given":"Nadjia","non-dropping-particle":"","parse-names":false,"suffix":""},{"dropping-particle":"","family":"Bluemke","given":"David","non-dropping-particle":"","parse-names":false,"suffix":""},{"dropping-particle":"","family":"Lima","given":"Joao A C","non-dropping-particle":"","parse-names":false,"suffix":""}],"container-title":"Hypertension (Dallas, Tex. : 1979)","id":"ITEM-2","issue":"2","issued":{"date-parts":[["2010","2"]]},"page":"319-26","publisher":"NIH Public Access","title":"Reduced ascending aortic strain and distensibility: earliest manifestations of vascular aging in humans.","type":"article-journal","volume":"55"},"uris":["http://www.mendeley.com/documents/?uuid=33f5f14b-21bc-3e39-9b42-73e73588f2c0"]}],"mendeley":{"formattedCitation":"(14,38)","plainTextFormattedCitation":"(14,38)","previouslyFormattedCitation":"(14,38)"},"properties":{"noteIndex":0},"schema":"https://github.com/citation-style-language/schema/raw/master/csl-citation.json"}</w:instrText>
      </w:r>
      <w:r w:rsidR="00C63C61" w:rsidRPr="00C63C61">
        <w:fldChar w:fldCharType="separate"/>
      </w:r>
      <w:r w:rsidR="00B515F5" w:rsidRPr="00B515F5">
        <w:rPr>
          <w:noProof/>
        </w:rPr>
        <w:t>(14,38)</w:t>
      </w:r>
      <w:r w:rsidR="00C63C61" w:rsidRPr="00C63C61">
        <w:fldChar w:fldCharType="end"/>
      </w:r>
      <w:r w:rsidR="00C63C61" w:rsidRPr="00C63C61">
        <w:rPr>
          <w:color w:val="000000" w:themeColor="text1"/>
        </w:rPr>
        <w:t xml:space="preserve"> </w:t>
      </w:r>
      <w:r w:rsidR="00C63C61">
        <w:rPr>
          <w:color w:val="000000" w:themeColor="text1"/>
        </w:rPr>
        <w:t xml:space="preserve">Local measurement may be more sensitive to regional changes </w:t>
      </w:r>
      <w:r w:rsidR="005D022D">
        <w:rPr>
          <w:color w:val="000000" w:themeColor="text1"/>
        </w:rPr>
        <w:t xml:space="preserve">associated </w:t>
      </w:r>
      <w:r w:rsidR="00C63C61">
        <w:rPr>
          <w:color w:val="000000" w:themeColor="text1"/>
        </w:rPr>
        <w:t xml:space="preserve">with exercise training because it </w:t>
      </w:r>
      <w:r w:rsidR="00903F20">
        <w:rPr>
          <w:color w:val="000000" w:themeColor="text1"/>
        </w:rPr>
        <w:t xml:space="preserve">can resolve subtle changes that </w:t>
      </w:r>
      <w:r w:rsidR="00FA5AA1">
        <w:rPr>
          <w:color w:val="000000" w:themeColor="text1"/>
        </w:rPr>
        <w:t xml:space="preserve">can </w:t>
      </w:r>
      <w:r w:rsidR="00903F20">
        <w:rPr>
          <w:color w:val="000000" w:themeColor="text1"/>
        </w:rPr>
        <w:t>summatively contribute to whole vessel hemodynamics</w:t>
      </w:r>
      <w:r w:rsidR="005D022D">
        <w:rPr>
          <w:color w:val="000000" w:themeColor="text1"/>
        </w:rPr>
        <w:t>.</w:t>
      </w:r>
      <w:r w:rsidR="00903F20">
        <w:rPr>
          <w:color w:val="000000" w:themeColor="text1"/>
        </w:rPr>
        <w:t xml:space="preserve"> </w:t>
      </w:r>
    </w:p>
    <w:p w14:paraId="49EE72AE" w14:textId="0D7658A8" w:rsidR="00EF7A73" w:rsidRPr="00CC670F" w:rsidRDefault="00EF7A73" w:rsidP="007A7155">
      <w:pPr>
        <w:pStyle w:val="Heading2"/>
        <w:spacing w:before="0" w:after="0"/>
        <w:rPr>
          <w:color w:val="000000" w:themeColor="text1"/>
        </w:rPr>
      </w:pPr>
      <w:r w:rsidRPr="00CC670F">
        <w:rPr>
          <w:color w:val="000000" w:themeColor="text1"/>
        </w:rPr>
        <w:t>Study limitations</w:t>
      </w:r>
    </w:p>
    <w:p w14:paraId="2F6D6BC1" w14:textId="5D3E1704" w:rsidR="00F31677" w:rsidRPr="00CC670F" w:rsidRDefault="008F5513" w:rsidP="007A7155">
      <w:pPr>
        <w:spacing w:before="0" w:after="0"/>
        <w:ind w:firstLine="720"/>
        <w:rPr>
          <w:color w:val="000000" w:themeColor="text1"/>
        </w:rPr>
      </w:pPr>
      <w:r w:rsidRPr="00CC670F">
        <w:rPr>
          <w:color w:val="000000" w:themeColor="text1"/>
        </w:rPr>
        <w:t>This study was conducted in healthy individuals</w:t>
      </w:r>
      <w:r w:rsidR="00827F83">
        <w:rPr>
          <w:color w:val="000000" w:themeColor="text1"/>
        </w:rPr>
        <w:t>, therefore our</w:t>
      </w:r>
      <w:r w:rsidRPr="00CC670F">
        <w:rPr>
          <w:color w:val="000000" w:themeColor="text1"/>
        </w:rPr>
        <w:t xml:space="preserve">  findings may not apply to patients with hypertension who have stiffer arteries that may be less modifiable.</w:t>
      </w:r>
      <w:r w:rsidRPr="00CC670F">
        <w:rPr>
          <w:color w:val="000000" w:themeColor="text1"/>
        </w:rPr>
        <w:fldChar w:fldCharType="begin" w:fldLock="1"/>
      </w:r>
      <w:r w:rsidR="00051C79">
        <w:rPr>
          <w:color w:val="000000" w:themeColor="text1"/>
        </w:rPr>
        <w:instrText>ADDIN CSL_CITATION {"citationItems":[{"id":"ITEM-1","itemData":{"DOI":"10.1007/s11906-017-0788-0","ISSN":"1522-6417","author":[{"dropping-particle":"","family":"Pierce","given":"Gary L","non-dropping-particle":"","parse-names":false,"suffix":""}],"container-title":"Current Hypertension Reports","id":"ITEM-1","issue":"11","issued":{"date-parts":[["2017","11","18"]]},"page":"90","publisher":"Current Hypertension Reports","title":"Aortic Stiffness in Aging and Hypertension: Prevention and Treatment with Habitual Aerobic Exercise","type":"article-journal","volume":"19"},"uris":["http://www.mendeley.com/documents/?uuid=426d891e-fe5f-4373-b07f-52ae7319413d"]}],"mendeley":{"formattedCitation":"(39)","plainTextFormattedCitation":"(39)","previouslyFormattedCitation":"(39)"},"properties":{"noteIndex":0},"schema":"https://github.com/citation-style-language/schema/raw/master/csl-citation.json"}</w:instrText>
      </w:r>
      <w:r w:rsidRPr="00CC670F">
        <w:rPr>
          <w:color w:val="000000" w:themeColor="text1"/>
        </w:rPr>
        <w:fldChar w:fldCharType="separate"/>
      </w:r>
      <w:r w:rsidR="00B515F5" w:rsidRPr="00B515F5">
        <w:rPr>
          <w:noProof/>
          <w:color w:val="000000" w:themeColor="text1"/>
        </w:rPr>
        <w:t>(39)</w:t>
      </w:r>
      <w:r w:rsidRPr="00CC670F">
        <w:rPr>
          <w:color w:val="000000" w:themeColor="text1"/>
        </w:rPr>
        <w:fldChar w:fldCharType="end"/>
      </w:r>
      <w:r w:rsidRPr="00CC670F">
        <w:rPr>
          <w:color w:val="000000" w:themeColor="text1"/>
        </w:rPr>
        <w:t xml:space="preserve"> </w:t>
      </w:r>
      <w:r w:rsidR="008C4F71" w:rsidRPr="00CC670F">
        <w:rPr>
          <w:color w:val="000000" w:themeColor="text1"/>
        </w:rPr>
        <w:t>From these data,</w:t>
      </w:r>
      <w:r w:rsidR="00DC3CD9" w:rsidRPr="00CC670F">
        <w:rPr>
          <w:color w:val="000000" w:themeColor="text1"/>
        </w:rPr>
        <w:t xml:space="preserve"> however,</w:t>
      </w:r>
      <w:r w:rsidR="008C4F71" w:rsidRPr="00CC670F">
        <w:rPr>
          <w:color w:val="000000" w:themeColor="text1"/>
        </w:rPr>
        <w:t xml:space="preserve"> those with </w:t>
      </w:r>
      <w:r w:rsidR="00D728CE" w:rsidRPr="00CC670F">
        <w:rPr>
          <w:color w:val="000000" w:themeColor="text1"/>
        </w:rPr>
        <w:t xml:space="preserve">higher </w:t>
      </w:r>
      <w:r w:rsidR="003348E7" w:rsidRPr="00CC670F">
        <w:rPr>
          <w:color w:val="000000" w:themeColor="text1"/>
        </w:rPr>
        <w:t>S</w:t>
      </w:r>
      <w:r w:rsidR="00D728CE" w:rsidRPr="00CC670F">
        <w:rPr>
          <w:color w:val="000000" w:themeColor="text1"/>
        </w:rPr>
        <w:t xml:space="preserve">BP </w:t>
      </w:r>
      <w:r w:rsidR="008C4F71" w:rsidRPr="00CC670F">
        <w:rPr>
          <w:color w:val="000000" w:themeColor="text1"/>
        </w:rPr>
        <w:t xml:space="preserve">at baseline appeared to derive </w:t>
      </w:r>
      <w:r w:rsidR="00AB353D" w:rsidRPr="00CC670F">
        <w:rPr>
          <w:color w:val="000000" w:themeColor="text1"/>
        </w:rPr>
        <w:t xml:space="preserve">greater </w:t>
      </w:r>
      <w:r w:rsidR="008C4F71" w:rsidRPr="00CC670F">
        <w:rPr>
          <w:color w:val="000000" w:themeColor="text1"/>
        </w:rPr>
        <w:t>benefit.</w:t>
      </w:r>
      <w:r w:rsidR="007B2CC3" w:rsidRPr="00CC670F">
        <w:rPr>
          <w:color w:val="000000" w:themeColor="text1"/>
        </w:rPr>
        <w:t xml:space="preserve"> </w:t>
      </w:r>
      <w:r w:rsidRPr="00CC670F">
        <w:rPr>
          <w:color w:val="000000" w:themeColor="text1"/>
        </w:rPr>
        <w:t>This study was not designed to provide structured training, but rather to observe the effects of real-world preparation for a marathon</w:t>
      </w:r>
      <w:r w:rsidR="0062145D" w:rsidRPr="00CC670F">
        <w:rPr>
          <w:color w:val="000000" w:themeColor="text1"/>
        </w:rPr>
        <w:t xml:space="preserve"> which randomized control trials cannot address</w:t>
      </w:r>
      <w:r w:rsidRPr="00CC670F">
        <w:rPr>
          <w:color w:val="000000" w:themeColor="text1"/>
        </w:rPr>
        <w:t>. Nevertheless, information on the intensity</w:t>
      </w:r>
      <w:r w:rsidR="003C181A">
        <w:rPr>
          <w:color w:val="000000" w:themeColor="text1"/>
        </w:rPr>
        <w:t xml:space="preserve">, </w:t>
      </w:r>
      <w:r w:rsidRPr="00CC670F">
        <w:rPr>
          <w:color w:val="000000" w:themeColor="text1"/>
        </w:rPr>
        <w:t xml:space="preserve">frequency </w:t>
      </w:r>
      <w:r w:rsidR="003C181A">
        <w:rPr>
          <w:color w:val="000000" w:themeColor="text1"/>
        </w:rPr>
        <w:t xml:space="preserve">and type </w:t>
      </w:r>
      <w:r w:rsidRPr="00CC670F">
        <w:rPr>
          <w:color w:val="000000" w:themeColor="text1"/>
        </w:rPr>
        <w:t>of exercise training would have been valuable to understand further the beneficial effects on aortic stiffness. The modest change in peak VO</w:t>
      </w:r>
      <w:r w:rsidRPr="00CC670F">
        <w:rPr>
          <w:color w:val="000000" w:themeColor="text1"/>
          <w:vertAlign w:val="subscript"/>
        </w:rPr>
        <w:t>2</w:t>
      </w:r>
      <w:r w:rsidRPr="00CC670F">
        <w:rPr>
          <w:color w:val="000000" w:themeColor="text1"/>
        </w:rPr>
        <w:t xml:space="preserve"> may be related to exercise training intensity or </w:t>
      </w:r>
      <w:r w:rsidR="006930C8" w:rsidRPr="00CC670F">
        <w:rPr>
          <w:color w:val="000000" w:themeColor="text1"/>
        </w:rPr>
        <w:t xml:space="preserve">low </w:t>
      </w:r>
      <w:r w:rsidRPr="00CC670F">
        <w:rPr>
          <w:color w:val="000000" w:themeColor="text1"/>
        </w:rPr>
        <w:t>adherence</w:t>
      </w:r>
      <w:r w:rsidR="006930C8" w:rsidRPr="00CC670F">
        <w:rPr>
          <w:color w:val="000000" w:themeColor="text1"/>
        </w:rPr>
        <w:t>, which reflects the real-world</w:t>
      </w:r>
      <w:r w:rsidRPr="00CC670F">
        <w:rPr>
          <w:color w:val="000000" w:themeColor="text1"/>
        </w:rPr>
        <w:t>. Peak VO</w:t>
      </w:r>
      <w:r w:rsidRPr="00CC670F">
        <w:rPr>
          <w:color w:val="000000" w:themeColor="text1"/>
          <w:vertAlign w:val="subscript"/>
        </w:rPr>
        <w:t xml:space="preserve">2 </w:t>
      </w:r>
      <w:r w:rsidRPr="00CC670F">
        <w:rPr>
          <w:color w:val="000000" w:themeColor="text1"/>
        </w:rPr>
        <w:t>was performed semi-supine to allow concurrent echocardiography and this may also have reduced sensitivity to changes due to running, or running efficiency. We assessed only marathon finishers – plausibly, non-finishe</w:t>
      </w:r>
      <w:r w:rsidR="00D55F14" w:rsidRPr="00CC670F">
        <w:rPr>
          <w:color w:val="000000" w:themeColor="text1"/>
        </w:rPr>
        <w:t>r</w:t>
      </w:r>
      <w:r w:rsidRPr="00CC670F">
        <w:rPr>
          <w:color w:val="000000" w:themeColor="text1"/>
        </w:rPr>
        <w:t xml:space="preserve">s could have had different vascular responsiveness. The causal link of exercise to measured changes is only inferred - marathon training may lead to other lifestyle modifications (dietary, other behavioral factors), or alterations in lipid profiles and glucose metabolism – although </w:t>
      </w:r>
      <w:r w:rsidR="004E706F" w:rsidRPr="00CC670F">
        <w:rPr>
          <w:color w:val="000000" w:themeColor="text1"/>
        </w:rPr>
        <w:t xml:space="preserve">these have not been previously associated </w:t>
      </w:r>
      <w:r w:rsidRPr="00CC670F">
        <w:rPr>
          <w:color w:val="000000" w:themeColor="text1"/>
        </w:rPr>
        <w:t xml:space="preserve">with </w:t>
      </w:r>
      <w:r w:rsidR="008506DD" w:rsidRPr="00CC670F">
        <w:rPr>
          <w:color w:val="000000" w:themeColor="text1"/>
        </w:rPr>
        <w:t xml:space="preserve">changes in </w:t>
      </w:r>
      <w:r w:rsidRPr="00CC670F">
        <w:rPr>
          <w:color w:val="000000" w:themeColor="text1"/>
        </w:rPr>
        <w:t>aortic stiffness.</w:t>
      </w:r>
      <w:r w:rsidRPr="00CC670F">
        <w:rPr>
          <w:color w:val="000000" w:themeColor="text1"/>
        </w:rPr>
        <w:fldChar w:fldCharType="begin" w:fldLock="1"/>
      </w:r>
      <w:r w:rsidR="00174470">
        <w:rPr>
          <w:color w:val="000000" w:themeColor="text1"/>
        </w:rPr>
        <w:instrText>ADDIN CSL_CITATION {"citationItems":[{"id":"ITEM-1","itemData":{"abstract":"Background—A reduction in compliance of the large-sized cardiothoracic (central) arteries is an independent risk factor for the development of cardiovascular disease with advancing age. Methods and Results—We determined the role of habitual exercise on the age-related decrease in central arterial compliance by using both cross-sectional and interventional approaches. First, we studied 151 healthy men aged 18 to 77 years: 54 were sedentary, 45 were recreationally active, and 53 were endurance exercise–trained. Central arterial compliance (simultaneous B-mode ultrasound and arterial applanation tonometry on the common carotid artery) was lower (PϽ0.05) in middle-aged and older men than in young men in all 3 groups. There were no significant differences between sedentary and recreationally active men at any age. However, arterial compliance in the endurance-trained middle-aged and older men was 20% to 35% higher than in the 2 less active groups (PϽ0.01). As such, age-related differences in central arterial compliance were smaller in the endurance-trained men than in the sedentary and recreationally active men. Second, we studied 20 middle-aged and older (53Ϯ2 years) sedentary healthy men before and after a 3-month aerobic exercise intervention (primarily walking). Regular exercise increased central arterial compliance (PϽ0.01) to levels similar to those of the middle-aged and older endurance-trained men. These effects were independent of changes in body mass, adiposity, arterial blood pressure, or maximal oxygen consumption. Conclusions—Regular aerobic-endurance exercise attenuates age-related reductions in central arterial compliance and restores levels in previously sedentary healthy middle-aged and older men. This may be one mechanism by which habitual exercise lowers the risk of cardiovascular disease in this population. (Circulation. 2000;102:1270-1275.) A rterial compliance reflects the ability of an artery to expand and recoil with cardiac pulsation and relax-ation. 1 In sedentary humans, the compliance of the large-sized arteries in the cardiothoracic region (central circulation) decreases with advancing age. 1–3 These reductions are asso-ciated with several pathological states common to older adults, including isolated systolic hypertension, left ventric-ular hypertrophy, congestive heart failure, aortic root regur-gitation, and orthostatic and postprandial hypotension. 1,4 As such, decreased central arterial compliance has been identi-fied as an …","author":[{"dropping-particle":"","family":"Tanaka","given":"Hirofumi","non-dropping-particle":"","parse-names":false,"suffix":""},{"dropping-particle":"","family":"Dinenno","given":"Frank A","non-dropping-particle":"","parse-names":false,"suffix":""},{"dropping-particle":"","family":"Monahan","given":"Kevin D","non-dropping-particle":"","parse-names":false,"suffix":""},{"dropping-particle":"","family":"Clevenger","given":"Christopher M","non-dropping-particle":"","parse-names":false,"suffix":""},{"dropping-particle":"","family":"Desouza","given":"Christopher A","non-dropping-particle":"","parse-names":false,"suffix":""},{"dropping-particle":"","family":"Seals","given":"Douglas R","non-dropping-particle":"","parse-names":false,"suffix":""}],"container-title":"Circulation","id":"ITEM-1","issued":{"date-parts":[["2000"]]},"page":"1270-1275","title":"Aging, Habitual Exercise, and Dynamic Arterial Compliance","type":"article-journal","volume":"102"},"uris":["http://www.mendeley.com/documents/?uuid=02a8fc52-b049-4605-b07d-ae5a3aed7391"]}],"mendeley":{"formattedCitation":"(11)","plainTextFormattedCitation":"(11)","previouslyFormattedCitation":"(11)"},"properties":{"noteIndex":0},"schema":"https://github.com/citation-style-language/schema/raw/master/csl-citation.json"}</w:instrText>
      </w:r>
      <w:r w:rsidRPr="00CC670F">
        <w:rPr>
          <w:color w:val="000000" w:themeColor="text1"/>
        </w:rPr>
        <w:fldChar w:fldCharType="separate"/>
      </w:r>
      <w:r w:rsidR="00D93162" w:rsidRPr="00D93162">
        <w:rPr>
          <w:noProof/>
          <w:color w:val="000000" w:themeColor="text1"/>
        </w:rPr>
        <w:t>(11)</w:t>
      </w:r>
      <w:r w:rsidRPr="00CC670F">
        <w:rPr>
          <w:color w:val="000000" w:themeColor="text1"/>
        </w:rPr>
        <w:fldChar w:fldCharType="end"/>
      </w:r>
      <w:r w:rsidRPr="00CC670F">
        <w:rPr>
          <w:color w:val="000000" w:themeColor="text1"/>
        </w:rPr>
        <w:t xml:space="preserve"> We did not </w:t>
      </w:r>
      <w:r w:rsidR="00174470">
        <w:rPr>
          <w:color w:val="000000" w:themeColor="text1"/>
        </w:rPr>
        <w:t xml:space="preserve">examine </w:t>
      </w:r>
      <w:r w:rsidR="00174470" w:rsidRPr="00CC670F">
        <w:rPr>
          <w:color w:val="000000" w:themeColor="text1"/>
        </w:rPr>
        <w:t>the</w:t>
      </w:r>
      <w:r w:rsidRPr="00CC670F">
        <w:rPr>
          <w:color w:val="000000" w:themeColor="text1"/>
        </w:rPr>
        <w:t xml:space="preserve"> effect of exercise on peripheral arteries or endothelial dysfunction. Whilst individual participants served as internal controls, there may have been run-in bias for the initial blood pressure measurement. This appears unlikely as blood pressure changes would not have been age-related nor correlated with the change in </w:t>
      </w:r>
      <w:r w:rsidR="007738B2" w:rsidRPr="00CC670F">
        <w:rPr>
          <w:color w:val="000000" w:themeColor="text1"/>
        </w:rPr>
        <w:t xml:space="preserve">separate measures (eg. </w:t>
      </w:r>
      <w:r w:rsidRPr="00CC670F">
        <w:rPr>
          <w:color w:val="000000" w:themeColor="text1"/>
        </w:rPr>
        <w:t>aortic stiffness</w:t>
      </w:r>
      <w:r w:rsidR="007738B2" w:rsidRPr="00CC670F">
        <w:rPr>
          <w:color w:val="000000" w:themeColor="text1"/>
        </w:rPr>
        <w:t xml:space="preserve">) </w:t>
      </w:r>
      <w:r w:rsidRPr="00CC670F">
        <w:rPr>
          <w:color w:val="000000" w:themeColor="text1"/>
        </w:rPr>
        <w:t xml:space="preserve">with training. </w:t>
      </w:r>
      <w:r w:rsidR="00DC6CF0">
        <w:t>E</w:t>
      </w:r>
      <w:r w:rsidR="00DC6CF0" w:rsidRPr="00755BFF">
        <w:t xml:space="preserve">stimated </w:t>
      </w:r>
      <w:r w:rsidR="00DC6CF0">
        <w:t xml:space="preserve">aortic </w:t>
      </w:r>
      <w:r w:rsidR="00DC6CF0" w:rsidRPr="00755BFF">
        <w:t>ages are approximations and based on the same dataset at baseline rather than independent observations.</w:t>
      </w:r>
      <w:r w:rsidR="00DC6CF0">
        <w:t xml:space="preserve"> </w:t>
      </w:r>
      <w:r w:rsidRPr="00CC670F">
        <w:rPr>
          <w:color w:val="000000" w:themeColor="text1"/>
        </w:rPr>
        <w:t xml:space="preserve">The exercise dose-response curve here is not sampled – only training for a first-time marathon with single timepoint assessment. This area warrants further study. </w:t>
      </w:r>
      <w:r w:rsidR="00F31677" w:rsidRPr="00CC670F">
        <w:rPr>
          <w:color w:val="000000" w:themeColor="text1"/>
        </w:rPr>
        <w:t xml:space="preserve">We measured distensibility on modulus imaging acquired at 1.5T rather than steady-state free precession imaging. </w:t>
      </w:r>
      <w:r w:rsidR="00154A87" w:rsidRPr="00154A87">
        <w:rPr>
          <w:color w:val="000000" w:themeColor="text1"/>
        </w:rPr>
        <w:t>The free-breathing sequence we used achieved good temporal resolution but may be susceptible to through-plane motion. However, this and similar sequences correlate well with breath</w:t>
      </w:r>
      <w:r w:rsidR="00A77FB9">
        <w:rPr>
          <w:color w:val="000000" w:themeColor="text1"/>
        </w:rPr>
        <w:t>-</w:t>
      </w:r>
      <w:r w:rsidR="00154A87" w:rsidRPr="00154A87">
        <w:rPr>
          <w:color w:val="000000" w:themeColor="text1"/>
        </w:rPr>
        <w:t xml:space="preserve">held </w:t>
      </w:r>
      <w:r w:rsidR="00D82B25">
        <w:rPr>
          <w:color w:val="000000" w:themeColor="text1"/>
        </w:rPr>
        <w:t>cine</w:t>
      </w:r>
      <w:r w:rsidR="00154A87" w:rsidRPr="00154A87">
        <w:rPr>
          <w:color w:val="000000" w:themeColor="text1"/>
        </w:rPr>
        <w:t xml:space="preserve"> imaging, and show similar associations with ageing.</w:t>
      </w:r>
      <w:r w:rsidR="00154A87" w:rsidRPr="00154A87">
        <w:rPr>
          <w:color w:val="000000" w:themeColor="text1"/>
        </w:rPr>
        <w:fldChar w:fldCharType="begin" w:fldLock="1"/>
      </w:r>
      <w:r w:rsidR="00154A87" w:rsidRPr="00154A87">
        <w:rPr>
          <w:color w:val="000000" w:themeColor="text1"/>
        </w:rPr>
        <w:instrText>ADDIN CSL_CITATION {"citationItems":[{"id":"ITEM-1","itemData":{"DOI":"10.1002/mrm.22678","ISBN":"1522-2594 (Electronic)\\r0740-3194 (Linking)","ISSN":"07403194","PMID":"21413062","abstract":"The strain values extracted from steady-state free-precession (SSFP) and phase contrast (PC) images acquired with a 1.5T scanner on a compliant flow phantom and within the thoracic aorta of 52 healthy subjects were compared. Aortic data were acquired perpendicular to the aorta at the level of the pulmonary artery bifurcation. Cross sectional areas were obtained by using an automatic and robust segmentation method. While a good correlation (r = 0.99) was found between the aortic areas extracted from SSFP and PC sequences, a lower correlation (r = 0.71) was found between the corresponding aortic strain values. Strain values estimated using SSFP and PC sequences were equally correlated with age. Interobserver reproducibility was better for SSFP than for PC. Strain values in the ascending and descending aorta were better correlated for SSFP (r = 0.8) than for PC (r = 0.65) and fitted with the expectation of a larger strain in the ascending aorta when using SSFP. The spatial and temporal resolutions of the acquisitions had a minor influence upon the estimated strain values. Thus, if PC acquisitions can be used to estimate both pulse wave velocity and aortic strain, an additional SSFP sequence may be useful to improve the accuracy in estimating the aortic strain.","author":[{"dropping-particle":"","family":"Herment","given":"Alain","non-dropping-particle":"","parse-names":false,"suffix":""},{"dropping-particle":"","family":"Lefort","given":"Muriel","non-dropping-particle":"","parse-names":false,"suffix":""},{"dropping-particle":"","family":"Kachenoura","given":"Nadjia","non-dropping-particle":"","parse-names":false,"suffix":""},{"dropping-particle":"","family":"Cesare","given":"Alain","non-dropping-particle":"De","parse-names":false,"suffix":""},{"dropping-particle":"","family":"Taviani","given":"Valentina","non-dropping-particle":"","parse-names":false,"suffix":""},{"dropping-particle":"","family":"Graves","given":"Martin J.","non-dropping-particle":"","parse-names":false,"suffix":""},{"dropping-particle":"","family":"Pellot-Barakat","given":"Claire","non-dropping-particle":"","parse-names":false,"suffix":""},{"dropping-particle":"","family":"Frouin","given":"Frédérique","non-dropping-particle":"","parse-names":false,"suffix":""},{"dropping-particle":"","family":"Mousseaux","given":"Elie","non-dropping-particle":"","parse-names":false,"suffix":""}],"container-title":"Magnetic Resonance in Medicine","id":"ITEM-1","issue":"4","issued":{"date-parts":[["2011"]]},"page":"986-993","title":"Automated estimation of aortic strain from steady-state free-precession and phase contrast MR images","type":"article-journal","volume":"65"},"uris":["http://www.mendeley.com/documents/?uuid=e0ea50c4-9e0e-424a-bb87-563ca7e939df"]}],"mendeley":{"formattedCitation":"(18)","plainTextFormattedCitation":"(18)","previouslyFormattedCitation":"(18)"},"properties":{"noteIndex":0},"schema":"https://github.com/citation-style-language/schema/raw/master/csl-citation.json"}</w:instrText>
      </w:r>
      <w:r w:rsidR="00154A87" w:rsidRPr="00154A87">
        <w:rPr>
          <w:color w:val="000000" w:themeColor="text1"/>
        </w:rPr>
        <w:fldChar w:fldCharType="separate"/>
      </w:r>
      <w:r w:rsidR="00154A87" w:rsidRPr="00154A87">
        <w:rPr>
          <w:noProof/>
          <w:color w:val="000000" w:themeColor="text1"/>
        </w:rPr>
        <w:t>(18)</w:t>
      </w:r>
      <w:r w:rsidR="00154A87" w:rsidRPr="00154A87">
        <w:rPr>
          <w:color w:val="000000" w:themeColor="text1"/>
        </w:rPr>
        <w:fldChar w:fldCharType="end"/>
      </w:r>
      <w:r w:rsidR="00154A87" w:rsidRPr="00154A87">
        <w:rPr>
          <w:color w:val="000000" w:themeColor="text1"/>
        </w:rPr>
        <w:t xml:space="preserve"> If error were introduced into distensibility measurements related to through-plane motion, the resultant noise would minimise the effect size related to exercise training, and therefore would be unlikely to account for our key findings. </w:t>
      </w:r>
      <w:r w:rsidR="00154A87" w:rsidRPr="00154A87">
        <w:t xml:space="preserve">PP undergoes amplification from central to more peripheral locations, typically being ~6mmHg higher in the descending thoracic than </w:t>
      </w:r>
      <w:r w:rsidR="00A77FB9">
        <w:t xml:space="preserve">the </w:t>
      </w:r>
      <w:r w:rsidR="00154A87" w:rsidRPr="00154A87">
        <w:t>ascending aorta.</w:t>
      </w:r>
      <w:r w:rsidR="00154A87">
        <w:fldChar w:fldCharType="begin" w:fldLock="1"/>
      </w:r>
      <w:r w:rsidR="00257AD6">
        <w:instrText>ADDIN CSL_CITATION {"citationItems":[{"id":"ITEM-1","itemData":{"DOI":"10.1097/HJH.0000000000001424","ISBN":"0000000000","ISSN":"14735598","abstract":"Copyright © 2017 Wolters Kluwer Health, Inc. Introduction: The development and propagation of the aortic blood pressure wave remains poorly understood, despite its clear relevance to major organ blood flow and potential association with cardiovascular outcomes. The reservoir pressure model provides a unified description of the dual conduit and reservoir functions of the aorta. Reservoir waveform analysis resolves the aortic pressure waveform into an excess (wave related) and reservoir (compliance related) pressure. The applicability of this model to the pressure waveform as it propagates along the aorta has not been investigated in humans. Methods: We analysed invasively acquired high-fidelity aortic pressure waveforms from 40 patients undergoing clinically indicated coronary catheterization. Aortic waveforms were measured using a solid-state pressure catheter at five anatomical sites: The ascending aorta, the transverse aortic arch, the diaphragm, the level of the renal arteries, and at the aortic bifurcation. Ensemble average pressure waveforms were obtained for these sites for each patient and analysed to obtain the reservoir pressure [P r (t)] and the excess pressure [P x (t)] at each aortic position. Results: Systolic blood pressure increased at a rate of 2.1 mmHg per site along the aorta, whereas diastolic blood pressure was effectively constant. Maximum P r decreased only slightly along the aorta (changing by-0.7 mmHg per site), whereas the maximum of P x increased from the proximal to distal aorta (+4.1 mmHg per site; P &lt; 0.001). The time, relative to the start of systolic upstroke, of the occurrence of the maximum excess pressure did not vary along the aorta. Of the parameters used to derive the reservoir pressure waveform the systolic and diastolic rate constants showed divergent changes with the systolic rate constant (k s) decreasing and the diastolic rate constant (k d) increasing along the aorta. Conclusions: This analysis confirms the proposition that the magnitude of the calculated reservoir pressure waveform, despite known changes in aortic structure, is effectively constant throughout the aorta. A progressive increase of excess pressure accounts for the increase in pulse pressure from the proximal to distal aorta. The reservoir pressure rate constants seem to behave as arterial functional parameters. The accompanying decrease in k s and increase in k d are consistent with a progressive decrease in aortic compliance and increase in impe…","author":[{"dropping-particle":"","family":"Narayan","given":"Om","non-dropping-particle":"","parse-names":false,"suffix":""},{"dropping-particle":"","family":"Parker","given":"Kim H.","non-dropping-particle":"","parse-names":false,"suffix":""},{"dropping-particle":"","family":"Davies","given":"Justin E.","non-dropping-particle":"","parse-names":false,"suffix":""},{"dropping-particle":"","family":"Hughes","given":"Alun D.","non-dropping-particle":"","parse-names":false,"suffix":""},{"dropping-particle":"","family":"Meredith","given":"Ian T.","non-dropping-particle":"","parse-names":false,"suffix":""},{"dropping-particle":"","family":"Cameron","given":"James D.","non-dropping-particle":"","parse-names":false,"suffix":""}],"container-title":"Journal of Hypertension","id":"ITEM-1","issue":"10","issued":{"date-parts":[["2017"]]},"page":"2025-2033","title":"Reservoir pressure analysis of aortic blood pressure: An in-vivo study at five locations in humans","type":"article-journal","volume":"35"},"uris":["http://www.mendeley.com/documents/?uuid=dc1c636d-1b46-49aa-bb97-b3e38248e9dd"]}],"mendeley":{"formattedCitation":"(20)","plainTextFormattedCitation":"(20)","previouslyFormattedCitation":"(20)"},"properties":{"noteIndex":0},"schema":"https://github.com/citation-style-language/schema/raw/master/csl-citation.json"}</w:instrText>
      </w:r>
      <w:r w:rsidR="00154A87">
        <w:fldChar w:fldCharType="separate"/>
      </w:r>
      <w:r w:rsidR="00B515F5" w:rsidRPr="00B515F5">
        <w:rPr>
          <w:noProof/>
        </w:rPr>
        <w:t>(20)</w:t>
      </w:r>
      <w:r w:rsidR="00154A87">
        <w:fldChar w:fldCharType="end"/>
      </w:r>
      <w:r w:rsidR="00154A87" w:rsidRPr="00154A87">
        <w:t xml:space="preserve"> This </w:t>
      </w:r>
      <w:r w:rsidR="00D82B25">
        <w:t xml:space="preserve">PP </w:t>
      </w:r>
      <w:r w:rsidR="00154A87" w:rsidRPr="00154A87">
        <w:t xml:space="preserve">amplification is not accounted for in our analysis since it would have involved invasive measures of aortic pressure at each locations. A sensitivity analysis suggested that the likely impact of this effect on the observed changes after training would be minimal; however, we cannot completely exclude the possibility that changes in </w:t>
      </w:r>
      <w:r w:rsidR="00A77FB9">
        <w:t xml:space="preserve">PP </w:t>
      </w:r>
      <w:r w:rsidR="00154A87" w:rsidRPr="00154A87">
        <w:t>amplification contribute to the observed differences</w:t>
      </w:r>
      <w:r w:rsidR="00154A87">
        <w:t xml:space="preserve">. </w:t>
      </w:r>
      <w:r w:rsidR="00F31677" w:rsidRPr="00154A87">
        <w:t>Diaphragmatic</w:t>
      </w:r>
      <w:r w:rsidR="00F31677" w:rsidRPr="00CC670F">
        <w:rPr>
          <w:color w:val="000000" w:themeColor="text1"/>
        </w:rPr>
        <w:t xml:space="preserve"> descending aortic distensibility data reported here were however higher than expected, although there is limited literature for comparison.</w:t>
      </w:r>
      <w:r w:rsidR="00F31677" w:rsidRPr="00CC670F">
        <w:rPr>
          <w:i/>
          <w:color w:val="000000" w:themeColor="text1"/>
        </w:rPr>
        <w:fldChar w:fldCharType="begin" w:fldLock="1"/>
      </w:r>
      <w:r w:rsidR="00257AD6">
        <w:rPr>
          <w:color w:val="000000" w:themeColor="text1"/>
        </w:rPr>
        <w:instrText>ADDIN CSL_CITATION {"citationItems":[{"id":"ITEM-1","itemData":{"DOI":"10.1186/1532-429X-14-77","ISBN":"1532-429X","ISSN":"1532-429X","PMID":"23151055","abstract":"BACKGROUND: Aortic enlargement and impaired bioelasticity are of interest in several cardiac and non-cardiac diseases as they can lead to cardiovascular complications. Cardiovascular magnetic resonance (CMR) is increasingly accepted as a noninvasive tool in cardiovascular evaluation. Assessment of aortic anatomy and bioelasticity, namely aortic distensibility and pulse wave velocity (PWV), by CMR is accurate and reproducible and could help to identify anatomical and bioelastic abnormalities of the aorta. However, normal CMR values for healthy children and young adults are lacking.\\n\\nMETHODS: Seventy-one heart-healthy subjects (age 16.4 ± 7.6 years, range 2.3-28.3 years) were examined using a 3.0 Tesla CMR scanner. Aortic cross-sectional areas and aortic distensibility were measured at four positions of the ascending and descending thoracic aorta. PWV was assessed from aortic blood flow velocity measurements in a aortic segment between the ascending aorta and the proximal descending aorta. The Lambda-Mu-Sigma (LMS) method was used to obtain percentile curves for aortic cross-sectional areas, aortic distensibility and PWV according to age.\\n\\nRESULTS: Aortic areas, PWV and aortic distensibility (aortic cross-sectional areas: r = 0.8 to 0.9, p &lt; 0.001; PWV: r = 0.25 to 0.32, p = 0.047 to 0.009; aortic distensibility r = -0.43 to -0.62, p &lt; 0.001) correlated with height, weight, body surface area, and age. There were no significant sex differences.\\n\\nCONCLUSIONS: This study provides percentile curves for cross-sectional areas, distensibility and pulse wave velocity of the thoracic aorta in children and young adolescents between their 3rd and 29th year of life. These data may serve as a reference for the detection of pathological changes of the aorta in cardiovascular disease.","author":[{"dropping-particle":"","family":"Voges","given":"Inga","non-dropping-particle":"","parse-names":false,"suffix":""},{"dropping-particle":"","family":"Jerosch-Herold","given":"Michael","non-dropping-particle":"","parse-names":false,"suffix":""},{"dropping-particle":"","family":"Hedderich","given":"Jürgen","non-dropping-particle":"","parse-names":false,"suffix":""},{"dropping-particle":"","family":"Pardun","given":"Eileen","non-dropping-particle":"","parse-names":false,"suffix":""},{"dropping-particle":"","family":"Hart","given":"Christopher","non-dropping-particle":"","parse-names":false,"suffix":""},{"dropping-particle":"","family":"Gabbert","given":"Dominik Daniel","non-dropping-particle":"","parse-names":false,"suffix":""},{"dropping-particle":"","family":"Hansen","given":"Jan Hinnerk","non-dropping-particle":"","parse-names":false,"suffix":""},{"dropping-particle":"","family":"Petko","given":"Colin","non-dropping-particle":"","parse-names":false,"suffix":""},{"dropping-particle":"","family":"Kramer","given":"Hans-Heiner","non-dropping-particle":"","parse-names":false,"suffix":""},{"dropping-particle":"","family":"Rickers","given":"Carsten","non-dropping-particle":"","parse-names":false,"suffix":""}],"container-title":"Journal of cardiovascular magnetic resonance : official journal of the Society for Cardiovascular Magnetic Resonance","id":"ITEM-1","issued":{"date-parts":[["2012"]]},"page":"77","title":"Normal values of aortic dimensions, distensibility, and pulse wave velocity in children and young adults: a cross-sectional study.","type":"article-journal","volume":"14"},"uris":["http://www.mendeley.com/documents/?uuid=f4576933-1464-45f2-93f9-2cdd21232b95"]}],"mendeley":{"formattedCitation":"(40)","plainTextFormattedCitation":"(40)","previouslyFormattedCitation":"(40)"},"properties":{"noteIndex":0},"schema":"https://github.com/citation-style-language/schema/raw/master/csl-citation.json"}</w:instrText>
      </w:r>
      <w:r w:rsidR="00F31677" w:rsidRPr="00CC670F">
        <w:rPr>
          <w:i/>
          <w:color w:val="000000" w:themeColor="text1"/>
        </w:rPr>
        <w:fldChar w:fldCharType="separate"/>
      </w:r>
      <w:r w:rsidR="00B515F5" w:rsidRPr="00B515F5">
        <w:rPr>
          <w:noProof/>
          <w:color w:val="000000" w:themeColor="text1"/>
        </w:rPr>
        <w:t>(40)</w:t>
      </w:r>
      <w:r w:rsidR="00F31677" w:rsidRPr="00CC670F">
        <w:rPr>
          <w:i/>
          <w:color w:val="000000" w:themeColor="text1"/>
        </w:rPr>
        <w:fldChar w:fldCharType="end"/>
      </w:r>
      <w:r w:rsidR="00F31677" w:rsidRPr="00CC670F">
        <w:rPr>
          <w:color w:val="000000" w:themeColor="text1"/>
        </w:rPr>
        <w:t xml:space="preserve"> Unlike Voges et al, central rather than brachial PP was used which would </w:t>
      </w:r>
      <w:r w:rsidR="00737FE4" w:rsidRPr="00CC670F">
        <w:rPr>
          <w:color w:val="000000" w:themeColor="text1"/>
        </w:rPr>
        <w:t xml:space="preserve">explain </w:t>
      </w:r>
      <w:r w:rsidR="00A86996" w:rsidRPr="00CC670F">
        <w:rPr>
          <w:color w:val="000000" w:themeColor="text1"/>
        </w:rPr>
        <w:t xml:space="preserve">greater </w:t>
      </w:r>
      <w:r w:rsidR="00F31677" w:rsidRPr="00CC670F">
        <w:rPr>
          <w:color w:val="000000" w:themeColor="text1"/>
        </w:rPr>
        <w:t>distensibility, and the use of 1</w:t>
      </w:r>
      <w:r w:rsidR="00FF4FAA" w:rsidRPr="00CC670F">
        <w:rPr>
          <w:color w:val="000000" w:themeColor="text1"/>
        </w:rPr>
        <w:t>.</w:t>
      </w:r>
      <w:r w:rsidR="00F31677" w:rsidRPr="00CC670F">
        <w:rPr>
          <w:color w:val="000000" w:themeColor="text1"/>
        </w:rPr>
        <w:t>5T phase-contrast modulus may accentuate image contrast differences between 3T gradient echo sequences.</w:t>
      </w:r>
      <w:r w:rsidR="00174470" w:rsidRPr="00CC670F">
        <w:rPr>
          <w:i/>
          <w:color w:val="000000" w:themeColor="text1"/>
        </w:rPr>
        <w:fldChar w:fldCharType="begin" w:fldLock="1"/>
      </w:r>
      <w:r w:rsidR="00257AD6">
        <w:rPr>
          <w:color w:val="000000" w:themeColor="text1"/>
        </w:rPr>
        <w:instrText>ADDIN CSL_CITATION {"citationItems":[{"id":"ITEM-1","itemData":{"DOI":"10.1186/1532-429X-14-77","ISBN":"1532-429X","ISSN":"1532-429X","PMID":"23151055","abstract":"BACKGROUND: Aortic enlargement and impaired bioelasticity are of interest in several cardiac and non-cardiac diseases as they can lead to cardiovascular complications. Cardiovascular magnetic resonance (CMR) is increasingly accepted as a noninvasive tool in cardiovascular evaluation. Assessment of aortic anatomy and bioelasticity, namely aortic distensibility and pulse wave velocity (PWV), by CMR is accurate and reproducible and could help to identify anatomical and bioelastic abnormalities of the aorta. However, normal CMR values for healthy children and young adults are lacking.\\n\\nMETHODS: Seventy-one heart-healthy subjects (age 16.4 ± 7.6 years, range 2.3-28.3 years) were examined using a 3.0 Tesla CMR scanner. Aortic cross-sectional areas and aortic distensibility were measured at four positions of the ascending and descending thoracic aorta. PWV was assessed from aortic blood flow velocity measurements in a aortic segment between the ascending aorta and the proximal descending aorta. The Lambda-Mu-Sigma (LMS) method was used to obtain percentile curves for aortic cross-sectional areas, aortic distensibility and PWV according to age.\\n\\nRESULTS: Aortic areas, PWV and aortic distensibility (aortic cross-sectional areas: r = 0.8 to 0.9, p &lt; 0.001; PWV: r = 0.25 to 0.32, p = 0.047 to 0.009; aortic distensibility r = -0.43 to -0.62, p &lt; 0.001) correlated with height, weight, body surface area, and age. There were no significant sex differences.\\n\\nCONCLUSIONS: This study provides percentile curves for cross-sectional areas, distensibility and pulse wave velocity of the thoracic aorta in children and young adolescents between their 3rd and 29th year of life. These data may serve as a reference for the detection of pathological changes of the aorta in cardiovascular disease.","author":[{"dropping-particle":"","family":"Voges","given":"Inga","non-dropping-particle":"","parse-names":false,"suffix":""},{"dropping-particle":"","family":"Jerosch-Herold","given":"Michael","non-dropping-particle":"","parse-names":false,"suffix":""},{"dropping-particle":"","family":"Hedderich","given":"Jürgen","non-dropping-particle":"","parse-names":false,"suffix":""},{"dropping-particle":"","family":"Pardun","given":"Eileen","non-dropping-particle":"","parse-names":false,"suffix":""},{"dropping-particle":"","family":"Hart","given":"Christopher","non-dropping-particle":"","parse-names":false,"suffix":""},{"dropping-particle":"","family":"Gabbert","given":"Dominik Daniel","non-dropping-particle":"","parse-names":false,"suffix":""},{"dropping-particle":"","family":"Hansen","given":"Jan Hinnerk","non-dropping-particle":"","parse-names":false,"suffix":""},{"dropping-particle":"","family":"Petko","given":"Colin","non-dropping-particle":"","parse-names":false,"suffix":""},{"dropping-particle":"","family":"Kramer","given":"Hans-Heiner","non-dropping-particle":"","parse-names":false,"suffix":""},{"dropping-particle":"","family":"Rickers","given":"Carsten","non-dropping-particle":"","parse-names":false,"suffix":""}],"container-title":"Journal of cardiovascular magnetic resonance : official journal of the Society for Cardiovascular Magnetic Resonance","id":"ITEM-1","issued":{"date-parts":[["2012"]]},"page":"77","title":"Normal values of aortic dimensions, distensibility, and pulse wave velocity in children and young adults: a cross-sectional study.","type":"article-journal","volume":"14"},"uris":["http://www.mendeley.com/documents/?uuid=f4576933-1464-45f2-93f9-2cdd21232b95"]}],"mendeley":{"formattedCitation":"(40)","plainTextFormattedCitation":"(40)","previouslyFormattedCitation":"(40)"},"properties":{"noteIndex":0},"schema":"https://github.com/citation-style-language/schema/raw/master/csl-citation.json"}</w:instrText>
      </w:r>
      <w:r w:rsidR="00174470" w:rsidRPr="00CC670F">
        <w:rPr>
          <w:i/>
          <w:color w:val="000000" w:themeColor="text1"/>
        </w:rPr>
        <w:fldChar w:fldCharType="separate"/>
      </w:r>
      <w:r w:rsidR="00B515F5" w:rsidRPr="00B515F5">
        <w:rPr>
          <w:noProof/>
          <w:color w:val="000000" w:themeColor="text1"/>
        </w:rPr>
        <w:t>(40)</w:t>
      </w:r>
      <w:r w:rsidR="00174470" w:rsidRPr="00CC670F">
        <w:rPr>
          <w:i/>
          <w:color w:val="000000" w:themeColor="text1"/>
        </w:rPr>
        <w:fldChar w:fldCharType="end"/>
      </w:r>
      <w:r w:rsidR="00F31677" w:rsidRPr="00CC670F">
        <w:rPr>
          <w:color w:val="000000" w:themeColor="text1"/>
        </w:rPr>
        <w:t xml:space="preserve"> </w:t>
      </w:r>
    </w:p>
    <w:p w14:paraId="3B8F4B41" w14:textId="109EED56" w:rsidR="009F32FE" w:rsidRPr="00CC670F" w:rsidRDefault="00FA3574" w:rsidP="007A7155">
      <w:pPr>
        <w:pStyle w:val="Heading1"/>
        <w:spacing w:before="0" w:after="0"/>
        <w:rPr>
          <w:color w:val="000000" w:themeColor="text1"/>
        </w:rPr>
      </w:pPr>
      <w:r w:rsidRPr="00CC670F">
        <w:rPr>
          <w:color w:val="000000" w:themeColor="text1"/>
        </w:rPr>
        <w:t>Conclusion</w:t>
      </w:r>
    </w:p>
    <w:p w14:paraId="6D8E8C2F" w14:textId="2A265A89" w:rsidR="00AB3E75" w:rsidRPr="00CC670F" w:rsidRDefault="00B2667D" w:rsidP="007A7155">
      <w:pPr>
        <w:spacing w:before="0" w:after="0"/>
        <w:ind w:firstLine="720"/>
        <w:rPr>
          <w:color w:val="000000" w:themeColor="text1"/>
        </w:rPr>
      </w:pPr>
      <w:r w:rsidRPr="00CC670F">
        <w:rPr>
          <w:color w:val="000000" w:themeColor="text1"/>
        </w:rPr>
        <w:t>Training and completion</w:t>
      </w:r>
      <w:r w:rsidR="000B4CEC" w:rsidRPr="00CC670F">
        <w:rPr>
          <w:color w:val="000000" w:themeColor="text1"/>
        </w:rPr>
        <w:t xml:space="preserve"> of</w:t>
      </w:r>
      <w:r w:rsidRPr="00CC670F">
        <w:rPr>
          <w:color w:val="000000" w:themeColor="text1"/>
        </w:rPr>
        <w:t xml:space="preserve"> a first-time marathon result in</w:t>
      </w:r>
      <w:r w:rsidR="003B63BA" w:rsidRPr="00CC670F">
        <w:rPr>
          <w:color w:val="000000" w:themeColor="text1"/>
        </w:rPr>
        <w:t xml:space="preserve"> </w:t>
      </w:r>
      <w:r w:rsidRPr="00CC670F">
        <w:rPr>
          <w:color w:val="000000" w:themeColor="text1"/>
        </w:rPr>
        <w:t xml:space="preserve">beneficial reductions in blood pressure and </w:t>
      </w:r>
      <w:r w:rsidR="008D5027" w:rsidRPr="00CC670F">
        <w:rPr>
          <w:color w:val="000000" w:themeColor="text1"/>
        </w:rPr>
        <w:t xml:space="preserve">intrinsic </w:t>
      </w:r>
      <w:r w:rsidRPr="00CC670F">
        <w:rPr>
          <w:color w:val="000000" w:themeColor="text1"/>
        </w:rPr>
        <w:t>aortic stiffening</w:t>
      </w:r>
      <w:r w:rsidR="003B63BA" w:rsidRPr="00CC670F">
        <w:rPr>
          <w:color w:val="000000" w:themeColor="text1"/>
        </w:rPr>
        <w:t xml:space="preserve"> in healthy participants</w:t>
      </w:r>
      <w:r w:rsidRPr="00CC670F">
        <w:rPr>
          <w:color w:val="000000" w:themeColor="text1"/>
        </w:rPr>
        <w:t>.</w:t>
      </w:r>
      <w:r w:rsidR="003B63BA" w:rsidRPr="00CC670F">
        <w:rPr>
          <w:color w:val="000000" w:themeColor="text1"/>
        </w:rPr>
        <w:t xml:space="preserve"> These changes are equivalent to </w:t>
      </w:r>
      <w:r w:rsidR="00815427" w:rsidRPr="00CC670F">
        <w:rPr>
          <w:color w:val="000000" w:themeColor="text1"/>
        </w:rPr>
        <w:t>approximately</w:t>
      </w:r>
      <w:r w:rsidR="00815427">
        <w:rPr>
          <w:color w:val="000000" w:themeColor="text1"/>
        </w:rPr>
        <w:t xml:space="preserve"> a</w:t>
      </w:r>
      <w:r w:rsidR="00960E02" w:rsidRPr="00CC670F">
        <w:rPr>
          <w:color w:val="000000" w:themeColor="text1"/>
        </w:rPr>
        <w:t xml:space="preserve"> </w:t>
      </w:r>
      <w:r w:rsidR="00001841" w:rsidRPr="00CC670F">
        <w:rPr>
          <w:color w:val="000000" w:themeColor="text1"/>
        </w:rPr>
        <w:t>four</w:t>
      </w:r>
      <w:r w:rsidR="00BA3B92" w:rsidRPr="00CC670F">
        <w:rPr>
          <w:color w:val="000000" w:themeColor="text1"/>
        </w:rPr>
        <w:t>-</w:t>
      </w:r>
      <w:r w:rsidR="003B63BA" w:rsidRPr="00CC670F">
        <w:rPr>
          <w:color w:val="000000" w:themeColor="text1"/>
        </w:rPr>
        <w:t xml:space="preserve">year reduction in vascular age. </w:t>
      </w:r>
      <w:r w:rsidR="00A2437E">
        <w:rPr>
          <w:color w:val="000000" w:themeColor="text1"/>
        </w:rPr>
        <w:t>Greater</w:t>
      </w:r>
      <w:r w:rsidR="003B63BA" w:rsidRPr="00CC670F">
        <w:rPr>
          <w:color w:val="000000" w:themeColor="text1"/>
        </w:rPr>
        <w:t xml:space="preserve"> benefit was observed in older, slower</w:t>
      </w:r>
      <w:r w:rsidR="00AD0482" w:rsidRPr="00CC670F">
        <w:rPr>
          <w:color w:val="000000" w:themeColor="text1"/>
        </w:rPr>
        <w:t>, male</w:t>
      </w:r>
      <w:r w:rsidR="003B63BA" w:rsidRPr="00CC670F">
        <w:rPr>
          <w:color w:val="000000" w:themeColor="text1"/>
        </w:rPr>
        <w:t xml:space="preserve"> marathon runners</w:t>
      </w:r>
      <w:r w:rsidR="00396BDA" w:rsidRPr="00CC670F">
        <w:rPr>
          <w:color w:val="000000" w:themeColor="text1"/>
        </w:rPr>
        <w:t xml:space="preserve"> with higher baseline blood pressure</w:t>
      </w:r>
      <w:r w:rsidR="003B63BA" w:rsidRPr="00CC670F">
        <w:rPr>
          <w:color w:val="000000" w:themeColor="text1"/>
        </w:rPr>
        <w:t>.</w:t>
      </w:r>
    </w:p>
    <w:p w14:paraId="1D10912B" w14:textId="77777777" w:rsidR="00AB3E75" w:rsidRPr="00CC670F" w:rsidRDefault="00AB3E75" w:rsidP="007A7155">
      <w:pPr>
        <w:spacing w:before="0" w:after="0" w:line="240" w:lineRule="auto"/>
        <w:rPr>
          <w:color w:val="000000" w:themeColor="text1"/>
        </w:rPr>
      </w:pPr>
      <w:r w:rsidRPr="00CC670F">
        <w:rPr>
          <w:color w:val="000000" w:themeColor="text1"/>
        </w:rPr>
        <w:br w:type="page"/>
      </w:r>
    </w:p>
    <w:p w14:paraId="30EB9DBA" w14:textId="77777777" w:rsidR="007C3076" w:rsidRPr="00CC670F" w:rsidRDefault="007C3076" w:rsidP="007A7155">
      <w:pPr>
        <w:pStyle w:val="Heading1"/>
        <w:spacing w:before="0" w:after="0"/>
        <w:rPr>
          <w:color w:val="000000" w:themeColor="text1"/>
        </w:rPr>
      </w:pPr>
      <w:r w:rsidRPr="00CC670F">
        <w:rPr>
          <w:color w:val="000000" w:themeColor="text1"/>
        </w:rPr>
        <w:t>Clinical Perspectives</w:t>
      </w:r>
    </w:p>
    <w:p w14:paraId="0011CCAE" w14:textId="0B646C82" w:rsidR="007C3076" w:rsidRPr="007A7155" w:rsidRDefault="007C3076" w:rsidP="007A7155">
      <w:pPr>
        <w:pStyle w:val="Heading2"/>
        <w:spacing w:before="0" w:after="0"/>
        <w:rPr>
          <w:b w:val="0"/>
          <w:color w:val="000000" w:themeColor="text1"/>
        </w:rPr>
      </w:pPr>
      <w:r w:rsidRPr="007A7155">
        <w:rPr>
          <w:b w:val="0"/>
          <w:i/>
          <w:color w:val="000000" w:themeColor="text1"/>
        </w:rPr>
        <w:t>Core Clinical Competencies</w:t>
      </w:r>
      <w:r w:rsidR="007A7155" w:rsidRPr="007A7155">
        <w:rPr>
          <w:b w:val="0"/>
          <w:i/>
          <w:color w:val="000000" w:themeColor="text1"/>
        </w:rPr>
        <w:t>:</w:t>
      </w:r>
      <w:r w:rsidR="007A7155">
        <w:rPr>
          <w:color w:val="000000" w:themeColor="text1"/>
        </w:rPr>
        <w:t xml:space="preserve"> </w:t>
      </w:r>
      <w:r w:rsidRPr="007A7155">
        <w:rPr>
          <w:b w:val="0"/>
          <w:color w:val="000000" w:themeColor="text1"/>
        </w:rPr>
        <w:t xml:space="preserve">Increased aortic stiffness and central aortic blood pressure, both strong predictors of cardiovascular mortality, are lowered in healthy individuals after six-months training for and </w:t>
      </w:r>
      <w:r w:rsidR="009D37E4" w:rsidRPr="007A7155">
        <w:rPr>
          <w:b w:val="0"/>
          <w:color w:val="000000" w:themeColor="text1"/>
        </w:rPr>
        <w:t>completion of</w:t>
      </w:r>
      <w:r w:rsidRPr="007A7155">
        <w:rPr>
          <w:b w:val="0"/>
          <w:color w:val="000000" w:themeColor="text1"/>
        </w:rPr>
        <w:t xml:space="preserve"> a first-time marathon. The benefit </w:t>
      </w:r>
      <w:r w:rsidR="00A056B0" w:rsidRPr="007A7155">
        <w:rPr>
          <w:b w:val="0"/>
          <w:color w:val="000000" w:themeColor="text1"/>
        </w:rPr>
        <w:t>was</w:t>
      </w:r>
      <w:r w:rsidRPr="007A7155">
        <w:rPr>
          <w:b w:val="0"/>
          <w:color w:val="000000" w:themeColor="text1"/>
        </w:rPr>
        <w:t xml:space="preserve"> greate</w:t>
      </w:r>
      <w:r w:rsidR="00A056B0" w:rsidRPr="007A7155">
        <w:rPr>
          <w:b w:val="0"/>
          <w:color w:val="000000" w:themeColor="text1"/>
        </w:rPr>
        <w:t>r</w:t>
      </w:r>
      <w:r w:rsidRPr="007A7155">
        <w:rPr>
          <w:b w:val="0"/>
          <w:color w:val="000000" w:themeColor="text1"/>
        </w:rPr>
        <w:t xml:space="preserve"> in older, slower, male individuals. Lifestyle advice to partake in unsupervised, popular forms of exercise training </w:t>
      </w:r>
      <w:r w:rsidR="00E172B7" w:rsidRPr="007A7155">
        <w:rPr>
          <w:b w:val="0"/>
          <w:color w:val="000000" w:themeColor="text1"/>
        </w:rPr>
        <w:t xml:space="preserve">that people enjoy and are likely to continue </w:t>
      </w:r>
      <w:r w:rsidRPr="007A7155">
        <w:rPr>
          <w:b w:val="0"/>
          <w:color w:val="000000" w:themeColor="text1"/>
        </w:rPr>
        <w:t>may be an effective strategy to reduce the effects of age-related arterial stiffening.</w:t>
      </w:r>
    </w:p>
    <w:p w14:paraId="1CEEC5DE" w14:textId="644A6A38" w:rsidR="007C3076" w:rsidRPr="007A7155" w:rsidRDefault="007C3076" w:rsidP="007A7155">
      <w:pPr>
        <w:pStyle w:val="Heading2"/>
        <w:spacing w:before="0" w:after="0"/>
        <w:rPr>
          <w:b w:val="0"/>
          <w:i/>
          <w:color w:val="000000" w:themeColor="text1"/>
        </w:rPr>
      </w:pPr>
      <w:r w:rsidRPr="007A7155">
        <w:rPr>
          <w:b w:val="0"/>
          <w:i/>
          <w:color w:val="000000" w:themeColor="text1"/>
        </w:rPr>
        <w:t>Translational Outlook</w:t>
      </w:r>
      <w:r w:rsidR="007A7155">
        <w:rPr>
          <w:b w:val="0"/>
          <w:i/>
          <w:color w:val="000000" w:themeColor="text1"/>
        </w:rPr>
        <w:t xml:space="preserve">: </w:t>
      </w:r>
      <w:r w:rsidRPr="007A7155">
        <w:rPr>
          <w:b w:val="0"/>
          <w:color w:val="000000" w:themeColor="text1"/>
        </w:rPr>
        <w:t xml:space="preserve">The vascular benefits of exercise are observed at relatively low exercise doses in real-world training programmes. The exercise dose-response curve is not yet completely known, and so the optimum real-world exercise training schedule for maximum benefit requires further study. Training had </w:t>
      </w:r>
      <w:r w:rsidR="00F57564" w:rsidRPr="007A7155">
        <w:rPr>
          <w:b w:val="0"/>
          <w:color w:val="000000" w:themeColor="text1"/>
        </w:rPr>
        <w:t xml:space="preserve">some </w:t>
      </w:r>
      <w:r w:rsidRPr="007A7155">
        <w:rPr>
          <w:b w:val="0"/>
          <w:color w:val="000000" w:themeColor="text1"/>
        </w:rPr>
        <w:t>direct impact on intrinsic aortic remodeling, but the mechanism of these changes is not yet known.</w:t>
      </w:r>
    </w:p>
    <w:p w14:paraId="64809BCC" w14:textId="78909961" w:rsidR="00152199" w:rsidRPr="00CC670F" w:rsidRDefault="00152199" w:rsidP="007A7155">
      <w:pPr>
        <w:spacing w:before="0" w:after="0"/>
        <w:rPr>
          <w:color w:val="000000" w:themeColor="text1"/>
        </w:rPr>
      </w:pPr>
      <w:r w:rsidRPr="00CC670F">
        <w:rPr>
          <w:color w:val="000000" w:themeColor="text1"/>
        </w:rPr>
        <w:br w:type="page"/>
      </w:r>
    </w:p>
    <w:p w14:paraId="05EC5145" w14:textId="1C406A38" w:rsidR="00F72814" w:rsidRDefault="006512FA" w:rsidP="007A7155">
      <w:pPr>
        <w:pStyle w:val="Heading1"/>
        <w:spacing w:before="0" w:after="0"/>
      </w:pPr>
      <w:r w:rsidRPr="00A710EF">
        <w:t>References</w:t>
      </w:r>
    </w:p>
    <w:p w14:paraId="51120FC9" w14:textId="6A848AD0" w:rsidR="00A8540D" w:rsidRDefault="00A8540D" w:rsidP="007A7155">
      <w:pPr>
        <w:spacing w:before="0" w:after="0"/>
      </w:pPr>
      <w:r>
        <w:t xml:space="preserve">1. </w:t>
      </w:r>
      <w:r>
        <w:tab/>
        <w:t>Mitchell GF, van Buchem MA, Sigurdsson S, Gotal JD, Jonsdottir MK, Kjartansson Ó, et al. Arterial stiffness, pressure and flow pulsatility and brain structure and function. Brain. 2011 Nov;134(11):3398–407.</w:t>
      </w:r>
    </w:p>
    <w:p w14:paraId="3CF46497" w14:textId="45116A3B" w:rsidR="00A8540D" w:rsidRDefault="00A8540D" w:rsidP="007A7155">
      <w:pPr>
        <w:spacing w:before="0" w:after="0"/>
      </w:pPr>
      <w:r>
        <w:t xml:space="preserve">2. </w:t>
      </w:r>
      <w:r>
        <w:tab/>
        <w:t xml:space="preserve">Mitchell GF, Hwang S-J, Vasan RS, Larson MG, Pencina MJ, Hamburg NM, et al. Arterial Stiffness and Cardiovascular Events. Circulation. 2010;121(4):505–11. </w:t>
      </w:r>
    </w:p>
    <w:p w14:paraId="06C3D524" w14:textId="7B84BAE7" w:rsidR="00A8540D" w:rsidRDefault="00A8540D" w:rsidP="007A7155">
      <w:pPr>
        <w:spacing w:before="0" w:after="0"/>
      </w:pPr>
      <w:r>
        <w:t xml:space="preserve">3. </w:t>
      </w:r>
      <w:r>
        <w:tab/>
        <w:t xml:space="preserve">Townsend RR, Wimmer NJ, Chirinos JA, Parsa A, Weir M, Perumal K, et al. Aortic PWV in Chronic Kidney Disease: A CRIC Ancillary Study. Am J Hypertens. 2010 Mar;23(3):282–9. </w:t>
      </w:r>
    </w:p>
    <w:p w14:paraId="21D48937" w14:textId="79C023BA" w:rsidR="00A8540D" w:rsidRDefault="00A8540D" w:rsidP="007A7155">
      <w:pPr>
        <w:spacing w:before="0" w:after="0"/>
      </w:pPr>
      <w:r>
        <w:t xml:space="preserve">4. </w:t>
      </w:r>
      <w:r>
        <w:tab/>
        <w:t xml:space="preserve">Hoeks APG, Breteler MMB, Witteman Popele JCM, Bos ML, Schalekamp MADH, Asmar R, et al. Arterial Stiffness and Risk of Coronary Heart Disease and Stroke: The Rotterdam Study Arterial Stiffness Study. Circulation. 2006;113:657–63. </w:t>
      </w:r>
    </w:p>
    <w:p w14:paraId="06FEFB2D" w14:textId="15951A9C" w:rsidR="00A8540D" w:rsidRDefault="00A8540D" w:rsidP="007A7155">
      <w:pPr>
        <w:spacing w:before="0" w:after="0"/>
      </w:pPr>
      <w:r>
        <w:t xml:space="preserve">5. </w:t>
      </w:r>
      <w:r>
        <w:tab/>
      </w:r>
      <w:r w:rsidRPr="00F60C0E">
        <w:rPr>
          <w:noProof/>
        </w:rPr>
        <w:t xml:space="preserve">Feigin, V. L., Norrving, B. &amp; Mensah, G. A. Primary prevention of cardiovascular disease through population-wide motivational strategies: insights from using smartphones in stroke prevention. </w:t>
      </w:r>
      <w:r w:rsidRPr="00C90DA9">
        <w:rPr>
          <w:iCs/>
          <w:noProof/>
        </w:rPr>
        <w:t>BMJ Glob. Heal</w:t>
      </w:r>
      <w:r w:rsidRPr="00F60C0E">
        <w:rPr>
          <w:i/>
          <w:iCs/>
          <w:noProof/>
        </w:rPr>
        <w:t>.</w:t>
      </w:r>
      <w:r w:rsidRPr="00F60C0E">
        <w:rPr>
          <w:noProof/>
        </w:rPr>
        <w:t xml:space="preserve"> </w:t>
      </w:r>
      <w:r w:rsidR="009E148A" w:rsidRPr="00257AD6">
        <w:rPr>
          <w:noProof/>
        </w:rPr>
        <w:t>2016;2(2):e000306</w:t>
      </w:r>
      <w:r w:rsidRPr="00F60C0E">
        <w:rPr>
          <w:noProof/>
        </w:rPr>
        <w:t>.</w:t>
      </w:r>
    </w:p>
    <w:p w14:paraId="71A0D33A" w14:textId="18686D85" w:rsidR="00A8540D" w:rsidRDefault="00A8540D" w:rsidP="007A7155">
      <w:pPr>
        <w:spacing w:before="0" w:after="0"/>
      </w:pPr>
      <w:r>
        <w:t>6.</w:t>
      </w:r>
      <w:r>
        <w:tab/>
        <w:t xml:space="preserve">Ben-Shlomo Y, Spears M, Boustred C, May M, Anderson SG, Benjamin EJ, et al. Aortic Pulse Wave Velocity Improves Cardiovascular Event Prediction. J Am Coll Cardiol. 2014;63(7):636–46. </w:t>
      </w:r>
    </w:p>
    <w:p w14:paraId="41D44684" w14:textId="772284C0" w:rsidR="00A8540D" w:rsidRDefault="00A8540D" w:rsidP="00051C79">
      <w:r>
        <w:t xml:space="preserve">7. </w:t>
      </w:r>
      <w:r>
        <w:tab/>
      </w:r>
      <w:r w:rsidR="00051C79" w:rsidRPr="00987D5D">
        <w:rPr>
          <w:noProof/>
        </w:rPr>
        <w:t>Chirinos JA, Segers P, Hughes T, Townsend R. Large-Artery Stiffness in Health and Disease. J Am Coll Cardiol. 2019;74(9):1237–63.</w:t>
      </w:r>
    </w:p>
    <w:p w14:paraId="07A205E8" w14:textId="67DE034F" w:rsidR="00A8540D" w:rsidRDefault="00A8540D" w:rsidP="007A7155">
      <w:pPr>
        <w:spacing w:before="0" w:after="0"/>
      </w:pPr>
      <w:r>
        <w:t xml:space="preserve">8. </w:t>
      </w:r>
      <w:r>
        <w:tab/>
        <w:t xml:space="preserve">Saint-Maurice PF, Coughlan D, Kelly SP, Keadle SK, Cook MB, Carlson SA, et al. Association of Leisure-Time Physical Activity Across the Adult Life Course With All-Cause and Cause-Specific Mortality. JAMA Netw Open. 2019;2(3):e190355. </w:t>
      </w:r>
    </w:p>
    <w:p w14:paraId="6DC9417D" w14:textId="22E073F7" w:rsidR="00A8540D" w:rsidRDefault="00A8540D" w:rsidP="007A7155">
      <w:pPr>
        <w:spacing w:before="0" w:after="0"/>
      </w:pPr>
      <w:r>
        <w:t xml:space="preserve">9. </w:t>
      </w:r>
      <w:r>
        <w:tab/>
        <w:t>Runningusa.org. 2019 U.S. Running Trends Report (accessed 2019 Mar 29). https://runningusa.org/RUSA/News/2019/Running_USA_Releases_2019_U.S._Running_Trends_Report.aspx</w:t>
      </w:r>
    </w:p>
    <w:p w14:paraId="5CE238B1" w14:textId="79F0C68C" w:rsidR="00A8540D" w:rsidRDefault="00A8540D" w:rsidP="007A7155">
      <w:pPr>
        <w:spacing w:before="0" w:after="0"/>
      </w:pPr>
      <w:r>
        <w:t xml:space="preserve">10. </w:t>
      </w:r>
      <w:r>
        <w:tab/>
        <w:t xml:space="preserve">Vaitkevicius P V, Fleg JL, Engel JH, Oconnor FC, Wright JG, Lakatta LE, et al. Effects of Age and Aerobic Capacity on Arterial Stiffness in Healthy-Adults. Circulation. 1993;88(4):1456–62. </w:t>
      </w:r>
    </w:p>
    <w:p w14:paraId="6DA5C7DF" w14:textId="3A396FB3" w:rsidR="00A8540D" w:rsidRDefault="00A8540D" w:rsidP="007A7155">
      <w:pPr>
        <w:spacing w:before="0" w:after="0"/>
      </w:pPr>
      <w:r>
        <w:t xml:space="preserve">11. </w:t>
      </w:r>
      <w:r>
        <w:tab/>
        <w:t xml:space="preserve">Tanaka H, Desouza CA, Seals DR. Absence of Age-Related Increase in Central Arterial Stiffness in Physically Active Women. Arter Thromb Vasc Biol. 1998;19:127–32. </w:t>
      </w:r>
    </w:p>
    <w:p w14:paraId="0BF1B398" w14:textId="4B8F54CB" w:rsidR="00A8540D" w:rsidRDefault="00A8540D" w:rsidP="007A7155">
      <w:pPr>
        <w:spacing w:before="0" w:after="0"/>
      </w:pPr>
      <w:r>
        <w:t>12.</w:t>
      </w:r>
      <w:r>
        <w:tab/>
        <w:t>Fujimoto N, Prasad A, Hastings JL, Arbab-Zadeh A, Bhella PS, Shibata S et al.</w:t>
      </w:r>
    </w:p>
    <w:p w14:paraId="5283922E" w14:textId="77777777" w:rsidR="00A8540D" w:rsidRDefault="00A8540D" w:rsidP="007A7155">
      <w:pPr>
        <w:spacing w:before="0" w:after="0"/>
      </w:pPr>
      <w:r>
        <w:t>Cardiovascular Effects of 1 Year of Progressive and Vigorous Exercise Training in</w:t>
      </w:r>
    </w:p>
    <w:p w14:paraId="1C8BBEE3" w14:textId="77777777" w:rsidR="00A8540D" w:rsidRDefault="00A8540D" w:rsidP="007A7155">
      <w:pPr>
        <w:spacing w:before="0" w:after="0"/>
      </w:pPr>
      <w:r>
        <w:t>Previously Sedentary Individuals Older Than 65 Years of Age. Circulation 2010;122(18):</w:t>
      </w:r>
    </w:p>
    <w:p w14:paraId="3826CB94" w14:textId="32DAD8D3" w:rsidR="00A8540D" w:rsidRDefault="00A8540D" w:rsidP="007A7155">
      <w:pPr>
        <w:spacing w:before="0" w:after="0"/>
      </w:pPr>
      <w:r>
        <w:t>1797–1805.</w:t>
      </w:r>
    </w:p>
    <w:p w14:paraId="435CC0AF" w14:textId="2F186BFB" w:rsidR="00A8540D" w:rsidRDefault="00A8540D" w:rsidP="007A7155">
      <w:pPr>
        <w:spacing w:before="0" w:after="0"/>
      </w:pPr>
      <w:r>
        <w:t xml:space="preserve">13. </w:t>
      </w:r>
      <w:r>
        <w:tab/>
      </w:r>
      <w:r w:rsidR="0043298B" w:rsidRPr="002926F9">
        <w:rPr>
          <w:noProof/>
        </w:rPr>
        <w:t>Hickson</w:t>
      </w:r>
      <w:r w:rsidR="002926F9" w:rsidRPr="002926F9">
        <w:rPr>
          <w:noProof/>
        </w:rPr>
        <w:t xml:space="preserve"> SS</w:t>
      </w:r>
      <w:r w:rsidR="002926F9">
        <w:rPr>
          <w:noProof/>
        </w:rPr>
        <w:t>, Butlin M, Graves M, et al.</w:t>
      </w:r>
      <w:r w:rsidR="0043298B" w:rsidRPr="002926F9">
        <w:rPr>
          <w:noProof/>
        </w:rPr>
        <w:t xml:space="preserve"> The Relationship of Age With Regional Aortic Stiffness and Diameter. </w:t>
      </w:r>
      <w:r w:rsidR="0043298B" w:rsidRPr="002926F9">
        <w:rPr>
          <w:iCs/>
          <w:noProof/>
        </w:rPr>
        <w:t>JACC Cardiovasc Imaging</w:t>
      </w:r>
      <w:r w:rsidR="00B07E2C">
        <w:rPr>
          <w:noProof/>
        </w:rPr>
        <w:t>. 2010;</w:t>
      </w:r>
      <w:r w:rsidR="0043298B" w:rsidRPr="00B07E2C">
        <w:rPr>
          <w:bCs/>
          <w:noProof/>
        </w:rPr>
        <w:t>3</w:t>
      </w:r>
      <w:r w:rsidR="00B07E2C">
        <w:rPr>
          <w:noProof/>
        </w:rPr>
        <w:t>(12):</w:t>
      </w:r>
      <w:r w:rsidR="0043298B" w:rsidRPr="002926F9">
        <w:rPr>
          <w:noProof/>
        </w:rPr>
        <w:t>1247–1255</w:t>
      </w:r>
      <w:r w:rsidR="00B07E2C">
        <w:rPr>
          <w:noProof/>
        </w:rPr>
        <w:t>.</w:t>
      </w:r>
    </w:p>
    <w:p w14:paraId="5858E432" w14:textId="3FA073C8" w:rsidR="00A8540D" w:rsidRDefault="00A8540D" w:rsidP="007A7155">
      <w:pPr>
        <w:spacing w:before="0" w:after="0"/>
      </w:pPr>
      <w:r>
        <w:t xml:space="preserve">14. </w:t>
      </w:r>
      <w:r>
        <w:tab/>
        <w:t xml:space="preserve">Redheuil A, Yu W-C, Wu CO, Mousseaux E, de Cesare A, Yan R, et al. Reduced ascending aortic strain and distensibility: earliest manifestations of vascular aging in humans. Hypertens. 2010;55(2):319–26. </w:t>
      </w:r>
    </w:p>
    <w:p w14:paraId="777AEF19" w14:textId="00DCA199" w:rsidR="0043298B" w:rsidRDefault="0043298B" w:rsidP="007A7155">
      <w:pPr>
        <w:widowControl w:val="0"/>
        <w:autoSpaceDE w:val="0"/>
        <w:autoSpaceDN w:val="0"/>
        <w:adjustRightInd w:val="0"/>
        <w:spacing w:before="0" w:after="0"/>
        <w:ind w:left="640" w:hanging="640"/>
      </w:pPr>
      <w:r>
        <w:t>15.</w:t>
      </w:r>
      <w:r w:rsidRPr="0043298B">
        <w:rPr>
          <w:noProof/>
        </w:rPr>
        <w:t xml:space="preserve"> </w:t>
      </w:r>
      <w:r>
        <w:rPr>
          <w:noProof/>
        </w:rPr>
        <w:tab/>
      </w:r>
      <w:r>
        <w:rPr>
          <w:noProof/>
        </w:rPr>
        <w:tab/>
      </w:r>
      <w:r w:rsidRPr="0043298B">
        <w:t>Schlatmann</w:t>
      </w:r>
      <w:r w:rsidR="00B07E2C">
        <w:t xml:space="preserve"> TJM</w:t>
      </w:r>
      <w:r w:rsidRPr="0043298B">
        <w:t>, Becker, A. E. Histologic changes in the normal aging aorta:</w:t>
      </w:r>
    </w:p>
    <w:p w14:paraId="1F1C6B62" w14:textId="6BF2DEA9" w:rsidR="0043298B" w:rsidRDefault="0043298B" w:rsidP="00A20B87">
      <w:pPr>
        <w:widowControl w:val="0"/>
        <w:autoSpaceDE w:val="0"/>
        <w:autoSpaceDN w:val="0"/>
        <w:adjustRightInd w:val="0"/>
        <w:spacing w:before="0" w:after="0"/>
        <w:ind w:left="640" w:hanging="640"/>
      </w:pPr>
      <w:r w:rsidRPr="0043298B">
        <w:t>Implications for dissecting aortic aneurysm. Am. J. Cardiol</w:t>
      </w:r>
      <w:r w:rsidR="00241502">
        <w:t>. 1997;</w:t>
      </w:r>
      <w:r w:rsidRPr="0043298B">
        <w:t>39</w:t>
      </w:r>
      <w:r w:rsidR="00CD5A58">
        <w:t>(1)</w:t>
      </w:r>
      <w:r w:rsidR="00241502">
        <w:t>:</w:t>
      </w:r>
      <w:r w:rsidRPr="0043298B">
        <w:t xml:space="preserve"> 13–20.</w:t>
      </w:r>
    </w:p>
    <w:p w14:paraId="65373E35" w14:textId="690751D6" w:rsidR="00A8540D" w:rsidRDefault="00A8540D" w:rsidP="007A7155">
      <w:pPr>
        <w:spacing w:before="0" w:after="0"/>
      </w:pPr>
      <w:r>
        <w:t>1</w:t>
      </w:r>
      <w:r w:rsidR="0043298B">
        <w:t>6</w:t>
      </w:r>
      <w:r>
        <w:t xml:space="preserve">. </w:t>
      </w:r>
      <w:r>
        <w:tab/>
        <w:t xml:space="preserve">Jones S, D’Silva A, Bhuva A, Lloyd G, Manisty C, Moon JC, et al. Improved exercise-related skeletal muscle oxygen consumption following uptake of endurance training measured using near-infrared spectroscopy. Front Physiol. 2017;8:1018. </w:t>
      </w:r>
    </w:p>
    <w:p w14:paraId="135A749D" w14:textId="755A55D6" w:rsidR="00A8540D" w:rsidRDefault="00A8540D" w:rsidP="007A7155">
      <w:pPr>
        <w:spacing w:before="0" w:after="0"/>
      </w:pPr>
      <w:r>
        <w:t>1</w:t>
      </w:r>
      <w:r w:rsidR="0043298B">
        <w:t>7</w:t>
      </w:r>
      <w:r>
        <w:t xml:space="preserve">. </w:t>
      </w:r>
      <w:r>
        <w:tab/>
        <w:t>Virgin Money London Marathon. Beginner 17 week training plan (accessed 2017 Jan 28). https://www.virginmoneylondonmarathon.com/en-gb/trainingplans/beginner-17-week-training-plan/</w:t>
      </w:r>
    </w:p>
    <w:p w14:paraId="10385A18" w14:textId="69962D50" w:rsidR="00A8540D" w:rsidRDefault="00A8540D" w:rsidP="007A7155">
      <w:pPr>
        <w:spacing w:before="0" w:after="0"/>
      </w:pPr>
      <w:r>
        <w:t>1</w:t>
      </w:r>
      <w:r w:rsidR="0043298B">
        <w:t>8</w:t>
      </w:r>
      <w:r>
        <w:t xml:space="preserve">. </w:t>
      </w:r>
      <w:r>
        <w:tab/>
        <w:t xml:space="preserve">Herment A, Lefort M, Kachenoura N, De Cesare A, Taviani V, Graves MJ, et al. Automated estimation of aortic strain from steady-state free-precession and phase contrast MR images. Magn Reson Med. 2011;65(4):986–93. </w:t>
      </w:r>
    </w:p>
    <w:p w14:paraId="6949CD1F" w14:textId="77777777" w:rsidR="0098121F" w:rsidRDefault="00A8540D" w:rsidP="0098121F">
      <w:pPr>
        <w:rPr>
          <w:noProof/>
        </w:rPr>
      </w:pPr>
      <w:r>
        <w:t>1</w:t>
      </w:r>
      <w:r w:rsidR="0043298B">
        <w:t>9</w:t>
      </w:r>
      <w:r>
        <w:t xml:space="preserve">. </w:t>
      </w:r>
      <w:r>
        <w:tab/>
      </w:r>
      <w:r w:rsidR="0098121F" w:rsidRPr="00531DFB">
        <w:rPr>
          <w:noProof/>
        </w:rPr>
        <w:t>Hughes AD, Parker KH. Forward and backward waves in the arterial system: Impedance or wave intensity analysis? Med Biol Eng Comput. 2009;47(2):207–10.</w:t>
      </w:r>
    </w:p>
    <w:p w14:paraId="0411F573" w14:textId="597143FB" w:rsidR="00EA29D2" w:rsidRDefault="00EA29D2" w:rsidP="007A7155">
      <w:pPr>
        <w:spacing w:before="0" w:after="0"/>
        <w:rPr>
          <w:noProof/>
        </w:rPr>
      </w:pPr>
      <w:r w:rsidRPr="00257AD6">
        <w:rPr>
          <w:noProof/>
        </w:rPr>
        <w:t xml:space="preserve">20. </w:t>
      </w:r>
      <w:r w:rsidRPr="00257AD6">
        <w:rPr>
          <w:noProof/>
        </w:rPr>
        <w:tab/>
        <w:t xml:space="preserve">Narayan O, Parker KH, Davies JE, Hughes AD, Meredith IT, Cameron JD. Reservoir pressure analysis of aortic blood pressure: An in-vivo study at five locations in humans. J Hypertens. 2017;35(10):2025–33. </w:t>
      </w:r>
    </w:p>
    <w:p w14:paraId="5CE500E4" w14:textId="4AB9C680" w:rsidR="00A8540D" w:rsidRDefault="00257AD6" w:rsidP="007A7155">
      <w:pPr>
        <w:spacing w:before="0" w:after="0"/>
      </w:pPr>
      <w:r>
        <w:t xml:space="preserve">21. </w:t>
      </w:r>
      <w:r>
        <w:tab/>
      </w:r>
      <w:r w:rsidR="00A8540D">
        <w:t>Reese RJ, Fuehrer D, Fennessy C. Runners With More Training Miles Finish Marathons Faster. Runners World (accessed August 2018). 2014. https://www.runnersworld.com/run-the-numbers/runners-with-more-training-miles-finish-marathons-faster</w:t>
      </w:r>
    </w:p>
    <w:p w14:paraId="5860112E" w14:textId="54AF2D08" w:rsidR="00A8540D" w:rsidRDefault="0043298B" w:rsidP="007A7155">
      <w:pPr>
        <w:spacing w:before="0" w:after="0"/>
      </w:pPr>
      <w:r>
        <w:t>2</w:t>
      </w:r>
      <w:r w:rsidR="00257AD6">
        <w:t>2</w:t>
      </w:r>
      <w:r w:rsidR="00A8540D">
        <w:t xml:space="preserve">. </w:t>
      </w:r>
      <w:r w:rsidR="00A8540D">
        <w:tab/>
        <w:t xml:space="preserve">Thomopoulos C, Parati G, Zanchetti A. Effects of blood-pressure-lowering treatment on outcome incidence. J Hypertens . 2017;35(11):2150–60. </w:t>
      </w:r>
    </w:p>
    <w:p w14:paraId="1D18114C" w14:textId="7902D4F9" w:rsidR="00316238" w:rsidRDefault="00A8540D" w:rsidP="007A7155">
      <w:pPr>
        <w:spacing w:before="0" w:after="0"/>
      </w:pPr>
      <w:r>
        <w:t>2</w:t>
      </w:r>
      <w:r w:rsidR="00257AD6">
        <w:t>3</w:t>
      </w:r>
      <w:r>
        <w:t xml:space="preserve">. </w:t>
      </w:r>
      <w:r>
        <w:tab/>
      </w:r>
      <w:r w:rsidR="00316238">
        <w:t>Piercy KL, Troiano RP, Ballard RM, Carlson SA, Fulton JE, Galuska DA, et al. The</w:t>
      </w:r>
    </w:p>
    <w:p w14:paraId="3F5C424A" w14:textId="353CBF98" w:rsidR="00316238" w:rsidRDefault="00316238" w:rsidP="007A7155">
      <w:pPr>
        <w:spacing w:before="0" w:after="0"/>
      </w:pPr>
      <w:r>
        <w:t>Physical Activity Guidelines for Americans. JAMA . 2018 Nov 20;320(19):2020.</w:t>
      </w:r>
    </w:p>
    <w:p w14:paraId="768EF3A5" w14:textId="71A4E4EA" w:rsidR="00B6757A" w:rsidRDefault="00B6757A" w:rsidP="007A7155">
      <w:pPr>
        <w:spacing w:before="0" w:after="0"/>
      </w:pPr>
      <w:r>
        <w:t>2</w:t>
      </w:r>
      <w:r w:rsidR="00257AD6">
        <w:t>4</w:t>
      </w:r>
      <w:r>
        <w:t xml:space="preserve">. </w:t>
      </w:r>
      <w:r>
        <w:tab/>
      </w:r>
      <w:r w:rsidR="0064544A">
        <w:t xml:space="preserve">Hughson RL, Robertson AD, Arbeille P, Shoemaker JK, Rush JWE, Fraser KS, et al. Increased postflight carotid artery stiffness and inflight insulin resistance resulting from 6-mo spaceflight in male and female astronauts. Am J Physiol. 2016;310(5):H628–38. </w:t>
      </w:r>
    </w:p>
    <w:p w14:paraId="6313B20D" w14:textId="723768DC" w:rsidR="0064544A" w:rsidRDefault="00B6757A" w:rsidP="007A7155">
      <w:pPr>
        <w:spacing w:before="0" w:after="0"/>
      </w:pPr>
      <w:r>
        <w:t>2</w:t>
      </w:r>
      <w:r w:rsidR="00257AD6">
        <w:t>5</w:t>
      </w:r>
      <w:r>
        <w:t>.</w:t>
      </w:r>
      <w:r w:rsidRPr="00B6757A">
        <w:t xml:space="preserve"> </w:t>
      </w:r>
      <w:r>
        <w:tab/>
      </w:r>
      <w:r w:rsidR="0064544A">
        <w:t xml:space="preserve">Shibata S, Fujimoto N, Hastings JL, Carrick-Ranson G, Bhella PS, Hearon C, et al. The effect of lifelong exercise frequency on arterial stiffness. J Physiol. 2018;0:1–13.  </w:t>
      </w:r>
    </w:p>
    <w:p w14:paraId="787FF031" w14:textId="0AA51BA4" w:rsidR="00A8540D" w:rsidRDefault="00B6757A" w:rsidP="007A7155">
      <w:pPr>
        <w:spacing w:before="0" w:after="0"/>
      </w:pPr>
      <w:r>
        <w:t>2</w:t>
      </w:r>
      <w:r w:rsidR="00257AD6">
        <w:t>6</w:t>
      </w:r>
      <w:r>
        <w:t xml:space="preserve">. </w:t>
      </w:r>
      <w:r>
        <w:tab/>
      </w:r>
      <w:r w:rsidR="00A8540D">
        <w:t xml:space="preserve"> </w:t>
      </w:r>
      <w:r w:rsidR="0064544A">
        <w:t>Howden EJ, Sarma S, Lawley JS, Opondo M, Cornwell W, Stoller D et al.  Reversing the Cardiac Effects of Sedentary Aging in Middle Age- A Randomized Controlled Trial: Implications for Heart Failure Prevention. Circulation 2018;137(15):1549–1560.</w:t>
      </w:r>
    </w:p>
    <w:p w14:paraId="3F6AE434" w14:textId="246EF05C" w:rsidR="00A8540D" w:rsidRDefault="00A8540D" w:rsidP="007A7155">
      <w:pPr>
        <w:spacing w:before="0" w:after="0"/>
      </w:pPr>
      <w:r>
        <w:t>2</w:t>
      </w:r>
      <w:r w:rsidR="00257AD6">
        <w:t>7</w:t>
      </w:r>
      <w:r>
        <w:t xml:space="preserve">. </w:t>
      </w:r>
      <w:r>
        <w:tab/>
        <w:t xml:space="preserve"> </w:t>
      </w:r>
      <w:r w:rsidR="0064544A">
        <w:t xml:space="preserve">Shephard RJ, Balady GJ. Clinical Cardiology : New Frontiers Exercise as Cardiovascular Therapy. Circulation. 1999;0(99):963–72. </w:t>
      </w:r>
    </w:p>
    <w:p w14:paraId="02C187B8" w14:textId="369EB0F9" w:rsidR="00A8540D" w:rsidRDefault="00A8540D" w:rsidP="007A7155">
      <w:pPr>
        <w:spacing w:before="0" w:after="0"/>
      </w:pPr>
      <w:r>
        <w:t>2</w:t>
      </w:r>
      <w:r w:rsidR="00257AD6">
        <w:t>8</w:t>
      </w:r>
      <w:r>
        <w:t xml:space="preserve">. </w:t>
      </w:r>
      <w:r>
        <w:tab/>
        <w:t xml:space="preserve">Naci H, Salcher-Konrad M, Dias S, Blum MR, Sahoo SA, Nunan D, et al. How does exercise treatment compare with antihypertensive medications? controlled trials assessing exercise and medication effects on systolic blood pressure. Br J Sport Med. 2018;0:1–12. </w:t>
      </w:r>
    </w:p>
    <w:p w14:paraId="558055BD" w14:textId="706DC175" w:rsidR="00A8540D" w:rsidRDefault="00A8540D" w:rsidP="007A7155">
      <w:pPr>
        <w:spacing w:before="0" w:after="0"/>
      </w:pPr>
      <w:r>
        <w:t>2</w:t>
      </w:r>
      <w:r w:rsidR="00257AD6">
        <w:t>9</w:t>
      </w:r>
      <w:r>
        <w:t>.</w:t>
      </w:r>
      <w:r>
        <w:tab/>
        <w:t>Lewington S, Clarke R, Qizilbash N, Peto R, Collins R et al.</w:t>
      </w:r>
      <w:r w:rsidR="0011360D">
        <w:t xml:space="preserve"> </w:t>
      </w:r>
      <w:r>
        <w:t>Age-specific relevance</w:t>
      </w:r>
    </w:p>
    <w:p w14:paraId="376620D5" w14:textId="77777777" w:rsidR="00A8540D" w:rsidRDefault="00A8540D" w:rsidP="007A7155">
      <w:pPr>
        <w:spacing w:before="0" w:after="0"/>
      </w:pPr>
      <w:r>
        <w:t>of usual blood pressure to vascular mortality: a meta-analysis of individual data for one</w:t>
      </w:r>
    </w:p>
    <w:p w14:paraId="64066ECF" w14:textId="77777777" w:rsidR="00A8540D" w:rsidRDefault="00A8540D" w:rsidP="007A7155">
      <w:pPr>
        <w:spacing w:before="0" w:after="0"/>
      </w:pPr>
      <w:r>
        <w:t>million adults in 61 prospective studies. Lancet 2002;360:1903–13.</w:t>
      </w:r>
    </w:p>
    <w:p w14:paraId="65D5D676" w14:textId="74A5BC9E" w:rsidR="00A8540D" w:rsidRDefault="00257AD6" w:rsidP="007A7155">
      <w:pPr>
        <w:spacing w:before="0" w:after="0"/>
      </w:pPr>
      <w:r>
        <w:t>30</w:t>
      </w:r>
      <w:r w:rsidR="00A8540D">
        <w:t>.</w:t>
      </w:r>
      <w:r w:rsidR="00A8540D">
        <w:tab/>
        <w:t xml:space="preserve">Ashor AW, Lara J, Siervo M, Celis-Morales C, Mathers JC. Effects of exercise modalities on arterial stiffness and wave reflection: a systematic review and meta-analysis. PLoS One. 2014;9(10):e110034. </w:t>
      </w:r>
    </w:p>
    <w:p w14:paraId="49D00887" w14:textId="2B1F429A" w:rsidR="00AE46F1" w:rsidRPr="00AE46F1" w:rsidRDefault="00257AD6" w:rsidP="007A7155">
      <w:pPr>
        <w:spacing w:before="0" w:after="0"/>
      </w:pPr>
      <w:r>
        <w:t>31</w:t>
      </w:r>
      <w:r w:rsidR="00A8540D">
        <w:t xml:space="preserve">. </w:t>
      </w:r>
      <w:r w:rsidR="00A8540D">
        <w:tab/>
      </w:r>
      <w:r w:rsidR="00AE46F1" w:rsidRPr="00AE46F1">
        <w:rPr>
          <w:noProof/>
        </w:rPr>
        <w:t>Hafner</w:t>
      </w:r>
      <w:r w:rsidR="00AE46F1">
        <w:rPr>
          <w:noProof/>
        </w:rPr>
        <w:t xml:space="preserve"> NM</w:t>
      </w:r>
      <w:r w:rsidR="00AE46F1" w:rsidRPr="00AE46F1">
        <w:rPr>
          <w:noProof/>
        </w:rPr>
        <w:t>, Womack</w:t>
      </w:r>
      <w:r w:rsidR="00AE46F1">
        <w:rPr>
          <w:noProof/>
        </w:rPr>
        <w:t xml:space="preserve"> CJ</w:t>
      </w:r>
      <w:r w:rsidR="00AE46F1" w:rsidRPr="00AE46F1">
        <w:rPr>
          <w:noProof/>
        </w:rPr>
        <w:t>, Lude</w:t>
      </w:r>
      <w:r w:rsidR="00AE46F1">
        <w:rPr>
          <w:noProof/>
        </w:rPr>
        <w:t xml:space="preserve">n ND, </w:t>
      </w:r>
      <w:r w:rsidR="00AE46F1" w:rsidRPr="00AE46F1">
        <w:rPr>
          <w:noProof/>
        </w:rPr>
        <w:t>Todd</w:t>
      </w:r>
      <w:r w:rsidR="00AE46F1">
        <w:rPr>
          <w:noProof/>
        </w:rPr>
        <w:t xml:space="preserve"> MK</w:t>
      </w:r>
      <w:r w:rsidR="00AE46F1" w:rsidRPr="00AE46F1">
        <w:rPr>
          <w:noProof/>
        </w:rPr>
        <w:t xml:space="preserve">. Arterial adaptations to training among first time marathoners. </w:t>
      </w:r>
      <w:r w:rsidR="00AE46F1" w:rsidRPr="00AE46F1">
        <w:rPr>
          <w:iCs/>
          <w:noProof/>
        </w:rPr>
        <w:t>Cardiovasc. Ultrasound</w:t>
      </w:r>
      <w:r w:rsidR="00AE46F1">
        <w:rPr>
          <w:iCs/>
          <w:noProof/>
        </w:rPr>
        <w:t xml:space="preserve"> 2016;</w:t>
      </w:r>
      <w:r w:rsidR="00AE46F1" w:rsidRPr="00AE46F1">
        <w:rPr>
          <w:bCs/>
          <w:noProof/>
        </w:rPr>
        <w:t>14</w:t>
      </w:r>
      <w:r w:rsidR="00AE46F1">
        <w:rPr>
          <w:bCs/>
          <w:noProof/>
        </w:rPr>
        <w:t>(1)</w:t>
      </w:r>
      <w:r w:rsidR="00AE46F1">
        <w:rPr>
          <w:noProof/>
        </w:rPr>
        <w:t>:</w:t>
      </w:r>
      <w:r w:rsidR="00AE46F1" w:rsidRPr="00AE46F1">
        <w:rPr>
          <w:noProof/>
        </w:rPr>
        <w:t>1</w:t>
      </w:r>
      <w:r w:rsidR="00AE46F1">
        <w:rPr>
          <w:noProof/>
        </w:rPr>
        <w:t>9</w:t>
      </w:r>
      <w:r w:rsidR="00AE46F1" w:rsidRPr="00AE46F1">
        <w:rPr>
          <w:noProof/>
        </w:rPr>
        <w:t>.</w:t>
      </w:r>
    </w:p>
    <w:p w14:paraId="57914FD9" w14:textId="41219996" w:rsidR="00A8540D" w:rsidRDefault="0043298B" w:rsidP="007A7155">
      <w:pPr>
        <w:spacing w:before="0" w:after="0"/>
      </w:pPr>
      <w:r>
        <w:t>3</w:t>
      </w:r>
      <w:r w:rsidR="00257AD6">
        <w:t>2</w:t>
      </w:r>
      <w:r w:rsidR="003A61C1">
        <w:t>.</w:t>
      </w:r>
      <w:r w:rsidR="003A61C1">
        <w:tab/>
      </w:r>
      <w:r w:rsidR="00A8540D">
        <w:t>Cameron JD, Dart AM. Exercise training increases total systemic arterial compliance in humans. Am J Physiol Circ Physiol. 1994;</w:t>
      </w:r>
      <w:r w:rsidR="00E546DB">
        <w:t>266(2):</w:t>
      </w:r>
      <w:r w:rsidR="00E546DB" w:rsidRPr="00E546DB">
        <w:t>693-701</w:t>
      </w:r>
      <w:r w:rsidR="00E546DB">
        <w:t>.</w:t>
      </w:r>
      <w:r w:rsidR="00A8540D">
        <w:t xml:space="preserve"> </w:t>
      </w:r>
    </w:p>
    <w:p w14:paraId="7CB10FA5" w14:textId="4DC222E2" w:rsidR="00A8540D" w:rsidRDefault="003A61C1" w:rsidP="007A7155">
      <w:pPr>
        <w:spacing w:before="0" w:after="0"/>
      </w:pPr>
      <w:r>
        <w:t>3</w:t>
      </w:r>
      <w:r w:rsidR="00257AD6">
        <w:t>3</w:t>
      </w:r>
      <w:r w:rsidR="00A8540D">
        <w:t xml:space="preserve">. </w:t>
      </w:r>
      <w:r w:rsidR="00A8540D">
        <w:tab/>
        <w:t>Vogel T. Lepretre PM. Brechat PH. Lonsdorfer-Wolf E. Kaltenbach G. Lonsdorfer J. Benetos A. Effect of a short-term intermittent exercise-training programme on the pulse wave velocity and arterial pressure: a prospective study among 71 healthy older subjects. Int J Clin Pract. 2013;</w:t>
      </w:r>
      <w:r w:rsidR="00255B8F">
        <w:t>67(5):420-6.</w:t>
      </w:r>
    </w:p>
    <w:p w14:paraId="2FB228A6" w14:textId="4A2115AF" w:rsidR="00A8540D" w:rsidRDefault="00A8540D" w:rsidP="007A7155">
      <w:pPr>
        <w:spacing w:before="0" w:after="0"/>
      </w:pPr>
      <w:r>
        <w:t>3</w:t>
      </w:r>
      <w:r w:rsidR="00257AD6">
        <w:t>4</w:t>
      </w:r>
      <w:r>
        <w:t xml:space="preserve">. </w:t>
      </w:r>
      <w:r>
        <w:tab/>
        <w:t xml:space="preserve">Hayashi K, Sugawara J, Komine H, Maeda S, Yokoi T. Effects of Aerobic Exercise Training on the Stiffness of Central and Peripheral Arteries in Middle-Aged Sedentary Men. Jpn J Physiol . 2005;55(4):235–9. </w:t>
      </w:r>
    </w:p>
    <w:p w14:paraId="60CE3DF2" w14:textId="3EAAED11" w:rsidR="00A8540D" w:rsidRDefault="00A8540D" w:rsidP="007A7155">
      <w:pPr>
        <w:spacing w:before="0" w:after="0"/>
      </w:pPr>
      <w:r>
        <w:t>3</w:t>
      </w:r>
      <w:r w:rsidR="00257AD6">
        <w:t>5</w:t>
      </w:r>
      <w:r>
        <w:t xml:space="preserve">. </w:t>
      </w:r>
      <w:r>
        <w:tab/>
        <w:t xml:space="preserve">McEniery CM, Yasmin, Hall IR, Qasem A, Wilkinson IB, Cockcroft JR, et al. Normal Vascular Aging : Differential Effects on Wave Reflection and Aortic Pulse Wave Velocity. J Am Coll Cardiol . 2005;46(9):1753–60. </w:t>
      </w:r>
    </w:p>
    <w:p w14:paraId="632B5E5B" w14:textId="49686886" w:rsidR="00A8540D" w:rsidRDefault="00A8540D" w:rsidP="007A7155">
      <w:pPr>
        <w:spacing w:before="0" w:after="0"/>
      </w:pPr>
      <w:r>
        <w:t>3</w:t>
      </w:r>
      <w:r w:rsidR="00257AD6">
        <w:t>6</w:t>
      </w:r>
      <w:r>
        <w:t xml:space="preserve">. </w:t>
      </w:r>
      <w:r>
        <w:tab/>
        <w:t xml:space="preserve">Safar ME, Levy BI, Struijker-Boudier H. Current perspectives on arterial stiffness and pulse pressure in hypertension and cardiovascular diseases. Circulation. 2003;107(22):2864–9. </w:t>
      </w:r>
    </w:p>
    <w:p w14:paraId="004E0E24" w14:textId="53E15154" w:rsidR="0043298B" w:rsidRPr="0043298B" w:rsidRDefault="0043298B" w:rsidP="007A7155">
      <w:pPr>
        <w:spacing w:before="0" w:after="0"/>
      </w:pPr>
      <w:r>
        <w:t>3</w:t>
      </w:r>
      <w:r w:rsidR="00257AD6">
        <w:t>7</w:t>
      </w:r>
      <w:r>
        <w:t xml:space="preserve">. </w:t>
      </w:r>
      <w:r w:rsidR="00E23BE4">
        <w:tab/>
      </w:r>
      <w:r w:rsidRPr="0043298B">
        <w:rPr>
          <w:noProof/>
        </w:rPr>
        <w:t>Topouchian</w:t>
      </w:r>
      <w:r w:rsidR="00E23BE4">
        <w:rPr>
          <w:noProof/>
        </w:rPr>
        <w:t xml:space="preserve"> J, Asmar R, Sayegh F, </w:t>
      </w:r>
      <w:r w:rsidRPr="0043298B">
        <w:rPr>
          <w:iCs/>
          <w:noProof/>
        </w:rPr>
        <w:t>et al.</w:t>
      </w:r>
      <w:r w:rsidRPr="0043298B">
        <w:rPr>
          <w:noProof/>
        </w:rPr>
        <w:t xml:space="preserve"> </w:t>
      </w:r>
      <w:r w:rsidRPr="0043298B">
        <w:rPr>
          <w:iCs/>
          <w:noProof/>
        </w:rPr>
        <w:t>Changes in Arterial Structure and Function Under Trandolapril-Verapamil Combination in Hypertension</w:t>
      </w:r>
      <w:r w:rsidRPr="0043298B">
        <w:rPr>
          <w:noProof/>
        </w:rPr>
        <w:t xml:space="preserve">. </w:t>
      </w:r>
      <w:r w:rsidR="00EC4128">
        <w:rPr>
          <w:noProof/>
        </w:rPr>
        <w:t xml:space="preserve">Stroke. </w:t>
      </w:r>
      <w:r w:rsidR="00C63653">
        <w:rPr>
          <w:noProof/>
        </w:rPr>
        <w:t>1999;</w:t>
      </w:r>
      <w:r w:rsidR="00EC4128">
        <w:rPr>
          <w:noProof/>
        </w:rPr>
        <w:t>30(5):1056-64.</w:t>
      </w:r>
    </w:p>
    <w:p w14:paraId="10F8B6EA" w14:textId="77777777" w:rsidR="00257AD6" w:rsidRDefault="00A8540D" w:rsidP="007A7155">
      <w:pPr>
        <w:widowControl w:val="0"/>
        <w:autoSpaceDE w:val="0"/>
        <w:autoSpaceDN w:val="0"/>
        <w:adjustRightInd w:val="0"/>
        <w:spacing w:before="0" w:after="0"/>
        <w:ind w:left="640" w:hanging="640"/>
      </w:pPr>
      <w:r>
        <w:t>3</w:t>
      </w:r>
      <w:r w:rsidR="00257AD6">
        <w:t>8</w:t>
      </w:r>
      <w:r>
        <w:t>.</w:t>
      </w:r>
      <w:r>
        <w:tab/>
      </w:r>
      <w:r w:rsidR="00257AD6" w:rsidRPr="00257AD6">
        <w:t>Maroules CD, Khera A, Ayers C, et al.</w:t>
      </w:r>
      <w:r w:rsidR="00257AD6">
        <w:t xml:space="preserve"> </w:t>
      </w:r>
      <w:r w:rsidR="00257AD6" w:rsidRPr="00257AD6">
        <w:t>Cardiovascular outcome associations among</w:t>
      </w:r>
    </w:p>
    <w:p w14:paraId="7E047215" w14:textId="77777777" w:rsidR="00257AD6" w:rsidRDefault="00257AD6" w:rsidP="007A7155">
      <w:pPr>
        <w:widowControl w:val="0"/>
        <w:autoSpaceDE w:val="0"/>
        <w:autoSpaceDN w:val="0"/>
        <w:adjustRightInd w:val="0"/>
        <w:spacing w:before="0" w:after="0"/>
        <w:ind w:left="640" w:hanging="640"/>
      </w:pPr>
      <w:r w:rsidRPr="00257AD6">
        <w:t>cardiovascular magnetic resonance measures of</w:t>
      </w:r>
      <w:r>
        <w:t xml:space="preserve"> </w:t>
      </w:r>
      <w:r w:rsidRPr="00257AD6">
        <w:t>arterial stiffness: the Dallas heart study. J</w:t>
      </w:r>
    </w:p>
    <w:p w14:paraId="26293682" w14:textId="46882DBC" w:rsidR="00257AD6" w:rsidRPr="00257AD6" w:rsidRDefault="00257AD6" w:rsidP="007A7155">
      <w:pPr>
        <w:widowControl w:val="0"/>
        <w:autoSpaceDE w:val="0"/>
        <w:autoSpaceDN w:val="0"/>
        <w:adjustRightInd w:val="0"/>
        <w:spacing w:before="0" w:after="0"/>
        <w:ind w:left="640" w:hanging="640"/>
      </w:pPr>
      <w:r w:rsidRPr="00257AD6">
        <w:t>Cardiovasc Magn Reson. 2014</w:t>
      </w:r>
      <w:r>
        <w:t>;</w:t>
      </w:r>
      <w:r w:rsidRPr="00257AD6">
        <w:t xml:space="preserve">16(1):33. </w:t>
      </w:r>
    </w:p>
    <w:p w14:paraId="11CFA30D" w14:textId="698D18F2" w:rsidR="00A8540D" w:rsidRDefault="00257AD6" w:rsidP="007A7155">
      <w:pPr>
        <w:spacing w:before="0" w:after="0"/>
      </w:pPr>
      <w:r>
        <w:t>39.</w:t>
      </w:r>
      <w:r>
        <w:tab/>
      </w:r>
      <w:r w:rsidR="00A8540D">
        <w:t>Pierce GL. Aortic Stiffness in Aging and Hypertension : Prevention and Treatment with Habitual Aerobic Exercise. Curr Hypertens Rep. 2017;19(</w:t>
      </w:r>
      <w:r w:rsidR="0011360D">
        <w:t>11</w:t>
      </w:r>
      <w:r w:rsidR="00A8540D">
        <w:t>)</w:t>
      </w:r>
      <w:r w:rsidR="0011360D">
        <w:t>:90</w:t>
      </w:r>
      <w:r w:rsidR="00A8540D">
        <w:t xml:space="preserve">. </w:t>
      </w:r>
    </w:p>
    <w:p w14:paraId="78A9BA7F" w14:textId="1D64E051" w:rsidR="00A8540D" w:rsidRDefault="00257AD6" w:rsidP="007A7155">
      <w:pPr>
        <w:spacing w:before="0" w:after="0"/>
      </w:pPr>
      <w:r>
        <w:t>40</w:t>
      </w:r>
      <w:r w:rsidR="00A8540D">
        <w:t>.</w:t>
      </w:r>
      <w:r w:rsidR="00A8540D">
        <w:tab/>
        <w:t>Voges I, Jerosch-Herold M, Hedderich J, Pardun E, Hart C, Gabbert DD, et al. Normal values of aortic dimensions, distensibility, and pulse wave velocity in children and young adults: a cross-sectional study. J Cardiovasc Magn Reson. 2012;14:77.</w:t>
      </w:r>
    </w:p>
    <w:p w14:paraId="5C6FD5AF" w14:textId="5921F5E7" w:rsidR="006512FA" w:rsidRDefault="006512FA" w:rsidP="007A7155">
      <w:pPr>
        <w:widowControl w:val="0"/>
        <w:autoSpaceDE w:val="0"/>
        <w:autoSpaceDN w:val="0"/>
        <w:adjustRightInd w:val="0"/>
        <w:spacing w:before="0" w:after="0"/>
        <w:ind w:left="640" w:hanging="640"/>
      </w:pPr>
      <w:r>
        <w:br w:type="page"/>
      </w:r>
    </w:p>
    <w:p w14:paraId="33302822" w14:textId="77777777" w:rsidR="00F85457" w:rsidRDefault="00F85457" w:rsidP="007A7155">
      <w:pPr>
        <w:pStyle w:val="Heading1"/>
        <w:spacing w:before="0" w:after="0"/>
      </w:pPr>
      <w:r>
        <w:t>Figure legends</w:t>
      </w:r>
    </w:p>
    <w:p w14:paraId="2D7E2246" w14:textId="77777777" w:rsidR="00F85457" w:rsidRPr="00E21BC6" w:rsidRDefault="00F85457" w:rsidP="007A7155">
      <w:pPr>
        <w:spacing w:before="0" w:after="0"/>
      </w:pPr>
      <w:bookmarkStart w:id="1" w:name="_Ref13526164"/>
      <w:r w:rsidRPr="0008507A">
        <w:rPr>
          <w:b/>
        </w:rPr>
        <w:t xml:space="preserve">Figure </w:t>
      </w:r>
      <w:r w:rsidRPr="0008507A">
        <w:rPr>
          <w:b/>
        </w:rPr>
        <w:fldChar w:fldCharType="begin"/>
      </w:r>
      <w:r w:rsidRPr="0008507A">
        <w:rPr>
          <w:b/>
        </w:rPr>
        <w:instrText xml:space="preserve"> SEQ Figure \* ARABIC </w:instrText>
      </w:r>
      <w:r w:rsidRPr="0008507A">
        <w:rPr>
          <w:b/>
        </w:rPr>
        <w:fldChar w:fldCharType="separate"/>
      </w:r>
      <w:r>
        <w:rPr>
          <w:b/>
          <w:noProof/>
        </w:rPr>
        <w:t>1</w:t>
      </w:r>
      <w:r w:rsidRPr="0008507A">
        <w:rPr>
          <w:b/>
        </w:rPr>
        <w:fldChar w:fldCharType="end"/>
      </w:r>
      <w:bookmarkEnd w:id="1"/>
      <w:r>
        <w:rPr>
          <w:b/>
        </w:rPr>
        <w:t xml:space="preserve"> London Marathon running times for study participants. </w:t>
      </w:r>
      <w:r>
        <w:t>Vertical lines represent the average of the median running times for the 2016 and 2017 London Marathons.</w:t>
      </w:r>
    </w:p>
    <w:p w14:paraId="5AF59325" w14:textId="77777777" w:rsidR="00F85457" w:rsidRDefault="00F85457" w:rsidP="007A7155">
      <w:pPr>
        <w:spacing w:before="0" w:after="0"/>
        <w:rPr>
          <w:lang w:val="en-GB"/>
        </w:rPr>
      </w:pPr>
      <w:bookmarkStart w:id="2" w:name="_Ref536451035"/>
      <w:r w:rsidRPr="00E377A2">
        <w:rPr>
          <w:b/>
        </w:rPr>
        <w:t xml:space="preserve">Figure </w:t>
      </w:r>
      <w:r w:rsidRPr="00E377A2">
        <w:rPr>
          <w:b/>
        </w:rPr>
        <w:fldChar w:fldCharType="begin"/>
      </w:r>
      <w:r w:rsidRPr="00E377A2">
        <w:rPr>
          <w:b/>
        </w:rPr>
        <w:instrText xml:space="preserve"> SEQ Figure \* ARABIC </w:instrText>
      </w:r>
      <w:r w:rsidRPr="00E377A2">
        <w:rPr>
          <w:b/>
        </w:rPr>
        <w:fldChar w:fldCharType="separate"/>
      </w:r>
      <w:r>
        <w:rPr>
          <w:b/>
          <w:noProof/>
        </w:rPr>
        <w:t>2</w:t>
      </w:r>
      <w:r w:rsidRPr="00E377A2">
        <w:rPr>
          <w:b/>
        </w:rPr>
        <w:fldChar w:fldCharType="end"/>
      </w:r>
      <w:bookmarkEnd w:id="2"/>
      <w:r w:rsidRPr="00E377A2">
        <w:rPr>
          <w:b/>
        </w:rPr>
        <w:t xml:space="preserve"> </w:t>
      </w:r>
      <w:r>
        <w:rPr>
          <w:b/>
        </w:rPr>
        <w:t xml:space="preserve">Greater </w:t>
      </w:r>
      <w:r>
        <w:rPr>
          <w:b/>
          <w:iCs/>
        </w:rPr>
        <w:t>c</w:t>
      </w:r>
      <w:r w:rsidRPr="00E377A2">
        <w:rPr>
          <w:b/>
          <w:iCs/>
        </w:rPr>
        <w:t xml:space="preserve">hange </w:t>
      </w:r>
      <w:r>
        <w:rPr>
          <w:b/>
          <w:iCs/>
        </w:rPr>
        <w:t>with</w:t>
      </w:r>
      <w:r w:rsidRPr="00E377A2">
        <w:rPr>
          <w:b/>
          <w:iCs/>
        </w:rPr>
        <w:t xml:space="preserve"> exercise training in </w:t>
      </w:r>
      <w:r>
        <w:rPr>
          <w:b/>
          <w:iCs/>
        </w:rPr>
        <w:t xml:space="preserve">aortic </w:t>
      </w:r>
      <w:r w:rsidRPr="00E377A2">
        <w:rPr>
          <w:b/>
          <w:iCs/>
        </w:rPr>
        <w:t>blood pressure</w:t>
      </w:r>
      <w:r>
        <w:rPr>
          <w:b/>
          <w:iCs/>
        </w:rPr>
        <w:t xml:space="preserve"> (top)</w:t>
      </w:r>
      <w:r w:rsidRPr="00E377A2">
        <w:rPr>
          <w:b/>
          <w:iCs/>
        </w:rPr>
        <w:t xml:space="preserve"> and </w:t>
      </w:r>
      <w:r>
        <w:rPr>
          <w:b/>
          <w:iCs/>
        </w:rPr>
        <w:t xml:space="preserve">distensibility (bottom) in older age category (&gt;37 years old). </w:t>
      </w:r>
      <w:r w:rsidRPr="00287551">
        <w:t>Data are median</w:t>
      </w:r>
      <w:r>
        <w:t>s</w:t>
      </w:r>
      <w:r w:rsidRPr="00287551">
        <w:t xml:space="preserve"> and standard error</w:t>
      </w:r>
      <w:r>
        <w:t>s</w:t>
      </w:r>
      <w:r w:rsidRPr="00287551">
        <w:t xml:space="preserve">. </w:t>
      </w:r>
      <w:r w:rsidRPr="00287551">
        <w:rPr>
          <w:i/>
        </w:rPr>
        <w:t xml:space="preserve">Abbreviations: </w:t>
      </w:r>
      <w:r>
        <w:rPr>
          <w:i/>
          <w:lang w:val="en-GB"/>
        </w:rPr>
        <w:t xml:space="preserve">* p&lt;0.05; ** p&lt;0.01;*** </w:t>
      </w:r>
      <w:r w:rsidRPr="00287551">
        <w:rPr>
          <w:i/>
          <w:lang w:val="en-GB"/>
        </w:rPr>
        <w:t>p&lt;0</w:t>
      </w:r>
      <w:r>
        <w:rPr>
          <w:i/>
          <w:lang w:val="en-GB"/>
        </w:rPr>
        <w:t>.</w:t>
      </w:r>
      <w:r w:rsidRPr="00287551">
        <w:rPr>
          <w:i/>
          <w:lang w:val="en-GB"/>
        </w:rPr>
        <w:t>001; **** p&lt;0</w:t>
      </w:r>
      <w:r>
        <w:rPr>
          <w:i/>
          <w:lang w:val="en-GB"/>
        </w:rPr>
        <w:t>.</w:t>
      </w:r>
      <w:r w:rsidRPr="00287551">
        <w:rPr>
          <w:i/>
          <w:lang w:val="en-GB"/>
        </w:rPr>
        <w:t>0001</w:t>
      </w:r>
      <w:r w:rsidRPr="00287551">
        <w:rPr>
          <w:lang w:val="en-GB"/>
        </w:rPr>
        <w:t>.</w:t>
      </w:r>
    </w:p>
    <w:p w14:paraId="1A1AE9BB" w14:textId="77777777" w:rsidR="00F85457" w:rsidRDefault="00F85457" w:rsidP="007A7155">
      <w:pPr>
        <w:spacing w:before="0" w:after="0"/>
        <w:rPr>
          <w:b/>
          <w:lang w:val="en-GB"/>
        </w:rPr>
      </w:pPr>
      <w:bookmarkStart w:id="3" w:name="_Ref13526198"/>
      <w:r w:rsidRPr="00327057">
        <w:rPr>
          <w:b/>
        </w:rPr>
        <w:t xml:space="preserve">Figure </w:t>
      </w:r>
      <w:r w:rsidRPr="00327057">
        <w:rPr>
          <w:b/>
        </w:rPr>
        <w:fldChar w:fldCharType="begin"/>
      </w:r>
      <w:r w:rsidRPr="00327057">
        <w:rPr>
          <w:b/>
        </w:rPr>
        <w:instrText xml:space="preserve"> SEQ Figure \* ARABIC </w:instrText>
      </w:r>
      <w:r w:rsidRPr="00327057">
        <w:rPr>
          <w:b/>
        </w:rPr>
        <w:fldChar w:fldCharType="separate"/>
      </w:r>
      <w:r>
        <w:rPr>
          <w:b/>
          <w:noProof/>
        </w:rPr>
        <w:t>3</w:t>
      </w:r>
      <w:r w:rsidRPr="00327057">
        <w:rPr>
          <w:b/>
        </w:rPr>
        <w:fldChar w:fldCharType="end"/>
      </w:r>
      <w:bookmarkEnd w:id="3"/>
      <w:r w:rsidRPr="00327057">
        <w:rPr>
          <w:b/>
        </w:rPr>
        <w:t xml:space="preserve"> </w:t>
      </w:r>
      <w:r>
        <w:rPr>
          <w:b/>
        </w:rPr>
        <w:t xml:space="preserve">Baseline </w:t>
      </w:r>
      <w:r w:rsidRPr="00466899">
        <w:rPr>
          <w:b/>
          <w:lang w:val="en-GB"/>
        </w:rPr>
        <w:t>central (aortic)</w:t>
      </w:r>
      <w:r>
        <w:rPr>
          <w:b/>
          <w:lang w:val="en-GB"/>
        </w:rPr>
        <w:t xml:space="preserve"> systolic</w:t>
      </w:r>
      <w:r w:rsidRPr="00466899">
        <w:rPr>
          <w:b/>
          <w:lang w:val="en-GB"/>
        </w:rPr>
        <w:t xml:space="preserve"> blood pressure, aortic stiffness and estimated aortic age</w:t>
      </w:r>
      <w:r>
        <w:rPr>
          <w:b/>
          <w:lang w:val="en-GB"/>
        </w:rPr>
        <w:t>;</w:t>
      </w:r>
      <w:r w:rsidRPr="00466899">
        <w:rPr>
          <w:b/>
          <w:lang w:val="en-GB"/>
        </w:rPr>
        <w:t xml:space="preserve"> </w:t>
      </w:r>
      <w:r>
        <w:rPr>
          <w:b/>
          <w:lang w:val="en-GB"/>
        </w:rPr>
        <w:t>and the change (red arrow) with exercise training for the average older marathon completer.</w:t>
      </w:r>
    </w:p>
    <w:p w14:paraId="15856502" w14:textId="5B590D4D" w:rsidR="00F85457" w:rsidRDefault="00F85457" w:rsidP="007A7155">
      <w:pPr>
        <w:spacing w:before="0" w:after="0"/>
      </w:pPr>
      <w:bookmarkStart w:id="4" w:name="_Ref536539562"/>
      <w:r w:rsidRPr="00453BA0">
        <w:rPr>
          <w:b/>
        </w:rPr>
        <w:t xml:space="preserve">Figure </w:t>
      </w:r>
      <w:r w:rsidRPr="00453BA0">
        <w:rPr>
          <w:b/>
        </w:rPr>
        <w:fldChar w:fldCharType="begin"/>
      </w:r>
      <w:r w:rsidRPr="00453BA0">
        <w:rPr>
          <w:b/>
        </w:rPr>
        <w:instrText xml:space="preserve"> SEQ Figure \* ARABIC </w:instrText>
      </w:r>
      <w:r w:rsidRPr="00453BA0">
        <w:rPr>
          <w:b/>
        </w:rPr>
        <w:fldChar w:fldCharType="separate"/>
      </w:r>
      <w:r>
        <w:rPr>
          <w:b/>
          <w:noProof/>
        </w:rPr>
        <w:t>4</w:t>
      </w:r>
      <w:r w:rsidRPr="00453BA0">
        <w:rPr>
          <w:b/>
        </w:rPr>
        <w:fldChar w:fldCharType="end"/>
      </w:r>
      <w:bookmarkEnd w:id="4"/>
      <w:r>
        <w:rPr>
          <w:b/>
        </w:rPr>
        <w:t xml:space="preserve"> Reduction in aortic stiffness with exercise stiffness is due to both intrinsic structural (load-independent) and functional (pressure-dependent) changes.</w:t>
      </w:r>
      <w:r w:rsidRPr="00453BA0">
        <w:t xml:space="preserve"> At higher arterial pressure, the aorta is </w:t>
      </w:r>
      <w:r>
        <w:t xml:space="preserve">functionally </w:t>
      </w:r>
      <w:r w:rsidRPr="00453BA0">
        <w:t>stiffer, but this relationship is not linear.</w:t>
      </w:r>
      <w:r>
        <w:t xml:space="preserve"> E</w:t>
      </w:r>
      <w:r w:rsidRPr="00453BA0">
        <w:t xml:space="preserve">xercise training results in a reduction in pressure-dependent distensibility (leftward shift along the curve), </w:t>
      </w:r>
      <w:r>
        <w:t>and additionally</w:t>
      </w:r>
      <w:r w:rsidRPr="00453BA0">
        <w:t xml:space="preserve"> a reduction in </w:t>
      </w:r>
      <w:r>
        <w:t>in</w:t>
      </w:r>
      <w:r w:rsidRPr="00453BA0">
        <w:t xml:space="preserve">trinsic </w:t>
      </w:r>
      <w:r>
        <w:t>β-</w:t>
      </w:r>
      <w:r w:rsidRPr="00453BA0">
        <w:t xml:space="preserve">stiffness (upward shift of the curve), contributing to a greater </w:t>
      </w:r>
      <w:r>
        <w:t>reduction</w:t>
      </w:r>
      <w:r w:rsidRPr="00453BA0">
        <w:t xml:space="preserve"> in stiffness (</w:t>
      </w:r>
      <w:r>
        <w:t>red arrows and lines</w:t>
      </w:r>
      <w:r w:rsidRPr="00453BA0">
        <w:t xml:space="preserve">). </w:t>
      </w:r>
      <w:r>
        <w:t>In this schematic, data</w:t>
      </w:r>
      <w:r w:rsidRPr="00453BA0">
        <w:t xml:space="preserve"> </w:t>
      </w:r>
      <w:r>
        <w:t>are</w:t>
      </w:r>
      <w:r w:rsidRPr="00453BA0">
        <w:t xml:space="preserve"> fitted to a</w:t>
      </w:r>
      <w:r>
        <w:t>n</w:t>
      </w:r>
      <w:r w:rsidRPr="00453BA0">
        <w:t xml:space="preserve"> </w:t>
      </w:r>
      <w:r>
        <w:t xml:space="preserve">exponential </w:t>
      </w:r>
      <w:r w:rsidRPr="00453BA0">
        <w:t xml:space="preserve">for the cohort </w:t>
      </w:r>
      <w:r>
        <w:t xml:space="preserve">both </w:t>
      </w:r>
      <w:r w:rsidRPr="00453BA0">
        <w:t>before and after exercise training</w:t>
      </w:r>
      <w:r>
        <w:t>.</w:t>
      </w:r>
    </w:p>
    <w:p w14:paraId="6FD04B10" w14:textId="600A4196" w:rsidR="00614507" w:rsidRDefault="005D1887" w:rsidP="007A7155">
      <w:pPr>
        <w:spacing w:before="0" w:after="0"/>
      </w:pPr>
      <w:r w:rsidRPr="00B945BA">
        <w:rPr>
          <w:b/>
        </w:rPr>
        <w:t xml:space="preserve">Central </w:t>
      </w:r>
      <w:r>
        <w:rPr>
          <w:b/>
        </w:rPr>
        <w:t>Illustration</w:t>
      </w:r>
      <w:r w:rsidRPr="00B945BA">
        <w:rPr>
          <w:b/>
        </w:rPr>
        <w:t xml:space="preserve"> Training and completion of a first-time marathon reverses age-related aortic stiffening and reduces central (aortic) blood pressure.</w:t>
      </w:r>
      <w:r w:rsidRPr="005C7DDC">
        <w:t xml:space="preserve"> </w:t>
      </w:r>
      <w:r>
        <w:t>Biological a</w:t>
      </w:r>
      <w:r w:rsidRPr="005C7DDC">
        <w:t>ortic age was calculated from the baseline age-stiffness relationship</w:t>
      </w:r>
      <w:r>
        <w:t xml:space="preserve"> at assessment</w:t>
      </w:r>
      <w:r w:rsidRPr="005C7DDC">
        <w:t xml:space="preserve"> six months before and two weeks after a first marathon. </w:t>
      </w:r>
      <w:r>
        <w:t xml:space="preserve">The </w:t>
      </w:r>
      <w:r w:rsidRPr="005C7DDC">
        <w:t>reduction in aortic stiffness was equivalent to a four</w:t>
      </w:r>
      <w:r>
        <w:t>-</w:t>
      </w:r>
      <w:r w:rsidRPr="005C7DDC">
        <w:t>year reduction in estimated aortic age. These benefits were</w:t>
      </w:r>
      <w:r>
        <w:t xml:space="preserve"> greater </w:t>
      </w:r>
      <w:r w:rsidRPr="005C7DDC">
        <w:t xml:space="preserve">in older, male, slower runners with </w:t>
      </w:r>
      <w:r w:rsidRPr="00A02B28">
        <w:t>higher baseline systolic blood pressure (BP), in adjusted models. Data are the linear age-stiffness relationship before and after exercise training</w:t>
      </w:r>
      <w:r>
        <w:t xml:space="preserve"> (left)</w:t>
      </w:r>
      <w:r w:rsidRPr="00A02B28">
        <w:t>; systolic, diastolic BP and mean arterial pressure</w:t>
      </w:r>
      <w:r>
        <w:t xml:space="preserve"> (top right); and marathon running times (bottom right)</w:t>
      </w:r>
      <w:r w:rsidRPr="00A02B28">
        <w:t>. Abbreviations: *= p&lt;0.05.</w:t>
      </w:r>
      <w:r w:rsidR="007A7155">
        <w:t xml:space="preserve"> </w:t>
      </w:r>
    </w:p>
    <w:p w14:paraId="2DDB9461" w14:textId="77777777" w:rsidR="00614507" w:rsidRDefault="00614507" w:rsidP="00614507">
      <w:pPr>
        <w:rPr>
          <w:rFonts w:ascii="Calibri" w:eastAsia="Times New Roman" w:hAnsi="Calibri"/>
          <w:color w:val="000000"/>
        </w:rPr>
        <w:sectPr w:rsidR="00614507" w:rsidSect="00181480">
          <w:pgSz w:w="11900" w:h="16840"/>
          <w:pgMar w:top="1440" w:right="1440" w:bottom="1440" w:left="1440" w:header="708" w:footer="708" w:gutter="0"/>
          <w:cols w:space="708"/>
          <w:docGrid w:linePitch="360"/>
        </w:sectPr>
      </w:pPr>
    </w:p>
    <w:tbl>
      <w:tblPr>
        <w:tblW w:w="5076" w:type="pct"/>
        <w:tblCellMar>
          <w:left w:w="0" w:type="dxa"/>
          <w:right w:w="57" w:type="dxa"/>
        </w:tblCellMar>
        <w:tblLook w:val="04A0" w:firstRow="1" w:lastRow="0" w:firstColumn="1" w:lastColumn="0" w:noHBand="0" w:noVBand="1"/>
      </w:tblPr>
      <w:tblGrid>
        <w:gridCol w:w="2671"/>
        <w:gridCol w:w="477"/>
        <w:gridCol w:w="1117"/>
        <w:gridCol w:w="477"/>
        <w:gridCol w:w="997"/>
        <w:gridCol w:w="759"/>
        <w:gridCol w:w="477"/>
        <w:gridCol w:w="1117"/>
        <w:gridCol w:w="477"/>
        <w:gridCol w:w="1117"/>
        <w:gridCol w:w="759"/>
        <w:gridCol w:w="477"/>
        <w:gridCol w:w="1117"/>
        <w:gridCol w:w="597"/>
        <w:gridCol w:w="1117"/>
        <w:gridCol w:w="597"/>
      </w:tblGrid>
      <w:tr w:rsidR="004003A0" w:rsidRPr="00F24A76" w14:paraId="78F64FDF" w14:textId="77777777" w:rsidTr="00235C79">
        <w:trPr>
          <w:trHeight w:val="26"/>
        </w:trPr>
        <w:tc>
          <w:tcPr>
            <w:tcW w:w="939" w:type="pct"/>
            <w:tcBorders>
              <w:top w:val="single" w:sz="4" w:space="0" w:color="auto"/>
              <w:left w:val="nil"/>
              <w:right w:val="nil"/>
            </w:tcBorders>
            <w:shd w:val="clear" w:color="000000" w:fill="FFFFFF"/>
            <w:noWrap/>
            <w:hideMark/>
          </w:tcPr>
          <w:p w14:paraId="3F5112C7" w14:textId="2CAFAFAE" w:rsidR="00F4223F" w:rsidRPr="00F24A76" w:rsidRDefault="00F4223F" w:rsidP="00F24A76">
            <w:pPr>
              <w:pStyle w:val="NoSpacing"/>
              <w:contextualSpacing/>
              <w:jc w:val="center"/>
            </w:pPr>
          </w:p>
        </w:tc>
        <w:tc>
          <w:tcPr>
            <w:tcW w:w="1036" w:type="pct"/>
            <w:gridSpan w:val="4"/>
            <w:tcBorders>
              <w:top w:val="single" w:sz="4" w:space="0" w:color="auto"/>
              <w:left w:val="nil"/>
              <w:right w:val="nil"/>
            </w:tcBorders>
            <w:shd w:val="clear" w:color="000000" w:fill="FFFFFF"/>
            <w:noWrap/>
            <w:hideMark/>
          </w:tcPr>
          <w:p w14:paraId="4CF5ABD8" w14:textId="11479EF3" w:rsidR="00F4223F" w:rsidRPr="00F24A76" w:rsidRDefault="00F4223F" w:rsidP="00F24A76">
            <w:pPr>
              <w:pStyle w:val="NoSpacing"/>
              <w:contextualSpacing/>
              <w:jc w:val="center"/>
              <w:rPr>
                <w:b/>
              </w:rPr>
            </w:pPr>
            <w:r w:rsidRPr="00F24A76">
              <w:rPr>
                <w:b/>
              </w:rPr>
              <w:t>Whole cohort</w:t>
            </w:r>
          </w:p>
        </w:tc>
        <w:tc>
          <w:tcPr>
            <w:tcW w:w="267" w:type="pct"/>
            <w:tcBorders>
              <w:top w:val="single" w:sz="4" w:space="0" w:color="auto"/>
              <w:left w:val="nil"/>
              <w:right w:val="nil"/>
            </w:tcBorders>
            <w:shd w:val="clear" w:color="000000" w:fill="FFFFFF"/>
            <w:noWrap/>
            <w:hideMark/>
          </w:tcPr>
          <w:p w14:paraId="07CE5C55" w14:textId="157F5E35" w:rsidR="00F4223F" w:rsidRPr="00F24A76" w:rsidRDefault="00F4223F" w:rsidP="00F24A76">
            <w:pPr>
              <w:pStyle w:val="NoSpacing"/>
              <w:contextualSpacing/>
              <w:jc w:val="center"/>
              <w:rPr>
                <w:b/>
              </w:rPr>
            </w:pPr>
          </w:p>
        </w:tc>
        <w:tc>
          <w:tcPr>
            <w:tcW w:w="1387" w:type="pct"/>
            <w:gridSpan w:val="5"/>
            <w:tcBorders>
              <w:top w:val="single" w:sz="4" w:space="0" w:color="auto"/>
              <w:left w:val="nil"/>
              <w:right w:val="nil"/>
            </w:tcBorders>
            <w:shd w:val="clear" w:color="000000" w:fill="FFFFFF"/>
            <w:noWrap/>
            <w:hideMark/>
          </w:tcPr>
          <w:p w14:paraId="58AB2393" w14:textId="3B0C9285" w:rsidR="00F4223F" w:rsidRPr="00F24A76" w:rsidRDefault="00F4223F" w:rsidP="00F24A76">
            <w:pPr>
              <w:pStyle w:val="NoSpacing"/>
              <w:contextualSpacing/>
              <w:jc w:val="center"/>
              <w:rPr>
                <w:b/>
              </w:rPr>
            </w:pPr>
            <w:r w:rsidRPr="00F24A76">
              <w:rPr>
                <w:b/>
              </w:rPr>
              <w:t>Older (&gt;37 years)</w:t>
            </w:r>
          </w:p>
        </w:tc>
        <w:tc>
          <w:tcPr>
            <w:tcW w:w="1372" w:type="pct"/>
            <w:gridSpan w:val="5"/>
            <w:tcBorders>
              <w:top w:val="single" w:sz="4" w:space="0" w:color="auto"/>
              <w:left w:val="nil"/>
              <w:right w:val="nil"/>
            </w:tcBorders>
            <w:shd w:val="clear" w:color="000000" w:fill="FFFFFF"/>
            <w:noWrap/>
            <w:hideMark/>
          </w:tcPr>
          <w:p w14:paraId="3A62BCEB" w14:textId="3AFCABD1" w:rsidR="00F4223F" w:rsidRPr="00F24A76" w:rsidRDefault="00F4223F" w:rsidP="00F24A76">
            <w:pPr>
              <w:pStyle w:val="NoSpacing"/>
              <w:contextualSpacing/>
              <w:jc w:val="center"/>
              <w:rPr>
                <w:b/>
              </w:rPr>
            </w:pPr>
            <w:r w:rsidRPr="00F24A76">
              <w:rPr>
                <w:b/>
              </w:rPr>
              <w:t>Younger (≤37 years)</w:t>
            </w:r>
          </w:p>
        </w:tc>
      </w:tr>
      <w:tr w:rsidR="004003A0" w:rsidRPr="00F24A76" w14:paraId="369BC9AC" w14:textId="77777777" w:rsidTr="00235C79">
        <w:trPr>
          <w:trHeight w:val="26"/>
        </w:trPr>
        <w:tc>
          <w:tcPr>
            <w:tcW w:w="939" w:type="pct"/>
            <w:tcBorders>
              <w:left w:val="nil"/>
              <w:bottom w:val="single" w:sz="4" w:space="0" w:color="auto"/>
              <w:right w:val="nil"/>
            </w:tcBorders>
            <w:shd w:val="clear" w:color="000000" w:fill="FFFFFF"/>
            <w:noWrap/>
            <w:hideMark/>
          </w:tcPr>
          <w:p w14:paraId="1C630950" w14:textId="03A97A17" w:rsidR="00F4223F" w:rsidRPr="00F24A76" w:rsidRDefault="00F4223F" w:rsidP="00F24A76">
            <w:pPr>
              <w:pStyle w:val="NoSpacing"/>
              <w:contextualSpacing/>
              <w:jc w:val="center"/>
              <w:rPr>
                <w:b/>
                <w:bCs/>
              </w:rPr>
            </w:pPr>
          </w:p>
        </w:tc>
        <w:tc>
          <w:tcPr>
            <w:tcW w:w="518" w:type="pct"/>
            <w:gridSpan w:val="2"/>
            <w:tcBorders>
              <w:left w:val="nil"/>
              <w:bottom w:val="single" w:sz="4" w:space="0" w:color="auto"/>
              <w:right w:val="nil"/>
            </w:tcBorders>
            <w:shd w:val="clear" w:color="000000" w:fill="FFFFFF"/>
            <w:noWrap/>
            <w:hideMark/>
          </w:tcPr>
          <w:p w14:paraId="3C417990" w14:textId="77777777" w:rsidR="00F4223F" w:rsidRPr="00F24A76" w:rsidRDefault="00F4223F" w:rsidP="00F24A76">
            <w:pPr>
              <w:pStyle w:val="NoSpacing"/>
              <w:contextualSpacing/>
              <w:jc w:val="center"/>
              <w:rPr>
                <w:b/>
                <w:bCs/>
              </w:rPr>
            </w:pPr>
            <w:r w:rsidRPr="00F24A76">
              <w:rPr>
                <w:b/>
                <w:bCs/>
              </w:rPr>
              <w:t>Baseline</w:t>
            </w:r>
          </w:p>
        </w:tc>
        <w:tc>
          <w:tcPr>
            <w:tcW w:w="518" w:type="pct"/>
            <w:gridSpan w:val="2"/>
            <w:tcBorders>
              <w:left w:val="nil"/>
              <w:bottom w:val="single" w:sz="4" w:space="0" w:color="auto"/>
              <w:right w:val="nil"/>
            </w:tcBorders>
            <w:shd w:val="clear" w:color="000000" w:fill="FFFFFF"/>
            <w:noWrap/>
            <w:hideMark/>
          </w:tcPr>
          <w:p w14:paraId="36E1621A" w14:textId="54AACC60" w:rsidR="00F4223F" w:rsidRPr="00F24A76" w:rsidRDefault="00F4223F" w:rsidP="00F24A76">
            <w:pPr>
              <w:pStyle w:val="NoSpacing"/>
              <w:contextualSpacing/>
              <w:jc w:val="center"/>
              <w:rPr>
                <w:b/>
                <w:bCs/>
              </w:rPr>
            </w:pPr>
            <w:r w:rsidRPr="00F24A76">
              <w:rPr>
                <w:b/>
                <w:bCs/>
              </w:rPr>
              <w:t>Follow-up</w:t>
            </w:r>
          </w:p>
        </w:tc>
        <w:tc>
          <w:tcPr>
            <w:tcW w:w="267" w:type="pct"/>
            <w:tcBorders>
              <w:left w:val="nil"/>
              <w:bottom w:val="single" w:sz="4" w:space="0" w:color="auto"/>
              <w:right w:val="nil"/>
            </w:tcBorders>
            <w:shd w:val="clear" w:color="000000" w:fill="FFFFFF"/>
            <w:noWrap/>
            <w:hideMark/>
          </w:tcPr>
          <w:p w14:paraId="7F7D62A6" w14:textId="77777777" w:rsidR="00F4223F" w:rsidRPr="00F24A76" w:rsidRDefault="00F4223F" w:rsidP="00F24A76">
            <w:pPr>
              <w:pStyle w:val="NoSpacing"/>
              <w:contextualSpacing/>
              <w:jc w:val="center"/>
              <w:rPr>
                <w:b/>
                <w:bCs/>
                <w:i/>
              </w:rPr>
            </w:pPr>
            <w:r w:rsidRPr="00F24A76">
              <w:rPr>
                <w:b/>
                <w:bCs/>
                <w:i/>
              </w:rPr>
              <w:t>p</w:t>
            </w:r>
          </w:p>
        </w:tc>
        <w:tc>
          <w:tcPr>
            <w:tcW w:w="560" w:type="pct"/>
            <w:gridSpan w:val="2"/>
            <w:tcBorders>
              <w:left w:val="nil"/>
              <w:bottom w:val="single" w:sz="4" w:space="0" w:color="auto"/>
              <w:right w:val="nil"/>
            </w:tcBorders>
            <w:shd w:val="clear" w:color="000000" w:fill="FFFFFF"/>
            <w:noWrap/>
            <w:hideMark/>
          </w:tcPr>
          <w:p w14:paraId="5D034099" w14:textId="77777777" w:rsidR="00F4223F" w:rsidRPr="00F24A76" w:rsidRDefault="00F4223F" w:rsidP="00F24A76">
            <w:pPr>
              <w:pStyle w:val="NoSpacing"/>
              <w:contextualSpacing/>
              <w:jc w:val="center"/>
              <w:rPr>
                <w:b/>
                <w:bCs/>
              </w:rPr>
            </w:pPr>
            <w:r w:rsidRPr="00F24A76">
              <w:rPr>
                <w:b/>
                <w:bCs/>
              </w:rPr>
              <w:t>Baseline</w:t>
            </w:r>
          </w:p>
        </w:tc>
        <w:tc>
          <w:tcPr>
            <w:tcW w:w="560" w:type="pct"/>
            <w:gridSpan w:val="2"/>
            <w:tcBorders>
              <w:left w:val="nil"/>
              <w:bottom w:val="single" w:sz="4" w:space="0" w:color="auto"/>
              <w:right w:val="nil"/>
            </w:tcBorders>
            <w:shd w:val="clear" w:color="000000" w:fill="FFFFFF"/>
            <w:noWrap/>
            <w:hideMark/>
          </w:tcPr>
          <w:p w14:paraId="60D20B3E" w14:textId="44B6E125" w:rsidR="00F4223F" w:rsidRPr="00F24A76" w:rsidRDefault="00F4223F" w:rsidP="00F24A76">
            <w:pPr>
              <w:pStyle w:val="NoSpacing"/>
              <w:contextualSpacing/>
              <w:jc w:val="center"/>
              <w:rPr>
                <w:b/>
                <w:bCs/>
              </w:rPr>
            </w:pPr>
            <w:r w:rsidRPr="00F24A76">
              <w:rPr>
                <w:b/>
                <w:bCs/>
              </w:rPr>
              <w:t>Follow-up</w:t>
            </w:r>
          </w:p>
        </w:tc>
        <w:tc>
          <w:tcPr>
            <w:tcW w:w="267" w:type="pct"/>
            <w:tcBorders>
              <w:left w:val="nil"/>
              <w:bottom w:val="single" w:sz="4" w:space="0" w:color="auto"/>
              <w:right w:val="nil"/>
            </w:tcBorders>
            <w:shd w:val="clear" w:color="000000" w:fill="FFFFFF"/>
            <w:noWrap/>
            <w:hideMark/>
          </w:tcPr>
          <w:p w14:paraId="7506254F" w14:textId="77777777" w:rsidR="00F4223F" w:rsidRPr="00F24A76" w:rsidRDefault="00F4223F" w:rsidP="00F24A76">
            <w:pPr>
              <w:pStyle w:val="NoSpacing"/>
              <w:contextualSpacing/>
              <w:jc w:val="center"/>
              <w:rPr>
                <w:b/>
                <w:bCs/>
                <w:i/>
              </w:rPr>
            </w:pPr>
            <w:r w:rsidRPr="00F24A76">
              <w:rPr>
                <w:b/>
                <w:bCs/>
                <w:i/>
              </w:rPr>
              <w:t>p</w:t>
            </w:r>
          </w:p>
        </w:tc>
        <w:tc>
          <w:tcPr>
            <w:tcW w:w="560" w:type="pct"/>
            <w:gridSpan w:val="2"/>
            <w:tcBorders>
              <w:left w:val="nil"/>
              <w:bottom w:val="single" w:sz="4" w:space="0" w:color="auto"/>
              <w:right w:val="nil"/>
            </w:tcBorders>
            <w:shd w:val="clear" w:color="000000" w:fill="FFFFFF"/>
            <w:noWrap/>
            <w:hideMark/>
          </w:tcPr>
          <w:p w14:paraId="264BBB0D" w14:textId="77777777" w:rsidR="00F4223F" w:rsidRPr="00F24A76" w:rsidRDefault="00F4223F" w:rsidP="00F24A76">
            <w:pPr>
              <w:pStyle w:val="NoSpacing"/>
              <w:contextualSpacing/>
              <w:jc w:val="center"/>
              <w:rPr>
                <w:b/>
                <w:bCs/>
              </w:rPr>
            </w:pPr>
            <w:r w:rsidRPr="00F24A76">
              <w:rPr>
                <w:b/>
                <w:bCs/>
              </w:rPr>
              <w:t>Baseline</w:t>
            </w:r>
          </w:p>
        </w:tc>
        <w:tc>
          <w:tcPr>
            <w:tcW w:w="602" w:type="pct"/>
            <w:gridSpan w:val="2"/>
            <w:tcBorders>
              <w:left w:val="nil"/>
              <w:bottom w:val="single" w:sz="4" w:space="0" w:color="auto"/>
              <w:right w:val="nil"/>
            </w:tcBorders>
            <w:shd w:val="clear" w:color="000000" w:fill="FFFFFF"/>
            <w:noWrap/>
            <w:hideMark/>
          </w:tcPr>
          <w:p w14:paraId="4253B9B0" w14:textId="03274DF1" w:rsidR="00F4223F" w:rsidRPr="00F24A76" w:rsidRDefault="00F4223F" w:rsidP="00F24A76">
            <w:pPr>
              <w:pStyle w:val="NoSpacing"/>
              <w:contextualSpacing/>
              <w:jc w:val="center"/>
              <w:rPr>
                <w:b/>
                <w:bCs/>
              </w:rPr>
            </w:pPr>
            <w:r w:rsidRPr="00F24A76">
              <w:rPr>
                <w:b/>
                <w:bCs/>
              </w:rPr>
              <w:t>Follow-up</w:t>
            </w:r>
          </w:p>
        </w:tc>
        <w:tc>
          <w:tcPr>
            <w:tcW w:w="210" w:type="pct"/>
            <w:tcBorders>
              <w:left w:val="nil"/>
              <w:bottom w:val="single" w:sz="4" w:space="0" w:color="auto"/>
              <w:right w:val="nil"/>
            </w:tcBorders>
            <w:shd w:val="clear" w:color="000000" w:fill="FFFFFF"/>
            <w:noWrap/>
            <w:hideMark/>
          </w:tcPr>
          <w:p w14:paraId="21077838" w14:textId="77777777" w:rsidR="00F4223F" w:rsidRPr="00F24A76" w:rsidRDefault="00F4223F" w:rsidP="00F24A76">
            <w:pPr>
              <w:pStyle w:val="NoSpacing"/>
              <w:contextualSpacing/>
              <w:jc w:val="center"/>
              <w:rPr>
                <w:b/>
                <w:bCs/>
                <w:i/>
              </w:rPr>
            </w:pPr>
            <w:r w:rsidRPr="00F24A76">
              <w:rPr>
                <w:b/>
                <w:bCs/>
                <w:i/>
              </w:rPr>
              <w:t>p</w:t>
            </w:r>
          </w:p>
        </w:tc>
      </w:tr>
      <w:tr w:rsidR="004003A0" w:rsidRPr="00F24A76" w14:paraId="154AFD14" w14:textId="77777777" w:rsidTr="00235C79">
        <w:trPr>
          <w:trHeight w:val="19"/>
        </w:trPr>
        <w:tc>
          <w:tcPr>
            <w:tcW w:w="939" w:type="pct"/>
            <w:tcBorders>
              <w:top w:val="single" w:sz="4" w:space="0" w:color="auto"/>
              <w:left w:val="nil"/>
              <w:bottom w:val="nil"/>
              <w:right w:val="nil"/>
            </w:tcBorders>
            <w:shd w:val="clear" w:color="000000" w:fill="FFFFFF"/>
            <w:noWrap/>
            <w:hideMark/>
          </w:tcPr>
          <w:p w14:paraId="11949059" w14:textId="77777777" w:rsidR="00F4223F" w:rsidRPr="00F24A76" w:rsidRDefault="00F4223F" w:rsidP="00F24A76">
            <w:pPr>
              <w:pStyle w:val="NoSpacing"/>
              <w:contextualSpacing/>
              <w:rPr>
                <w:i/>
                <w:iCs/>
              </w:rPr>
            </w:pPr>
            <w:r w:rsidRPr="00F24A76">
              <w:rPr>
                <w:i/>
                <w:iCs/>
              </w:rPr>
              <w:t>n</w:t>
            </w:r>
          </w:p>
        </w:tc>
        <w:tc>
          <w:tcPr>
            <w:tcW w:w="518" w:type="pct"/>
            <w:gridSpan w:val="2"/>
            <w:tcBorders>
              <w:top w:val="single" w:sz="4" w:space="0" w:color="auto"/>
              <w:left w:val="nil"/>
              <w:bottom w:val="nil"/>
              <w:right w:val="nil"/>
            </w:tcBorders>
            <w:shd w:val="clear" w:color="000000" w:fill="FFFFFF"/>
            <w:noWrap/>
            <w:hideMark/>
          </w:tcPr>
          <w:p w14:paraId="3C81D0A8" w14:textId="32138EF3" w:rsidR="00F4223F" w:rsidRPr="00F24A76" w:rsidRDefault="00F4223F" w:rsidP="00F24A76">
            <w:pPr>
              <w:pStyle w:val="NoSpacing"/>
              <w:contextualSpacing/>
              <w:jc w:val="center"/>
            </w:pPr>
            <w:r w:rsidRPr="00F24A76">
              <w:t>138</w:t>
            </w:r>
          </w:p>
        </w:tc>
        <w:tc>
          <w:tcPr>
            <w:tcW w:w="168" w:type="pct"/>
            <w:tcBorders>
              <w:top w:val="single" w:sz="4" w:space="0" w:color="auto"/>
              <w:left w:val="nil"/>
              <w:bottom w:val="nil"/>
              <w:right w:val="nil"/>
            </w:tcBorders>
            <w:shd w:val="clear" w:color="000000" w:fill="FFFFFF"/>
            <w:noWrap/>
            <w:hideMark/>
          </w:tcPr>
          <w:p w14:paraId="5B2E9572" w14:textId="2D9DC520" w:rsidR="00F4223F" w:rsidRPr="00F24A76" w:rsidRDefault="00F4223F" w:rsidP="00F24A76">
            <w:pPr>
              <w:pStyle w:val="NoSpacing"/>
              <w:contextualSpacing/>
              <w:jc w:val="center"/>
            </w:pPr>
          </w:p>
        </w:tc>
        <w:tc>
          <w:tcPr>
            <w:tcW w:w="350" w:type="pct"/>
            <w:tcBorders>
              <w:top w:val="single" w:sz="4" w:space="0" w:color="auto"/>
              <w:left w:val="nil"/>
              <w:bottom w:val="nil"/>
              <w:right w:val="nil"/>
            </w:tcBorders>
            <w:shd w:val="clear" w:color="000000" w:fill="FFFFFF"/>
            <w:noWrap/>
            <w:hideMark/>
          </w:tcPr>
          <w:p w14:paraId="25281D25" w14:textId="18A03771" w:rsidR="00F4223F" w:rsidRPr="00F24A76" w:rsidRDefault="00F4223F" w:rsidP="00F24A76">
            <w:pPr>
              <w:pStyle w:val="NoSpacing"/>
              <w:contextualSpacing/>
              <w:jc w:val="center"/>
            </w:pPr>
          </w:p>
        </w:tc>
        <w:tc>
          <w:tcPr>
            <w:tcW w:w="267" w:type="pct"/>
            <w:tcBorders>
              <w:top w:val="single" w:sz="4" w:space="0" w:color="auto"/>
              <w:left w:val="nil"/>
              <w:bottom w:val="nil"/>
              <w:right w:val="nil"/>
            </w:tcBorders>
            <w:shd w:val="clear" w:color="000000" w:fill="FFFFFF"/>
            <w:noWrap/>
            <w:hideMark/>
          </w:tcPr>
          <w:p w14:paraId="0EF2C90B" w14:textId="557BA338" w:rsidR="00F4223F" w:rsidRPr="00F24A76" w:rsidRDefault="00F4223F" w:rsidP="00F24A76">
            <w:pPr>
              <w:pStyle w:val="NoSpacing"/>
              <w:contextualSpacing/>
              <w:jc w:val="center"/>
              <w:rPr>
                <w:i/>
              </w:rPr>
            </w:pPr>
          </w:p>
        </w:tc>
        <w:tc>
          <w:tcPr>
            <w:tcW w:w="560" w:type="pct"/>
            <w:gridSpan w:val="2"/>
            <w:tcBorders>
              <w:top w:val="single" w:sz="4" w:space="0" w:color="auto"/>
              <w:left w:val="nil"/>
              <w:bottom w:val="nil"/>
              <w:right w:val="nil"/>
            </w:tcBorders>
            <w:shd w:val="clear" w:color="000000" w:fill="FFFFFF"/>
            <w:noWrap/>
            <w:hideMark/>
          </w:tcPr>
          <w:p w14:paraId="058137C0" w14:textId="6E697CA6" w:rsidR="00F4223F" w:rsidRPr="00F24A76" w:rsidRDefault="00F4223F" w:rsidP="00F24A76">
            <w:pPr>
              <w:pStyle w:val="NoSpacing"/>
              <w:contextualSpacing/>
              <w:jc w:val="center"/>
            </w:pPr>
            <w:r w:rsidRPr="00F24A76">
              <w:t>59</w:t>
            </w:r>
          </w:p>
        </w:tc>
        <w:tc>
          <w:tcPr>
            <w:tcW w:w="168" w:type="pct"/>
            <w:tcBorders>
              <w:top w:val="single" w:sz="4" w:space="0" w:color="auto"/>
              <w:left w:val="nil"/>
              <w:bottom w:val="nil"/>
              <w:right w:val="nil"/>
            </w:tcBorders>
            <w:shd w:val="clear" w:color="000000" w:fill="FFFFFF"/>
            <w:noWrap/>
            <w:hideMark/>
          </w:tcPr>
          <w:p w14:paraId="49446E3B" w14:textId="1ED05690" w:rsidR="00F4223F" w:rsidRPr="00F24A76" w:rsidRDefault="00F4223F" w:rsidP="00F24A76">
            <w:pPr>
              <w:pStyle w:val="NoSpacing"/>
              <w:contextualSpacing/>
              <w:jc w:val="center"/>
            </w:pPr>
          </w:p>
        </w:tc>
        <w:tc>
          <w:tcPr>
            <w:tcW w:w="392" w:type="pct"/>
            <w:tcBorders>
              <w:top w:val="single" w:sz="4" w:space="0" w:color="auto"/>
              <w:left w:val="nil"/>
              <w:bottom w:val="nil"/>
              <w:right w:val="nil"/>
            </w:tcBorders>
            <w:shd w:val="clear" w:color="000000" w:fill="FFFFFF"/>
            <w:noWrap/>
            <w:hideMark/>
          </w:tcPr>
          <w:p w14:paraId="6145B116" w14:textId="399596A6" w:rsidR="00F4223F" w:rsidRPr="00F24A76" w:rsidRDefault="00F4223F" w:rsidP="00F24A76">
            <w:pPr>
              <w:pStyle w:val="NoSpacing"/>
              <w:contextualSpacing/>
              <w:jc w:val="center"/>
            </w:pPr>
          </w:p>
        </w:tc>
        <w:tc>
          <w:tcPr>
            <w:tcW w:w="267" w:type="pct"/>
            <w:tcBorders>
              <w:top w:val="single" w:sz="4" w:space="0" w:color="auto"/>
              <w:left w:val="nil"/>
              <w:bottom w:val="nil"/>
              <w:right w:val="nil"/>
            </w:tcBorders>
            <w:shd w:val="clear" w:color="000000" w:fill="FFFFFF"/>
            <w:noWrap/>
            <w:hideMark/>
          </w:tcPr>
          <w:p w14:paraId="49A78929" w14:textId="3AC141F6" w:rsidR="00F4223F" w:rsidRPr="00F24A76" w:rsidRDefault="00F4223F" w:rsidP="00F24A76">
            <w:pPr>
              <w:pStyle w:val="NoSpacing"/>
              <w:contextualSpacing/>
              <w:jc w:val="center"/>
              <w:rPr>
                <w:i/>
              </w:rPr>
            </w:pPr>
          </w:p>
        </w:tc>
        <w:tc>
          <w:tcPr>
            <w:tcW w:w="560" w:type="pct"/>
            <w:gridSpan w:val="2"/>
            <w:tcBorders>
              <w:top w:val="single" w:sz="4" w:space="0" w:color="auto"/>
              <w:left w:val="nil"/>
              <w:bottom w:val="nil"/>
              <w:right w:val="nil"/>
            </w:tcBorders>
            <w:shd w:val="clear" w:color="000000" w:fill="FFFFFF"/>
            <w:noWrap/>
            <w:hideMark/>
          </w:tcPr>
          <w:p w14:paraId="7DF73A87" w14:textId="77777777" w:rsidR="00F4223F" w:rsidRPr="00F24A76" w:rsidRDefault="00F4223F" w:rsidP="00F24A76">
            <w:pPr>
              <w:pStyle w:val="NoSpacing"/>
              <w:contextualSpacing/>
              <w:jc w:val="center"/>
            </w:pPr>
            <w:r w:rsidRPr="00F24A76">
              <w:t>79</w:t>
            </w:r>
          </w:p>
        </w:tc>
        <w:tc>
          <w:tcPr>
            <w:tcW w:w="210" w:type="pct"/>
            <w:tcBorders>
              <w:top w:val="single" w:sz="4" w:space="0" w:color="auto"/>
              <w:left w:val="nil"/>
              <w:bottom w:val="nil"/>
              <w:right w:val="nil"/>
            </w:tcBorders>
            <w:shd w:val="clear" w:color="000000" w:fill="FFFFFF"/>
            <w:noWrap/>
            <w:hideMark/>
          </w:tcPr>
          <w:p w14:paraId="108D3E30" w14:textId="28A0229A" w:rsidR="00F4223F" w:rsidRPr="00F24A76" w:rsidRDefault="00F4223F" w:rsidP="00F24A76">
            <w:pPr>
              <w:pStyle w:val="NoSpacing"/>
              <w:contextualSpacing/>
              <w:jc w:val="center"/>
            </w:pPr>
          </w:p>
        </w:tc>
        <w:tc>
          <w:tcPr>
            <w:tcW w:w="392" w:type="pct"/>
            <w:tcBorders>
              <w:top w:val="single" w:sz="4" w:space="0" w:color="auto"/>
              <w:left w:val="nil"/>
              <w:bottom w:val="nil"/>
              <w:right w:val="nil"/>
            </w:tcBorders>
            <w:shd w:val="clear" w:color="000000" w:fill="FFFFFF"/>
            <w:noWrap/>
            <w:hideMark/>
          </w:tcPr>
          <w:p w14:paraId="1597758E" w14:textId="225C46E3" w:rsidR="00F4223F" w:rsidRPr="00F24A76" w:rsidRDefault="00F4223F" w:rsidP="00F24A76">
            <w:pPr>
              <w:pStyle w:val="NoSpacing"/>
              <w:contextualSpacing/>
              <w:jc w:val="center"/>
            </w:pPr>
          </w:p>
        </w:tc>
        <w:tc>
          <w:tcPr>
            <w:tcW w:w="210" w:type="pct"/>
            <w:tcBorders>
              <w:top w:val="single" w:sz="4" w:space="0" w:color="auto"/>
              <w:left w:val="nil"/>
              <w:bottom w:val="nil"/>
              <w:right w:val="nil"/>
            </w:tcBorders>
            <w:shd w:val="clear" w:color="000000" w:fill="FFFFFF"/>
            <w:noWrap/>
            <w:hideMark/>
          </w:tcPr>
          <w:p w14:paraId="6E859250" w14:textId="49183D3E" w:rsidR="00F4223F" w:rsidRPr="00F24A76" w:rsidRDefault="00F4223F" w:rsidP="00F24A76">
            <w:pPr>
              <w:pStyle w:val="NoSpacing"/>
              <w:contextualSpacing/>
              <w:jc w:val="center"/>
              <w:rPr>
                <w:i/>
              </w:rPr>
            </w:pPr>
          </w:p>
        </w:tc>
      </w:tr>
      <w:tr w:rsidR="00235C79" w:rsidRPr="00F24A76" w14:paraId="172FC9EE" w14:textId="77777777" w:rsidTr="00235C79">
        <w:trPr>
          <w:trHeight w:val="19"/>
        </w:trPr>
        <w:tc>
          <w:tcPr>
            <w:tcW w:w="939" w:type="pct"/>
            <w:tcBorders>
              <w:top w:val="nil"/>
              <w:left w:val="nil"/>
              <w:bottom w:val="nil"/>
              <w:right w:val="nil"/>
            </w:tcBorders>
            <w:shd w:val="clear" w:color="000000" w:fill="FFFFFF"/>
            <w:noWrap/>
            <w:hideMark/>
          </w:tcPr>
          <w:p w14:paraId="78DB9F09" w14:textId="7B178F7C" w:rsidR="00F4223F" w:rsidRPr="00F24A76" w:rsidRDefault="00F4223F" w:rsidP="00F24A76">
            <w:pPr>
              <w:pStyle w:val="NoSpacing"/>
              <w:contextualSpacing/>
            </w:pPr>
            <w:r w:rsidRPr="00F24A76">
              <w:t>Age (years)</w:t>
            </w:r>
          </w:p>
        </w:tc>
        <w:tc>
          <w:tcPr>
            <w:tcW w:w="168" w:type="pct"/>
            <w:tcBorders>
              <w:top w:val="nil"/>
              <w:left w:val="nil"/>
              <w:bottom w:val="nil"/>
              <w:right w:val="nil"/>
            </w:tcBorders>
            <w:shd w:val="clear" w:color="000000" w:fill="FFFFFF"/>
            <w:noWrap/>
            <w:hideMark/>
          </w:tcPr>
          <w:p w14:paraId="39194E3E" w14:textId="210C5639" w:rsidR="00F4223F" w:rsidRPr="00F24A76" w:rsidRDefault="00F4223F" w:rsidP="00F24A76">
            <w:pPr>
              <w:pStyle w:val="NoSpacing"/>
              <w:contextualSpacing/>
              <w:jc w:val="right"/>
            </w:pPr>
            <w:r w:rsidRPr="00F24A76">
              <w:t>37</w:t>
            </w:r>
          </w:p>
        </w:tc>
        <w:tc>
          <w:tcPr>
            <w:tcW w:w="350" w:type="pct"/>
            <w:tcBorders>
              <w:top w:val="nil"/>
              <w:left w:val="nil"/>
              <w:bottom w:val="nil"/>
              <w:right w:val="nil"/>
            </w:tcBorders>
            <w:shd w:val="clear" w:color="000000" w:fill="FFFFFF"/>
            <w:noWrap/>
            <w:hideMark/>
          </w:tcPr>
          <w:p w14:paraId="1ADB7F3C" w14:textId="30C881EA" w:rsidR="00F4223F" w:rsidRPr="00F24A76" w:rsidRDefault="00F4223F" w:rsidP="00F24A76">
            <w:pPr>
              <w:pStyle w:val="NoSpacing"/>
              <w:contextualSpacing/>
            </w:pPr>
            <w:r w:rsidRPr="00F24A76">
              <w:t>(21-69)</w:t>
            </w:r>
          </w:p>
        </w:tc>
        <w:tc>
          <w:tcPr>
            <w:tcW w:w="168" w:type="pct"/>
            <w:tcBorders>
              <w:top w:val="nil"/>
              <w:left w:val="nil"/>
              <w:bottom w:val="nil"/>
              <w:right w:val="nil"/>
            </w:tcBorders>
            <w:shd w:val="clear" w:color="000000" w:fill="FFFFFF"/>
            <w:noWrap/>
          </w:tcPr>
          <w:p w14:paraId="71ACEB0C" w14:textId="4494B280" w:rsidR="00F4223F" w:rsidRPr="00F24A76" w:rsidRDefault="00F4223F" w:rsidP="00F24A76">
            <w:pPr>
              <w:pStyle w:val="NoSpacing"/>
              <w:contextualSpacing/>
              <w:jc w:val="center"/>
            </w:pPr>
          </w:p>
        </w:tc>
        <w:tc>
          <w:tcPr>
            <w:tcW w:w="350" w:type="pct"/>
            <w:tcBorders>
              <w:top w:val="nil"/>
              <w:left w:val="nil"/>
              <w:bottom w:val="nil"/>
              <w:right w:val="nil"/>
            </w:tcBorders>
            <w:shd w:val="clear" w:color="000000" w:fill="FFFFFF"/>
            <w:noWrap/>
          </w:tcPr>
          <w:p w14:paraId="11C22BCA" w14:textId="34A2B05E"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6116A498" w14:textId="5BD3C4D1"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hideMark/>
          </w:tcPr>
          <w:p w14:paraId="12958606" w14:textId="77777777" w:rsidR="00F4223F" w:rsidRPr="00F24A76" w:rsidRDefault="00F4223F" w:rsidP="00F24A76">
            <w:pPr>
              <w:pStyle w:val="NoSpacing"/>
              <w:contextualSpacing/>
              <w:jc w:val="right"/>
            </w:pPr>
            <w:r w:rsidRPr="00F24A76">
              <w:t>47</w:t>
            </w:r>
          </w:p>
        </w:tc>
        <w:tc>
          <w:tcPr>
            <w:tcW w:w="392" w:type="pct"/>
            <w:tcBorders>
              <w:top w:val="nil"/>
              <w:left w:val="nil"/>
              <w:bottom w:val="nil"/>
              <w:right w:val="nil"/>
            </w:tcBorders>
            <w:shd w:val="clear" w:color="000000" w:fill="FFFFFF"/>
            <w:noWrap/>
            <w:hideMark/>
          </w:tcPr>
          <w:p w14:paraId="0D43555F" w14:textId="49FDEA15" w:rsidR="00F4223F" w:rsidRPr="00F24A76" w:rsidRDefault="00F4223F" w:rsidP="00F24A76">
            <w:pPr>
              <w:pStyle w:val="NoSpacing"/>
              <w:contextualSpacing/>
            </w:pPr>
            <w:r w:rsidRPr="00F24A76">
              <w:t>±7</w:t>
            </w:r>
          </w:p>
        </w:tc>
        <w:tc>
          <w:tcPr>
            <w:tcW w:w="168" w:type="pct"/>
            <w:tcBorders>
              <w:top w:val="nil"/>
              <w:left w:val="nil"/>
              <w:bottom w:val="nil"/>
              <w:right w:val="nil"/>
            </w:tcBorders>
            <w:shd w:val="clear" w:color="000000" w:fill="FFFFFF"/>
            <w:noWrap/>
          </w:tcPr>
          <w:p w14:paraId="6B2ED209" w14:textId="0FDC4694"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7E3C89C5" w14:textId="366CFCD1"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737E36FC" w14:textId="5C1795D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hideMark/>
          </w:tcPr>
          <w:p w14:paraId="2A915F5D" w14:textId="77777777" w:rsidR="00F4223F" w:rsidRPr="00F24A76" w:rsidRDefault="00F4223F" w:rsidP="00F24A76">
            <w:pPr>
              <w:pStyle w:val="NoSpacing"/>
              <w:contextualSpacing/>
              <w:jc w:val="right"/>
            </w:pPr>
            <w:r w:rsidRPr="00F24A76">
              <w:t>30</w:t>
            </w:r>
          </w:p>
        </w:tc>
        <w:tc>
          <w:tcPr>
            <w:tcW w:w="392" w:type="pct"/>
            <w:tcBorders>
              <w:top w:val="nil"/>
              <w:left w:val="nil"/>
              <w:bottom w:val="nil"/>
              <w:right w:val="nil"/>
            </w:tcBorders>
            <w:shd w:val="clear" w:color="000000" w:fill="FFFFFF"/>
            <w:noWrap/>
            <w:hideMark/>
          </w:tcPr>
          <w:p w14:paraId="26042DAE" w14:textId="2D0A00DF" w:rsidR="00F4223F" w:rsidRPr="00F24A76" w:rsidRDefault="00F4223F" w:rsidP="00F24A76">
            <w:pPr>
              <w:pStyle w:val="NoSpacing"/>
              <w:contextualSpacing/>
            </w:pPr>
            <w:r w:rsidRPr="00F24A76">
              <w:t>±4</w:t>
            </w:r>
          </w:p>
        </w:tc>
        <w:tc>
          <w:tcPr>
            <w:tcW w:w="210" w:type="pct"/>
            <w:tcBorders>
              <w:top w:val="nil"/>
              <w:left w:val="nil"/>
              <w:bottom w:val="nil"/>
              <w:right w:val="nil"/>
            </w:tcBorders>
            <w:shd w:val="clear" w:color="000000" w:fill="FFFFFF"/>
            <w:noWrap/>
          </w:tcPr>
          <w:p w14:paraId="09593D36" w14:textId="68AF4A58"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3F8E01A8" w14:textId="04905B35" w:rsidR="00F4223F" w:rsidRPr="00F24A76" w:rsidRDefault="00F4223F" w:rsidP="00F24A76">
            <w:pPr>
              <w:pStyle w:val="NoSpacing"/>
              <w:contextualSpacing/>
              <w:jc w:val="center"/>
            </w:pPr>
          </w:p>
        </w:tc>
        <w:tc>
          <w:tcPr>
            <w:tcW w:w="210" w:type="pct"/>
            <w:tcBorders>
              <w:top w:val="nil"/>
              <w:left w:val="nil"/>
              <w:bottom w:val="nil"/>
              <w:right w:val="nil"/>
            </w:tcBorders>
            <w:shd w:val="clear" w:color="000000" w:fill="FFFFFF"/>
            <w:noWrap/>
          </w:tcPr>
          <w:p w14:paraId="45E256FC" w14:textId="6CC55087" w:rsidR="00F4223F" w:rsidRPr="00F24A76" w:rsidRDefault="00F4223F" w:rsidP="00F24A76">
            <w:pPr>
              <w:pStyle w:val="NoSpacing"/>
              <w:contextualSpacing/>
              <w:jc w:val="center"/>
              <w:rPr>
                <w:i/>
              </w:rPr>
            </w:pPr>
          </w:p>
        </w:tc>
      </w:tr>
      <w:tr w:rsidR="00235C79" w:rsidRPr="00F24A76" w14:paraId="7C71E540" w14:textId="77777777" w:rsidTr="00235C79">
        <w:trPr>
          <w:trHeight w:val="19"/>
        </w:trPr>
        <w:tc>
          <w:tcPr>
            <w:tcW w:w="939" w:type="pct"/>
            <w:tcBorders>
              <w:top w:val="nil"/>
              <w:left w:val="nil"/>
              <w:bottom w:val="nil"/>
              <w:right w:val="nil"/>
            </w:tcBorders>
            <w:shd w:val="clear" w:color="000000" w:fill="FFFFFF"/>
            <w:noWrap/>
            <w:hideMark/>
          </w:tcPr>
          <w:p w14:paraId="1F6274C6" w14:textId="7C399370" w:rsidR="00F4223F" w:rsidRPr="00F24A76" w:rsidRDefault="00F4223F" w:rsidP="00F24A76">
            <w:pPr>
              <w:pStyle w:val="NoSpacing"/>
              <w:contextualSpacing/>
            </w:pPr>
            <w:r w:rsidRPr="00F24A76">
              <w:t>Male</w:t>
            </w:r>
          </w:p>
        </w:tc>
        <w:tc>
          <w:tcPr>
            <w:tcW w:w="168" w:type="pct"/>
            <w:tcBorders>
              <w:top w:val="nil"/>
              <w:left w:val="nil"/>
              <w:bottom w:val="nil"/>
              <w:right w:val="nil"/>
            </w:tcBorders>
            <w:shd w:val="clear" w:color="000000" w:fill="FFFFFF"/>
            <w:noWrap/>
            <w:hideMark/>
          </w:tcPr>
          <w:p w14:paraId="23A5DD4B" w14:textId="53150BFB" w:rsidR="00F4223F" w:rsidRPr="00F24A76" w:rsidRDefault="00F4223F" w:rsidP="00F24A76">
            <w:pPr>
              <w:pStyle w:val="NoSpacing"/>
              <w:contextualSpacing/>
              <w:jc w:val="right"/>
            </w:pPr>
            <w:r w:rsidRPr="00F24A76">
              <w:t>68</w:t>
            </w:r>
          </w:p>
        </w:tc>
        <w:tc>
          <w:tcPr>
            <w:tcW w:w="350" w:type="pct"/>
            <w:tcBorders>
              <w:top w:val="nil"/>
              <w:left w:val="nil"/>
              <w:bottom w:val="nil"/>
              <w:right w:val="nil"/>
            </w:tcBorders>
            <w:shd w:val="clear" w:color="000000" w:fill="FFFFFF"/>
            <w:noWrap/>
            <w:hideMark/>
          </w:tcPr>
          <w:p w14:paraId="2D273A8C" w14:textId="744CD919" w:rsidR="00F4223F" w:rsidRPr="00F24A76" w:rsidRDefault="00F4223F" w:rsidP="00F24A76">
            <w:pPr>
              <w:pStyle w:val="NoSpacing"/>
              <w:contextualSpacing/>
            </w:pPr>
            <w:r w:rsidRPr="00F24A76">
              <w:t>(49%)</w:t>
            </w:r>
          </w:p>
        </w:tc>
        <w:tc>
          <w:tcPr>
            <w:tcW w:w="168" w:type="pct"/>
            <w:tcBorders>
              <w:top w:val="nil"/>
              <w:left w:val="nil"/>
              <w:bottom w:val="nil"/>
              <w:right w:val="nil"/>
            </w:tcBorders>
            <w:shd w:val="clear" w:color="000000" w:fill="FFFFFF"/>
            <w:noWrap/>
          </w:tcPr>
          <w:p w14:paraId="54FDDE75" w14:textId="1790C3BA" w:rsidR="00F4223F" w:rsidRPr="00F24A76" w:rsidRDefault="00F4223F" w:rsidP="00F24A76">
            <w:pPr>
              <w:pStyle w:val="NoSpacing"/>
              <w:contextualSpacing/>
              <w:jc w:val="center"/>
            </w:pPr>
          </w:p>
        </w:tc>
        <w:tc>
          <w:tcPr>
            <w:tcW w:w="350" w:type="pct"/>
            <w:tcBorders>
              <w:top w:val="nil"/>
              <w:left w:val="nil"/>
              <w:bottom w:val="nil"/>
              <w:right w:val="nil"/>
            </w:tcBorders>
            <w:shd w:val="clear" w:color="000000" w:fill="FFFFFF"/>
            <w:noWrap/>
          </w:tcPr>
          <w:p w14:paraId="2A4C00ED" w14:textId="39F8B3D8"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40CC5672" w14:textId="66325E5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hideMark/>
          </w:tcPr>
          <w:p w14:paraId="4A33213F" w14:textId="76B3F330" w:rsidR="00F4223F" w:rsidRPr="00F24A76" w:rsidRDefault="00F4223F" w:rsidP="00F24A76">
            <w:pPr>
              <w:pStyle w:val="NoSpacing"/>
              <w:contextualSpacing/>
              <w:jc w:val="right"/>
            </w:pPr>
            <w:r w:rsidRPr="00F24A76">
              <w:t>28</w:t>
            </w:r>
          </w:p>
        </w:tc>
        <w:tc>
          <w:tcPr>
            <w:tcW w:w="392" w:type="pct"/>
            <w:tcBorders>
              <w:top w:val="nil"/>
              <w:left w:val="nil"/>
              <w:bottom w:val="nil"/>
              <w:right w:val="nil"/>
            </w:tcBorders>
            <w:shd w:val="clear" w:color="000000" w:fill="FFFFFF"/>
            <w:noWrap/>
            <w:hideMark/>
          </w:tcPr>
          <w:p w14:paraId="268F3D16" w14:textId="4C973022" w:rsidR="00F4223F" w:rsidRPr="00F24A76" w:rsidRDefault="00F4223F" w:rsidP="00F24A76">
            <w:pPr>
              <w:pStyle w:val="NoSpacing"/>
              <w:contextualSpacing/>
            </w:pPr>
            <w:r w:rsidRPr="00F24A76">
              <w:t>(47%)</w:t>
            </w:r>
          </w:p>
        </w:tc>
        <w:tc>
          <w:tcPr>
            <w:tcW w:w="168" w:type="pct"/>
            <w:tcBorders>
              <w:top w:val="nil"/>
              <w:left w:val="nil"/>
              <w:bottom w:val="nil"/>
              <w:right w:val="nil"/>
            </w:tcBorders>
            <w:shd w:val="clear" w:color="000000" w:fill="FFFFFF"/>
            <w:noWrap/>
          </w:tcPr>
          <w:p w14:paraId="60274E9B" w14:textId="73F3963C"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5EFF7370" w14:textId="0F809290"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08FC7572" w14:textId="108C5DB5"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hideMark/>
          </w:tcPr>
          <w:p w14:paraId="1A60D77D" w14:textId="77777777" w:rsidR="00F4223F" w:rsidRPr="00F24A76" w:rsidRDefault="00F4223F" w:rsidP="00F24A76">
            <w:pPr>
              <w:pStyle w:val="NoSpacing"/>
              <w:contextualSpacing/>
              <w:jc w:val="right"/>
            </w:pPr>
            <w:r w:rsidRPr="00F24A76">
              <w:t>40</w:t>
            </w:r>
          </w:p>
        </w:tc>
        <w:tc>
          <w:tcPr>
            <w:tcW w:w="392" w:type="pct"/>
            <w:tcBorders>
              <w:top w:val="nil"/>
              <w:left w:val="nil"/>
              <w:bottom w:val="nil"/>
              <w:right w:val="nil"/>
            </w:tcBorders>
            <w:shd w:val="clear" w:color="000000" w:fill="FFFFFF"/>
            <w:noWrap/>
            <w:hideMark/>
          </w:tcPr>
          <w:p w14:paraId="1037937B" w14:textId="77777777" w:rsidR="00F4223F" w:rsidRPr="00F24A76" w:rsidRDefault="00F4223F" w:rsidP="00F24A76">
            <w:pPr>
              <w:pStyle w:val="NoSpacing"/>
              <w:contextualSpacing/>
            </w:pPr>
            <w:r w:rsidRPr="00F24A76">
              <w:t>(51%)</w:t>
            </w:r>
          </w:p>
        </w:tc>
        <w:tc>
          <w:tcPr>
            <w:tcW w:w="210" w:type="pct"/>
            <w:tcBorders>
              <w:top w:val="nil"/>
              <w:left w:val="nil"/>
              <w:bottom w:val="nil"/>
              <w:right w:val="nil"/>
            </w:tcBorders>
            <w:shd w:val="clear" w:color="000000" w:fill="FFFFFF"/>
            <w:noWrap/>
          </w:tcPr>
          <w:p w14:paraId="3F218A95" w14:textId="25BB0D86"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04CE591D" w14:textId="3129BDB7" w:rsidR="00F4223F" w:rsidRPr="00F24A76" w:rsidRDefault="00F4223F" w:rsidP="00F24A76">
            <w:pPr>
              <w:pStyle w:val="NoSpacing"/>
              <w:contextualSpacing/>
              <w:jc w:val="center"/>
            </w:pPr>
          </w:p>
        </w:tc>
        <w:tc>
          <w:tcPr>
            <w:tcW w:w="210" w:type="pct"/>
            <w:tcBorders>
              <w:top w:val="nil"/>
              <w:left w:val="nil"/>
              <w:bottom w:val="nil"/>
              <w:right w:val="nil"/>
            </w:tcBorders>
            <w:shd w:val="clear" w:color="000000" w:fill="FFFFFF"/>
            <w:noWrap/>
          </w:tcPr>
          <w:p w14:paraId="7B3D5EFC" w14:textId="27C40330" w:rsidR="00F4223F" w:rsidRPr="00F24A76" w:rsidRDefault="00F4223F" w:rsidP="00F24A76">
            <w:pPr>
              <w:pStyle w:val="NoSpacing"/>
              <w:contextualSpacing/>
              <w:jc w:val="center"/>
              <w:rPr>
                <w:i/>
              </w:rPr>
            </w:pPr>
          </w:p>
        </w:tc>
      </w:tr>
      <w:tr w:rsidR="004003A0" w:rsidRPr="00F24A76" w14:paraId="564F259D" w14:textId="77777777" w:rsidTr="00235C79">
        <w:trPr>
          <w:trHeight w:val="19"/>
        </w:trPr>
        <w:tc>
          <w:tcPr>
            <w:tcW w:w="939" w:type="pct"/>
            <w:tcBorders>
              <w:top w:val="nil"/>
              <w:left w:val="nil"/>
              <w:bottom w:val="nil"/>
              <w:right w:val="nil"/>
            </w:tcBorders>
            <w:shd w:val="clear" w:color="000000" w:fill="FFFFFF"/>
            <w:noWrap/>
          </w:tcPr>
          <w:p w14:paraId="072CA658" w14:textId="6BC95E75" w:rsidR="00F4223F" w:rsidRPr="00F24A76" w:rsidRDefault="00F4223F" w:rsidP="00F24A76">
            <w:pPr>
              <w:pStyle w:val="NoSpacing"/>
              <w:contextualSpacing/>
            </w:pPr>
            <w:r w:rsidRPr="00F24A76">
              <w:t>Running Time (hrs)</w:t>
            </w:r>
          </w:p>
        </w:tc>
        <w:tc>
          <w:tcPr>
            <w:tcW w:w="168" w:type="pct"/>
            <w:tcBorders>
              <w:top w:val="nil"/>
              <w:left w:val="nil"/>
              <w:bottom w:val="nil"/>
              <w:right w:val="nil"/>
            </w:tcBorders>
            <w:shd w:val="clear" w:color="000000" w:fill="FFFFFF"/>
            <w:noWrap/>
          </w:tcPr>
          <w:p w14:paraId="3B8C2E57" w14:textId="668C39FD" w:rsidR="00F4223F" w:rsidRPr="00F24A76" w:rsidRDefault="00F4223F" w:rsidP="00F24A76">
            <w:pPr>
              <w:pStyle w:val="NoSpacing"/>
              <w:contextualSpacing/>
              <w:jc w:val="right"/>
            </w:pPr>
            <w:r w:rsidRPr="00F24A76">
              <w:t>4.96</w:t>
            </w:r>
          </w:p>
        </w:tc>
        <w:tc>
          <w:tcPr>
            <w:tcW w:w="350" w:type="pct"/>
            <w:tcBorders>
              <w:top w:val="nil"/>
              <w:left w:val="nil"/>
              <w:bottom w:val="nil"/>
              <w:right w:val="nil"/>
            </w:tcBorders>
            <w:shd w:val="clear" w:color="000000" w:fill="FFFFFF"/>
            <w:noWrap/>
          </w:tcPr>
          <w:p w14:paraId="0BDA9195" w14:textId="73D02B4C" w:rsidR="00F4223F" w:rsidRPr="00F24A76" w:rsidRDefault="00F4223F" w:rsidP="00F24A76">
            <w:pPr>
              <w:pStyle w:val="NoSpacing"/>
              <w:contextualSpacing/>
            </w:pPr>
            <w:r w:rsidRPr="00F24A76">
              <w:t>±0.98</w:t>
            </w:r>
          </w:p>
        </w:tc>
        <w:tc>
          <w:tcPr>
            <w:tcW w:w="168" w:type="pct"/>
            <w:tcBorders>
              <w:top w:val="nil"/>
              <w:left w:val="nil"/>
              <w:bottom w:val="nil"/>
              <w:right w:val="nil"/>
            </w:tcBorders>
            <w:shd w:val="clear" w:color="000000" w:fill="FFFFFF"/>
            <w:noWrap/>
          </w:tcPr>
          <w:p w14:paraId="5B0FA9AA" w14:textId="27B16747" w:rsidR="00F4223F" w:rsidRPr="00F24A76" w:rsidRDefault="00F4223F" w:rsidP="00F24A76">
            <w:pPr>
              <w:pStyle w:val="NoSpacing"/>
              <w:contextualSpacing/>
              <w:jc w:val="center"/>
            </w:pPr>
          </w:p>
        </w:tc>
        <w:tc>
          <w:tcPr>
            <w:tcW w:w="350" w:type="pct"/>
            <w:tcBorders>
              <w:top w:val="nil"/>
              <w:left w:val="nil"/>
              <w:bottom w:val="nil"/>
              <w:right w:val="nil"/>
            </w:tcBorders>
            <w:shd w:val="clear" w:color="000000" w:fill="FFFFFF"/>
            <w:noWrap/>
          </w:tcPr>
          <w:p w14:paraId="02ECC2DE" w14:textId="40384D62"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4FFC6589" w14:textId="355A1655"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6AF6615E" w14:textId="11244053" w:rsidR="00F4223F" w:rsidRPr="00F24A76" w:rsidRDefault="00F4223F" w:rsidP="00F24A76">
            <w:pPr>
              <w:pStyle w:val="NoSpacing"/>
              <w:contextualSpacing/>
              <w:jc w:val="right"/>
            </w:pPr>
            <w:r w:rsidRPr="00F24A76">
              <w:t>5.37</w:t>
            </w:r>
          </w:p>
        </w:tc>
        <w:tc>
          <w:tcPr>
            <w:tcW w:w="392" w:type="pct"/>
            <w:tcBorders>
              <w:top w:val="nil"/>
              <w:left w:val="nil"/>
              <w:bottom w:val="nil"/>
              <w:right w:val="nil"/>
            </w:tcBorders>
            <w:shd w:val="clear" w:color="000000" w:fill="FFFFFF"/>
            <w:noWrap/>
          </w:tcPr>
          <w:p w14:paraId="09024C76" w14:textId="1419FCF8" w:rsidR="00F4223F" w:rsidRPr="00F24A76" w:rsidRDefault="00F4223F" w:rsidP="00F24A76">
            <w:pPr>
              <w:pStyle w:val="NoSpacing"/>
              <w:contextualSpacing/>
            </w:pPr>
            <w:r w:rsidRPr="00F24A76">
              <w:t>±1.05</w:t>
            </w:r>
          </w:p>
        </w:tc>
        <w:tc>
          <w:tcPr>
            <w:tcW w:w="168" w:type="pct"/>
            <w:tcBorders>
              <w:top w:val="nil"/>
              <w:left w:val="nil"/>
              <w:bottom w:val="nil"/>
              <w:right w:val="nil"/>
            </w:tcBorders>
            <w:shd w:val="clear" w:color="000000" w:fill="FFFFFF"/>
            <w:noWrap/>
          </w:tcPr>
          <w:p w14:paraId="383C0157" w14:textId="7B75AEF1"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710C4277" w14:textId="5DDAD32B"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7E5EC397" w14:textId="62D75F73"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6CC8E33F" w14:textId="1E6532D4" w:rsidR="00F4223F" w:rsidRPr="00F24A76" w:rsidRDefault="00F4223F" w:rsidP="00F24A76">
            <w:pPr>
              <w:pStyle w:val="NoSpacing"/>
              <w:contextualSpacing/>
              <w:jc w:val="right"/>
            </w:pPr>
            <w:r w:rsidRPr="00F24A76">
              <w:t>4.65</w:t>
            </w:r>
          </w:p>
        </w:tc>
        <w:tc>
          <w:tcPr>
            <w:tcW w:w="392" w:type="pct"/>
            <w:tcBorders>
              <w:top w:val="nil"/>
              <w:left w:val="nil"/>
              <w:bottom w:val="nil"/>
              <w:right w:val="nil"/>
            </w:tcBorders>
            <w:shd w:val="clear" w:color="000000" w:fill="FFFFFF"/>
            <w:noWrap/>
          </w:tcPr>
          <w:p w14:paraId="71C2CA7D" w14:textId="2145FAE9" w:rsidR="00F4223F" w:rsidRPr="00F24A76" w:rsidRDefault="00F4223F" w:rsidP="00F24A76">
            <w:pPr>
              <w:pStyle w:val="NoSpacing"/>
              <w:contextualSpacing/>
            </w:pPr>
            <w:r w:rsidRPr="00F24A76">
              <w:t>±0.80</w:t>
            </w:r>
          </w:p>
        </w:tc>
        <w:tc>
          <w:tcPr>
            <w:tcW w:w="210" w:type="pct"/>
            <w:tcBorders>
              <w:top w:val="nil"/>
              <w:left w:val="nil"/>
              <w:bottom w:val="nil"/>
              <w:right w:val="nil"/>
            </w:tcBorders>
            <w:shd w:val="clear" w:color="000000" w:fill="FFFFFF"/>
            <w:noWrap/>
          </w:tcPr>
          <w:p w14:paraId="58DF1F1C" w14:textId="41D94DE8" w:rsidR="00F4223F" w:rsidRPr="00F24A76" w:rsidRDefault="00F4223F" w:rsidP="00F24A76">
            <w:pPr>
              <w:pStyle w:val="NoSpacing"/>
              <w:contextualSpacing/>
              <w:jc w:val="center"/>
            </w:pPr>
          </w:p>
        </w:tc>
        <w:tc>
          <w:tcPr>
            <w:tcW w:w="392" w:type="pct"/>
            <w:tcBorders>
              <w:top w:val="nil"/>
              <w:left w:val="nil"/>
              <w:bottom w:val="nil"/>
              <w:right w:val="nil"/>
            </w:tcBorders>
            <w:shd w:val="clear" w:color="000000" w:fill="FFFFFF"/>
            <w:noWrap/>
          </w:tcPr>
          <w:p w14:paraId="02B95F33" w14:textId="49B6A561" w:rsidR="00F4223F" w:rsidRPr="00F24A76" w:rsidRDefault="00F4223F" w:rsidP="00F24A76">
            <w:pPr>
              <w:pStyle w:val="NoSpacing"/>
              <w:contextualSpacing/>
              <w:jc w:val="center"/>
            </w:pPr>
          </w:p>
        </w:tc>
        <w:tc>
          <w:tcPr>
            <w:tcW w:w="210" w:type="pct"/>
            <w:tcBorders>
              <w:top w:val="nil"/>
              <w:left w:val="nil"/>
              <w:bottom w:val="nil"/>
              <w:right w:val="nil"/>
            </w:tcBorders>
            <w:shd w:val="clear" w:color="000000" w:fill="FFFFFF"/>
            <w:noWrap/>
          </w:tcPr>
          <w:p w14:paraId="1C85DBD4" w14:textId="1402934B" w:rsidR="00F4223F" w:rsidRPr="00F24A76" w:rsidRDefault="00F4223F" w:rsidP="00F24A76">
            <w:pPr>
              <w:pStyle w:val="NoSpacing"/>
              <w:contextualSpacing/>
              <w:jc w:val="center"/>
              <w:rPr>
                <w:i/>
              </w:rPr>
            </w:pPr>
          </w:p>
        </w:tc>
      </w:tr>
      <w:tr w:rsidR="004003A0" w:rsidRPr="00F24A76" w14:paraId="3CB436AE" w14:textId="77777777" w:rsidTr="00235C79">
        <w:trPr>
          <w:trHeight w:val="19"/>
        </w:trPr>
        <w:tc>
          <w:tcPr>
            <w:tcW w:w="939" w:type="pct"/>
            <w:tcBorders>
              <w:top w:val="nil"/>
              <w:left w:val="nil"/>
              <w:bottom w:val="nil"/>
              <w:right w:val="nil"/>
            </w:tcBorders>
            <w:shd w:val="clear" w:color="000000" w:fill="FFFFFF"/>
            <w:noWrap/>
            <w:hideMark/>
          </w:tcPr>
          <w:p w14:paraId="3874C442" w14:textId="32C51984" w:rsidR="00F4223F" w:rsidRPr="00F24A76" w:rsidRDefault="00F4223F" w:rsidP="00F24A76">
            <w:pPr>
              <w:pStyle w:val="NoSpacing"/>
              <w:contextualSpacing/>
            </w:pPr>
            <w:r w:rsidRPr="00F24A76">
              <w:t>Weight (kg)</w:t>
            </w:r>
          </w:p>
        </w:tc>
        <w:tc>
          <w:tcPr>
            <w:tcW w:w="168" w:type="pct"/>
            <w:tcBorders>
              <w:top w:val="nil"/>
              <w:left w:val="nil"/>
              <w:bottom w:val="nil"/>
              <w:right w:val="nil"/>
            </w:tcBorders>
            <w:shd w:val="clear" w:color="000000" w:fill="FFFFFF"/>
            <w:noWrap/>
            <w:hideMark/>
          </w:tcPr>
          <w:p w14:paraId="14AB49F3" w14:textId="34C404C0" w:rsidR="00F4223F" w:rsidRPr="00F24A76" w:rsidRDefault="00F4223F" w:rsidP="00F24A76">
            <w:pPr>
              <w:pStyle w:val="NoSpacing"/>
              <w:contextualSpacing/>
              <w:jc w:val="right"/>
            </w:pPr>
            <w:r w:rsidRPr="00F24A76">
              <w:t>73</w:t>
            </w:r>
          </w:p>
        </w:tc>
        <w:tc>
          <w:tcPr>
            <w:tcW w:w="350" w:type="pct"/>
            <w:tcBorders>
              <w:top w:val="nil"/>
              <w:left w:val="nil"/>
              <w:bottom w:val="nil"/>
              <w:right w:val="nil"/>
            </w:tcBorders>
            <w:shd w:val="clear" w:color="000000" w:fill="FFFFFF"/>
            <w:noWrap/>
            <w:hideMark/>
          </w:tcPr>
          <w:p w14:paraId="0A40A468" w14:textId="5875F648" w:rsidR="00F4223F" w:rsidRPr="00F24A76" w:rsidRDefault="00F4223F" w:rsidP="00F24A76">
            <w:pPr>
              <w:pStyle w:val="NoSpacing"/>
              <w:contextualSpacing/>
            </w:pPr>
            <w:r w:rsidRPr="00F24A76">
              <w:t>±13</w:t>
            </w:r>
          </w:p>
        </w:tc>
        <w:tc>
          <w:tcPr>
            <w:tcW w:w="168" w:type="pct"/>
            <w:tcBorders>
              <w:top w:val="nil"/>
              <w:left w:val="nil"/>
              <w:bottom w:val="nil"/>
              <w:right w:val="nil"/>
            </w:tcBorders>
            <w:shd w:val="clear" w:color="000000" w:fill="FFFFFF"/>
            <w:noWrap/>
            <w:hideMark/>
          </w:tcPr>
          <w:p w14:paraId="6CEFD4F0" w14:textId="46A15C5A" w:rsidR="00F4223F" w:rsidRPr="00F24A76" w:rsidRDefault="00F4223F" w:rsidP="00F24A76">
            <w:pPr>
              <w:pStyle w:val="NoSpacing"/>
              <w:contextualSpacing/>
              <w:jc w:val="right"/>
            </w:pPr>
            <w:r w:rsidRPr="00F24A76">
              <w:t>72</w:t>
            </w:r>
          </w:p>
        </w:tc>
        <w:tc>
          <w:tcPr>
            <w:tcW w:w="350" w:type="pct"/>
            <w:tcBorders>
              <w:top w:val="nil"/>
              <w:left w:val="nil"/>
              <w:bottom w:val="nil"/>
              <w:right w:val="nil"/>
            </w:tcBorders>
            <w:shd w:val="clear" w:color="000000" w:fill="FFFFFF"/>
            <w:noWrap/>
            <w:hideMark/>
          </w:tcPr>
          <w:p w14:paraId="47C8ED01" w14:textId="549CE2A4" w:rsidR="00F4223F" w:rsidRPr="00F24A76" w:rsidRDefault="00F4223F" w:rsidP="00F24A76">
            <w:pPr>
              <w:pStyle w:val="NoSpacing"/>
              <w:contextualSpacing/>
            </w:pPr>
            <w:r w:rsidRPr="00F24A76">
              <w:t>±12</w:t>
            </w:r>
          </w:p>
        </w:tc>
        <w:tc>
          <w:tcPr>
            <w:tcW w:w="267" w:type="pct"/>
            <w:tcBorders>
              <w:top w:val="nil"/>
              <w:left w:val="nil"/>
              <w:bottom w:val="nil"/>
              <w:right w:val="nil"/>
            </w:tcBorders>
            <w:shd w:val="clear" w:color="000000" w:fill="FFFFFF"/>
            <w:noWrap/>
            <w:hideMark/>
          </w:tcPr>
          <w:p w14:paraId="023915E9" w14:textId="7C3DE23D" w:rsidR="00F4223F" w:rsidRPr="00F24A76" w:rsidRDefault="00F4223F" w:rsidP="00F24A76">
            <w:pPr>
              <w:pStyle w:val="NoSpacing"/>
              <w:contextualSpacing/>
              <w:jc w:val="center"/>
              <w:rPr>
                <w:i/>
              </w:rPr>
            </w:pPr>
            <w:r w:rsidRPr="00F24A76">
              <w:rPr>
                <w:i/>
              </w:rPr>
              <w:t>0.002</w:t>
            </w:r>
          </w:p>
        </w:tc>
        <w:tc>
          <w:tcPr>
            <w:tcW w:w="168" w:type="pct"/>
            <w:tcBorders>
              <w:top w:val="nil"/>
              <w:left w:val="nil"/>
              <w:bottom w:val="nil"/>
              <w:right w:val="nil"/>
            </w:tcBorders>
            <w:shd w:val="clear" w:color="000000" w:fill="FFFFFF"/>
            <w:noWrap/>
            <w:hideMark/>
          </w:tcPr>
          <w:p w14:paraId="19F68785" w14:textId="1685C9DE" w:rsidR="00F4223F" w:rsidRPr="00F24A76" w:rsidRDefault="00F4223F" w:rsidP="00F24A76">
            <w:pPr>
              <w:pStyle w:val="NoSpacing"/>
              <w:contextualSpacing/>
              <w:jc w:val="right"/>
            </w:pPr>
            <w:r w:rsidRPr="00F24A76">
              <w:t>75</w:t>
            </w:r>
          </w:p>
        </w:tc>
        <w:tc>
          <w:tcPr>
            <w:tcW w:w="392" w:type="pct"/>
            <w:tcBorders>
              <w:top w:val="nil"/>
              <w:left w:val="nil"/>
              <w:bottom w:val="nil"/>
              <w:right w:val="nil"/>
            </w:tcBorders>
            <w:shd w:val="clear" w:color="000000" w:fill="FFFFFF"/>
            <w:noWrap/>
            <w:hideMark/>
          </w:tcPr>
          <w:p w14:paraId="21B9A7B3" w14:textId="2D1E4CF6" w:rsidR="00F4223F" w:rsidRPr="00F24A76" w:rsidRDefault="00F4223F" w:rsidP="00F24A76">
            <w:pPr>
              <w:pStyle w:val="NoSpacing"/>
              <w:contextualSpacing/>
            </w:pPr>
            <w:r w:rsidRPr="00F24A76">
              <w:t>±14</w:t>
            </w:r>
          </w:p>
        </w:tc>
        <w:tc>
          <w:tcPr>
            <w:tcW w:w="168" w:type="pct"/>
            <w:tcBorders>
              <w:top w:val="nil"/>
              <w:left w:val="nil"/>
              <w:bottom w:val="nil"/>
              <w:right w:val="nil"/>
            </w:tcBorders>
            <w:shd w:val="clear" w:color="000000" w:fill="FFFFFF"/>
            <w:noWrap/>
            <w:hideMark/>
          </w:tcPr>
          <w:p w14:paraId="6A634236" w14:textId="4F62724A" w:rsidR="00F4223F" w:rsidRPr="00F24A76" w:rsidRDefault="00F4223F" w:rsidP="00F24A76">
            <w:pPr>
              <w:pStyle w:val="NoSpacing"/>
              <w:contextualSpacing/>
              <w:jc w:val="right"/>
            </w:pPr>
            <w:r w:rsidRPr="00F24A76">
              <w:t>73</w:t>
            </w:r>
          </w:p>
        </w:tc>
        <w:tc>
          <w:tcPr>
            <w:tcW w:w="392" w:type="pct"/>
            <w:tcBorders>
              <w:top w:val="nil"/>
              <w:left w:val="nil"/>
              <w:bottom w:val="nil"/>
              <w:right w:val="nil"/>
            </w:tcBorders>
            <w:shd w:val="clear" w:color="000000" w:fill="FFFFFF"/>
            <w:noWrap/>
            <w:hideMark/>
          </w:tcPr>
          <w:p w14:paraId="7CEFF6B1" w14:textId="556163B7" w:rsidR="00F4223F" w:rsidRPr="00F24A76" w:rsidRDefault="00F4223F" w:rsidP="00F24A76">
            <w:pPr>
              <w:pStyle w:val="NoSpacing"/>
              <w:contextualSpacing/>
            </w:pPr>
            <w:r w:rsidRPr="00F24A76">
              <w:t>±13</w:t>
            </w:r>
          </w:p>
        </w:tc>
        <w:tc>
          <w:tcPr>
            <w:tcW w:w="267" w:type="pct"/>
            <w:tcBorders>
              <w:top w:val="nil"/>
              <w:left w:val="nil"/>
              <w:bottom w:val="nil"/>
              <w:right w:val="nil"/>
            </w:tcBorders>
            <w:shd w:val="clear" w:color="000000" w:fill="FFFFFF"/>
            <w:noWrap/>
            <w:hideMark/>
          </w:tcPr>
          <w:p w14:paraId="1CD7E5C8" w14:textId="7676DDBB"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32F63B4D" w14:textId="4429C355" w:rsidR="00F4223F" w:rsidRPr="00F24A76" w:rsidRDefault="00F4223F" w:rsidP="00F24A76">
            <w:pPr>
              <w:pStyle w:val="NoSpacing"/>
              <w:contextualSpacing/>
              <w:jc w:val="right"/>
            </w:pPr>
            <w:r w:rsidRPr="00F24A76">
              <w:t>72</w:t>
            </w:r>
          </w:p>
        </w:tc>
        <w:tc>
          <w:tcPr>
            <w:tcW w:w="392" w:type="pct"/>
            <w:tcBorders>
              <w:top w:val="nil"/>
              <w:left w:val="nil"/>
              <w:bottom w:val="nil"/>
              <w:right w:val="nil"/>
            </w:tcBorders>
            <w:shd w:val="clear" w:color="000000" w:fill="FFFFFF"/>
            <w:noWrap/>
            <w:hideMark/>
          </w:tcPr>
          <w:p w14:paraId="2B4DCD91" w14:textId="5B394FF0" w:rsidR="00F4223F" w:rsidRPr="00F24A76" w:rsidRDefault="00F4223F" w:rsidP="00F24A76">
            <w:pPr>
              <w:pStyle w:val="NoSpacing"/>
              <w:contextualSpacing/>
            </w:pPr>
            <w:r w:rsidRPr="00F24A76">
              <w:t>±13</w:t>
            </w:r>
          </w:p>
        </w:tc>
        <w:tc>
          <w:tcPr>
            <w:tcW w:w="210" w:type="pct"/>
            <w:tcBorders>
              <w:top w:val="nil"/>
              <w:left w:val="nil"/>
              <w:bottom w:val="nil"/>
              <w:right w:val="nil"/>
            </w:tcBorders>
            <w:shd w:val="clear" w:color="000000" w:fill="FFFFFF"/>
            <w:noWrap/>
            <w:hideMark/>
          </w:tcPr>
          <w:p w14:paraId="62D41049" w14:textId="4D47FCF4" w:rsidR="00F4223F" w:rsidRPr="00F24A76" w:rsidRDefault="00F4223F" w:rsidP="00F24A76">
            <w:pPr>
              <w:pStyle w:val="NoSpacing"/>
              <w:contextualSpacing/>
              <w:jc w:val="right"/>
            </w:pPr>
            <w:r w:rsidRPr="00F24A76">
              <w:t>71</w:t>
            </w:r>
          </w:p>
        </w:tc>
        <w:tc>
          <w:tcPr>
            <w:tcW w:w="392" w:type="pct"/>
            <w:tcBorders>
              <w:top w:val="nil"/>
              <w:left w:val="nil"/>
              <w:bottom w:val="nil"/>
              <w:right w:val="nil"/>
            </w:tcBorders>
            <w:shd w:val="clear" w:color="000000" w:fill="FFFFFF"/>
            <w:noWrap/>
            <w:hideMark/>
          </w:tcPr>
          <w:p w14:paraId="7C81ADD6" w14:textId="0C9DB1DB" w:rsidR="00F4223F" w:rsidRPr="00F24A76" w:rsidRDefault="00F4223F" w:rsidP="00F24A76">
            <w:pPr>
              <w:pStyle w:val="NoSpacing"/>
              <w:contextualSpacing/>
            </w:pPr>
            <w:r w:rsidRPr="00F24A76">
              <w:t>±12</w:t>
            </w:r>
          </w:p>
        </w:tc>
        <w:tc>
          <w:tcPr>
            <w:tcW w:w="210" w:type="pct"/>
            <w:tcBorders>
              <w:top w:val="nil"/>
              <w:left w:val="nil"/>
              <w:bottom w:val="nil"/>
              <w:right w:val="nil"/>
            </w:tcBorders>
            <w:shd w:val="clear" w:color="000000" w:fill="FFFFFF"/>
            <w:noWrap/>
            <w:hideMark/>
          </w:tcPr>
          <w:p w14:paraId="15F6EB79" w14:textId="77777777" w:rsidR="00F4223F" w:rsidRPr="00F24A76" w:rsidRDefault="00F4223F" w:rsidP="00F24A76">
            <w:pPr>
              <w:pStyle w:val="NoSpacing"/>
              <w:contextualSpacing/>
              <w:jc w:val="center"/>
              <w:rPr>
                <w:i/>
              </w:rPr>
            </w:pPr>
            <w:r w:rsidRPr="00F24A76">
              <w:rPr>
                <w:i/>
              </w:rPr>
              <w:t>0.59</w:t>
            </w:r>
          </w:p>
        </w:tc>
      </w:tr>
      <w:tr w:rsidR="004003A0" w:rsidRPr="00F24A76" w14:paraId="5D28AF62" w14:textId="77777777" w:rsidTr="00235C79">
        <w:trPr>
          <w:trHeight w:val="19"/>
        </w:trPr>
        <w:tc>
          <w:tcPr>
            <w:tcW w:w="939" w:type="pct"/>
            <w:tcBorders>
              <w:top w:val="nil"/>
              <w:left w:val="nil"/>
              <w:bottom w:val="nil"/>
              <w:right w:val="nil"/>
            </w:tcBorders>
            <w:shd w:val="clear" w:color="000000" w:fill="FFFFFF"/>
            <w:noWrap/>
            <w:hideMark/>
          </w:tcPr>
          <w:p w14:paraId="68A2941D" w14:textId="483E3610" w:rsidR="00F4223F" w:rsidRPr="00F24A76" w:rsidRDefault="00F4223F" w:rsidP="00F24A76">
            <w:pPr>
              <w:pStyle w:val="NoSpacing"/>
              <w:contextualSpacing/>
            </w:pPr>
            <w:r w:rsidRPr="00F24A76">
              <w:t>Body Fat (%)</w:t>
            </w:r>
          </w:p>
        </w:tc>
        <w:tc>
          <w:tcPr>
            <w:tcW w:w="168" w:type="pct"/>
            <w:tcBorders>
              <w:top w:val="nil"/>
              <w:left w:val="nil"/>
              <w:bottom w:val="nil"/>
              <w:right w:val="nil"/>
            </w:tcBorders>
            <w:shd w:val="clear" w:color="000000" w:fill="FFFFFF"/>
            <w:noWrap/>
            <w:hideMark/>
          </w:tcPr>
          <w:p w14:paraId="1D175FDB" w14:textId="43F6C281" w:rsidR="00F4223F" w:rsidRPr="00F24A76" w:rsidRDefault="00F4223F" w:rsidP="00F24A76">
            <w:pPr>
              <w:pStyle w:val="NoSpacing"/>
              <w:contextualSpacing/>
              <w:jc w:val="right"/>
            </w:pPr>
            <w:r w:rsidRPr="00F24A76">
              <w:t>25</w:t>
            </w:r>
          </w:p>
        </w:tc>
        <w:tc>
          <w:tcPr>
            <w:tcW w:w="350" w:type="pct"/>
            <w:tcBorders>
              <w:top w:val="nil"/>
              <w:left w:val="nil"/>
              <w:bottom w:val="nil"/>
              <w:right w:val="nil"/>
            </w:tcBorders>
            <w:shd w:val="clear" w:color="000000" w:fill="FFFFFF"/>
            <w:noWrap/>
            <w:hideMark/>
          </w:tcPr>
          <w:p w14:paraId="24C50364" w14:textId="42CA056B" w:rsidR="00F4223F" w:rsidRPr="00F24A76" w:rsidRDefault="00F4223F" w:rsidP="00F24A76">
            <w:pPr>
              <w:pStyle w:val="NoSpacing"/>
              <w:contextualSpacing/>
            </w:pPr>
            <w:r w:rsidRPr="00F24A76">
              <w:t>±8</w:t>
            </w:r>
          </w:p>
        </w:tc>
        <w:tc>
          <w:tcPr>
            <w:tcW w:w="168" w:type="pct"/>
            <w:tcBorders>
              <w:top w:val="nil"/>
              <w:left w:val="nil"/>
              <w:bottom w:val="nil"/>
              <w:right w:val="nil"/>
            </w:tcBorders>
            <w:shd w:val="clear" w:color="000000" w:fill="FFFFFF"/>
            <w:noWrap/>
            <w:hideMark/>
          </w:tcPr>
          <w:p w14:paraId="351FDAF6" w14:textId="1B200F0A" w:rsidR="00F4223F" w:rsidRPr="00F24A76" w:rsidRDefault="00F4223F" w:rsidP="00F24A76">
            <w:pPr>
              <w:pStyle w:val="NoSpacing"/>
              <w:contextualSpacing/>
              <w:jc w:val="right"/>
            </w:pPr>
            <w:r w:rsidRPr="00F24A76">
              <w:t>24</w:t>
            </w:r>
          </w:p>
        </w:tc>
        <w:tc>
          <w:tcPr>
            <w:tcW w:w="350" w:type="pct"/>
            <w:tcBorders>
              <w:top w:val="nil"/>
              <w:left w:val="nil"/>
              <w:bottom w:val="nil"/>
              <w:right w:val="nil"/>
            </w:tcBorders>
            <w:shd w:val="clear" w:color="000000" w:fill="FFFFFF"/>
            <w:noWrap/>
            <w:hideMark/>
          </w:tcPr>
          <w:p w14:paraId="221FDBB9" w14:textId="3B83D0B5" w:rsidR="00F4223F" w:rsidRPr="00F24A76" w:rsidRDefault="00F4223F" w:rsidP="00F24A76">
            <w:pPr>
              <w:pStyle w:val="NoSpacing"/>
              <w:contextualSpacing/>
            </w:pPr>
            <w:r w:rsidRPr="00F24A76">
              <w:t>±9</w:t>
            </w:r>
          </w:p>
        </w:tc>
        <w:tc>
          <w:tcPr>
            <w:tcW w:w="267" w:type="pct"/>
            <w:tcBorders>
              <w:top w:val="nil"/>
              <w:left w:val="nil"/>
              <w:bottom w:val="nil"/>
              <w:right w:val="nil"/>
            </w:tcBorders>
            <w:shd w:val="clear" w:color="000000" w:fill="FFFFFF"/>
            <w:noWrap/>
            <w:hideMark/>
          </w:tcPr>
          <w:p w14:paraId="3B3CFF34" w14:textId="78AC9992" w:rsidR="00F4223F" w:rsidRPr="00F24A76" w:rsidRDefault="00F4223F" w:rsidP="00F24A76">
            <w:pPr>
              <w:pStyle w:val="NoSpacing"/>
              <w:contextualSpacing/>
              <w:jc w:val="center"/>
              <w:rPr>
                <w:i/>
              </w:rPr>
            </w:pPr>
            <w:r w:rsidRPr="00F24A76">
              <w:rPr>
                <w:i/>
              </w:rPr>
              <w:t>0.009</w:t>
            </w:r>
          </w:p>
        </w:tc>
        <w:tc>
          <w:tcPr>
            <w:tcW w:w="168" w:type="pct"/>
            <w:tcBorders>
              <w:top w:val="nil"/>
              <w:left w:val="nil"/>
              <w:bottom w:val="nil"/>
              <w:right w:val="nil"/>
            </w:tcBorders>
            <w:shd w:val="clear" w:color="000000" w:fill="FFFFFF"/>
            <w:noWrap/>
            <w:hideMark/>
          </w:tcPr>
          <w:p w14:paraId="5004CD23" w14:textId="76CEE0B9" w:rsidR="00F4223F" w:rsidRPr="00F24A76" w:rsidRDefault="00F4223F" w:rsidP="00F24A76">
            <w:pPr>
              <w:pStyle w:val="NoSpacing"/>
              <w:contextualSpacing/>
              <w:jc w:val="right"/>
            </w:pPr>
            <w:r w:rsidRPr="00F24A76">
              <w:t>28</w:t>
            </w:r>
          </w:p>
        </w:tc>
        <w:tc>
          <w:tcPr>
            <w:tcW w:w="392" w:type="pct"/>
            <w:tcBorders>
              <w:top w:val="nil"/>
              <w:left w:val="nil"/>
              <w:bottom w:val="nil"/>
              <w:right w:val="nil"/>
            </w:tcBorders>
            <w:shd w:val="clear" w:color="000000" w:fill="FFFFFF"/>
            <w:noWrap/>
            <w:hideMark/>
          </w:tcPr>
          <w:p w14:paraId="633E978C" w14:textId="0C434BC0" w:rsidR="00F4223F" w:rsidRPr="00F24A76" w:rsidRDefault="00F4223F" w:rsidP="00F24A76">
            <w:pPr>
              <w:pStyle w:val="NoSpacing"/>
              <w:contextualSpacing/>
            </w:pPr>
            <w:r w:rsidRPr="00F24A76">
              <w:t>±7</w:t>
            </w:r>
          </w:p>
        </w:tc>
        <w:tc>
          <w:tcPr>
            <w:tcW w:w="168" w:type="pct"/>
            <w:tcBorders>
              <w:top w:val="nil"/>
              <w:left w:val="nil"/>
              <w:bottom w:val="nil"/>
              <w:right w:val="nil"/>
            </w:tcBorders>
            <w:shd w:val="clear" w:color="000000" w:fill="FFFFFF"/>
            <w:noWrap/>
            <w:hideMark/>
          </w:tcPr>
          <w:p w14:paraId="7348BBE9" w14:textId="261BBFB8" w:rsidR="00F4223F" w:rsidRPr="00F24A76" w:rsidRDefault="00F4223F" w:rsidP="00F24A76">
            <w:pPr>
              <w:pStyle w:val="NoSpacing"/>
              <w:contextualSpacing/>
              <w:jc w:val="right"/>
            </w:pPr>
            <w:r w:rsidRPr="00F24A76">
              <w:t>26</w:t>
            </w:r>
          </w:p>
        </w:tc>
        <w:tc>
          <w:tcPr>
            <w:tcW w:w="392" w:type="pct"/>
            <w:tcBorders>
              <w:top w:val="nil"/>
              <w:left w:val="nil"/>
              <w:bottom w:val="nil"/>
              <w:right w:val="nil"/>
            </w:tcBorders>
            <w:shd w:val="clear" w:color="000000" w:fill="FFFFFF"/>
            <w:noWrap/>
            <w:hideMark/>
          </w:tcPr>
          <w:p w14:paraId="485DC29E" w14:textId="4A04CBB3" w:rsidR="00F4223F" w:rsidRPr="00F24A76" w:rsidRDefault="00F4223F" w:rsidP="00F24A76">
            <w:pPr>
              <w:pStyle w:val="NoSpacing"/>
              <w:contextualSpacing/>
            </w:pPr>
            <w:r w:rsidRPr="00F24A76">
              <w:t>±8</w:t>
            </w:r>
          </w:p>
        </w:tc>
        <w:tc>
          <w:tcPr>
            <w:tcW w:w="267" w:type="pct"/>
            <w:tcBorders>
              <w:top w:val="nil"/>
              <w:left w:val="nil"/>
              <w:bottom w:val="nil"/>
              <w:right w:val="nil"/>
            </w:tcBorders>
            <w:shd w:val="clear" w:color="000000" w:fill="FFFFFF"/>
            <w:noWrap/>
            <w:hideMark/>
          </w:tcPr>
          <w:p w14:paraId="500013AB" w14:textId="77777777" w:rsidR="00F4223F" w:rsidRPr="00F24A76" w:rsidRDefault="00F4223F" w:rsidP="00F24A76">
            <w:pPr>
              <w:pStyle w:val="NoSpacing"/>
              <w:contextualSpacing/>
              <w:jc w:val="center"/>
              <w:rPr>
                <w:i/>
              </w:rPr>
            </w:pPr>
            <w:r w:rsidRPr="00F24A76">
              <w:rPr>
                <w:i/>
              </w:rPr>
              <w:t>0.01</w:t>
            </w:r>
          </w:p>
        </w:tc>
        <w:tc>
          <w:tcPr>
            <w:tcW w:w="168" w:type="pct"/>
            <w:tcBorders>
              <w:top w:val="nil"/>
              <w:left w:val="nil"/>
              <w:bottom w:val="nil"/>
              <w:right w:val="nil"/>
            </w:tcBorders>
            <w:shd w:val="clear" w:color="000000" w:fill="FFFFFF"/>
            <w:noWrap/>
            <w:hideMark/>
          </w:tcPr>
          <w:p w14:paraId="3BEC4FDF" w14:textId="5D041054" w:rsidR="00F4223F" w:rsidRPr="00F24A76" w:rsidRDefault="00F4223F" w:rsidP="00F24A76">
            <w:pPr>
              <w:pStyle w:val="NoSpacing"/>
              <w:contextualSpacing/>
              <w:jc w:val="right"/>
            </w:pPr>
            <w:r w:rsidRPr="00F24A76">
              <w:t>23</w:t>
            </w:r>
          </w:p>
        </w:tc>
        <w:tc>
          <w:tcPr>
            <w:tcW w:w="392" w:type="pct"/>
            <w:tcBorders>
              <w:top w:val="nil"/>
              <w:left w:val="nil"/>
              <w:bottom w:val="nil"/>
              <w:right w:val="nil"/>
            </w:tcBorders>
            <w:shd w:val="clear" w:color="000000" w:fill="FFFFFF"/>
            <w:noWrap/>
            <w:hideMark/>
          </w:tcPr>
          <w:p w14:paraId="73C0FBAB" w14:textId="40BC9F4D" w:rsidR="00F4223F" w:rsidRPr="00F24A76" w:rsidRDefault="00F4223F" w:rsidP="00F24A76">
            <w:pPr>
              <w:pStyle w:val="NoSpacing"/>
              <w:contextualSpacing/>
            </w:pPr>
            <w:r w:rsidRPr="00F24A76">
              <w:t>±8</w:t>
            </w:r>
          </w:p>
        </w:tc>
        <w:tc>
          <w:tcPr>
            <w:tcW w:w="210" w:type="pct"/>
            <w:tcBorders>
              <w:top w:val="nil"/>
              <w:left w:val="nil"/>
              <w:bottom w:val="nil"/>
              <w:right w:val="nil"/>
            </w:tcBorders>
            <w:shd w:val="clear" w:color="000000" w:fill="FFFFFF"/>
            <w:noWrap/>
            <w:hideMark/>
          </w:tcPr>
          <w:p w14:paraId="4D83D145" w14:textId="3C74FC0D" w:rsidR="00F4223F" w:rsidRPr="00F24A76" w:rsidRDefault="00F4223F" w:rsidP="00F24A76">
            <w:pPr>
              <w:pStyle w:val="NoSpacing"/>
              <w:contextualSpacing/>
              <w:jc w:val="right"/>
            </w:pPr>
            <w:r w:rsidRPr="00F24A76">
              <w:t>23</w:t>
            </w:r>
          </w:p>
        </w:tc>
        <w:tc>
          <w:tcPr>
            <w:tcW w:w="392" w:type="pct"/>
            <w:tcBorders>
              <w:top w:val="nil"/>
              <w:left w:val="nil"/>
              <w:bottom w:val="nil"/>
              <w:right w:val="nil"/>
            </w:tcBorders>
            <w:shd w:val="clear" w:color="000000" w:fill="FFFFFF"/>
            <w:noWrap/>
            <w:hideMark/>
          </w:tcPr>
          <w:p w14:paraId="55003189" w14:textId="7388C5D1" w:rsidR="00F4223F" w:rsidRPr="00F24A76" w:rsidRDefault="00F4223F" w:rsidP="00F24A76">
            <w:pPr>
              <w:pStyle w:val="NoSpacing"/>
              <w:contextualSpacing/>
            </w:pPr>
            <w:r w:rsidRPr="00F24A76">
              <w:t>±9</w:t>
            </w:r>
          </w:p>
        </w:tc>
        <w:tc>
          <w:tcPr>
            <w:tcW w:w="210" w:type="pct"/>
            <w:tcBorders>
              <w:top w:val="nil"/>
              <w:left w:val="nil"/>
              <w:bottom w:val="nil"/>
              <w:right w:val="nil"/>
            </w:tcBorders>
            <w:shd w:val="clear" w:color="000000" w:fill="FFFFFF"/>
            <w:noWrap/>
            <w:hideMark/>
          </w:tcPr>
          <w:p w14:paraId="03793D13" w14:textId="77777777" w:rsidR="00F4223F" w:rsidRPr="00F24A76" w:rsidRDefault="00F4223F" w:rsidP="00F24A76">
            <w:pPr>
              <w:pStyle w:val="NoSpacing"/>
              <w:contextualSpacing/>
              <w:jc w:val="center"/>
              <w:rPr>
                <w:i/>
              </w:rPr>
            </w:pPr>
            <w:r w:rsidRPr="00F24A76">
              <w:rPr>
                <w:i/>
              </w:rPr>
              <w:t>0.34</w:t>
            </w:r>
          </w:p>
        </w:tc>
      </w:tr>
      <w:tr w:rsidR="004003A0" w:rsidRPr="00F24A76" w14:paraId="6B6255C3" w14:textId="77777777" w:rsidTr="00235C79">
        <w:trPr>
          <w:trHeight w:val="19"/>
        </w:trPr>
        <w:tc>
          <w:tcPr>
            <w:tcW w:w="939" w:type="pct"/>
            <w:tcBorders>
              <w:top w:val="nil"/>
              <w:left w:val="nil"/>
              <w:bottom w:val="nil"/>
              <w:right w:val="nil"/>
            </w:tcBorders>
            <w:shd w:val="clear" w:color="000000" w:fill="FFFFFF"/>
            <w:noWrap/>
            <w:hideMark/>
          </w:tcPr>
          <w:p w14:paraId="75E10575" w14:textId="27E1F7FB" w:rsidR="00F4223F" w:rsidRPr="00F24A76" w:rsidRDefault="00F4223F" w:rsidP="00F24A76">
            <w:pPr>
              <w:pStyle w:val="NoSpacing"/>
              <w:contextualSpacing/>
            </w:pPr>
            <w:r w:rsidRPr="00F24A76">
              <w:t>Peak V02 (ml/kg/min)</w:t>
            </w:r>
          </w:p>
        </w:tc>
        <w:tc>
          <w:tcPr>
            <w:tcW w:w="168" w:type="pct"/>
            <w:tcBorders>
              <w:top w:val="nil"/>
              <w:left w:val="nil"/>
              <w:bottom w:val="nil"/>
              <w:right w:val="nil"/>
            </w:tcBorders>
            <w:shd w:val="clear" w:color="000000" w:fill="FFFFFF"/>
            <w:noWrap/>
            <w:hideMark/>
          </w:tcPr>
          <w:p w14:paraId="641E4555" w14:textId="704FA35D" w:rsidR="00F4223F" w:rsidRPr="00F24A76" w:rsidRDefault="00F4223F" w:rsidP="00F24A76">
            <w:pPr>
              <w:pStyle w:val="NoSpacing"/>
              <w:contextualSpacing/>
              <w:jc w:val="right"/>
            </w:pPr>
            <w:r w:rsidRPr="00F24A76">
              <w:t>34.5</w:t>
            </w:r>
          </w:p>
        </w:tc>
        <w:tc>
          <w:tcPr>
            <w:tcW w:w="350" w:type="pct"/>
            <w:tcBorders>
              <w:top w:val="nil"/>
              <w:left w:val="nil"/>
              <w:bottom w:val="nil"/>
              <w:right w:val="nil"/>
            </w:tcBorders>
            <w:shd w:val="clear" w:color="000000" w:fill="FFFFFF"/>
            <w:noWrap/>
            <w:hideMark/>
          </w:tcPr>
          <w:p w14:paraId="7856C11E" w14:textId="22EA1CF1" w:rsidR="00F4223F" w:rsidRPr="00F24A76" w:rsidRDefault="00F4223F" w:rsidP="00F24A76">
            <w:pPr>
              <w:pStyle w:val="NoSpacing"/>
              <w:contextualSpacing/>
            </w:pPr>
            <w:r w:rsidRPr="00F24A76">
              <w:t>±7.5</w:t>
            </w:r>
          </w:p>
        </w:tc>
        <w:tc>
          <w:tcPr>
            <w:tcW w:w="168" w:type="pct"/>
            <w:tcBorders>
              <w:top w:val="nil"/>
              <w:left w:val="nil"/>
              <w:bottom w:val="nil"/>
              <w:right w:val="nil"/>
            </w:tcBorders>
            <w:shd w:val="clear" w:color="000000" w:fill="FFFFFF"/>
            <w:noWrap/>
            <w:hideMark/>
          </w:tcPr>
          <w:p w14:paraId="333B83AD" w14:textId="0A65105D" w:rsidR="00F4223F" w:rsidRPr="00F24A76" w:rsidRDefault="00F4223F" w:rsidP="00F24A76">
            <w:pPr>
              <w:pStyle w:val="NoSpacing"/>
              <w:contextualSpacing/>
              <w:jc w:val="right"/>
            </w:pPr>
            <w:r w:rsidRPr="00F24A76">
              <w:t>35.6</w:t>
            </w:r>
          </w:p>
        </w:tc>
        <w:tc>
          <w:tcPr>
            <w:tcW w:w="350" w:type="pct"/>
            <w:tcBorders>
              <w:top w:val="nil"/>
              <w:left w:val="nil"/>
              <w:bottom w:val="nil"/>
              <w:right w:val="nil"/>
            </w:tcBorders>
            <w:shd w:val="clear" w:color="000000" w:fill="FFFFFF"/>
            <w:noWrap/>
            <w:hideMark/>
          </w:tcPr>
          <w:p w14:paraId="0D374D5B" w14:textId="623165D9" w:rsidR="00F4223F" w:rsidRPr="00F24A76" w:rsidRDefault="00F4223F" w:rsidP="00F24A76">
            <w:pPr>
              <w:pStyle w:val="NoSpacing"/>
              <w:contextualSpacing/>
            </w:pPr>
            <w:r w:rsidRPr="00F24A76">
              <w:t>±8.3</w:t>
            </w:r>
          </w:p>
        </w:tc>
        <w:tc>
          <w:tcPr>
            <w:tcW w:w="267" w:type="pct"/>
            <w:tcBorders>
              <w:top w:val="nil"/>
              <w:left w:val="nil"/>
              <w:bottom w:val="nil"/>
              <w:right w:val="nil"/>
            </w:tcBorders>
            <w:shd w:val="clear" w:color="000000" w:fill="FFFFFF"/>
            <w:noWrap/>
            <w:hideMark/>
          </w:tcPr>
          <w:p w14:paraId="1D9F56CE" w14:textId="77777777" w:rsidR="00F4223F" w:rsidRPr="00F24A76" w:rsidRDefault="00F4223F" w:rsidP="00F24A76">
            <w:pPr>
              <w:pStyle w:val="NoSpacing"/>
              <w:contextualSpacing/>
              <w:jc w:val="center"/>
              <w:rPr>
                <w:i/>
              </w:rPr>
            </w:pPr>
            <w:r w:rsidRPr="00F24A76">
              <w:rPr>
                <w:i/>
              </w:rPr>
              <w:t>0.02</w:t>
            </w:r>
          </w:p>
        </w:tc>
        <w:tc>
          <w:tcPr>
            <w:tcW w:w="168" w:type="pct"/>
            <w:tcBorders>
              <w:top w:val="nil"/>
              <w:left w:val="nil"/>
              <w:bottom w:val="nil"/>
              <w:right w:val="nil"/>
            </w:tcBorders>
            <w:shd w:val="clear" w:color="000000" w:fill="FFFFFF"/>
            <w:noWrap/>
            <w:hideMark/>
          </w:tcPr>
          <w:p w14:paraId="028743D7" w14:textId="50D215C7" w:rsidR="00F4223F" w:rsidRPr="00F24A76" w:rsidRDefault="00F4223F" w:rsidP="00F24A76">
            <w:pPr>
              <w:pStyle w:val="NoSpacing"/>
              <w:contextualSpacing/>
              <w:jc w:val="right"/>
            </w:pPr>
            <w:r w:rsidRPr="00F24A76">
              <w:t>31</w:t>
            </w:r>
          </w:p>
        </w:tc>
        <w:tc>
          <w:tcPr>
            <w:tcW w:w="392" w:type="pct"/>
            <w:tcBorders>
              <w:top w:val="nil"/>
              <w:left w:val="nil"/>
              <w:bottom w:val="nil"/>
              <w:right w:val="nil"/>
            </w:tcBorders>
            <w:shd w:val="clear" w:color="000000" w:fill="FFFFFF"/>
            <w:noWrap/>
            <w:hideMark/>
          </w:tcPr>
          <w:p w14:paraId="1A4234F2" w14:textId="269A5E25" w:rsidR="00F4223F" w:rsidRPr="00F24A76" w:rsidRDefault="00F4223F" w:rsidP="00F24A76">
            <w:pPr>
              <w:pStyle w:val="NoSpacing"/>
              <w:contextualSpacing/>
            </w:pPr>
            <w:r w:rsidRPr="00F24A76">
              <w:t>±6.5</w:t>
            </w:r>
          </w:p>
        </w:tc>
        <w:tc>
          <w:tcPr>
            <w:tcW w:w="168" w:type="pct"/>
            <w:tcBorders>
              <w:top w:val="nil"/>
              <w:left w:val="nil"/>
              <w:bottom w:val="nil"/>
              <w:right w:val="nil"/>
            </w:tcBorders>
            <w:shd w:val="clear" w:color="000000" w:fill="FFFFFF"/>
            <w:noWrap/>
            <w:hideMark/>
          </w:tcPr>
          <w:p w14:paraId="78F5F756" w14:textId="2CA3A93F" w:rsidR="00F4223F" w:rsidRPr="00F24A76" w:rsidRDefault="00F4223F" w:rsidP="00F24A76">
            <w:pPr>
              <w:pStyle w:val="NoSpacing"/>
              <w:contextualSpacing/>
              <w:jc w:val="right"/>
            </w:pPr>
            <w:r w:rsidRPr="00F24A76">
              <w:t>32.0</w:t>
            </w:r>
          </w:p>
        </w:tc>
        <w:tc>
          <w:tcPr>
            <w:tcW w:w="392" w:type="pct"/>
            <w:tcBorders>
              <w:top w:val="nil"/>
              <w:left w:val="nil"/>
              <w:bottom w:val="nil"/>
              <w:right w:val="nil"/>
            </w:tcBorders>
            <w:shd w:val="clear" w:color="000000" w:fill="FFFFFF"/>
            <w:noWrap/>
            <w:hideMark/>
          </w:tcPr>
          <w:p w14:paraId="0F1EA3C5" w14:textId="47F46B87" w:rsidR="00F4223F" w:rsidRPr="00F24A76" w:rsidRDefault="00F4223F" w:rsidP="00F24A76">
            <w:pPr>
              <w:pStyle w:val="NoSpacing"/>
              <w:contextualSpacing/>
            </w:pPr>
            <w:r w:rsidRPr="00F24A76">
              <w:t>±6.7</w:t>
            </w:r>
          </w:p>
        </w:tc>
        <w:tc>
          <w:tcPr>
            <w:tcW w:w="267" w:type="pct"/>
            <w:tcBorders>
              <w:top w:val="nil"/>
              <w:left w:val="nil"/>
              <w:bottom w:val="nil"/>
              <w:right w:val="nil"/>
            </w:tcBorders>
            <w:shd w:val="clear" w:color="000000" w:fill="FFFFFF"/>
            <w:noWrap/>
            <w:hideMark/>
          </w:tcPr>
          <w:p w14:paraId="257D63E8" w14:textId="7A70621E" w:rsidR="00F4223F" w:rsidRPr="00F24A76" w:rsidRDefault="00F4223F" w:rsidP="00F24A76">
            <w:pPr>
              <w:pStyle w:val="NoSpacing"/>
              <w:contextualSpacing/>
              <w:jc w:val="center"/>
              <w:rPr>
                <w:i/>
              </w:rPr>
            </w:pPr>
            <w:r w:rsidRPr="00F24A76">
              <w:rPr>
                <w:i/>
              </w:rPr>
              <w:t>0.048</w:t>
            </w:r>
          </w:p>
        </w:tc>
        <w:tc>
          <w:tcPr>
            <w:tcW w:w="168" w:type="pct"/>
            <w:tcBorders>
              <w:top w:val="nil"/>
              <w:left w:val="nil"/>
              <w:bottom w:val="nil"/>
              <w:right w:val="nil"/>
            </w:tcBorders>
            <w:shd w:val="clear" w:color="000000" w:fill="FFFFFF"/>
            <w:noWrap/>
            <w:hideMark/>
          </w:tcPr>
          <w:p w14:paraId="67AFA239" w14:textId="4482E63D" w:rsidR="00F4223F" w:rsidRPr="00F24A76" w:rsidRDefault="00F4223F" w:rsidP="00F24A76">
            <w:pPr>
              <w:pStyle w:val="NoSpacing"/>
              <w:contextualSpacing/>
              <w:jc w:val="right"/>
            </w:pPr>
            <w:r w:rsidRPr="00F24A76">
              <w:t>37</w:t>
            </w:r>
          </w:p>
        </w:tc>
        <w:tc>
          <w:tcPr>
            <w:tcW w:w="392" w:type="pct"/>
            <w:tcBorders>
              <w:top w:val="nil"/>
              <w:left w:val="nil"/>
              <w:bottom w:val="nil"/>
              <w:right w:val="nil"/>
            </w:tcBorders>
            <w:shd w:val="clear" w:color="000000" w:fill="FFFFFF"/>
            <w:noWrap/>
            <w:hideMark/>
          </w:tcPr>
          <w:p w14:paraId="57EF42F7" w14:textId="1F382324" w:rsidR="00F4223F" w:rsidRPr="00F24A76" w:rsidRDefault="00F4223F" w:rsidP="00F24A76">
            <w:pPr>
              <w:pStyle w:val="NoSpacing"/>
              <w:contextualSpacing/>
            </w:pPr>
            <w:r w:rsidRPr="00F24A76">
              <w:t>±7.0</w:t>
            </w:r>
          </w:p>
        </w:tc>
        <w:tc>
          <w:tcPr>
            <w:tcW w:w="210" w:type="pct"/>
            <w:tcBorders>
              <w:top w:val="nil"/>
              <w:left w:val="nil"/>
              <w:bottom w:val="nil"/>
              <w:right w:val="nil"/>
            </w:tcBorders>
            <w:shd w:val="clear" w:color="000000" w:fill="FFFFFF"/>
            <w:noWrap/>
            <w:hideMark/>
          </w:tcPr>
          <w:p w14:paraId="10E8EAE7" w14:textId="06A2E317" w:rsidR="00F4223F" w:rsidRPr="00F24A76" w:rsidRDefault="00F4223F" w:rsidP="00F24A76">
            <w:pPr>
              <w:pStyle w:val="NoSpacing"/>
              <w:contextualSpacing/>
              <w:jc w:val="right"/>
            </w:pPr>
            <w:r w:rsidRPr="00F24A76">
              <w:t>39</w:t>
            </w:r>
          </w:p>
        </w:tc>
        <w:tc>
          <w:tcPr>
            <w:tcW w:w="392" w:type="pct"/>
            <w:tcBorders>
              <w:top w:val="nil"/>
              <w:left w:val="nil"/>
              <w:bottom w:val="nil"/>
              <w:right w:val="nil"/>
            </w:tcBorders>
            <w:shd w:val="clear" w:color="000000" w:fill="FFFFFF"/>
            <w:noWrap/>
            <w:hideMark/>
          </w:tcPr>
          <w:p w14:paraId="52886C58" w14:textId="658B090A" w:rsidR="00F4223F" w:rsidRPr="00F24A76" w:rsidRDefault="00F4223F" w:rsidP="00F24A76">
            <w:pPr>
              <w:pStyle w:val="NoSpacing"/>
              <w:contextualSpacing/>
            </w:pPr>
            <w:r w:rsidRPr="00F24A76">
              <w:t>±8.3</w:t>
            </w:r>
          </w:p>
        </w:tc>
        <w:tc>
          <w:tcPr>
            <w:tcW w:w="210" w:type="pct"/>
            <w:tcBorders>
              <w:top w:val="nil"/>
              <w:left w:val="nil"/>
              <w:bottom w:val="nil"/>
              <w:right w:val="nil"/>
            </w:tcBorders>
            <w:shd w:val="clear" w:color="000000" w:fill="FFFFFF"/>
            <w:noWrap/>
            <w:hideMark/>
          </w:tcPr>
          <w:p w14:paraId="56B1504C" w14:textId="77777777" w:rsidR="00F4223F" w:rsidRPr="00F24A76" w:rsidRDefault="00F4223F" w:rsidP="00F24A76">
            <w:pPr>
              <w:pStyle w:val="NoSpacing"/>
              <w:contextualSpacing/>
              <w:jc w:val="center"/>
              <w:rPr>
                <w:i/>
              </w:rPr>
            </w:pPr>
            <w:r w:rsidRPr="00F24A76">
              <w:rPr>
                <w:i/>
              </w:rPr>
              <w:t>0.06</w:t>
            </w:r>
          </w:p>
        </w:tc>
      </w:tr>
      <w:tr w:rsidR="004003A0" w:rsidRPr="00F24A76" w14:paraId="370CEA28" w14:textId="77777777" w:rsidTr="00235C79">
        <w:trPr>
          <w:trHeight w:val="19"/>
        </w:trPr>
        <w:tc>
          <w:tcPr>
            <w:tcW w:w="939" w:type="pct"/>
            <w:tcBorders>
              <w:top w:val="nil"/>
              <w:left w:val="nil"/>
              <w:bottom w:val="nil"/>
              <w:right w:val="nil"/>
            </w:tcBorders>
            <w:shd w:val="clear" w:color="000000" w:fill="FFFFFF"/>
            <w:noWrap/>
            <w:hideMark/>
          </w:tcPr>
          <w:p w14:paraId="1CEEB5D4" w14:textId="4AEA0146" w:rsidR="00F4223F" w:rsidRPr="00F24A76" w:rsidRDefault="00F4223F" w:rsidP="00F24A76">
            <w:pPr>
              <w:pStyle w:val="NoSpacing"/>
              <w:contextualSpacing/>
            </w:pPr>
            <w:r w:rsidRPr="00F24A76">
              <w:t>Heart Rate (bpm)</w:t>
            </w:r>
          </w:p>
        </w:tc>
        <w:tc>
          <w:tcPr>
            <w:tcW w:w="168" w:type="pct"/>
            <w:tcBorders>
              <w:top w:val="nil"/>
              <w:left w:val="nil"/>
              <w:bottom w:val="nil"/>
              <w:right w:val="nil"/>
            </w:tcBorders>
            <w:shd w:val="clear" w:color="000000" w:fill="FFFFFF"/>
            <w:noWrap/>
            <w:hideMark/>
          </w:tcPr>
          <w:p w14:paraId="151E262D" w14:textId="1B8F19FE" w:rsidR="00F4223F" w:rsidRPr="00F24A76" w:rsidRDefault="00F4223F" w:rsidP="00F24A76">
            <w:pPr>
              <w:pStyle w:val="NoSpacing"/>
              <w:contextualSpacing/>
              <w:jc w:val="right"/>
            </w:pPr>
            <w:r w:rsidRPr="00F24A76">
              <w:t>69</w:t>
            </w:r>
          </w:p>
        </w:tc>
        <w:tc>
          <w:tcPr>
            <w:tcW w:w="350" w:type="pct"/>
            <w:tcBorders>
              <w:top w:val="nil"/>
              <w:left w:val="nil"/>
              <w:bottom w:val="nil"/>
              <w:right w:val="nil"/>
            </w:tcBorders>
            <w:shd w:val="clear" w:color="000000" w:fill="FFFFFF"/>
            <w:noWrap/>
            <w:hideMark/>
          </w:tcPr>
          <w:p w14:paraId="40AB53D4" w14:textId="77777777" w:rsidR="00F4223F" w:rsidRPr="00F24A76" w:rsidRDefault="00F4223F" w:rsidP="00F24A76">
            <w:pPr>
              <w:pStyle w:val="NoSpacing"/>
              <w:contextualSpacing/>
            </w:pPr>
            <w:r w:rsidRPr="00F24A76">
              <w:t>(61,77)</w:t>
            </w:r>
          </w:p>
        </w:tc>
        <w:tc>
          <w:tcPr>
            <w:tcW w:w="168" w:type="pct"/>
            <w:tcBorders>
              <w:top w:val="nil"/>
              <w:left w:val="nil"/>
              <w:bottom w:val="nil"/>
              <w:right w:val="nil"/>
            </w:tcBorders>
            <w:shd w:val="clear" w:color="000000" w:fill="FFFFFF"/>
            <w:noWrap/>
            <w:hideMark/>
          </w:tcPr>
          <w:p w14:paraId="07BBD0CC" w14:textId="16E31C8C" w:rsidR="00F4223F" w:rsidRPr="00F24A76" w:rsidRDefault="00F4223F" w:rsidP="00F24A76">
            <w:pPr>
              <w:pStyle w:val="NoSpacing"/>
              <w:contextualSpacing/>
              <w:jc w:val="right"/>
            </w:pPr>
            <w:r w:rsidRPr="00F24A76">
              <w:t>67</w:t>
            </w:r>
          </w:p>
        </w:tc>
        <w:tc>
          <w:tcPr>
            <w:tcW w:w="350" w:type="pct"/>
            <w:tcBorders>
              <w:top w:val="nil"/>
              <w:left w:val="nil"/>
              <w:bottom w:val="nil"/>
              <w:right w:val="nil"/>
            </w:tcBorders>
            <w:shd w:val="clear" w:color="000000" w:fill="FFFFFF"/>
            <w:noWrap/>
            <w:hideMark/>
          </w:tcPr>
          <w:p w14:paraId="4B45E159" w14:textId="77777777" w:rsidR="00F4223F" w:rsidRPr="00F24A76" w:rsidRDefault="00F4223F" w:rsidP="00F24A76">
            <w:pPr>
              <w:pStyle w:val="NoSpacing"/>
              <w:contextualSpacing/>
            </w:pPr>
            <w:r w:rsidRPr="00F24A76">
              <w:t>(61,75)</w:t>
            </w:r>
          </w:p>
        </w:tc>
        <w:tc>
          <w:tcPr>
            <w:tcW w:w="267" w:type="pct"/>
            <w:tcBorders>
              <w:top w:val="nil"/>
              <w:left w:val="nil"/>
              <w:bottom w:val="nil"/>
              <w:right w:val="nil"/>
            </w:tcBorders>
            <w:shd w:val="clear" w:color="000000" w:fill="FFFFFF"/>
            <w:noWrap/>
            <w:hideMark/>
          </w:tcPr>
          <w:p w14:paraId="52E2F8DC" w14:textId="7889CFB7" w:rsidR="00F4223F" w:rsidRPr="00F24A76" w:rsidRDefault="00F4223F" w:rsidP="00F24A76">
            <w:pPr>
              <w:pStyle w:val="NoSpacing"/>
              <w:contextualSpacing/>
              <w:jc w:val="center"/>
              <w:rPr>
                <w:i/>
              </w:rPr>
            </w:pPr>
            <w:r w:rsidRPr="00F24A76">
              <w:rPr>
                <w:i/>
              </w:rPr>
              <w:t>0.07</w:t>
            </w:r>
          </w:p>
        </w:tc>
        <w:tc>
          <w:tcPr>
            <w:tcW w:w="168" w:type="pct"/>
            <w:tcBorders>
              <w:top w:val="nil"/>
              <w:left w:val="nil"/>
              <w:bottom w:val="nil"/>
              <w:right w:val="nil"/>
            </w:tcBorders>
            <w:shd w:val="clear" w:color="000000" w:fill="FFFFFF"/>
            <w:noWrap/>
            <w:hideMark/>
          </w:tcPr>
          <w:p w14:paraId="75D6C75C" w14:textId="2C5FC48A" w:rsidR="00F4223F" w:rsidRPr="00F24A76" w:rsidRDefault="00F4223F" w:rsidP="00F24A76">
            <w:pPr>
              <w:pStyle w:val="NoSpacing"/>
              <w:contextualSpacing/>
              <w:jc w:val="right"/>
            </w:pPr>
            <w:r w:rsidRPr="00F24A76">
              <w:t>69</w:t>
            </w:r>
          </w:p>
        </w:tc>
        <w:tc>
          <w:tcPr>
            <w:tcW w:w="392" w:type="pct"/>
            <w:tcBorders>
              <w:top w:val="nil"/>
              <w:left w:val="nil"/>
              <w:bottom w:val="nil"/>
              <w:right w:val="nil"/>
            </w:tcBorders>
            <w:shd w:val="clear" w:color="000000" w:fill="FFFFFF"/>
            <w:noWrap/>
            <w:hideMark/>
          </w:tcPr>
          <w:p w14:paraId="4BAB1D17" w14:textId="77777777" w:rsidR="00F4223F" w:rsidRPr="00F24A76" w:rsidRDefault="00F4223F" w:rsidP="00F24A76">
            <w:pPr>
              <w:pStyle w:val="NoSpacing"/>
              <w:contextualSpacing/>
            </w:pPr>
            <w:r w:rsidRPr="00F24A76">
              <w:t>(61,78)</w:t>
            </w:r>
          </w:p>
        </w:tc>
        <w:tc>
          <w:tcPr>
            <w:tcW w:w="168" w:type="pct"/>
            <w:tcBorders>
              <w:top w:val="nil"/>
              <w:left w:val="nil"/>
              <w:bottom w:val="nil"/>
              <w:right w:val="nil"/>
            </w:tcBorders>
            <w:shd w:val="clear" w:color="000000" w:fill="FFFFFF"/>
            <w:noWrap/>
            <w:hideMark/>
          </w:tcPr>
          <w:p w14:paraId="7E87E12E" w14:textId="1BEA9D80" w:rsidR="00F4223F" w:rsidRPr="00F24A76" w:rsidRDefault="00F4223F" w:rsidP="00F24A76">
            <w:pPr>
              <w:pStyle w:val="NoSpacing"/>
              <w:contextualSpacing/>
              <w:jc w:val="right"/>
            </w:pPr>
            <w:r w:rsidRPr="00F24A76">
              <w:t>67</w:t>
            </w:r>
          </w:p>
        </w:tc>
        <w:tc>
          <w:tcPr>
            <w:tcW w:w="392" w:type="pct"/>
            <w:tcBorders>
              <w:top w:val="nil"/>
              <w:left w:val="nil"/>
              <w:bottom w:val="nil"/>
              <w:right w:val="nil"/>
            </w:tcBorders>
            <w:shd w:val="clear" w:color="000000" w:fill="FFFFFF"/>
            <w:noWrap/>
            <w:hideMark/>
          </w:tcPr>
          <w:p w14:paraId="3DD69C25" w14:textId="77777777" w:rsidR="00F4223F" w:rsidRPr="00F24A76" w:rsidRDefault="00F4223F" w:rsidP="00F24A76">
            <w:pPr>
              <w:pStyle w:val="NoSpacing"/>
              <w:contextualSpacing/>
            </w:pPr>
            <w:r w:rsidRPr="00F24A76">
              <w:t>(58,77)</w:t>
            </w:r>
          </w:p>
        </w:tc>
        <w:tc>
          <w:tcPr>
            <w:tcW w:w="267" w:type="pct"/>
            <w:tcBorders>
              <w:top w:val="nil"/>
              <w:left w:val="nil"/>
              <w:bottom w:val="nil"/>
              <w:right w:val="nil"/>
            </w:tcBorders>
            <w:shd w:val="clear" w:color="000000" w:fill="FFFFFF"/>
            <w:noWrap/>
            <w:hideMark/>
          </w:tcPr>
          <w:p w14:paraId="6D3109A3" w14:textId="7B649194" w:rsidR="00F4223F" w:rsidRPr="00F24A76" w:rsidRDefault="00F4223F" w:rsidP="00F24A76">
            <w:pPr>
              <w:pStyle w:val="NoSpacing"/>
              <w:contextualSpacing/>
              <w:jc w:val="center"/>
              <w:rPr>
                <w:i/>
              </w:rPr>
            </w:pPr>
            <w:r w:rsidRPr="00F24A76">
              <w:rPr>
                <w:i/>
              </w:rPr>
              <w:t>0.29</w:t>
            </w:r>
          </w:p>
        </w:tc>
        <w:tc>
          <w:tcPr>
            <w:tcW w:w="168" w:type="pct"/>
            <w:tcBorders>
              <w:top w:val="nil"/>
              <w:left w:val="nil"/>
              <w:bottom w:val="nil"/>
              <w:right w:val="nil"/>
            </w:tcBorders>
            <w:shd w:val="clear" w:color="000000" w:fill="FFFFFF"/>
            <w:noWrap/>
            <w:hideMark/>
          </w:tcPr>
          <w:p w14:paraId="27C7158F" w14:textId="6593218F" w:rsidR="00F4223F" w:rsidRPr="00F24A76" w:rsidRDefault="00F4223F" w:rsidP="00F24A76">
            <w:pPr>
              <w:pStyle w:val="NoSpacing"/>
              <w:contextualSpacing/>
              <w:jc w:val="right"/>
            </w:pPr>
            <w:r w:rsidRPr="00F24A76">
              <w:t>69</w:t>
            </w:r>
          </w:p>
        </w:tc>
        <w:tc>
          <w:tcPr>
            <w:tcW w:w="392" w:type="pct"/>
            <w:tcBorders>
              <w:top w:val="nil"/>
              <w:left w:val="nil"/>
              <w:bottom w:val="nil"/>
              <w:right w:val="nil"/>
            </w:tcBorders>
            <w:shd w:val="clear" w:color="000000" w:fill="FFFFFF"/>
            <w:noWrap/>
            <w:hideMark/>
          </w:tcPr>
          <w:p w14:paraId="1B92DD54" w14:textId="77777777" w:rsidR="00F4223F" w:rsidRPr="00F24A76" w:rsidRDefault="00F4223F" w:rsidP="00F24A76">
            <w:pPr>
              <w:pStyle w:val="NoSpacing"/>
              <w:contextualSpacing/>
            </w:pPr>
            <w:r w:rsidRPr="00F24A76">
              <w:t>(61,76)</w:t>
            </w:r>
          </w:p>
        </w:tc>
        <w:tc>
          <w:tcPr>
            <w:tcW w:w="210" w:type="pct"/>
            <w:tcBorders>
              <w:top w:val="nil"/>
              <w:left w:val="nil"/>
              <w:bottom w:val="nil"/>
              <w:right w:val="nil"/>
            </w:tcBorders>
            <w:shd w:val="clear" w:color="000000" w:fill="FFFFFF"/>
            <w:noWrap/>
            <w:hideMark/>
          </w:tcPr>
          <w:p w14:paraId="6C4192D7" w14:textId="6C0C9035" w:rsidR="00F4223F" w:rsidRPr="00F24A76" w:rsidRDefault="00F4223F" w:rsidP="00F24A76">
            <w:pPr>
              <w:pStyle w:val="NoSpacing"/>
              <w:contextualSpacing/>
              <w:jc w:val="right"/>
            </w:pPr>
            <w:r w:rsidRPr="00F24A76">
              <w:t>67</w:t>
            </w:r>
          </w:p>
        </w:tc>
        <w:tc>
          <w:tcPr>
            <w:tcW w:w="392" w:type="pct"/>
            <w:tcBorders>
              <w:top w:val="nil"/>
              <w:left w:val="nil"/>
              <w:bottom w:val="nil"/>
              <w:right w:val="nil"/>
            </w:tcBorders>
            <w:shd w:val="clear" w:color="000000" w:fill="FFFFFF"/>
            <w:noWrap/>
            <w:hideMark/>
          </w:tcPr>
          <w:p w14:paraId="2AAB2C35" w14:textId="77777777" w:rsidR="00F4223F" w:rsidRPr="00F24A76" w:rsidRDefault="00F4223F" w:rsidP="00F24A76">
            <w:pPr>
              <w:pStyle w:val="NoSpacing"/>
              <w:contextualSpacing/>
            </w:pPr>
            <w:r w:rsidRPr="00F24A76">
              <w:t>(62,75)</w:t>
            </w:r>
          </w:p>
        </w:tc>
        <w:tc>
          <w:tcPr>
            <w:tcW w:w="210" w:type="pct"/>
            <w:tcBorders>
              <w:top w:val="nil"/>
              <w:left w:val="nil"/>
              <w:bottom w:val="nil"/>
              <w:right w:val="nil"/>
            </w:tcBorders>
            <w:shd w:val="clear" w:color="000000" w:fill="FFFFFF"/>
            <w:noWrap/>
            <w:hideMark/>
          </w:tcPr>
          <w:p w14:paraId="03CBA887" w14:textId="77777777" w:rsidR="00F4223F" w:rsidRPr="00F24A76" w:rsidRDefault="00F4223F" w:rsidP="00F24A76">
            <w:pPr>
              <w:pStyle w:val="NoSpacing"/>
              <w:contextualSpacing/>
              <w:jc w:val="center"/>
              <w:rPr>
                <w:i/>
              </w:rPr>
            </w:pPr>
            <w:r w:rsidRPr="00F24A76">
              <w:rPr>
                <w:i/>
              </w:rPr>
              <w:t>0.14</w:t>
            </w:r>
          </w:p>
        </w:tc>
      </w:tr>
      <w:tr w:rsidR="004003A0" w:rsidRPr="00F24A76" w14:paraId="5E67E641" w14:textId="77777777" w:rsidTr="00235C79">
        <w:trPr>
          <w:trHeight w:val="19"/>
        </w:trPr>
        <w:tc>
          <w:tcPr>
            <w:tcW w:w="939" w:type="pct"/>
            <w:tcBorders>
              <w:top w:val="nil"/>
              <w:left w:val="nil"/>
              <w:bottom w:val="nil"/>
              <w:right w:val="nil"/>
            </w:tcBorders>
            <w:shd w:val="clear" w:color="000000" w:fill="FFFFFF"/>
            <w:noWrap/>
          </w:tcPr>
          <w:p w14:paraId="6A1C3DB5" w14:textId="77777777" w:rsidR="00F4223F" w:rsidRPr="00F24A76" w:rsidRDefault="00F4223F" w:rsidP="00F24A76">
            <w:pPr>
              <w:pStyle w:val="NoSpacing"/>
              <w:contextualSpacing/>
            </w:pPr>
          </w:p>
        </w:tc>
        <w:tc>
          <w:tcPr>
            <w:tcW w:w="168" w:type="pct"/>
            <w:tcBorders>
              <w:top w:val="nil"/>
              <w:left w:val="nil"/>
              <w:bottom w:val="nil"/>
              <w:right w:val="nil"/>
            </w:tcBorders>
            <w:shd w:val="clear" w:color="000000" w:fill="FFFFFF"/>
            <w:noWrap/>
          </w:tcPr>
          <w:p w14:paraId="165AB5CC" w14:textId="77777777" w:rsidR="00F4223F" w:rsidRPr="00F24A76" w:rsidRDefault="00F4223F" w:rsidP="00F24A76">
            <w:pPr>
              <w:pStyle w:val="NoSpacing"/>
              <w:contextualSpacing/>
              <w:jc w:val="right"/>
            </w:pPr>
          </w:p>
        </w:tc>
        <w:tc>
          <w:tcPr>
            <w:tcW w:w="350" w:type="pct"/>
            <w:tcBorders>
              <w:top w:val="nil"/>
              <w:left w:val="nil"/>
              <w:bottom w:val="nil"/>
              <w:right w:val="nil"/>
            </w:tcBorders>
            <w:shd w:val="clear" w:color="000000" w:fill="FFFFFF"/>
            <w:noWrap/>
          </w:tcPr>
          <w:p w14:paraId="30FCFF9E" w14:textId="77777777" w:rsidR="00F4223F" w:rsidRPr="00F24A76" w:rsidRDefault="00F4223F" w:rsidP="00F24A76">
            <w:pPr>
              <w:pStyle w:val="NoSpacing"/>
              <w:contextualSpacing/>
            </w:pPr>
          </w:p>
        </w:tc>
        <w:tc>
          <w:tcPr>
            <w:tcW w:w="168" w:type="pct"/>
            <w:tcBorders>
              <w:top w:val="nil"/>
              <w:left w:val="nil"/>
              <w:bottom w:val="nil"/>
              <w:right w:val="nil"/>
            </w:tcBorders>
            <w:shd w:val="clear" w:color="000000" w:fill="FFFFFF"/>
            <w:noWrap/>
          </w:tcPr>
          <w:p w14:paraId="74E72630" w14:textId="77777777" w:rsidR="00F4223F" w:rsidRPr="00F24A76" w:rsidRDefault="00F4223F" w:rsidP="00F24A76">
            <w:pPr>
              <w:pStyle w:val="NoSpacing"/>
              <w:contextualSpacing/>
              <w:jc w:val="right"/>
            </w:pPr>
          </w:p>
        </w:tc>
        <w:tc>
          <w:tcPr>
            <w:tcW w:w="350" w:type="pct"/>
            <w:tcBorders>
              <w:top w:val="nil"/>
              <w:left w:val="nil"/>
              <w:bottom w:val="nil"/>
              <w:right w:val="nil"/>
            </w:tcBorders>
            <w:shd w:val="clear" w:color="000000" w:fill="FFFFFF"/>
            <w:noWrap/>
          </w:tcPr>
          <w:p w14:paraId="62B0FED0" w14:textId="77777777"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3B2C69AC" w14:textId="7777777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4B3EE793"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4746BE88" w14:textId="77777777" w:rsidR="00F4223F" w:rsidRPr="00F24A76" w:rsidRDefault="00F4223F" w:rsidP="00F24A76">
            <w:pPr>
              <w:pStyle w:val="NoSpacing"/>
              <w:contextualSpacing/>
            </w:pPr>
          </w:p>
        </w:tc>
        <w:tc>
          <w:tcPr>
            <w:tcW w:w="168" w:type="pct"/>
            <w:tcBorders>
              <w:top w:val="nil"/>
              <w:left w:val="nil"/>
              <w:bottom w:val="nil"/>
              <w:right w:val="nil"/>
            </w:tcBorders>
            <w:shd w:val="clear" w:color="000000" w:fill="FFFFFF"/>
            <w:noWrap/>
          </w:tcPr>
          <w:p w14:paraId="00082FDE"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5520FD90" w14:textId="77777777"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6DAC53B4" w14:textId="7777777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28F9E6FD"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161F4623" w14:textId="77777777" w:rsidR="00F4223F" w:rsidRPr="00F24A76" w:rsidRDefault="00F4223F" w:rsidP="00F24A76">
            <w:pPr>
              <w:pStyle w:val="NoSpacing"/>
              <w:contextualSpacing/>
            </w:pPr>
          </w:p>
        </w:tc>
        <w:tc>
          <w:tcPr>
            <w:tcW w:w="210" w:type="pct"/>
            <w:tcBorders>
              <w:top w:val="nil"/>
              <w:left w:val="nil"/>
              <w:bottom w:val="nil"/>
              <w:right w:val="nil"/>
            </w:tcBorders>
            <w:shd w:val="clear" w:color="000000" w:fill="FFFFFF"/>
            <w:noWrap/>
          </w:tcPr>
          <w:p w14:paraId="48D27878"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4D645F92" w14:textId="77777777" w:rsidR="00F4223F" w:rsidRPr="00F24A76" w:rsidRDefault="00F4223F" w:rsidP="00F24A76">
            <w:pPr>
              <w:pStyle w:val="NoSpacing"/>
              <w:contextualSpacing/>
            </w:pPr>
          </w:p>
        </w:tc>
        <w:tc>
          <w:tcPr>
            <w:tcW w:w="210" w:type="pct"/>
            <w:tcBorders>
              <w:top w:val="nil"/>
              <w:left w:val="nil"/>
              <w:bottom w:val="nil"/>
              <w:right w:val="nil"/>
            </w:tcBorders>
            <w:shd w:val="clear" w:color="000000" w:fill="FFFFFF"/>
            <w:noWrap/>
          </w:tcPr>
          <w:p w14:paraId="1EB344EC" w14:textId="77777777" w:rsidR="00F4223F" w:rsidRPr="00F24A76" w:rsidRDefault="00F4223F" w:rsidP="00F24A76">
            <w:pPr>
              <w:pStyle w:val="NoSpacing"/>
              <w:contextualSpacing/>
              <w:jc w:val="center"/>
              <w:rPr>
                <w:i/>
              </w:rPr>
            </w:pPr>
          </w:p>
        </w:tc>
      </w:tr>
      <w:tr w:rsidR="004003A0" w:rsidRPr="00F24A76" w14:paraId="1B63343A" w14:textId="77777777" w:rsidTr="00235C79">
        <w:trPr>
          <w:trHeight w:val="19"/>
        </w:trPr>
        <w:tc>
          <w:tcPr>
            <w:tcW w:w="939" w:type="pct"/>
            <w:tcBorders>
              <w:top w:val="nil"/>
              <w:left w:val="nil"/>
              <w:bottom w:val="nil"/>
              <w:right w:val="nil"/>
            </w:tcBorders>
            <w:shd w:val="clear" w:color="000000" w:fill="FFFFFF"/>
            <w:noWrap/>
          </w:tcPr>
          <w:p w14:paraId="632DF023" w14:textId="077FFCD9" w:rsidR="00F4223F" w:rsidRPr="00F24A76" w:rsidRDefault="00F4223F" w:rsidP="00F24A76">
            <w:pPr>
              <w:pStyle w:val="NoSpacing"/>
              <w:contextualSpacing/>
              <w:rPr>
                <w:b/>
              </w:rPr>
            </w:pPr>
            <w:r w:rsidRPr="00F24A76">
              <w:rPr>
                <w:b/>
              </w:rPr>
              <w:t xml:space="preserve">Blood Pressure </w:t>
            </w:r>
            <w:r w:rsidRPr="00F24A76">
              <w:t>(mmHg)</w:t>
            </w:r>
          </w:p>
        </w:tc>
        <w:tc>
          <w:tcPr>
            <w:tcW w:w="168" w:type="pct"/>
            <w:tcBorders>
              <w:top w:val="nil"/>
              <w:left w:val="nil"/>
              <w:bottom w:val="nil"/>
              <w:right w:val="nil"/>
            </w:tcBorders>
            <w:shd w:val="clear" w:color="000000" w:fill="FFFFFF"/>
            <w:noWrap/>
          </w:tcPr>
          <w:p w14:paraId="7C6EBFC2" w14:textId="77777777" w:rsidR="00F4223F" w:rsidRPr="00F24A76" w:rsidRDefault="00F4223F" w:rsidP="00F24A76">
            <w:pPr>
              <w:pStyle w:val="NoSpacing"/>
              <w:contextualSpacing/>
              <w:jc w:val="right"/>
            </w:pPr>
          </w:p>
        </w:tc>
        <w:tc>
          <w:tcPr>
            <w:tcW w:w="350" w:type="pct"/>
            <w:tcBorders>
              <w:top w:val="nil"/>
              <w:left w:val="nil"/>
              <w:bottom w:val="nil"/>
              <w:right w:val="nil"/>
            </w:tcBorders>
            <w:shd w:val="clear" w:color="000000" w:fill="FFFFFF"/>
            <w:noWrap/>
          </w:tcPr>
          <w:p w14:paraId="3FBF7C20" w14:textId="77777777" w:rsidR="00F4223F" w:rsidRPr="00F24A76" w:rsidRDefault="00F4223F" w:rsidP="00F24A76">
            <w:pPr>
              <w:pStyle w:val="NoSpacing"/>
              <w:contextualSpacing/>
            </w:pPr>
          </w:p>
        </w:tc>
        <w:tc>
          <w:tcPr>
            <w:tcW w:w="168" w:type="pct"/>
            <w:tcBorders>
              <w:top w:val="nil"/>
              <w:left w:val="nil"/>
              <w:bottom w:val="nil"/>
              <w:right w:val="nil"/>
            </w:tcBorders>
            <w:shd w:val="clear" w:color="000000" w:fill="FFFFFF"/>
            <w:noWrap/>
          </w:tcPr>
          <w:p w14:paraId="30099AD6" w14:textId="77777777" w:rsidR="00F4223F" w:rsidRPr="00F24A76" w:rsidRDefault="00F4223F" w:rsidP="00F24A76">
            <w:pPr>
              <w:pStyle w:val="NoSpacing"/>
              <w:contextualSpacing/>
              <w:jc w:val="right"/>
            </w:pPr>
          </w:p>
        </w:tc>
        <w:tc>
          <w:tcPr>
            <w:tcW w:w="350" w:type="pct"/>
            <w:tcBorders>
              <w:top w:val="nil"/>
              <w:left w:val="nil"/>
              <w:bottom w:val="nil"/>
              <w:right w:val="nil"/>
            </w:tcBorders>
            <w:shd w:val="clear" w:color="000000" w:fill="FFFFFF"/>
            <w:noWrap/>
          </w:tcPr>
          <w:p w14:paraId="7B85DAF5" w14:textId="77777777"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592DD353" w14:textId="7777777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7F49E048"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502E2051" w14:textId="77777777" w:rsidR="00F4223F" w:rsidRPr="00F24A76" w:rsidRDefault="00F4223F" w:rsidP="00F24A76">
            <w:pPr>
              <w:pStyle w:val="NoSpacing"/>
              <w:contextualSpacing/>
            </w:pPr>
          </w:p>
        </w:tc>
        <w:tc>
          <w:tcPr>
            <w:tcW w:w="168" w:type="pct"/>
            <w:tcBorders>
              <w:top w:val="nil"/>
              <w:left w:val="nil"/>
              <w:bottom w:val="nil"/>
              <w:right w:val="nil"/>
            </w:tcBorders>
            <w:shd w:val="clear" w:color="000000" w:fill="FFFFFF"/>
            <w:noWrap/>
          </w:tcPr>
          <w:p w14:paraId="149AAE80"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0D252DA2" w14:textId="77777777" w:rsidR="00F4223F" w:rsidRPr="00F24A76" w:rsidRDefault="00F4223F" w:rsidP="00F24A76">
            <w:pPr>
              <w:pStyle w:val="NoSpacing"/>
              <w:contextualSpacing/>
            </w:pPr>
          </w:p>
        </w:tc>
        <w:tc>
          <w:tcPr>
            <w:tcW w:w="267" w:type="pct"/>
            <w:tcBorders>
              <w:top w:val="nil"/>
              <w:left w:val="nil"/>
              <w:bottom w:val="nil"/>
              <w:right w:val="nil"/>
            </w:tcBorders>
            <w:shd w:val="clear" w:color="000000" w:fill="FFFFFF"/>
            <w:noWrap/>
          </w:tcPr>
          <w:p w14:paraId="66545E1D" w14:textId="77777777" w:rsidR="00F4223F" w:rsidRPr="00F24A76" w:rsidRDefault="00F4223F" w:rsidP="00F24A76">
            <w:pPr>
              <w:pStyle w:val="NoSpacing"/>
              <w:contextualSpacing/>
              <w:jc w:val="center"/>
              <w:rPr>
                <w:i/>
              </w:rPr>
            </w:pPr>
          </w:p>
        </w:tc>
        <w:tc>
          <w:tcPr>
            <w:tcW w:w="168" w:type="pct"/>
            <w:tcBorders>
              <w:top w:val="nil"/>
              <w:left w:val="nil"/>
              <w:bottom w:val="nil"/>
              <w:right w:val="nil"/>
            </w:tcBorders>
            <w:shd w:val="clear" w:color="000000" w:fill="FFFFFF"/>
            <w:noWrap/>
          </w:tcPr>
          <w:p w14:paraId="46D68E15"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30159971" w14:textId="77777777" w:rsidR="00F4223F" w:rsidRPr="00F24A76" w:rsidRDefault="00F4223F" w:rsidP="00F24A76">
            <w:pPr>
              <w:pStyle w:val="NoSpacing"/>
              <w:contextualSpacing/>
            </w:pPr>
          </w:p>
        </w:tc>
        <w:tc>
          <w:tcPr>
            <w:tcW w:w="210" w:type="pct"/>
            <w:tcBorders>
              <w:top w:val="nil"/>
              <w:left w:val="nil"/>
              <w:bottom w:val="nil"/>
              <w:right w:val="nil"/>
            </w:tcBorders>
            <w:shd w:val="clear" w:color="000000" w:fill="FFFFFF"/>
            <w:noWrap/>
          </w:tcPr>
          <w:p w14:paraId="47AC4769" w14:textId="77777777" w:rsidR="00F4223F" w:rsidRPr="00F24A76" w:rsidRDefault="00F4223F" w:rsidP="00F24A76">
            <w:pPr>
              <w:pStyle w:val="NoSpacing"/>
              <w:contextualSpacing/>
              <w:jc w:val="right"/>
            </w:pPr>
          </w:p>
        </w:tc>
        <w:tc>
          <w:tcPr>
            <w:tcW w:w="392" w:type="pct"/>
            <w:tcBorders>
              <w:top w:val="nil"/>
              <w:left w:val="nil"/>
              <w:bottom w:val="nil"/>
              <w:right w:val="nil"/>
            </w:tcBorders>
            <w:shd w:val="clear" w:color="000000" w:fill="FFFFFF"/>
            <w:noWrap/>
          </w:tcPr>
          <w:p w14:paraId="373C6C4C" w14:textId="77777777" w:rsidR="00F4223F" w:rsidRPr="00F24A76" w:rsidRDefault="00F4223F" w:rsidP="00F24A76">
            <w:pPr>
              <w:pStyle w:val="NoSpacing"/>
              <w:contextualSpacing/>
            </w:pPr>
          </w:p>
        </w:tc>
        <w:tc>
          <w:tcPr>
            <w:tcW w:w="210" w:type="pct"/>
            <w:tcBorders>
              <w:top w:val="nil"/>
              <w:left w:val="nil"/>
              <w:bottom w:val="nil"/>
              <w:right w:val="nil"/>
            </w:tcBorders>
            <w:shd w:val="clear" w:color="000000" w:fill="FFFFFF"/>
            <w:noWrap/>
          </w:tcPr>
          <w:p w14:paraId="241381B1" w14:textId="77777777" w:rsidR="00F4223F" w:rsidRPr="00F24A76" w:rsidRDefault="00F4223F" w:rsidP="00F24A76">
            <w:pPr>
              <w:pStyle w:val="NoSpacing"/>
              <w:contextualSpacing/>
              <w:jc w:val="center"/>
              <w:rPr>
                <w:i/>
              </w:rPr>
            </w:pPr>
          </w:p>
        </w:tc>
      </w:tr>
      <w:tr w:rsidR="004003A0" w:rsidRPr="00F24A76" w14:paraId="23D8CDB5" w14:textId="77777777" w:rsidTr="00235C79">
        <w:trPr>
          <w:trHeight w:val="19"/>
        </w:trPr>
        <w:tc>
          <w:tcPr>
            <w:tcW w:w="939" w:type="pct"/>
            <w:tcBorders>
              <w:top w:val="nil"/>
              <w:left w:val="nil"/>
              <w:bottom w:val="nil"/>
              <w:right w:val="nil"/>
            </w:tcBorders>
            <w:shd w:val="clear" w:color="000000" w:fill="FFFFFF"/>
            <w:noWrap/>
            <w:hideMark/>
          </w:tcPr>
          <w:p w14:paraId="76E3D239" w14:textId="3D6681AD" w:rsidR="00F4223F" w:rsidRPr="00F24A76" w:rsidRDefault="00F4223F" w:rsidP="00F24A76">
            <w:pPr>
              <w:pStyle w:val="NoSpacing"/>
              <w:contextualSpacing/>
            </w:pPr>
            <w:r w:rsidRPr="00F24A76">
              <w:t>Brachial SBP</w:t>
            </w:r>
          </w:p>
        </w:tc>
        <w:tc>
          <w:tcPr>
            <w:tcW w:w="168" w:type="pct"/>
            <w:tcBorders>
              <w:top w:val="nil"/>
              <w:left w:val="nil"/>
              <w:bottom w:val="nil"/>
              <w:right w:val="nil"/>
            </w:tcBorders>
            <w:shd w:val="clear" w:color="000000" w:fill="FFFFFF"/>
            <w:noWrap/>
            <w:hideMark/>
          </w:tcPr>
          <w:p w14:paraId="5D6E8022" w14:textId="53073052" w:rsidR="00F4223F" w:rsidRPr="00F24A76" w:rsidRDefault="00F4223F" w:rsidP="00F24A76">
            <w:pPr>
              <w:pStyle w:val="NoSpacing"/>
              <w:contextualSpacing/>
              <w:jc w:val="right"/>
            </w:pPr>
            <w:r w:rsidRPr="00F24A76">
              <w:t>120</w:t>
            </w:r>
          </w:p>
        </w:tc>
        <w:tc>
          <w:tcPr>
            <w:tcW w:w="350" w:type="pct"/>
            <w:tcBorders>
              <w:top w:val="nil"/>
              <w:left w:val="nil"/>
              <w:bottom w:val="nil"/>
              <w:right w:val="nil"/>
            </w:tcBorders>
            <w:shd w:val="clear" w:color="000000" w:fill="FFFFFF"/>
            <w:noWrap/>
            <w:hideMark/>
          </w:tcPr>
          <w:p w14:paraId="73367077" w14:textId="77777777" w:rsidR="00F4223F" w:rsidRPr="00F24A76" w:rsidRDefault="00F4223F" w:rsidP="00F24A76">
            <w:pPr>
              <w:pStyle w:val="NoSpacing"/>
              <w:contextualSpacing/>
            </w:pPr>
            <w:r w:rsidRPr="00F24A76">
              <w:t>(111,128)</w:t>
            </w:r>
          </w:p>
        </w:tc>
        <w:tc>
          <w:tcPr>
            <w:tcW w:w="168" w:type="pct"/>
            <w:tcBorders>
              <w:top w:val="nil"/>
              <w:left w:val="nil"/>
              <w:bottom w:val="nil"/>
              <w:right w:val="nil"/>
            </w:tcBorders>
            <w:shd w:val="clear" w:color="000000" w:fill="FFFFFF"/>
            <w:noWrap/>
            <w:hideMark/>
          </w:tcPr>
          <w:p w14:paraId="0A857673" w14:textId="42D87C6E" w:rsidR="00F4223F" w:rsidRPr="00F24A76" w:rsidRDefault="00F4223F" w:rsidP="00F24A76">
            <w:pPr>
              <w:pStyle w:val="NoSpacing"/>
              <w:contextualSpacing/>
              <w:jc w:val="right"/>
            </w:pPr>
            <w:r w:rsidRPr="00F24A76">
              <w:t>116</w:t>
            </w:r>
          </w:p>
        </w:tc>
        <w:tc>
          <w:tcPr>
            <w:tcW w:w="350" w:type="pct"/>
            <w:tcBorders>
              <w:top w:val="nil"/>
              <w:left w:val="nil"/>
              <w:bottom w:val="nil"/>
              <w:right w:val="nil"/>
            </w:tcBorders>
            <w:shd w:val="clear" w:color="000000" w:fill="FFFFFF"/>
            <w:noWrap/>
            <w:hideMark/>
          </w:tcPr>
          <w:p w14:paraId="3D1DDEF0" w14:textId="77777777" w:rsidR="00F4223F" w:rsidRPr="00F24A76" w:rsidRDefault="00F4223F" w:rsidP="00F24A76">
            <w:pPr>
              <w:pStyle w:val="NoSpacing"/>
              <w:contextualSpacing/>
            </w:pPr>
            <w:r w:rsidRPr="00F24A76">
              <w:t>(108,124)</w:t>
            </w:r>
          </w:p>
        </w:tc>
        <w:tc>
          <w:tcPr>
            <w:tcW w:w="267" w:type="pct"/>
            <w:tcBorders>
              <w:top w:val="nil"/>
              <w:left w:val="nil"/>
              <w:bottom w:val="nil"/>
              <w:right w:val="nil"/>
            </w:tcBorders>
            <w:shd w:val="clear" w:color="000000" w:fill="FFFFFF"/>
            <w:noWrap/>
            <w:hideMark/>
          </w:tcPr>
          <w:p w14:paraId="3DFE69C4" w14:textId="5A451B3D"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1309F5BA" w14:textId="5D21417E" w:rsidR="00F4223F" w:rsidRPr="00F24A76" w:rsidRDefault="00F4223F" w:rsidP="00F24A76">
            <w:pPr>
              <w:pStyle w:val="NoSpacing"/>
              <w:contextualSpacing/>
              <w:jc w:val="right"/>
            </w:pPr>
            <w:r w:rsidRPr="00F24A76">
              <w:t>124</w:t>
            </w:r>
          </w:p>
        </w:tc>
        <w:tc>
          <w:tcPr>
            <w:tcW w:w="392" w:type="pct"/>
            <w:tcBorders>
              <w:top w:val="nil"/>
              <w:left w:val="nil"/>
              <w:bottom w:val="nil"/>
              <w:right w:val="nil"/>
            </w:tcBorders>
            <w:shd w:val="clear" w:color="000000" w:fill="FFFFFF"/>
            <w:noWrap/>
            <w:hideMark/>
          </w:tcPr>
          <w:p w14:paraId="002492DA" w14:textId="77777777" w:rsidR="00F4223F" w:rsidRPr="00F24A76" w:rsidRDefault="00F4223F" w:rsidP="00F24A76">
            <w:pPr>
              <w:pStyle w:val="NoSpacing"/>
              <w:contextualSpacing/>
            </w:pPr>
            <w:r w:rsidRPr="00F24A76">
              <w:t>(114,132)</w:t>
            </w:r>
          </w:p>
        </w:tc>
        <w:tc>
          <w:tcPr>
            <w:tcW w:w="168" w:type="pct"/>
            <w:tcBorders>
              <w:top w:val="nil"/>
              <w:left w:val="nil"/>
              <w:bottom w:val="nil"/>
              <w:right w:val="nil"/>
            </w:tcBorders>
            <w:shd w:val="clear" w:color="000000" w:fill="FFFFFF"/>
            <w:noWrap/>
            <w:hideMark/>
          </w:tcPr>
          <w:p w14:paraId="1622641A" w14:textId="72A252E5" w:rsidR="00F4223F" w:rsidRPr="00F24A76" w:rsidRDefault="00F4223F" w:rsidP="00F24A76">
            <w:pPr>
              <w:pStyle w:val="NoSpacing"/>
              <w:contextualSpacing/>
              <w:jc w:val="right"/>
            </w:pPr>
            <w:r w:rsidRPr="00F24A76">
              <w:t>120</w:t>
            </w:r>
          </w:p>
        </w:tc>
        <w:tc>
          <w:tcPr>
            <w:tcW w:w="392" w:type="pct"/>
            <w:tcBorders>
              <w:top w:val="nil"/>
              <w:left w:val="nil"/>
              <w:bottom w:val="nil"/>
              <w:right w:val="nil"/>
            </w:tcBorders>
            <w:shd w:val="clear" w:color="000000" w:fill="FFFFFF"/>
            <w:noWrap/>
            <w:hideMark/>
          </w:tcPr>
          <w:p w14:paraId="4067080C" w14:textId="7C239672" w:rsidR="00F4223F" w:rsidRPr="00F24A76" w:rsidRDefault="00F4223F" w:rsidP="00F24A76">
            <w:pPr>
              <w:pStyle w:val="NoSpacing"/>
              <w:contextualSpacing/>
            </w:pPr>
            <w:r w:rsidRPr="00F24A76">
              <w:t>(109,127)</w:t>
            </w:r>
          </w:p>
        </w:tc>
        <w:tc>
          <w:tcPr>
            <w:tcW w:w="267" w:type="pct"/>
            <w:tcBorders>
              <w:top w:val="nil"/>
              <w:left w:val="nil"/>
              <w:bottom w:val="nil"/>
              <w:right w:val="nil"/>
            </w:tcBorders>
            <w:shd w:val="clear" w:color="000000" w:fill="FFFFFF"/>
            <w:noWrap/>
            <w:hideMark/>
          </w:tcPr>
          <w:p w14:paraId="4BAC8AF5" w14:textId="661B4120"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1AF42E1E" w14:textId="7F21512D" w:rsidR="00F4223F" w:rsidRPr="00F24A76" w:rsidRDefault="00F4223F" w:rsidP="00F24A76">
            <w:pPr>
              <w:pStyle w:val="NoSpacing"/>
              <w:contextualSpacing/>
              <w:jc w:val="right"/>
            </w:pPr>
            <w:r w:rsidRPr="00F24A76">
              <w:t>118</w:t>
            </w:r>
          </w:p>
        </w:tc>
        <w:tc>
          <w:tcPr>
            <w:tcW w:w="392" w:type="pct"/>
            <w:tcBorders>
              <w:top w:val="nil"/>
              <w:left w:val="nil"/>
              <w:bottom w:val="nil"/>
              <w:right w:val="nil"/>
            </w:tcBorders>
            <w:shd w:val="clear" w:color="000000" w:fill="FFFFFF"/>
            <w:noWrap/>
            <w:hideMark/>
          </w:tcPr>
          <w:p w14:paraId="2499E84D" w14:textId="77777777" w:rsidR="00F4223F" w:rsidRPr="00F24A76" w:rsidRDefault="00F4223F" w:rsidP="00F24A76">
            <w:pPr>
              <w:pStyle w:val="NoSpacing"/>
              <w:contextualSpacing/>
            </w:pPr>
            <w:r w:rsidRPr="00F24A76">
              <w:t>(110,124)</w:t>
            </w:r>
          </w:p>
        </w:tc>
        <w:tc>
          <w:tcPr>
            <w:tcW w:w="210" w:type="pct"/>
            <w:tcBorders>
              <w:top w:val="nil"/>
              <w:left w:val="nil"/>
              <w:bottom w:val="nil"/>
              <w:right w:val="nil"/>
            </w:tcBorders>
            <w:shd w:val="clear" w:color="000000" w:fill="FFFFFF"/>
            <w:noWrap/>
            <w:hideMark/>
          </w:tcPr>
          <w:p w14:paraId="3F719CAD" w14:textId="65DBAE8A" w:rsidR="00F4223F" w:rsidRPr="00F24A76" w:rsidRDefault="00F4223F" w:rsidP="00F24A76">
            <w:pPr>
              <w:pStyle w:val="NoSpacing"/>
              <w:contextualSpacing/>
              <w:jc w:val="right"/>
            </w:pPr>
            <w:r w:rsidRPr="00F24A76">
              <w:t>114</w:t>
            </w:r>
          </w:p>
        </w:tc>
        <w:tc>
          <w:tcPr>
            <w:tcW w:w="392" w:type="pct"/>
            <w:tcBorders>
              <w:top w:val="nil"/>
              <w:left w:val="nil"/>
              <w:bottom w:val="nil"/>
              <w:right w:val="nil"/>
            </w:tcBorders>
            <w:shd w:val="clear" w:color="000000" w:fill="FFFFFF"/>
            <w:noWrap/>
            <w:hideMark/>
          </w:tcPr>
          <w:p w14:paraId="0494765D" w14:textId="77777777" w:rsidR="00F4223F" w:rsidRPr="00F24A76" w:rsidRDefault="00F4223F" w:rsidP="00F24A76">
            <w:pPr>
              <w:pStyle w:val="NoSpacing"/>
              <w:contextualSpacing/>
            </w:pPr>
            <w:r w:rsidRPr="00F24A76">
              <w:t>(108,122)</w:t>
            </w:r>
          </w:p>
        </w:tc>
        <w:tc>
          <w:tcPr>
            <w:tcW w:w="210" w:type="pct"/>
            <w:tcBorders>
              <w:top w:val="nil"/>
              <w:left w:val="nil"/>
              <w:bottom w:val="nil"/>
              <w:right w:val="nil"/>
            </w:tcBorders>
            <w:shd w:val="clear" w:color="000000" w:fill="FFFFFF"/>
            <w:noWrap/>
            <w:hideMark/>
          </w:tcPr>
          <w:p w14:paraId="4E8D7546" w14:textId="4A8E1598" w:rsidR="00F4223F" w:rsidRPr="00F24A76" w:rsidRDefault="00F4223F" w:rsidP="00F24A76">
            <w:pPr>
              <w:pStyle w:val="NoSpacing"/>
              <w:contextualSpacing/>
              <w:jc w:val="center"/>
              <w:rPr>
                <w:i/>
              </w:rPr>
            </w:pPr>
            <w:r w:rsidRPr="00F24A76">
              <w:rPr>
                <w:i/>
              </w:rPr>
              <w:t>0.004</w:t>
            </w:r>
          </w:p>
        </w:tc>
      </w:tr>
      <w:tr w:rsidR="004003A0" w:rsidRPr="00F24A76" w14:paraId="0901AE28" w14:textId="77777777" w:rsidTr="00235C79">
        <w:trPr>
          <w:trHeight w:val="19"/>
        </w:trPr>
        <w:tc>
          <w:tcPr>
            <w:tcW w:w="939" w:type="pct"/>
            <w:tcBorders>
              <w:top w:val="nil"/>
              <w:left w:val="nil"/>
              <w:bottom w:val="nil"/>
              <w:right w:val="nil"/>
            </w:tcBorders>
            <w:shd w:val="clear" w:color="000000" w:fill="FFFFFF"/>
            <w:noWrap/>
            <w:hideMark/>
          </w:tcPr>
          <w:p w14:paraId="4F5852F9" w14:textId="2089929B" w:rsidR="00F4223F" w:rsidRPr="00F24A76" w:rsidRDefault="00F4223F" w:rsidP="00F24A76">
            <w:pPr>
              <w:pStyle w:val="NoSpacing"/>
              <w:contextualSpacing/>
            </w:pPr>
            <w:r w:rsidRPr="00F24A76">
              <w:t>Brachial DBP</w:t>
            </w:r>
          </w:p>
        </w:tc>
        <w:tc>
          <w:tcPr>
            <w:tcW w:w="168" w:type="pct"/>
            <w:tcBorders>
              <w:top w:val="nil"/>
              <w:left w:val="nil"/>
              <w:bottom w:val="nil"/>
              <w:right w:val="nil"/>
            </w:tcBorders>
            <w:shd w:val="clear" w:color="000000" w:fill="FFFFFF"/>
            <w:noWrap/>
            <w:hideMark/>
          </w:tcPr>
          <w:p w14:paraId="1E36305C" w14:textId="6BBBFAD8" w:rsidR="00F4223F" w:rsidRPr="00F24A76" w:rsidRDefault="00F4223F" w:rsidP="00F24A76">
            <w:pPr>
              <w:pStyle w:val="NoSpacing"/>
              <w:contextualSpacing/>
              <w:jc w:val="right"/>
            </w:pPr>
            <w:r w:rsidRPr="00F24A76">
              <w:t>75</w:t>
            </w:r>
          </w:p>
        </w:tc>
        <w:tc>
          <w:tcPr>
            <w:tcW w:w="350" w:type="pct"/>
            <w:tcBorders>
              <w:top w:val="nil"/>
              <w:left w:val="nil"/>
              <w:bottom w:val="nil"/>
              <w:right w:val="nil"/>
            </w:tcBorders>
            <w:shd w:val="clear" w:color="000000" w:fill="FFFFFF"/>
            <w:noWrap/>
            <w:hideMark/>
          </w:tcPr>
          <w:p w14:paraId="1FEA0301" w14:textId="77777777" w:rsidR="00F4223F" w:rsidRPr="00F24A76" w:rsidRDefault="00F4223F" w:rsidP="00F24A76">
            <w:pPr>
              <w:pStyle w:val="NoSpacing"/>
              <w:contextualSpacing/>
            </w:pPr>
            <w:r w:rsidRPr="00F24A76">
              <w:t>(70,79)</w:t>
            </w:r>
          </w:p>
        </w:tc>
        <w:tc>
          <w:tcPr>
            <w:tcW w:w="168" w:type="pct"/>
            <w:tcBorders>
              <w:top w:val="nil"/>
              <w:left w:val="nil"/>
              <w:bottom w:val="nil"/>
              <w:right w:val="nil"/>
            </w:tcBorders>
            <w:shd w:val="clear" w:color="000000" w:fill="FFFFFF"/>
            <w:noWrap/>
            <w:hideMark/>
          </w:tcPr>
          <w:p w14:paraId="6F81FF13" w14:textId="5CE67B0D" w:rsidR="00F4223F" w:rsidRPr="00F24A76" w:rsidRDefault="00F4223F" w:rsidP="00F24A76">
            <w:pPr>
              <w:pStyle w:val="NoSpacing"/>
              <w:contextualSpacing/>
              <w:jc w:val="right"/>
            </w:pPr>
            <w:r w:rsidRPr="00F24A76">
              <w:t>72</w:t>
            </w:r>
          </w:p>
        </w:tc>
        <w:tc>
          <w:tcPr>
            <w:tcW w:w="350" w:type="pct"/>
            <w:tcBorders>
              <w:top w:val="nil"/>
              <w:left w:val="nil"/>
              <w:bottom w:val="nil"/>
              <w:right w:val="nil"/>
            </w:tcBorders>
            <w:shd w:val="clear" w:color="000000" w:fill="FFFFFF"/>
            <w:noWrap/>
            <w:hideMark/>
          </w:tcPr>
          <w:p w14:paraId="69236134" w14:textId="77777777" w:rsidR="00F4223F" w:rsidRPr="00F24A76" w:rsidRDefault="00F4223F" w:rsidP="00F24A76">
            <w:pPr>
              <w:pStyle w:val="NoSpacing"/>
              <w:contextualSpacing/>
            </w:pPr>
            <w:r w:rsidRPr="00F24A76">
              <w:t>(68,76)</w:t>
            </w:r>
          </w:p>
        </w:tc>
        <w:tc>
          <w:tcPr>
            <w:tcW w:w="267" w:type="pct"/>
            <w:tcBorders>
              <w:top w:val="nil"/>
              <w:left w:val="nil"/>
              <w:bottom w:val="nil"/>
              <w:right w:val="nil"/>
            </w:tcBorders>
            <w:shd w:val="clear" w:color="000000" w:fill="FFFFFF"/>
            <w:noWrap/>
            <w:hideMark/>
          </w:tcPr>
          <w:p w14:paraId="0D54F7E9" w14:textId="40D54053"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0B104757" w14:textId="7B40FDD4" w:rsidR="00F4223F" w:rsidRPr="00F24A76" w:rsidRDefault="00F4223F" w:rsidP="00F24A76">
            <w:pPr>
              <w:pStyle w:val="NoSpacing"/>
              <w:contextualSpacing/>
              <w:jc w:val="right"/>
            </w:pPr>
            <w:r w:rsidRPr="00F24A76">
              <w:t>78</w:t>
            </w:r>
          </w:p>
        </w:tc>
        <w:tc>
          <w:tcPr>
            <w:tcW w:w="392" w:type="pct"/>
            <w:tcBorders>
              <w:top w:val="nil"/>
              <w:left w:val="nil"/>
              <w:bottom w:val="nil"/>
              <w:right w:val="nil"/>
            </w:tcBorders>
            <w:shd w:val="clear" w:color="000000" w:fill="FFFFFF"/>
            <w:noWrap/>
            <w:hideMark/>
          </w:tcPr>
          <w:p w14:paraId="0A8D7846" w14:textId="77777777" w:rsidR="00F4223F" w:rsidRPr="00F24A76" w:rsidRDefault="00F4223F" w:rsidP="00F24A76">
            <w:pPr>
              <w:pStyle w:val="NoSpacing"/>
              <w:contextualSpacing/>
            </w:pPr>
            <w:r w:rsidRPr="00F24A76">
              <w:t>(74,82)</w:t>
            </w:r>
          </w:p>
        </w:tc>
        <w:tc>
          <w:tcPr>
            <w:tcW w:w="168" w:type="pct"/>
            <w:tcBorders>
              <w:top w:val="nil"/>
              <w:left w:val="nil"/>
              <w:bottom w:val="nil"/>
              <w:right w:val="nil"/>
            </w:tcBorders>
            <w:shd w:val="clear" w:color="000000" w:fill="FFFFFF"/>
            <w:noWrap/>
            <w:hideMark/>
          </w:tcPr>
          <w:p w14:paraId="704BDA96" w14:textId="353DE8B8" w:rsidR="00F4223F" w:rsidRPr="00F24A76" w:rsidRDefault="00F4223F" w:rsidP="00F24A76">
            <w:pPr>
              <w:pStyle w:val="NoSpacing"/>
              <w:contextualSpacing/>
              <w:jc w:val="right"/>
            </w:pPr>
            <w:r w:rsidRPr="00F24A76">
              <w:t>74</w:t>
            </w:r>
          </w:p>
        </w:tc>
        <w:tc>
          <w:tcPr>
            <w:tcW w:w="392" w:type="pct"/>
            <w:tcBorders>
              <w:top w:val="nil"/>
              <w:left w:val="nil"/>
              <w:bottom w:val="nil"/>
              <w:right w:val="nil"/>
            </w:tcBorders>
            <w:shd w:val="clear" w:color="000000" w:fill="FFFFFF"/>
            <w:noWrap/>
            <w:hideMark/>
          </w:tcPr>
          <w:p w14:paraId="290D9F6F" w14:textId="77777777" w:rsidR="00F4223F" w:rsidRPr="00F24A76" w:rsidRDefault="00F4223F" w:rsidP="00F24A76">
            <w:pPr>
              <w:pStyle w:val="NoSpacing"/>
              <w:contextualSpacing/>
            </w:pPr>
            <w:r w:rsidRPr="00F24A76">
              <w:t>(67,77)</w:t>
            </w:r>
          </w:p>
        </w:tc>
        <w:tc>
          <w:tcPr>
            <w:tcW w:w="267" w:type="pct"/>
            <w:tcBorders>
              <w:top w:val="nil"/>
              <w:left w:val="nil"/>
              <w:bottom w:val="nil"/>
              <w:right w:val="nil"/>
            </w:tcBorders>
            <w:shd w:val="clear" w:color="000000" w:fill="FFFFFF"/>
            <w:noWrap/>
            <w:hideMark/>
          </w:tcPr>
          <w:p w14:paraId="0AAA313B" w14:textId="598DD3B6"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394F3730" w14:textId="2E618BEC" w:rsidR="00F4223F" w:rsidRPr="00F24A76" w:rsidRDefault="00F4223F" w:rsidP="00F24A76">
            <w:pPr>
              <w:pStyle w:val="NoSpacing"/>
              <w:contextualSpacing/>
              <w:jc w:val="right"/>
            </w:pPr>
            <w:r w:rsidRPr="00F24A76">
              <w:t>73</w:t>
            </w:r>
          </w:p>
        </w:tc>
        <w:tc>
          <w:tcPr>
            <w:tcW w:w="392" w:type="pct"/>
            <w:tcBorders>
              <w:top w:val="nil"/>
              <w:left w:val="nil"/>
              <w:bottom w:val="nil"/>
              <w:right w:val="nil"/>
            </w:tcBorders>
            <w:shd w:val="clear" w:color="000000" w:fill="FFFFFF"/>
            <w:noWrap/>
            <w:hideMark/>
          </w:tcPr>
          <w:p w14:paraId="2F0501B5" w14:textId="77777777" w:rsidR="00F4223F" w:rsidRPr="00F24A76" w:rsidRDefault="00F4223F" w:rsidP="00F24A76">
            <w:pPr>
              <w:pStyle w:val="NoSpacing"/>
              <w:contextualSpacing/>
            </w:pPr>
            <w:r w:rsidRPr="00F24A76">
              <w:t>(70,77)</w:t>
            </w:r>
          </w:p>
        </w:tc>
        <w:tc>
          <w:tcPr>
            <w:tcW w:w="210" w:type="pct"/>
            <w:tcBorders>
              <w:top w:val="nil"/>
              <w:left w:val="nil"/>
              <w:bottom w:val="nil"/>
              <w:right w:val="nil"/>
            </w:tcBorders>
            <w:shd w:val="clear" w:color="000000" w:fill="FFFFFF"/>
            <w:noWrap/>
            <w:hideMark/>
          </w:tcPr>
          <w:p w14:paraId="6E1F4B5A" w14:textId="7D2F8085" w:rsidR="00F4223F" w:rsidRPr="00F24A76" w:rsidRDefault="00F4223F" w:rsidP="00F24A76">
            <w:pPr>
              <w:pStyle w:val="NoSpacing"/>
              <w:contextualSpacing/>
              <w:jc w:val="right"/>
            </w:pPr>
            <w:r w:rsidRPr="00F24A76">
              <w:t>71</w:t>
            </w:r>
          </w:p>
        </w:tc>
        <w:tc>
          <w:tcPr>
            <w:tcW w:w="392" w:type="pct"/>
            <w:tcBorders>
              <w:top w:val="nil"/>
              <w:left w:val="nil"/>
              <w:bottom w:val="nil"/>
              <w:right w:val="nil"/>
            </w:tcBorders>
            <w:shd w:val="clear" w:color="000000" w:fill="FFFFFF"/>
            <w:noWrap/>
            <w:hideMark/>
          </w:tcPr>
          <w:p w14:paraId="419AAA4A" w14:textId="77777777" w:rsidR="00F4223F" w:rsidRPr="00F24A76" w:rsidRDefault="00F4223F" w:rsidP="00F24A76">
            <w:pPr>
              <w:pStyle w:val="NoSpacing"/>
              <w:contextualSpacing/>
            </w:pPr>
            <w:r w:rsidRPr="00F24A76">
              <w:t>(68,76)</w:t>
            </w:r>
          </w:p>
        </w:tc>
        <w:tc>
          <w:tcPr>
            <w:tcW w:w="210" w:type="pct"/>
            <w:tcBorders>
              <w:top w:val="nil"/>
              <w:left w:val="nil"/>
              <w:bottom w:val="nil"/>
              <w:right w:val="nil"/>
            </w:tcBorders>
            <w:shd w:val="clear" w:color="000000" w:fill="FFFFFF"/>
            <w:noWrap/>
            <w:hideMark/>
          </w:tcPr>
          <w:p w14:paraId="6583B69E" w14:textId="44003461" w:rsidR="00F4223F" w:rsidRPr="00F24A76" w:rsidRDefault="00F4223F" w:rsidP="00F24A76">
            <w:pPr>
              <w:pStyle w:val="NoSpacing"/>
              <w:contextualSpacing/>
              <w:jc w:val="center"/>
              <w:rPr>
                <w:i/>
              </w:rPr>
            </w:pPr>
            <w:r w:rsidRPr="00F24A76">
              <w:rPr>
                <w:i/>
              </w:rPr>
              <w:t>0.016</w:t>
            </w:r>
          </w:p>
        </w:tc>
      </w:tr>
      <w:tr w:rsidR="004003A0" w:rsidRPr="00F24A76" w14:paraId="424DE61B" w14:textId="77777777" w:rsidTr="00235C79">
        <w:trPr>
          <w:trHeight w:val="19"/>
        </w:trPr>
        <w:tc>
          <w:tcPr>
            <w:tcW w:w="939" w:type="pct"/>
            <w:tcBorders>
              <w:top w:val="nil"/>
              <w:left w:val="nil"/>
              <w:bottom w:val="nil"/>
              <w:right w:val="nil"/>
            </w:tcBorders>
            <w:shd w:val="clear" w:color="000000" w:fill="FFFFFF"/>
            <w:noWrap/>
            <w:hideMark/>
          </w:tcPr>
          <w:p w14:paraId="2082F772" w14:textId="3AD77FCF" w:rsidR="00F4223F" w:rsidRPr="00F24A76" w:rsidRDefault="00F4223F" w:rsidP="00F24A76">
            <w:pPr>
              <w:pStyle w:val="NoSpacing"/>
              <w:contextualSpacing/>
            </w:pPr>
            <w:r w:rsidRPr="00F24A76">
              <w:t>Brachial MAP</w:t>
            </w:r>
          </w:p>
        </w:tc>
        <w:tc>
          <w:tcPr>
            <w:tcW w:w="168" w:type="pct"/>
            <w:tcBorders>
              <w:top w:val="nil"/>
              <w:left w:val="nil"/>
              <w:bottom w:val="nil"/>
              <w:right w:val="nil"/>
            </w:tcBorders>
            <w:shd w:val="clear" w:color="000000" w:fill="FFFFFF"/>
            <w:noWrap/>
            <w:hideMark/>
          </w:tcPr>
          <w:p w14:paraId="620D65EB" w14:textId="729E3107" w:rsidR="00F4223F" w:rsidRPr="00F24A76" w:rsidRDefault="00F4223F" w:rsidP="00F24A76">
            <w:pPr>
              <w:pStyle w:val="NoSpacing"/>
              <w:contextualSpacing/>
              <w:jc w:val="right"/>
            </w:pPr>
            <w:r w:rsidRPr="00F24A76">
              <w:t>90</w:t>
            </w:r>
          </w:p>
        </w:tc>
        <w:tc>
          <w:tcPr>
            <w:tcW w:w="350" w:type="pct"/>
            <w:tcBorders>
              <w:top w:val="nil"/>
              <w:left w:val="nil"/>
              <w:bottom w:val="nil"/>
              <w:right w:val="nil"/>
            </w:tcBorders>
            <w:shd w:val="clear" w:color="000000" w:fill="FFFFFF"/>
            <w:noWrap/>
            <w:hideMark/>
          </w:tcPr>
          <w:p w14:paraId="370BDD69" w14:textId="0DD7B1EF" w:rsidR="00F4223F" w:rsidRPr="00F24A76" w:rsidRDefault="00F4223F" w:rsidP="00F24A76">
            <w:pPr>
              <w:pStyle w:val="NoSpacing"/>
              <w:contextualSpacing/>
            </w:pPr>
            <w:r w:rsidRPr="00F24A76">
              <w:t>(85,95)</w:t>
            </w:r>
          </w:p>
        </w:tc>
        <w:tc>
          <w:tcPr>
            <w:tcW w:w="168" w:type="pct"/>
            <w:tcBorders>
              <w:top w:val="nil"/>
              <w:left w:val="nil"/>
              <w:bottom w:val="nil"/>
              <w:right w:val="nil"/>
            </w:tcBorders>
            <w:shd w:val="clear" w:color="000000" w:fill="FFFFFF"/>
            <w:noWrap/>
            <w:hideMark/>
          </w:tcPr>
          <w:p w14:paraId="5D39D458" w14:textId="76AC453A" w:rsidR="00F4223F" w:rsidRPr="00F24A76" w:rsidRDefault="00F4223F" w:rsidP="00F24A76">
            <w:pPr>
              <w:pStyle w:val="NoSpacing"/>
              <w:contextualSpacing/>
              <w:jc w:val="right"/>
            </w:pPr>
            <w:r w:rsidRPr="00F24A76">
              <w:t>88</w:t>
            </w:r>
          </w:p>
        </w:tc>
        <w:tc>
          <w:tcPr>
            <w:tcW w:w="350" w:type="pct"/>
            <w:tcBorders>
              <w:top w:val="nil"/>
              <w:left w:val="nil"/>
              <w:bottom w:val="nil"/>
              <w:right w:val="nil"/>
            </w:tcBorders>
            <w:shd w:val="clear" w:color="000000" w:fill="FFFFFF"/>
            <w:noWrap/>
            <w:hideMark/>
          </w:tcPr>
          <w:p w14:paraId="0E940D96" w14:textId="77777777" w:rsidR="00F4223F" w:rsidRPr="00F24A76" w:rsidRDefault="00F4223F" w:rsidP="00F24A76">
            <w:pPr>
              <w:pStyle w:val="NoSpacing"/>
              <w:contextualSpacing/>
            </w:pPr>
            <w:r w:rsidRPr="00F24A76">
              <w:t>(81,92)</w:t>
            </w:r>
          </w:p>
        </w:tc>
        <w:tc>
          <w:tcPr>
            <w:tcW w:w="267" w:type="pct"/>
            <w:tcBorders>
              <w:top w:val="nil"/>
              <w:left w:val="nil"/>
              <w:bottom w:val="nil"/>
              <w:right w:val="nil"/>
            </w:tcBorders>
            <w:shd w:val="clear" w:color="000000" w:fill="FFFFFF"/>
            <w:noWrap/>
            <w:hideMark/>
          </w:tcPr>
          <w:p w14:paraId="60D9F042" w14:textId="4E2C4CD2"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55934809" w14:textId="16E0FE79" w:rsidR="00F4223F" w:rsidRPr="00F24A76" w:rsidRDefault="00F4223F" w:rsidP="00F24A76">
            <w:pPr>
              <w:pStyle w:val="NoSpacing"/>
              <w:contextualSpacing/>
              <w:jc w:val="right"/>
            </w:pPr>
            <w:r w:rsidRPr="00F24A76">
              <w:t>94</w:t>
            </w:r>
          </w:p>
        </w:tc>
        <w:tc>
          <w:tcPr>
            <w:tcW w:w="392" w:type="pct"/>
            <w:tcBorders>
              <w:top w:val="nil"/>
              <w:left w:val="nil"/>
              <w:bottom w:val="nil"/>
              <w:right w:val="nil"/>
            </w:tcBorders>
            <w:shd w:val="clear" w:color="000000" w:fill="FFFFFF"/>
            <w:noWrap/>
            <w:hideMark/>
          </w:tcPr>
          <w:p w14:paraId="0E3F5797" w14:textId="77777777" w:rsidR="00F4223F" w:rsidRPr="00F24A76" w:rsidRDefault="00F4223F" w:rsidP="00F24A76">
            <w:pPr>
              <w:pStyle w:val="NoSpacing"/>
              <w:contextualSpacing/>
            </w:pPr>
            <w:r w:rsidRPr="00F24A76">
              <w:t>(87,98)</w:t>
            </w:r>
          </w:p>
        </w:tc>
        <w:tc>
          <w:tcPr>
            <w:tcW w:w="168" w:type="pct"/>
            <w:tcBorders>
              <w:top w:val="nil"/>
              <w:left w:val="nil"/>
              <w:bottom w:val="nil"/>
              <w:right w:val="nil"/>
            </w:tcBorders>
            <w:shd w:val="clear" w:color="000000" w:fill="FFFFFF"/>
            <w:noWrap/>
            <w:hideMark/>
          </w:tcPr>
          <w:p w14:paraId="2F0FF8EC" w14:textId="48B996D0" w:rsidR="00F4223F" w:rsidRPr="00F24A76" w:rsidRDefault="00F4223F" w:rsidP="00F24A76">
            <w:pPr>
              <w:pStyle w:val="NoSpacing"/>
              <w:contextualSpacing/>
              <w:jc w:val="right"/>
            </w:pPr>
            <w:r w:rsidRPr="00F24A76">
              <w:t>89</w:t>
            </w:r>
          </w:p>
        </w:tc>
        <w:tc>
          <w:tcPr>
            <w:tcW w:w="392" w:type="pct"/>
            <w:tcBorders>
              <w:top w:val="nil"/>
              <w:left w:val="nil"/>
              <w:bottom w:val="nil"/>
              <w:right w:val="nil"/>
            </w:tcBorders>
            <w:shd w:val="clear" w:color="000000" w:fill="FFFFFF"/>
            <w:noWrap/>
            <w:hideMark/>
          </w:tcPr>
          <w:p w14:paraId="12CD5100" w14:textId="77777777" w:rsidR="00F4223F" w:rsidRPr="00F24A76" w:rsidRDefault="00F4223F" w:rsidP="00F24A76">
            <w:pPr>
              <w:pStyle w:val="NoSpacing"/>
              <w:contextualSpacing/>
            </w:pPr>
            <w:r w:rsidRPr="00F24A76">
              <w:t>(82,93)</w:t>
            </w:r>
          </w:p>
        </w:tc>
        <w:tc>
          <w:tcPr>
            <w:tcW w:w="267" w:type="pct"/>
            <w:tcBorders>
              <w:top w:val="nil"/>
              <w:left w:val="nil"/>
              <w:bottom w:val="nil"/>
              <w:right w:val="nil"/>
            </w:tcBorders>
            <w:shd w:val="clear" w:color="000000" w:fill="FFFFFF"/>
            <w:noWrap/>
            <w:hideMark/>
          </w:tcPr>
          <w:p w14:paraId="69A9299D" w14:textId="5FAE749B"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532D9553" w14:textId="341D48C7" w:rsidR="00F4223F" w:rsidRPr="00F24A76" w:rsidRDefault="00F4223F" w:rsidP="00F24A76">
            <w:pPr>
              <w:pStyle w:val="NoSpacing"/>
              <w:contextualSpacing/>
              <w:jc w:val="right"/>
            </w:pPr>
            <w:r w:rsidRPr="00F24A76">
              <w:t>88</w:t>
            </w:r>
          </w:p>
        </w:tc>
        <w:tc>
          <w:tcPr>
            <w:tcW w:w="392" w:type="pct"/>
            <w:tcBorders>
              <w:top w:val="nil"/>
              <w:left w:val="nil"/>
              <w:bottom w:val="nil"/>
              <w:right w:val="nil"/>
            </w:tcBorders>
            <w:shd w:val="clear" w:color="000000" w:fill="FFFFFF"/>
            <w:noWrap/>
            <w:hideMark/>
          </w:tcPr>
          <w:p w14:paraId="16C666B9" w14:textId="77777777" w:rsidR="00F4223F" w:rsidRPr="00F24A76" w:rsidRDefault="00F4223F" w:rsidP="00F24A76">
            <w:pPr>
              <w:pStyle w:val="NoSpacing"/>
              <w:contextualSpacing/>
            </w:pPr>
            <w:r w:rsidRPr="00F24A76">
              <w:t>(83,92)</w:t>
            </w:r>
          </w:p>
        </w:tc>
        <w:tc>
          <w:tcPr>
            <w:tcW w:w="210" w:type="pct"/>
            <w:tcBorders>
              <w:top w:val="nil"/>
              <w:left w:val="nil"/>
              <w:bottom w:val="nil"/>
              <w:right w:val="nil"/>
            </w:tcBorders>
            <w:shd w:val="clear" w:color="000000" w:fill="FFFFFF"/>
            <w:noWrap/>
            <w:hideMark/>
          </w:tcPr>
          <w:p w14:paraId="545F8B51" w14:textId="55B126F9" w:rsidR="00F4223F" w:rsidRPr="00F24A76" w:rsidRDefault="00F4223F" w:rsidP="00F24A76">
            <w:pPr>
              <w:pStyle w:val="NoSpacing"/>
              <w:contextualSpacing/>
              <w:jc w:val="right"/>
            </w:pPr>
            <w:r w:rsidRPr="00F24A76">
              <w:t>86</w:t>
            </w:r>
          </w:p>
        </w:tc>
        <w:tc>
          <w:tcPr>
            <w:tcW w:w="392" w:type="pct"/>
            <w:tcBorders>
              <w:top w:val="nil"/>
              <w:left w:val="nil"/>
              <w:bottom w:val="nil"/>
              <w:right w:val="nil"/>
            </w:tcBorders>
            <w:shd w:val="clear" w:color="000000" w:fill="FFFFFF"/>
            <w:noWrap/>
            <w:hideMark/>
          </w:tcPr>
          <w:p w14:paraId="70708088" w14:textId="77777777" w:rsidR="00F4223F" w:rsidRPr="00F24A76" w:rsidRDefault="00F4223F" w:rsidP="00F24A76">
            <w:pPr>
              <w:pStyle w:val="NoSpacing"/>
              <w:contextualSpacing/>
            </w:pPr>
            <w:r w:rsidRPr="00F24A76">
              <w:t>(81,90)</w:t>
            </w:r>
          </w:p>
        </w:tc>
        <w:tc>
          <w:tcPr>
            <w:tcW w:w="210" w:type="pct"/>
            <w:tcBorders>
              <w:top w:val="nil"/>
              <w:left w:val="nil"/>
              <w:bottom w:val="nil"/>
              <w:right w:val="nil"/>
            </w:tcBorders>
            <w:shd w:val="clear" w:color="000000" w:fill="FFFFFF"/>
            <w:noWrap/>
            <w:hideMark/>
          </w:tcPr>
          <w:p w14:paraId="26FFE701" w14:textId="56E64EDE" w:rsidR="00F4223F" w:rsidRPr="00F24A76" w:rsidRDefault="00F4223F" w:rsidP="00F24A76">
            <w:pPr>
              <w:pStyle w:val="NoSpacing"/>
              <w:contextualSpacing/>
              <w:jc w:val="center"/>
              <w:rPr>
                <w:i/>
              </w:rPr>
            </w:pPr>
            <w:r w:rsidRPr="00F24A76">
              <w:rPr>
                <w:i/>
              </w:rPr>
              <w:t>0.005</w:t>
            </w:r>
          </w:p>
        </w:tc>
      </w:tr>
      <w:tr w:rsidR="004003A0" w:rsidRPr="00F24A76" w14:paraId="37798C7C" w14:textId="77777777" w:rsidTr="00235C79">
        <w:trPr>
          <w:trHeight w:val="19"/>
        </w:trPr>
        <w:tc>
          <w:tcPr>
            <w:tcW w:w="939" w:type="pct"/>
            <w:tcBorders>
              <w:top w:val="nil"/>
              <w:left w:val="nil"/>
              <w:bottom w:val="nil"/>
              <w:right w:val="nil"/>
            </w:tcBorders>
            <w:shd w:val="clear" w:color="000000" w:fill="FFFFFF"/>
            <w:noWrap/>
          </w:tcPr>
          <w:p w14:paraId="7F5C4087" w14:textId="7DD90E29" w:rsidR="00F4223F" w:rsidRPr="00F24A76" w:rsidRDefault="00F4223F" w:rsidP="00F24A76">
            <w:pPr>
              <w:pStyle w:val="NoSpacing"/>
              <w:contextualSpacing/>
            </w:pPr>
            <w:r w:rsidRPr="00F24A76">
              <w:t>Brachial PP</w:t>
            </w:r>
          </w:p>
        </w:tc>
        <w:tc>
          <w:tcPr>
            <w:tcW w:w="168" w:type="pct"/>
            <w:tcBorders>
              <w:top w:val="nil"/>
              <w:left w:val="nil"/>
              <w:bottom w:val="nil"/>
              <w:right w:val="nil"/>
            </w:tcBorders>
            <w:shd w:val="clear" w:color="000000" w:fill="FFFFFF"/>
            <w:noWrap/>
          </w:tcPr>
          <w:p w14:paraId="3D06AF2D" w14:textId="59B09025" w:rsidR="00F4223F" w:rsidRPr="00F24A76" w:rsidRDefault="00F4223F" w:rsidP="00F24A76">
            <w:pPr>
              <w:pStyle w:val="NoSpacing"/>
              <w:contextualSpacing/>
              <w:jc w:val="right"/>
            </w:pPr>
            <w:r w:rsidRPr="00F24A76">
              <w:t>45</w:t>
            </w:r>
          </w:p>
        </w:tc>
        <w:tc>
          <w:tcPr>
            <w:tcW w:w="350" w:type="pct"/>
            <w:tcBorders>
              <w:top w:val="nil"/>
              <w:left w:val="nil"/>
              <w:bottom w:val="nil"/>
              <w:right w:val="nil"/>
            </w:tcBorders>
            <w:shd w:val="clear" w:color="000000" w:fill="FFFFFF"/>
            <w:noWrap/>
          </w:tcPr>
          <w:p w14:paraId="447B1B60" w14:textId="44855E29" w:rsidR="00F4223F" w:rsidRPr="00F24A76" w:rsidRDefault="00F4223F" w:rsidP="00F24A76">
            <w:pPr>
              <w:pStyle w:val="NoSpacing"/>
              <w:contextualSpacing/>
            </w:pPr>
            <w:r w:rsidRPr="00F24A76">
              <w:t>(40,51)</w:t>
            </w:r>
          </w:p>
        </w:tc>
        <w:tc>
          <w:tcPr>
            <w:tcW w:w="168" w:type="pct"/>
            <w:tcBorders>
              <w:top w:val="nil"/>
              <w:left w:val="nil"/>
              <w:bottom w:val="nil"/>
              <w:right w:val="nil"/>
            </w:tcBorders>
            <w:shd w:val="clear" w:color="000000" w:fill="FFFFFF"/>
            <w:noWrap/>
          </w:tcPr>
          <w:p w14:paraId="41D61D66" w14:textId="73A4C38A" w:rsidR="00F4223F" w:rsidRPr="00F24A76" w:rsidRDefault="00F4223F" w:rsidP="00F24A76">
            <w:pPr>
              <w:pStyle w:val="NoSpacing"/>
              <w:contextualSpacing/>
              <w:jc w:val="right"/>
            </w:pPr>
            <w:r w:rsidRPr="00F24A76">
              <w:t>44</w:t>
            </w:r>
          </w:p>
        </w:tc>
        <w:tc>
          <w:tcPr>
            <w:tcW w:w="350" w:type="pct"/>
            <w:tcBorders>
              <w:top w:val="nil"/>
              <w:left w:val="nil"/>
              <w:bottom w:val="nil"/>
              <w:right w:val="nil"/>
            </w:tcBorders>
            <w:shd w:val="clear" w:color="000000" w:fill="FFFFFF"/>
            <w:noWrap/>
          </w:tcPr>
          <w:p w14:paraId="4E329EA2" w14:textId="2F80622D" w:rsidR="00F4223F" w:rsidRPr="00F24A76" w:rsidRDefault="00F4223F" w:rsidP="00F24A76">
            <w:pPr>
              <w:pStyle w:val="NoSpacing"/>
              <w:contextualSpacing/>
            </w:pPr>
            <w:r w:rsidRPr="00F24A76">
              <w:t>(40,50)</w:t>
            </w:r>
          </w:p>
        </w:tc>
        <w:tc>
          <w:tcPr>
            <w:tcW w:w="267" w:type="pct"/>
            <w:tcBorders>
              <w:top w:val="nil"/>
              <w:left w:val="nil"/>
              <w:bottom w:val="nil"/>
              <w:right w:val="nil"/>
            </w:tcBorders>
            <w:shd w:val="clear" w:color="000000" w:fill="FFFFFF"/>
            <w:noWrap/>
          </w:tcPr>
          <w:p w14:paraId="06FC78C2" w14:textId="793C7DB8" w:rsidR="00F4223F" w:rsidRPr="00F24A76" w:rsidRDefault="00F4223F" w:rsidP="00F24A76">
            <w:pPr>
              <w:pStyle w:val="NoSpacing"/>
              <w:contextualSpacing/>
              <w:jc w:val="center"/>
              <w:rPr>
                <w:i/>
              </w:rPr>
            </w:pPr>
            <w:r w:rsidRPr="00F24A76">
              <w:rPr>
                <w:i/>
              </w:rPr>
              <w:t>0.004</w:t>
            </w:r>
          </w:p>
        </w:tc>
        <w:tc>
          <w:tcPr>
            <w:tcW w:w="168" w:type="pct"/>
            <w:tcBorders>
              <w:top w:val="nil"/>
              <w:left w:val="nil"/>
              <w:bottom w:val="nil"/>
              <w:right w:val="nil"/>
            </w:tcBorders>
            <w:shd w:val="clear" w:color="000000" w:fill="FFFFFF"/>
            <w:noWrap/>
          </w:tcPr>
          <w:p w14:paraId="15710B30" w14:textId="33B989C1" w:rsidR="00F4223F" w:rsidRPr="00F24A76" w:rsidRDefault="00F4223F" w:rsidP="00F24A76">
            <w:pPr>
              <w:pStyle w:val="NoSpacing"/>
              <w:contextualSpacing/>
              <w:jc w:val="right"/>
            </w:pPr>
            <w:r w:rsidRPr="00F24A76">
              <w:t>46</w:t>
            </w:r>
          </w:p>
        </w:tc>
        <w:tc>
          <w:tcPr>
            <w:tcW w:w="392" w:type="pct"/>
            <w:tcBorders>
              <w:top w:val="nil"/>
              <w:left w:val="nil"/>
              <w:bottom w:val="nil"/>
              <w:right w:val="nil"/>
            </w:tcBorders>
            <w:shd w:val="clear" w:color="000000" w:fill="FFFFFF"/>
            <w:noWrap/>
          </w:tcPr>
          <w:p w14:paraId="2CC6DF58" w14:textId="2BB8B37F" w:rsidR="00F4223F" w:rsidRPr="00F24A76" w:rsidRDefault="00F4223F" w:rsidP="00F24A76">
            <w:pPr>
              <w:pStyle w:val="NoSpacing"/>
              <w:contextualSpacing/>
            </w:pPr>
            <w:r w:rsidRPr="00F24A76">
              <w:t>(42,54)</w:t>
            </w:r>
          </w:p>
        </w:tc>
        <w:tc>
          <w:tcPr>
            <w:tcW w:w="168" w:type="pct"/>
            <w:tcBorders>
              <w:top w:val="nil"/>
              <w:left w:val="nil"/>
              <w:bottom w:val="nil"/>
              <w:right w:val="nil"/>
            </w:tcBorders>
            <w:shd w:val="clear" w:color="000000" w:fill="FFFFFF"/>
            <w:noWrap/>
          </w:tcPr>
          <w:p w14:paraId="64730191" w14:textId="0666F36F" w:rsidR="00F4223F" w:rsidRPr="00F24A76" w:rsidRDefault="00F4223F" w:rsidP="00F24A76">
            <w:pPr>
              <w:pStyle w:val="NoSpacing"/>
              <w:contextualSpacing/>
              <w:jc w:val="right"/>
            </w:pPr>
            <w:r w:rsidRPr="00F24A76">
              <w:t>44</w:t>
            </w:r>
          </w:p>
        </w:tc>
        <w:tc>
          <w:tcPr>
            <w:tcW w:w="392" w:type="pct"/>
            <w:tcBorders>
              <w:top w:val="nil"/>
              <w:left w:val="nil"/>
              <w:bottom w:val="nil"/>
              <w:right w:val="nil"/>
            </w:tcBorders>
            <w:shd w:val="clear" w:color="000000" w:fill="FFFFFF"/>
            <w:noWrap/>
          </w:tcPr>
          <w:p w14:paraId="2B100646" w14:textId="6E69CFB7" w:rsidR="00F4223F" w:rsidRPr="00F24A76" w:rsidRDefault="00F4223F" w:rsidP="00F24A76">
            <w:pPr>
              <w:pStyle w:val="NoSpacing"/>
              <w:contextualSpacing/>
            </w:pPr>
            <w:r w:rsidRPr="00F24A76">
              <w:t>(40,52)</w:t>
            </w:r>
          </w:p>
        </w:tc>
        <w:tc>
          <w:tcPr>
            <w:tcW w:w="267" w:type="pct"/>
            <w:tcBorders>
              <w:top w:val="nil"/>
              <w:left w:val="nil"/>
              <w:bottom w:val="nil"/>
              <w:right w:val="nil"/>
            </w:tcBorders>
            <w:shd w:val="clear" w:color="000000" w:fill="FFFFFF"/>
            <w:noWrap/>
          </w:tcPr>
          <w:p w14:paraId="20CD62CE" w14:textId="5B88E888" w:rsidR="00F4223F" w:rsidRPr="00F24A76" w:rsidRDefault="00F4223F" w:rsidP="00F24A76">
            <w:pPr>
              <w:pStyle w:val="NoSpacing"/>
              <w:contextualSpacing/>
              <w:jc w:val="center"/>
              <w:rPr>
                <w:i/>
              </w:rPr>
            </w:pPr>
            <w:r w:rsidRPr="00F24A76">
              <w:rPr>
                <w:i/>
              </w:rPr>
              <w:t>0.03</w:t>
            </w:r>
          </w:p>
        </w:tc>
        <w:tc>
          <w:tcPr>
            <w:tcW w:w="168" w:type="pct"/>
            <w:tcBorders>
              <w:top w:val="nil"/>
              <w:left w:val="nil"/>
              <w:bottom w:val="nil"/>
              <w:right w:val="nil"/>
            </w:tcBorders>
            <w:shd w:val="clear" w:color="000000" w:fill="FFFFFF"/>
            <w:noWrap/>
          </w:tcPr>
          <w:p w14:paraId="738ADB57" w14:textId="5A22082E" w:rsidR="00F4223F" w:rsidRPr="00F24A76" w:rsidRDefault="00F4223F" w:rsidP="00F24A76">
            <w:pPr>
              <w:pStyle w:val="NoSpacing"/>
              <w:contextualSpacing/>
              <w:jc w:val="right"/>
            </w:pPr>
            <w:r w:rsidRPr="00F24A76">
              <w:t>45</w:t>
            </w:r>
          </w:p>
        </w:tc>
        <w:tc>
          <w:tcPr>
            <w:tcW w:w="392" w:type="pct"/>
            <w:tcBorders>
              <w:top w:val="nil"/>
              <w:left w:val="nil"/>
              <w:bottom w:val="nil"/>
              <w:right w:val="nil"/>
            </w:tcBorders>
            <w:shd w:val="clear" w:color="000000" w:fill="FFFFFF"/>
            <w:noWrap/>
          </w:tcPr>
          <w:p w14:paraId="310DA0AE" w14:textId="62FDE1F9" w:rsidR="00F4223F" w:rsidRPr="00F24A76" w:rsidRDefault="00F4223F" w:rsidP="00F24A76">
            <w:pPr>
              <w:pStyle w:val="NoSpacing"/>
              <w:contextualSpacing/>
            </w:pPr>
            <w:r w:rsidRPr="00F24A76">
              <w:t>(40,49)</w:t>
            </w:r>
          </w:p>
        </w:tc>
        <w:tc>
          <w:tcPr>
            <w:tcW w:w="210" w:type="pct"/>
            <w:tcBorders>
              <w:top w:val="nil"/>
              <w:left w:val="nil"/>
              <w:bottom w:val="nil"/>
              <w:right w:val="nil"/>
            </w:tcBorders>
            <w:shd w:val="clear" w:color="000000" w:fill="FFFFFF"/>
            <w:noWrap/>
          </w:tcPr>
          <w:p w14:paraId="72D9F838" w14:textId="381E4E98" w:rsidR="00F4223F" w:rsidRPr="00F24A76" w:rsidRDefault="00F4223F" w:rsidP="00F24A76">
            <w:pPr>
              <w:pStyle w:val="NoSpacing"/>
              <w:contextualSpacing/>
              <w:jc w:val="right"/>
            </w:pPr>
            <w:r w:rsidRPr="00F24A76">
              <w:t>43</w:t>
            </w:r>
          </w:p>
        </w:tc>
        <w:tc>
          <w:tcPr>
            <w:tcW w:w="392" w:type="pct"/>
            <w:tcBorders>
              <w:top w:val="nil"/>
              <w:left w:val="nil"/>
              <w:bottom w:val="nil"/>
              <w:right w:val="nil"/>
            </w:tcBorders>
            <w:shd w:val="clear" w:color="000000" w:fill="FFFFFF"/>
            <w:noWrap/>
          </w:tcPr>
          <w:p w14:paraId="2F146159" w14:textId="7A9AAB41" w:rsidR="00F4223F" w:rsidRPr="00F24A76" w:rsidRDefault="00F4223F" w:rsidP="00F24A76">
            <w:pPr>
              <w:pStyle w:val="NoSpacing"/>
              <w:contextualSpacing/>
            </w:pPr>
            <w:r w:rsidRPr="00F24A76">
              <w:t>(40,47)</w:t>
            </w:r>
          </w:p>
        </w:tc>
        <w:tc>
          <w:tcPr>
            <w:tcW w:w="210" w:type="pct"/>
            <w:tcBorders>
              <w:top w:val="nil"/>
              <w:left w:val="nil"/>
              <w:bottom w:val="nil"/>
              <w:right w:val="nil"/>
            </w:tcBorders>
            <w:shd w:val="clear" w:color="000000" w:fill="FFFFFF"/>
            <w:noWrap/>
          </w:tcPr>
          <w:p w14:paraId="3BE7677A" w14:textId="1AA8DAB8" w:rsidR="00F4223F" w:rsidRPr="00F24A76" w:rsidRDefault="00F4223F" w:rsidP="00F24A76">
            <w:pPr>
              <w:pStyle w:val="NoSpacing"/>
              <w:contextualSpacing/>
              <w:jc w:val="center"/>
              <w:rPr>
                <w:i/>
              </w:rPr>
            </w:pPr>
            <w:r w:rsidRPr="00F24A76">
              <w:rPr>
                <w:i/>
              </w:rPr>
              <w:t>0.053</w:t>
            </w:r>
          </w:p>
        </w:tc>
      </w:tr>
      <w:tr w:rsidR="004003A0" w:rsidRPr="00F24A76" w14:paraId="6C879F91" w14:textId="77777777" w:rsidTr="00235C79">
        <w:trPr>
          <w:trHeight w:val="19"/>
        </w:trPr>
        <w:tc>
          <w:tcPr>
            <w:tcW w:w="939" w:type="pct"/>
            <w:tcBorders>
              <w:top w:val="nil"/>
              <w:left w:val="nil"/>
              <w:bottom w:val="nil"/>
              <w:right w:val="nil"/>
            </w:tcBorders>
            <w:shd w:val="clear" w:color="000000" w:fill="FFFFFF"/>
            <w:noWrap/>
            <w:hideMark/>
          </w:tcPr>
          <w:p w14:paraId="4181845B" w14:textId="5A37E137" w:rsidR="00F4223F" w:rsidRPr="00F24A76" w:rsidRDefault="00F4223F" w:rsidP="00F24A76">
            <w:pPr>
              <w:pStyle w:val="NoSpacing"/>
              <w:contextualSpacing/>
            </w:pPr>
            <w:r w:rsidRPr="00F24A76">
              <w:t>Central SBP</w:t>
            </w:r>
          </w:p>
        </w:tc>
        <w:tc>
          <w:tcPr>
            <w:tcW w:w="168" w:type="pct"/>
            <w:tcBorders>
              <w:top w:val="nil"/>
              <w:left w:val="nil"/>
              <w:bottom w:val="nil"/>
              <w:right w:val="nil"/>
            </w:tcBorders>
            <w:shd w:val="clear" w:color="000000" w:fill="FFFFFF"/>
            <w:noWrap/>
            <w:hideMark/>
          </w:tcPr>
          <w:p w14:paraId="6D0A25D3" w14:textId="73A6E52E" w:rsidR="00F4223F" w:rsidRPr="00F24A76" w:rsidRDefault="00F4223F" w:rsidP="00F24A76">
            <w:pPr>
              <w:pStyle w:val="NoSpacing"/>
              <w:contextualSpacing/>
              <w:jc w:val="right"/>
            </w:pPr>
            <w:r w:rsidRPr="00F24A76">
              <w:t>110</w:t>
            </w:r>
          </w:p>
        </w:tc>
        <w:tc>
          <w:tcPr>
            <w:tcW w:w="350" w:type="pct"/>
            <w:tcBorders>
              <w:top w:val="nil"/>
              <w:left w:val="nil"/>
              <w:bottom w:val="nil"/>
              <w:right w:val="nil"/>
            </w:tcBorders>
            <w:shd w:val="clear" w:color="000000" w:fill="FFFFFF"/>
            <w:noWrap/>
            <w:hideMark/>
          </w:tcPr>
          <w:p w14:paraId="395A0B0F" w14:textId="72514D93" w:rsidR="00F4223F" w:rsidRPr="00F24A76" w:rsidRDefault="00F4223F" w:rsidP="00F24A76">
            <w:pPr>
              <w:pStyle w:val="NoSpacing"/>
              <w:contextualSpacing/>
            </w:pPr>
            <w:r w:rsidRPr="00F24A76">
              <w:t>(102,121)</w:t>
            </w:r>
          </w:p>
        </w:tc>
        <w:tc>
          <w:tcPr>
            <w:tcW w:w="168" w:type="pct"/>
            <w:tcBorders>
              <w:top w:val="nil"/>
              <w:left w:val="nil"/>
              <w:bottom w:val="nil"/>
              <w:right w:val="nil"/>
            </w:tcBorders>
            <w:shd w:val="clear" w:color="000000" w:fill="FFFFFF"/>
            <w:noWrap/>
            <w:hideMark/>
          </w:tcPr>
          <w:p w14:paraId="4E671E95" w14:textId="5344F4E8" w:rsidR="00F4223F" w:rsidRPr="00F24A76" w:rsidRDefault="00F4223F" w:rsidP="00F24A76">
            <w:pPr>
              <w:pStyle w:val="NoSpacing"/>
              <w:contextualSpacing/>
              <w:jc w:val="right"/>
            </w:pPr>
            <w:r w:rsidRPr="00F24A76">
              <w:t>106</w:t>
            </w:r>
          </w:p>
        </w:tc>
        <w:tc>
          <w:tcPr>
            <w:tcW w:w="350" w:type="pct"/>
            <w:tcBorders>
              <w:top w:val="nil"/>
              <w:left w:val="nil"/>
              <w:bottom w:val="nil"/>
              <w:right w:val="nil"/>
            </w:tcBorders>
            <w:shd w:val="clear" w:color="000000" w:fill="FFFFFF"/>
            <w:noWrap/>
            <w:hideMark/>
          </w:tcPr>
          <w:p w14:paraId="650D15B0" w14:textId="77777777" w:rsidR="00F4223F" w:rsidRPr="00F24A76" w:rsidRDefault="00F4223F" w:rsidP="00F24A76">
            <w:pPr>
              <w:pStyle w:val="NoSpacing"/>
              <w:contextualSpacing/>
            </w:pPr>
            <w:r w:rsidRPr="00F24A76">
              <w:t>(100,114)</w:t>
            </w:r>
          </w:p>
        </w:tc>
        <w:tc>
          <w:tcPr>
            <w:tcW w:w="267" w:type="pct"/>
            <w:tcBorders>
              <w:top w:val="nil"/>
              <w:left w:val="nil"/>
              <w:bottom w:val="nil"/>
              <w:right w:val="nil"/>
            </w:tcBorders>
            <w:shd w:val="clear" w:color="000000" w:fill="FFFFFF"/>
            <w:noWrap/>
            <w:hideMark/>
          </w:tcPr>
          <w:p w14:paraId="4205FFCB" w14:textId="58E4A685"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684B941B" w14:textId="066E5518" w:rsidR="00F4223F" w:rsidRPr="00F24A76" w:rsidRDefault="00F4223F" w:rsidP="00F24A76">
            <w:pPr>
              <w:pStyle w:val="NoSpacing"/>
              <w:contextualSpacing/>
              <w:jc w:val="right"/>
            </w:pPr>
            <w:r w:rsidRPr="00F24A76">
              <w:t>116</w:t>
            </w:r>
          </w:p>
        </w:tc>
        <w:tc>
          <w:tcPr>
            <w:tcW w:w="392" w:type="pct"/>
            <w:tcBorders>
              <w:top w:val="nil"/>
              <w:left w:val="nil"/>
              <w:bottom w:val="nil"/>
              <w:right w:val="nil"/>
            </w:tcBorders>
            <w:shd w:val="clear" w:color="000000" w:fill="FFFFFF"/>
            <w:noWrap/>
            <w:hideMark/>
          </w:tcPr>
          <w:p w14:paraId="367DBDBB" w14:textId="77777777" w:rsidR="00F4223F" w:rsidRPr="00F24A76" w:rsidRDefault="00F4223F" w:rsidP="00F24A76">
            <w:pPr>
              <w:pStyle w:val="NoSpacing"/>
              <w:contextualSpacing/>
            </w:pPr>
            <w:r w:rsidRPr="00F24A76">
              <w:t>(109,123)</w:t>
            </w:r>
          </w:p>
        </w:tc>
        <w:tc>
          <w:tcPr>
            <w:tcW w:w="168" w:type="pct"/>
            <w:tcBorders>
              <w:top w:val="nil"/>
              <w:left w:val="nil"/>
              <w:bottom w:val="nil"/>
              <w:right w:val="nil"/>
            </w:tcBorders>
            <w:shd w:val="clear" w:color="000000" w:fill="FFFFFF"/>
            <w:noWrap/>
            <w:hideMark/>
          </w:tcPr>
          <w:p w14:paraId="10E47452" w14:textId="4998B284" w:rsidR="00F4223F" w:rsidRPr="00F24A76" w:rsidRDefault="00F4223F" w:rsidP="00F24A76">
            <w:pPr>
              <w:pStyle w:val="NoSpacing"/>
              <w:contextualSpacing/>
              <w:jc w:val="right"/>
            </w:pPr>
            <w:r w:rsidRPr="00F24A76">
              <w:t>109</w:t>
            </w:r>
          </w:p>
        </w:tc>
        <w:tc>
          <w:tcPr>
            <w:tcW w:w="392" w:type="pct"/>
            <w:tcBorders>
              <w:top w:val="nil"/>
              <w:left w:val="nil"/>
              <w:bottom w:val="nil"/>
              <w:right w:val="nil"/>
            </w:tcBorders>
            <w:shd w:val="clear" w:color="000000" w:fill="FFFFFF"/>
            <w:noWrap/>
            <w:hideMark/>
          </w:tcPr>
          <w:p w14:paraId="274F28E9" w14:textId="094B7B87" w:rsidR="00F4223F" w:rsidRPr="00F24A76" w:rsidRDefault="00F4223F" w:rsidP="00F24A76">
            <w:pPr>
              <w:pStyle w:val="NoSpacing"/>
              <w:contextualSpacing/>
            </w:pPr>
            <w:r w:rsidRPr="00F24A76">
              <w:t>(101,119)</w:t>
            </w:r>
          </w:p>
        </w:tc>
        <w:tc>
          <w:tcPr>
            <w:tcW w:w="267" w:type="pct"/>
            <w:tcBorders>
              <w:top w:val="nil"/>
              <w:left w:val="nil"/>
              <w:bottom w:val="nil"/>
              <w:right w:val="nil"/>
            </w:tcBorders>
            <w:shd w:val="clear" w:color="000000" w:fill="FFFFFF"/>
            <w:noWrap/>
            <w:hideMark/>
          </w:tcPr>
          <w:p w14:paraId="22E13230" w14:textId="4B4F89A1"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5829F69C" w14:textId="5C9F02CF" w:rsidR="00F4223F" w:rsidRPr="00F24A76" w:rsidRDefault="00F4223F" w:rsidP="00F24A76">
            <w:pPr>
              <w:pStyle w:val="NoSpacing"/>
              <w:contextualSpacing/>
              <w:jc w:val="right"/>
            </w:pPr>
            <w:r w:rsidRPr="00F24A76">
              <w:t>108</w:t>
            </w:r>
          </w:p>
        </w:tc>
        <w:tc>
          <w:tcPr>
            <w:tcW w:w="392" w:type="pct"/>
            <w:tcBorders>
              <w:top w:val="nil"/>
              <w:left w:val="nil"/>
              <w:bottom w:val="nil"/>
              <w:right w:val="nil"/>
            </w:tcBorders>
            <w:shd w:val="clear" w:color="000000" w:fill="FFFFFF"/>
            <w:noWrap/>
            <w:hideMark/>
          </w:tcPr>
          <w:p w14:paraId="5CE6A2D9" w14:textId="77777777" w:rsidR="00F4223F" w:rsidRPr="00F24A76" w:rsidRDefault="00F4223F" w:rsidP="00F24A76">
            <w:pPr>
              <w:pStyle w:val="NoSpacing"/>
              <w:contextualSpacing/>
            </w:pPr>
            <w:r w:rsidRPr="00F24A76">
              <w:t>(100,114)</w:t>
            </w:r>
          </w:p>
        </w:tc>
        <w:tc>
          <w:tcPr>
            <w:tcW w:w="210" w:type="pct"/>
            <w:tcBorders>
              <w:top w:val="nil"/>
              <w:left w:val="nil"/>
              <w:bottom w:val="nil"/>
              <w:right w:val="nil"/>
            </w:tcBorders>
            <w:shd w:val="clear" w:color="000000" w:fill="FFFFFF"/>
            <w:noWrap/>
            <w:hideMark/>
          </w:tcPr>
          <w:p w14:paraId="1702596B" w14:textId="01E9F7D4" w:rsidR="00F4223F" w:rsidRPr="00F24A76" w:rsidRDefault="00F4223F" w:rsidP="00F24A76">
            <w:pPr>
              <w:pStyle w:val="NoSpacing"/>
              <w:contextualSpacing/>
              <w:jc w:val="right"/>
            </w:pPr>
            <w:r w:rsidRPr="00F24A76">
              <w:t>104</w:t>
            </w:r>
          </w:p>
        </w:tc>
        <w:tc>
          <w:tcPr>
            <w:tcW w:w="392" w:type="pct"/>
            <w:tcBorders>
              <w:top w:val="nil"/>
              <w:left w:val="nil"/>
              <w:bottom w:val="nil"/>
              <w:right w:val="nil"/>
            </w:tcBorders>
            <w:shd w:val="clear" w:color="000000" w:fill="FFFFFF"/>
            <w:noWrap/>
            <w:hideMark/>
          </w:tcPr>
          <w:p w14:paraId="502D17A4" w14:textId="77777777" w:rsidR="00F4223F" w:rsidRPr="00F24A76" w:rsidRDefault="00F4223F" w:rsidP="00F24A76">
            <w:pPr>
              <w:pStyle w:val="NoSpacing"/>
              <w:contextualSpacing/>
            </w:pPr>
            <w:r w:rsidRPr="00F24A76">
              <w:t>(100,111)</w:t>
            </w:r>
          </w:p>
        </w:tc>
        <w:tc>
          <w:tcPr>
            <w:tcW w:w="210" w:type="pct"/>
            <w:tcBorders>
              <w:top w:val="nil"/>
              <w:left w:val="nil"/>
              <w:bottom w:val="nil"/>
              <w:right w:val="nil"/>
            </w:tcBorders>
            <w:shd w:val="clear" w:color="000000" w:fill="FFFFFF"/>
            <w:noWrap/>
            <w:hideMark/>
          </w:tcPr>
          <w:p w14:paraId="6CF0CA23" w14:textId="5C6C8E7C" w:rsidR="00F4223F" w:rsidRPr="00F24A76" w:rsidRDefault="00F4223F" w:rsidP="00F24A76">
            <w:pPr>
              <w:pStyle w:val="NoSpacing"/>
              <w:contextualSpacing/>
              <w:jc w:val="center"/>
              <w:rPr>
                <w:i/>
              </w:rPr>
            </w:pPr>
            <w:r w:rsidRPr="00F24A76">
              <w:rPr>
                <w:i/>
              </w:rPr>
              <w:t>0.002</w:t>
            </w:r>
          </w:p>
        </w:tc>
      </w:tr>
      <w:tr w:rsidR="004003A0" w:rsidRPr="00F24A76" w14:paraId="2987B81A" w14:textId="77777777" w:rsidTr="00235C79">
        <w:trPr>
          <w:trHeight w:val="19"/>
        </w:trPr>
        <w:tc>
          <w:tcPr>
            <w:tcW w:w="939" w:type="pct"/>
            <w:tcBorders>
              <w:top w:val="nil"/>
              <w:left w:val="nil"/>
              <w:bottom w:val="nil"/>
              <w:right w:val="nil"/>
            </w:tcBorders>
            <w:shd w:val="clear" w:color="000000" w:fill="FFFFFF"/>
            <w:noWrap/>
            <w:hideMark/>
          </w:tcPr>
          <w:p w14:paraId="2A016B73" w14:textId="078A2847" w:rsidR="00F4223F" w:rsidRPr="00F24A76" w:rsidRDefault="00F4223F" w:rsidP="00F24A76">
            <w:pPr>
              <w:pStyle w:val="NoSpacing"/>
              <w:contextualSpacing/>
            </w:pPr>
            <w:r w:rsidRPr="00F24A76">
              <w:t>Central DBP</w:t>
            </w:r>
          </w:p>
        </w:tc>
        <w:tc>
          <w:tcPr>
            <w:tcW w:w="168" w:type="pct"/>
            <w:tcBorders>
              <w:top w:val="nil"/>
              <w:left w:val="nil"/>
              <w:bottom w:val="nil"/>
              <w:right w:val="nil"/>
            </w:tcBorders>
            <w:shd w:val="clear" w:color="000000" w:fill="FFFFFF"/>
            <w:noWrap/>
            <w:hideMark/>
          </w:tcPr>
          <w:p w14:paraId="43279E4D" w14:textId="3419EBB3" w:rsidR="00F4223F" w:rsidRPr="00F24A76" w:rsidRDefault="00F4223F" w:rsidP="00F24A76">
            <w:pPr>
              <w:pStyle w:val="NoSpacing"/>
              <w:contextualSpacing/>
              <w:jc w:val="right"/>
            </w:pPr>
            <w:r w:rsidRPr="00F24A76">
              <w:t>76</w:t>
            </w:r>
          </w:p>
        </w:tc>
        <w:tc>
          <w:tcPr>
            <w:tcW w:w="350" w:type="pct"/>
            <w:tcBorders>
              <w:top w:val="nil"/>
              <w:left w:val="nil"/>
              <w:bottom w:val="nil"/>
              <w:right w:val="nil"/>
            </w:tcBorders>
            <w:shd w:val="clear" w:color="000000" w:fill="FFFFFF"/>
            <w:noWrap/>
            <w:hideMark/>
          </w:tcPr>
          <w:p w14:paraId="61F0D101" w14:textId="77777777" w:rsidR="00F4223F" w:rsidRPr="00F24A76" w:rsidRDefault="00F4223F" w:rsidP="00F24A76">
            <w:pPr>
              <w:pStyle w:val="NoSpacing"/>
              <w:contextualSpacing/>
            </w:pPr>
            <w:r w:rsidRPr="00F24A76">
              <w:t>(72,81)</w:t>
            </w:r>
          </w:p>
        </w:tc>
        <w:tc>
          <w:tcPr>
            <w:tcW w:w="168" w:type="pct"/>
            <w:tcBorders>
              <w:top w:val="nil"/>
              <w:left w:val="nil"/>
              <w:bottom w:val="nil"/>
              <w:right w:val="nil"/>
            </w:tcBorders>
            <w:shd w:val="clear" w:color="000000" w:fill="FFFFFF"/>
            <w:noWrap/>
            <w:hideMark/>
          </w:tcPr>
          <w:p w14:paraId="6E8EF5D1" w14:textId="22B73F17" w:rsidR="00F4223F" w:rsidRPr="00F24A76" w:rsidRDefault="00F4223F" w:rsidP="00F24A76">
            <w:pPr>
              <w:pStyle w:val="NoSpacing"/>
              <w:contextualSpacing/>
              <w:jc w:val="right"/>
            </w:pPr>
            <w:r w:rsidRPr="00F24A76">
              <w:t>74</w:t>
            </w:r>
          </w:p>
        </w:tc>
        <w:tc>
          <w:tcPr>
            <w:tcW w:w="350" w:type="pct"/>
            <w:tcBorders>
              <w:top w:val="nil"/>
              <w:left w:val="nil"/>
              <w:bottom w:val="nil"/>
              <w:right w:val="nil"/>
            </w:tcBorders>
            <w:shd w:val="clear" w:color="000000" w:fill="FFFFFF"/>
            <w:noWrap/>
            <w:hideMark/>
          </w:tcPr>
          <w:p w14:paraId="7D7946B0" w14:textId="77777777" w:rsidR="00F4223F" w:rsidRPr="00F24A76" w:rsidRDefault="00F4223F" w:rsidP="00F24A76">
            <w:pPr>
              <w:pStyle w:val="NoSpacing"/>
              <w:contextualSpacing/>
            </w:pPr>
            <w:r w:rsidRPr="00F24A76">
              <w:t>(69,78)</w:t>
            </w:r>
          </w:p>
        </w:tc>
        <w:tc>
          <w:tcPr>
            <w:tcW w:w="267" w:type="pct"/>
            <w:tcBorders>
              <w:top w:val="nil"/>
              <w:left w:val="nil"/>
              <w:bottom w:val="nil"/>
              <w:right w:val="nil"/>
            </w:tcBorders>
            <w:shd w:val="clear" w:color="000000" w:fill="FFFFFF"/>
            <w:noWrap/>
            <w:hideMark/>
          </w:tcPr>
          <w:p w14:paraId="3099C034" w14:textId="48440841"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6D7DEB58" w14:textId="2F0D8CB3" w:rsidR="00F4223F" w:rsidRPr="00F24A76" w:rsidRDefault="00F4223F" w:rsidP="00F24A76">
            <w:pPr>
              <w:pStyle w:val="NoSpacing"/>
              <w:contextualSpacing/>
              <w:jc w:val="right"/>
            </w:pPr>
            <w:r w:rsidRPr="00F24A76">
              <w:t>79</w:t>
            </w:r>
          </w:p>
        </w:tc>
        <w:tc>
          <w:tcPr>
            <w:tcW w:w="392" w:type="pct"/>
            <w:tcBorders>
              <w:top w:val="nil"/>
              <w:left w:val="nil"/>
              <w:bottom w:val="nil"/>
              <w:right w:val="nil"/>
            </w:tcBorders>
            <w:shd w:val="clear" w:color="000000" w:fill="FFFFFF"/>
            <w:noWrap/>
            <w:hideMark/>
          </w:tcPr>
          <w:p w14:paraId="12BA867C" w14:textId="3C990E14" w:rsidR="00F4223F" w:rsidRPr="00F24A76" w:rsidRDefault="00F4223F" w:rsidP="00F24A76">
            <w:pPr>
              <w:pStyle w:val="NoSpacing"/>
              <w:contextualSpacing/>
            </w:pPr>
            <w:r w:rsidRPr="00F24A76">
              <w:t>(75,83)</w:t>
            </w:r>
          </w:p>
        </w:tc>
        <w:tc>
          <w:tcPr>
            <w:tcW w:w="168" w:type="pct"/>
            <w:tcBorders>
              <w:top w:val="nil"/>
              <w:left w:val="nil"/>
              <w:bottom w:val="nil"/>
              <w:right w:val="nil"/>
            </w:tcBorders>
            <w:shd w:val="clear" w:color="000000" w:fill="FFFFFF"/>
            <w:noWrap/>
            <w:hideMark/>
          </w:tcPr>
          <w:p w14:paraId="18C5EBBC" w14:textId="37C72353" w:rsidR="00F4223F" w:rsidRPr="00F24A76" w:rsidRDefault="00F4223F" w:rsidP="00F24A76">
            <w:pPr>
              <w:pStyle w:val="NoSpacing"/>
              <w:contextualSpacing/>
              <w:jc w:val="right"/>
            </w:pPr>
            <w:r w:rsidRPr="00F24A76">
              <w:t>75</w:t>
            </w:r>
          </w:p>
        </w:tc>
        <w:tc>
          <w:tcPr>
            <w:tcW w:w="392" w:type="pct"/>
            <w:tcBorders>
              <w:top w:val="nil"/>
              <w:left w:val="nil"/>
              <w:bottom w:val="nil"/>
              <w:right w:val="nil"/>
            </w:tcBorders>
            <w:shd w:val="clear" w:color="000000" w:fill="FFFFFF"/>
            <w:noWrap/>
            <w:hideMark/>
          </w:tcPr>
          <w:p w14:paraId="7BF156F9" w14:textId="77777777" w:rsidR="00F4223F" w:rsidRPr="00F24A76" w:rsidRDefault="00F4223F" w:rsidP="00F24A76">
            <w:pPr>
              <w:pStyle w:val="NoSpacing"/>
              <w:contextualSpacing/>
            </w:pPr>
            <w:r w:rsidRPr="00F24A76">
              <w:t>(69,79)</w:t>
            </w:r>
          </w:p>
        </w:tc>
        <w:tc>
          <w:tcPr>
            <w:tcW w:w="267" w:type="pct"/>
            <w:tcBorders>
              <w:top w:val="nil"/>
              <w:left w:val="nil"/>
              <w:bottom w:val="nil"/>
              <w:right w:val="nil"/>
            </w:tcBorders>
            <w:shd w:val="clear" w:color="000000" w:fill="FFFFFF"/>
            <w:noWrap/>
            <w:hideMark/>
          </w:tcPr>
          <w:p w14:paraId="74A279D4" w14:textId="062D4054"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696C36E7" w14:textId="340359F9" w:rsidR="00F4223F" w:rsidRPr="00F24A76" w:rsidRDefault="00F4223F" w:rsidP="00F24A76">
            <w:pPr>
              <w:pStyle w:val="NoSpacing"/>
              <w:contextualSpacing/>
              <w:jc w:val="right"/>
            </w:pPr>
            <w:r w:rsidRPr="00F24A76">
              <w:t>74</w:t>
            </w:r>
          </w:p>
        </w:tc>
        <w:tc>
          <w:tcPr>
            <w:tcW w:w="392" w:type="pct"/>
            <w:tcBorders>
              <w:top w:val="nil"/>
              <w:left w:val="nil"/>
              <w:bottom w:val="nil"/>
              <w:right w:val="nil"/>
            </w:tcBorders>
            <w:shd w:val="clear" w:color="000000" w:fill="FFFFFF"/>
            <w:noWrap/>
            <w:hideMark/>
          </w:tcPr>
          <w:p w14:paraId="77833E4A" w14:textId="77777777" w:rsidR="00F4223F" w:rsidRPr="00F24A76" w:rsidRDefault="00F4223F" w:rsidP="00F24A76">
            <w:pPr>
              <w:pStyle w:val="NoSpacing"/>
              <w:contextualSpacing/>
            </w:pPr>
            <w:r w:rsidRPr="00F24A76">
              <w:t>(71,78)</w:t>
            </w:r>
          </w:p>
        </w:tc>
        <w:tc>
          <w:tcPr>
            <w:tcW w:w="210" w:type="pct"/>
            <w:tcBorders>
              <w:top w:val="nil"/>
              <w:left w:val="nil"/>
              <w:bottom w:val="nil"/>
              <w:right w:val="nil"/>
            </w:tcBorders>
            <w:shd w:val="clear" w:color="000000" w:fill="FFFFFF"/>
            <w:noWrap/>
            <w:hideMark/>
          </w:tcPr>
          <w:p w14:paraId="00F99F30" w14:textId="7BC5F3FF" w:rsidR="00F4223F" w:rsidRPr="00F24A76" w:rsidRDefault="00F4223F" w:rsidP="00F24A76">
            <w:pPr>
              <w:pStyle w:val="NoSpacing"/>
              <w:contextualSpacing/>
              <w:jc w:val="right"/>
            </w:pPr>
            <w:r w:rsidRPr="00F24A76">
              <w:t>73</w:t>
            </w:r>
          </w:p>
        </w:tc>
        <w:tc>
          <w:tcPr>
            <w:tcW w:w="392" w:type="pct"/>
            <w:tcBorders>
              <w:top w:val="nil"/>
              <w:left w:val="nil"/>
              <w:bottom w:val="nil"/>
              <w:right w:val="nil"/>
            </w:tcBorders>
            <w:shd w:val="clear" w:color="000000" w:fill="FFFFFF"/>
            <w:noWrap/>
            <w:hideMark/>
          </w:tcPr>
          <w:p w14:paraId="035CA31F" w14:textId="77777777" w:rsidR="00F4223F" w:rsidRPr="00F24A76" w:rsidRDefault="00F4223F" w:rsidP="00F24A76">
            <w:pPr>
              <w:pStyle w:val="NoSpacing"/>
              <w:contextualSpacing/>
            </w:pPr>
            <w:r w:rsidRPr="00F24A76">
              <w:t>(69,77)</w:t>
            </w:r>
          </w:p>
        </w:tc>
        <w:tc>
          <w:tcPr>
            <w:tcW w:w="210" w:type="pct"/>
            <w:tcBorders>
              <w:top w:val="nil"/>
              <w:left w:val="nil"/>
              <w:bottom w:val="nil"/>
              <w:right w:val="nil"/>
            </w:tcBorders>
            <w:shd w:val="clear" w:color="000000" w:fill="FFFFFF"/>
            <w:noWrap/>
            <w:hideMark/>
          </w:tcPr>
          <w:p w14:paraId="13EA95F6" w14:textId="77777777" w:rsidR="00F4223F" w:rsidRPr="00F24A76" w:rsidRDefault="00F4223F" w:rsidP="00F24A76">
            <w:pPr>
              <w:pStyle w:val="NoSpacing"/>
              <w:contextualSpacing/>
              <w:jc w:val="center"/>
              <w:rPr>
                <w:i/>
              </w:rPr>
            </w:pPr>
            <w:r w:rsidRPr="00F24A76">
              <w:rPr>
                <w:i/>
              </w:rPr>
              <w:t>0.02</w:t>
            </w:r>
          </w:p>
        </w:tc>
      </w:tr>
      <w:tr w:rsidR="004003A0" w:rsidRPr="00F24A76" w14:paraId="0D5E7475" w14:textId="77777777" w:rsidTr="00235C79">
        <w:trPr>
          <w:trHeight w:val="19"/>
        </w:trPr>
        <w:tc>
          <w:tcPr>
            <w:tcW w:w="939" w:type="pct"/>
            <w:tcBorders>
              <w:top w:val="nil"/>
              <w:left w:val="nil"/>
              <w:bottom w:val="nil"/>
              <w:right w:val="nil"/>
            </w:tcBorders>
            <w:shd w:val="clear" w:color="000000" w:fill="FFFFFF"/>
            <w:noWrap/>
            <w:hideMark/>
          </w:tcPr>
          <w:p w14:paraId="56AE8257" w14:textId="784EF140" w:rsidR="00F4223F" w:rsidRPr="00F24A76" w:rsidRDefault="00F4223F" w:rsidP="00F24A76">
            <w:pPr>
              <w:pStyle w:val="NoSpacing"/>
              <w:contextualSpacing/>
            </w:pPr>
            <w:r w:rsidRPr="00F24A76">
              <w:t>Central MAP</w:t>
            </w:r>
          </w:p>
        </w:tc>
        <w:tc>
          <w:tcPr>
            <w:tcW w:w="168" w:type="pct"/>
            <w:tcBorders>
              <w:top w:val="nil"/>
              <w:left w:val="nil"/>
              <w:bottom w:val="nil"/>
              <w:right w:val="nil"/>
            </w:tcBorders>
            <w:shd w:val="clear" w:color="000000" w:fill="FFFFFF"/>
            <w:noWrap/>
            <w:hideMark/>
          </w:tcPr>
          <w:p w14:paraId="31309DCA" w14:textId="23DFF160" w:rsidR="00F4223F" w:rsidRPr="00F24A76" w:rsidRDefault="00F4223F" w:rsidP="00F24A76">
            <w:pPr>
              <w:pStyle w:val="NoSpacing"/>
              <w:contextualSpacing/>
              <w:jc w:val="right"/>
            </w:pPr>
            <w:r w:rsidRPr="00F24A76">
              <w:t>87</w:t>
            </w:r>
          </w:p>
        </w:tc>
        <w:tc>
          <w:tcPr>
            <w:tcW w:w="350" w:type="pct"/>
            <w:tcBorders>
              <w:top w:val="nil"/>
              <w:left w:val="nil"/>
              <w:bottom w:val="nil"/>
              <w:right w:val="nil"/>
            </w:tcBorders>
            <w:shd w:val="clear" w:color="000000" w:fill="FFFFFF"/>
            <w:noWrap/>
            <w:hideMark/>
          </w:tcPr>
          <w:p w14:paraId="3122174A" w14:textId="77777777" w:rsidR="00F4223F" w:rsidRPr="00F24A76" w:rsidRDefault="00F4223F" w:rsidP="00F24A76">
            <w:pPr>
              <w:pStyle w:val="NoSpacing"/>
              <w:contextualSpacing/>
            </w:pPr>
            <w:r w:rsidRPr="00F24A76">
              <w:t>(82,94)</w:t>
            </w:r>
          </w:p>
        </w:tc>
        <w:tc>
          <w:tcPr>
            <w:tcW w:w="168" w:type="pct"/>
            <w:tcBorders>
              <w:top w:val="nil"/>
              <w:left w:val="nil"/>
              <w:bottom w:val="nil"/>
              <w:right w:val="nil"/>
            </w:tcBorders>
            <w:shd w:val="clear" w:color="000000" w:fill="FFFFFF"/>
            <w:noWrap/>
            <w:hideMark/>
          </w:tcPr>
          <w:p w14:paraId="03E4419C" w14:textId="074A0CD3" w:rsidR="00F4223F" w:rsidRPr="00F24A76" w:rsidRDefault="00F4223F" w:rsidP="00F24A76">
            <w:pPr>
              <w:pStyle w:val="NoSpacing"/>
              <w:contextualSpacing/>
              <w:jc w:val="right"/>
            </w:pPr>
            <w:r w:rsidRPr="00F24A76">
              <w:t>85</w:t>
            </w:r>
          </w:p>
        </w:tc>
        <w:tc>
          <w:tcPr>
            <w:tcW w:w="350" w:type="pct"/>
            <w:tcBorders>
              <w:top w:val="nil"/>
              <w:left w:val="nil"/>
              <w:bottom w:val="nil"/>
              <w:right w:val="nil"/>
            </w:tcBorders>
            <w:shd w:val="clear" w:color="000000" w:fill="FFFFFF"/>
            <w:noWrap/>
            <w:hideMark/>
          </w:tcPr>
          <w:p w14:paraId="66B5BB56" w14:textId="77777777" w:rsidR="00F4223F" w:rsidRPr="00F24A76" w:rsidRDefault="00F4223F" w:rsidP="00F24A76">
            <w:pPr>
              <w:pStyle w:val="NoSpacing"/>
              <w:contextualSpacing/>
            </w:pPr>
            <w:r w:rsidRPr="00F24A76">
              <w:t>(79,90)</w:t>
            </w:r>
          </w:p>
        </w:tc>
        <w:tc>
          <w:tcPr>
            <w:tcW w:w="267" w:type="pct"/>
            <w:tcBorders>
              <w:top w:val="nil"/>
              <w:left w:val="nil"/>
              <w:bottom w:val="nil"/>
              <w:right w:val="nil"/>
            </w:tcBorders>
            <w:shd w:val="clear" w:color="000000" w:fill="FFFFFF"/>
            <w:noWrap/>
            <w:hideMark/>
          </w:tcPr>
          <w:p w14:paraId="64E0BEE3" w14:textId="3C5453B6"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54FBFCEB" w14:textId="18FA7A5C" w:rsidR="00F4223F" w:rsidRPr="00F24A76" w:rsidRDefault="00F4223F" w:rsidP="00F24A76">
            <w:pPr>
              <w:pStyle w:val="NoSpacing"/>
              <w:contextualSpacing/>
              <w:jc w:val="right"/>
            </w:pPr>
            <w:r w:rsidRPr="00F24A76">
              <w:t>92</w:t>
            </w:r>
          </w:p>
        </w:tc>
        <w:tc>
          <w:tcPr>
            <w:tcW w:w="392" w:type="pct"/>
            <w:tcBorders>
              <w:top w:val="nil"/>
              <w:left w:val="nil"/>
              <w:bottom w:val="nil"/>
              <w:right w:val="nil"/>
            </w:tcBorders>
            <w:shd w:val="clear" w:color="000000" w:fill="FFFFFF"/>
            <w:noWrap/>
            <w:hideMark/>
          </w:tcPr>
          <w:p w14:paraId="6222A2E7" w14:textId="77777777" w:rsidR="00F4223F" w:rsidRPr="00F24A76" w:rsidRDefault="00F4223F" w:rsidP="00F24A76">
            <w:pPr>
              <w:pStyle w:val="NoSpacing"/>
              <w:contextualSpacing/>
            </w:pPr>
            <w:r w:rsidRPr="00F24A76">
              <w:t>(87,96)</w:t>
            </w:r>
          </w:p>
        </w:tc>
        <w:tc>
          <w:tcPr>
            <w:tcW w:w="168" w:type="pct"/>
            <w:tcBorders>
              <w:top w:val="nil"/>
              <w:left w:val="nil"/>
              <w:bottom w:val="nil"/>
              <w:right w:val="nil"/>
            </w:tcBorders>
            <w:shd w:val="clear" w:color="000000" w:fill="FFFFFF"/>
            <w:noWrap/>
            <w:hideMark/>
          </w:tcPr>
          <w:p w14:paraId="65D06875" w14:textId="3020C23A" w:rsidR="00F4223F" w:rsidRPr="00F24A76" w:rsidRDefault="00F4223F" w:rsidP="00F24A76">
            <w:pPr>
              <w:pStyle w:val="NoSpacing"/>
              <w:contextualSpacing/>
              <w:jc w:val="right"/>
            </w:pPr>
            <w:r w:rsidRPr="00F24A76">
              <w:t>86</w:t>
            </w:r>
          </w:p>
        </w:tc>
        <w:tc>
          <w:tcPr>
            <w:tcW w:w="392" w:type="pct"/>
            <w:tcBorders>
              <w:top w:val="nil"/>
              <w:left w:val="nil"/>
              <w:bottom w:val="nil"/>
              <w:right w:val="nil"/>
            </w:tcBorders>
            <w:shd w:val="clear" w:color="000000" w:fill="FFFFFF"/>
            <w:noWrap/>
            <w:hideMark/>
          </w:tcPr>
          <w:p w14:paraId="074449F7" w14:textId="77777777" w:rsidR="00F4223F" w:rsidRPr="00F24A76" w:rsidRDefault="00F4223F" w:rsidP="00F24A76">
            <w:pPr>
              <w:pStyle w:val="NoSpacing"/>
              <w:contextualSpacing/>
            </w:pPr>
            <w:r w:rsidRPr="00F24A76">
              <w:t>(80,92)</w:t>
            </w:r>
          </w:p>
        </w:tc>
        <w:tc>
          <w:tcPr>
            <w:tcW w:w="267" w:type="pct"/>
            <w:tcBorders>
              <w:top w:val="nil"/>
              <w:left w:val="nil"/>
              <w:bottom w:val="nil"/>
              <w:right w:val="nil"/>
            </w:tcBorders>
            <w:shd w:val="clear" w:color="000000" w:fill="FFFFFF"/>
            <w:noWrap/>
            <w:hideMark/>
          </w:tcPr>
          <w:p w14:paraId="61D64D10" w14:textId="35CBE946" w:rsidR="00F4223F" w:rsidRPr="00F24A76" w:rsidRDefault="00F4223F" w:rsidP="00F24A76">
            <w:pPr>
              <w:pStyle w:val="NoSpacing"/>
              <w:contextualSpacing/>
              <w:jc w:val="center"/>
              <w:rPr>
                <w:i/>
              </w:rPr>
            </w:pPr>
            <w:r w:rsidRPr="00F24A76">
              <w:rPr>
                <w:i/>
              </w:rPr>
              <w:t>&lt;0.001</w:t>
            </w:r>
          </w:p>
        </w:tc>
        <w:tc>
          <w:tcPr>
            <w:tcW w:w="168" w:type="pct"/>
            <w:tcBorders>
              <w:top w:val="nil"/>
              <w:left w:val="nil"/>
              <w:bottom w:val="nil"/>
              <w:right w:val="nil"/>
            </w:tcBorders>
            <w:shd w:val="clear" w:color="000000" w:fill="FFFFFF"/>
            <w:noWrap/>
            <w:hideMark/>
          </w:tcPr>
          <w:p w14:paraId="31EB04E3" w14:textId="215771AC" w:rsidR="00F4223F" w:rsidRPr="00F24A76" w:rsidRDefault="00F4223F" w:rsidP="00F24A76">
            <w:pPr>
              <w:pStyle w:val="NoSpacing"/>
              <w:contextualSpacing/>
              <w:jc w:val="right"/>
            </w:pPr>
            <w:r w:rsidRPr="00F24A76">
              <w:t>85</w:t>
            </w:r>
          </w:p>
        </w:tc>
        <w:tc>
          <w:tcPr>
            <w:tcW w:w="392" w:type="pct"/>
            <w:tcBorders>
              <w:top w:val="nil"/>
              <w:left w:val="nil"/>
              <w:bottom w:val="nil"/>
              <w:right w:val="nil"/>
            </w:tcBorders>
            <w:shd w:val="clear" w:color="000000" w:fill="FFFFFF"/>
            <w:noWrap/>
            <w:hideMark/>
          </w:tcPr>
          <w:p w14:paraId="20274E43" w14:textId="77777777" w:rsidR="00F4223F" w:rsidRPr="00F24A76" w:rsidRDefault="00F4223F" w:rsidP="00F24A76">
            <w:pPr>
              <w:pStyle w:val="NoSpacing"/>
              <w:contextualSpacing/>
            </w:pPr>
            <w:r w:rsidRPr="00F24A76">
              <w:t>(82,90)</w:t>
            </w:r>
          </w:p>
        </w:tc>
        <w:tc>
          <w:tcPr>
            <w:tcW w:w="210" w:type="pct"/>
            <w:tcBorders>
              <w:top w:val="nil"/>
              <w:left w:val="nil"/>
              <w:bottom w:val="nil"/>
              <w:right w:val="nil"/>
            </w:tcBorders>
            <w:shd w:val="clear" w:color="000000" w:fill="FFFFFF"/>
            <w:noWrap/>
            <w:hideMark/>
          </w:tcPr>
          <w:p w14:paraId="1EF212FE" w14:textId="19353DC9" w:rsidR="00F4223F" w:rsidRPr="00F24A76" w:rsidRDefault="00F4223F" w:rsidP="00F24A76">
            <w:pPr>
              <w:pStyle w:val="NoSpacing"/>
              <w:contextualSpacing/>
              <w:jc w:val="right"/>
            </w:pPr>
            <w:r w:rsidRPr="00F24A76">
              <w:t>83</w:t>
            </w:r>
          </w:p>
        </w:tc>
        <w:tc>
          <w:tcPr>
            <w:tcW w:w="392" w:type="pct"/>
            <w:tcBorders>
              <w:top w:val="nil"/>
              <w:left w:val="nil"/>
              <w:bottom w:val="nil"/>
              <w:right w:val="nil"/>
            </w:tcBorders>
            <w:shd w:val="clear" w:color="000000" w:fill="FFFFFF"/>
            <w:noWrap/>
            <w:hideMark/>
          </w:tcPr>
          <w:p w14:paraId="47CF6C05" w14:textId="77777777" w:rsidR="00F4223F" w:rsidRPr="00F24A76" w:rsidRDefault="00F4223F" w:rsidP="00F24A76">
            <w:pPr>
              <w:pStyle w:val="NoSpacing"/>
              <w:contextualSpacing/>
            </w:pPr>
            <w:r w:rsidRPr="00F24A76">
              <w:t>(79,88)</w:t>
            </w:r>
          </w:p>
        </w:tc>
        <w:tc>
          <w:tcPr>
            <w:tcW w:w="210" w:type="pct"/>
            <w:tcBorders>
              <w:top w:val="nil"/>
              <w:left w:val="nil"/>
              <w:bottom w:val="nil"/>
              <w:right w:val="nil"/>
            </w:tcBorders>
            <w:shd w:val="clear" w:color="000000" w:fill="FFFFFF"/>
            <w:noWrap/>
            <w:hideMark/>
          </w:tcPr>
          <w:p w14:paraId="7B6FDC2C" w14:textId="6C05F822" w:rsidR="00F4223F" w:rsidRPr="00F24A76" w:rsidRDefault="00F4223F" w:rsidP="00F24A76">
            <w:pPr>
              <w:pStyle w:val="NoSpacing"/>
              <w:contextualSpacing/>
              <w:jc w:val="center"/>
              <w:rPr>
                <w:i/>
              </w:rPr>
            </w:pPr>
            <w:r w:rsidRPr="00F24A76">
              <w:rPr>
                <w:i/>
              </w:rPr>
              <w:t>0.007</w:t>
            </w:r>
          </w:p>
        </w:tc>
      </w:tr>
      <w:tr w:rsidR="004003A0" w:rsidRPr="00F24A76" w14:paraId="29033896" w14:textId="77777777" w:rsidTr="00235C79">
        <w:trPr>
          <w:trHeight w:val="19"/>
        </w:trPr>
        <w:tc>
          <w:tcPr>
            <w:tcW w:w="939" w:type="pct"/>
            <w:tcBorders>
              <w:top w:val="nil"/>
              <w:left w:val="nil"/>
              <w:bottom w:val="nil"/>
              <w:right w:val="nil"/>
            </w:tcBorders>
            <w:shd w:val="clear" w:color="000000" w:fill="FFFFFF"/>
            <w:noWrap/>
          </w:tcPr>
          <w:p w14:paraId="6DAAC84C" w14:textId="0F9581C0" w:rsidR="00F4223F" w:rsidRPr="00F24A76" w:rsidRDefault="00F4223F" w:rsidP="00F24A76">
            <w:pPr>
              <w:pStyle w:val="NoSpacing"/>
              <w:contextualSpacing/>
            </w:pPr>
            <w:r w:rsidRPr="00F24A76">
              <w:t>Central PP</w:t>
            </w:r>
          </w:p>
        </w:tc>
        <w:tc>
          <w:tcPr>
            <w:tcW w:w="168" w:type="pct"/>
            <w:tcBorders>
              <w:top w:val="nil"/>
              <w:left w:val="nil"/>
              <w:bottom w:val="nil"/>
              <w:right w:val="nil"/>
            </w:tcBorders>
            <w:shd w:val="clear" w:color="000000" w:fill="FFFFFF"/>
            <w:noWrap/>
          </w:tcPr>
          <w:p w14:paraId="7A8D1B53" w14:textId="7BCF7E23" w:rsidR="00F4223F" w:rsidRPr="00F24A76" w:rsidRDefault="00F4223F" w:rsidP="00F24A76">
            <w:pPr>
              <w:pStyle w:val="NoSpacing"/>
              <w:contextualSpacing/>
              <w:jc w:val="right"/>
            </w:pPr>
            <w:r w:rsidRPr="00F24A76">
              <w:t>35</w:t>
            </w:r>
          </w:p>
        </w:tc>
        <w:tc>
          <w:tcPr>
            <w:tcW w:w="350" w:type="pct"/>
            <w:tcBorders>
              <w:top w:val="nil"/>
              <w:left w:val="nil"/>
              <w:bottom w:val="nil"/>
              <w:right w:val="nil"/>
            </w:tcBorders>
            <w:shd w:val="clear" w:color="000000" w:fill="FFFFFF"/>
            <w:noWrap/>
          </w:tcPr>
          <w:p w14:paraId="125E486D" w14:textId="3F130B6A" w:rsidR="00F4223F" w:rsidRPr="00F24A76" w:rsidRDefault="00F4223F" w:rsidP="00F24A76">
            <w:pPr>
              <w:pStyle w:val="NoSpacing"/>
              <w:contextualSpacing/>
            </w:pPr>
            <w:r w:rsidRPr="00F24A76">
              <w:t>(31,41)</w:t>
            </w:r>
          </w:p>
        </w:tc>
        <w:tc>
          <w:tcPr>
            <w:tcW w:w="168" w:type="pct"/>
            <w:tcBorders>
              <w:top w:val="nil"/>
              <w:left w:val="nil"/>
              <w:bottom w:val="nil"/>
              <w:right w:val="nil"/>
            </w:tcBorders>
            <w:shd w:val="clear" w:color="000000" w:fill="FFFFFF"/>
            <w:noWrap/>
          </w:tcPr>
          <w:p w14:paraId="460D2815" w14:textId="064679BB" w:rsidR="00F4223F" w:rsidRPr="00F24A76" w:rsidRDefault="00F4223F" w:rsidP="00F24A76">
            <w:pPr>
              <w:pStyle w:val="NoSpacing"/>
              <w:contextualSpacing/>
              <w:jc w:val="right"/>
            </w:pPr>
            <w:r w:rsidRPr="00F24A76">
              <w:t>33</w:t>
            </w:r>
          </w:p>
        </w:tc>
        <w:tc>
          <w:tcPr>
            <w:tcW w:w="350" w:type="pct"/>
            <w:tcBorders>
              <w:top w:val="nil"/>
              <w:left w:val="nil"/>
              <w:bottom w:val="nil"/>
              <w:right w:val="nil"/>
            </w:tcBorders>
            <w:shd w:val="clear" w:color="000000" w:fill="FFFFFF"/>
            <w:noWrap/>
          </w:tcPr>
          <w:p w14:paraId="01C78719" w14:textId="7F1E1E30" w:rsidR="00F4223F" w:rsidRPr="00F24A76" w:rsidRDefault="00F4223F" w:rsidP="00F24A76">
            <w:pPr>
              <w:pStyle w:val="NoSpacing"/>
              <w:contextualSpacing/>
            </w:pPr>
            <w:r w:rsidRPr="00F24A76">
              <w:t>(30,39)</w:t>
            </w:r>
          </w:p>
        </w:tc>
        <w:tc>
          <w:tcPr>
            <w:tcW w:w="267" w:type="pct"/>
            <w:tcBorders>
              <w:top w:val="nil"/>
              <w:left w:val="nil"/>
              <w:bottom w:val="nil"/>
              <w:right w:val="nil"/>
            </w:tcBorders>
            <w:shd w:val="clear" w:color="000000" w:fill="FFFFFF"/>
            <w:noWrap/>
          </w:tcPr>
          <w:p w14:paraId="5E9678E9" w14:textId="1720AFAB" w:rsidR="00F4223F" w:rsidRPr="00F24A76" w:rsidRDefault="00F4223F" w:rsidP="00F24A76">
            <w:pPr>
              <w:pStyle w:val="NoSpacing"/>
              <w:contextualSpacing/>
              <w:jc w:val="center"/>
              <w:rPr>
                <w:i/>
              </w:rPr>
            </w:pPr>
            <w:r w:rsidRPr="00F24A76">
              <w:rPr>
                <w:i/>
              </w:rPr>
              <w:t>0.02</w:t>
            </w:r>
          </w:p>
        </w:tc>
        <w:tc>
          <w:tcPr>
            <w:tcW w:w="168" w:type="pct"/>
            <w:tcBorders>
              <w:top w:val="nil"/>
              <w:left w:val="nil"/>
              <w:bottom w:val="nil"/>
              <w:right w:val="nil"/>
            </w:tcBorders>
            <w:shd w:val="clear" w:color="000000" w:fill="FFFFFF"/>
            <w:noWrap/>
          </w:tcPr>
          <w:p w14:paraId="785326EE" w14:textId="7AD72C1A" w:rsidR="00F4223F" w:rsidRPr="00F24A76" w:rsidRDefault="00F4223F" w:rsidP="00F24A76">
            <w:pPr>
              <w:pStyle w:val="NoSpacing"/>
              <w:contextualSpacing/>
              <w:jc w:val="right"/>
            </w:pPr>
            <w:r w:rsidRPr="00F24A76">
              <w:t>39</w:t>
            </w:r>
          </w:p>
        </w:tc>
        <w:tc>
          <w:tcPr>
            <w:tcW w:w="392" w:type="pct"/>
            <w:tcBorders>
              <w:top w:val="nil"/>
              <w:left w:val="nil"/>
              <w:bottom w:val="nil"/>
              <w:right w:val="nil"/>
            </w:tcBorders>
            <w:shd w:val="clear" w:color="000000" w:fill="FFFFFF"/>
            <w:noWrap/>
          </w:tcPr>
          <w:p w14:paraId="2909731F" w14:textId="0A55E4EF" w:rsidR="00F4223F" w:rsidRPr="00F24A76" w:rsidRDefault="00F4223F" w:rsidP="00F24A76">
            <w:pPr>
              <w:pStyle w:val="NoSpacing"/>
              <w:contextualSpacing/>
            </w:pPr>
            <w:r w:rsidRPr="00F24A76">
              <w:t>(33,43)</w:t>
            </w:r>
          </w:p>
        </w:tc>
        <w:tc>
          <w:tcPr>
            <w:tcW w:w="168" w:type="pct"/>
            <w:tcBorders>
              <w:top w:val="nil"/>
              <w:left w:val="nil"/>
              <w:bottom w:val="nil"/>
              <w:right w:val="nil"/>
            </w:tcBorders>
            <w:shd w:val="clear" w:color="000000" w:fill="FFFFFF"/>
            <w:noWrap/>
          </w:tcPr>
          <w:p w14:paraId="6A922D13" w14:textId="5571CC09" w:rsidR="00F4223F" w:rsidRPr="00F24A76" w:rsidRDefault="00F4223F" w:rsidP="00F24A76">
            <w:pPr>
              <w:pStyle w:val="NoSpacing"/>
              <w:contextualSpacing/>
              <w:jc w:val="right"/>
            </w:pPr>
            <w:r w:rsidRPr="00F24A76">
              <w:t>35</w:t>
            </w:r>
          </w:p>
        </w:tc>
        <w:tc>
          <w:tcPr>
            <w:tcW w:w="392" w:type="pct"/>
            <w:tcBorders>
              <w:top w:val="nil"/>
              <w:left w:val="nil"/>
              <w:bottom w:val="nil"/>
              <w:right w:val="nil"/>
            </w:tcBorders>
            <w:shd w:val="clear" w:color="000000" w:fill="FFFFFF"/>
            <w:noWrap/>
          </w:tcPr>
          <w:p w14:paraId="04D81051" w14:textId="54F43289" w:rsidR="00F4223F" w:rsidRPr="00F24A76" w:rsidRDefault="00F4223F" w:rsidP="00F24A76">
            <w:pPr>
              <w:pStyle w:val="NoSpacing"/>
              <w:contextualSpacing/>
            </w:pPr>
            <w:r w:rsidRPr="00F24A76">
              <w:t>(32,41)</w:t>
            </w:r>
          </w:p>
        </w:tc>
        <w:tc>
          <w:tcPr>
            <w:tcW w:w="267" w:type="pct"/>
            <w:tcBorders>
              <w:top w:val="nil"/>
              <w:left w:val="nil"/>
              <w:bottom w:val="nil"/>
              <w:right w:val="nil"/>
            </w:tcBorders>
            <w:shd w:val="clear" w:color="000000" w:fill="FFFFFF"/>
            <w:noWrap/>
          </w:tcPr>
          <w:p w14:paraId="6FF6A1CE" w14:textId="2F780854" w:rsidR="00F4223F" w:rsidRPr="00F24A76" w:rsidRDefault="00F4223F" w:rsidP="00F24A76">
            <w:pPr>
              <w:pStyle w:val="NoSpacing"/>
              <w:contextualSpacing/>
              <w:jc w:val="center"/>
              <w:rPr>
                <w:i/>
              </w:rPr>
            </w:pPr>
            <w:r w:rsidRPr="00F24A76">
              <w:rPr>
                <w:i/>
              </w:rPr>
              <w:t>0.056</w:t>
            </w:r>
          </w:p>
        </w:tc>
        <w:tc>
          <w:tcPr>
            <w:tcW w:w="168" w:type="pct"/>
            <w:tcBorders>
              <w:top w:val="nil"/>
              <w:left w:val="nil"/>
              <w:bottom w:val="nil"/>
              <w:right w:val="nil"/>
            </w:tcBorders>
            <w:shd w:val="clear" w:color="000000" w:fill="FFFFFF"/>
            <w:noWrap/>
          </w:tcPr>
          <w:p w14:paraId="165B02AF" w14:textId="20C9FB9B" w:rsidR="00F4223F" w:rsidRPr="00F24A76" w:rsidRDefault="00F4223F" w:rsidP="00F24A76">
            <w:pPr>
              <w:pStyle w:val="NoSpacing"/>
              <w:contextualSpacing/>
              <w:jc w:val="right"/>
            </w:pPr>
            <w:r w:rsidRPr="00F24A76">
              <w:t>33</w:t>
            </w:r>
          </w:p>
        </w:tc>
        <w:tc>
          <w:tcPr>
            <w:tcW w:w="392" w:type="pct"/>
            <w:tcBorders>
              <w:top w:val="nil"/>
              <w:left w:val="nil"/>
              <w:bottom w:val="nil"/>
              <w:right w:val="nil"/>
            </w:tcBorders>
            <w:shd w:val="clear" w:color="000000" w:fill="FFFFFF"/>
            <w:noWrap/>
          </w:tcPr>
          <w:p w14:paraId="3C82A853" w14:textId="31AB2AD9" w:rsidR="00F4223F" w:rsidRPr="00F24A76" w:rsidRDefault="00F4223F" w:rsidP="00F24A76">
            <w:pPr>
              <w:pStyle w:val="NoSpacing"/>
              <w:contextualSpacing/>
            </w:pPr>
            <w:r w:rsidRPr="00F24A76">
              <w:t>(29,39)</w:t>
            </w:r>
          </w:p>
        </w:tc>
        <w:tc>
          <w:tcPr>
            <w:tcW w:w="210" w:type="pct"/>
            <w:tcBorders>
              <w:top w:val="nil"/>
              <w:left w:val="nil"/>
              <w:bottom w:val="nil"/>
              <w:right w:val="nil"/>
            </w:tcBorders>
            <w:shd w:val="clear" w:color="000000" w:fill="FFFFFF"/>
            <w:noWrap/>
          </w:tcPr>
          <w:p w14:paraId="7B804D31" w14:textId="343D311A" w:rsidR="00F4223F" w:rsidRPr="00F24A76" w:rsidRDefault="00F4223F" w:rsidP="00F24A76">
            <w:pPr>
              <w:pStyle w:val="NoSpacing"/>
              <w:contextualSpacing/>
              <w:jc w:val="right"/>
            </w:pPr>
            <w:r w:rsidRPr="00F24A76">
              <w:t>33</w:t>
            </w:r>
          </w:p>
        </w:tc>
        <w:tc>
          <w:tcPr>
            <w:tcW w:w="392" w:type="pct"/>
            <w:tcBorders>
              <w:top w:val="nil"/>
              <w:left w:val="nil"/>
              <w:bottom w:val="nil"/>
              <w:right w:val="nil"/>
            </w:tcBorders>
            <w:shd w:val="clear" w:color="000000" w:fill="FFFFFF"/>
            <w:noWrap/>
          </w:tcPr>
          <w:p w14:paraId="041E573A" w14:textId="67B43268" w:rsidR="00F4223F" w:rsidRPr="00F24A76" w:rsidRDefault="00F4223F" w:rsidP="00F24A76">
            <w:pPr>
              <w:pStyle w:val="NoSpacing"/>
              <w:contextualSpacing/>
            </w:pPr>
            <w:r w:rsidRPr="00F24A76">
              <w:t>(30,37)</w:t>
            </w:r>
          </w:p>
        </w:tc>
        <w:tc>
          <w:tcPr>
            <w:tcW w:w="210" w:type="pct"/>
            <w:tcBorders>
              <w:top w:val="nil"/>
              <w:left w:val="nil"/>
              <w:bottom w:val="nil"/>
              <w:right w:val="nil"/>
            </w:tcBorders>
            <w:shd w:val="clear" w:color="000000" w:fill="FFFFFF"/>
            <w:noWrap/>
          </w:tcPr>
          <w:p w14:paraId="1B04FA4E" w14:textId="06FEB81F" w:rsidR="00F4223F" w:rsidRPr="00F24A76" w:rsidRDefault="00F4223F" w:rsidP="00F24A76">
            <w:pPr>
              <w:pStyle w:val="NoSpacing"/>
              <w:contextualSpacing/>
              <w:jc w:val="center"/>
              <w:rPr>
                <w:i/>
              </w:rPr>
            </w:pPr>
            <w:r w:rsidRPr="00F24A76">
              <w:rPr>
                <w:i/>
              </w:rPr>
              <w:t>0.19</w:t>
            </w:r>
          </w:p>
        </w:tc>
      </w:tr>
      <w:tr w:rsidR="004003A0" w:rsidRPr="00F24A76" w14:paraId="01BFD4E6" w14:textId="77777777" w:rsidTr="00235C79">
        <w:trPr>
          <w:trHeight w:val="19"/>
        </w:trPr>
        <w:tc>
          <w:tcPr>
            <w:tcW w:w="939" w:type="pct"/>
            <w:tcBorders>
              <w:top w:val="nil"/>
              <w:left w:val="nil"/>
              <w:bottom w:val="nil"/>
              <w:right w:val="nil"/>
            </w:tcBorders>
            <w:shd w:val="clear" w:color="000000" w:fill="FFFFFF"/>
            <w:noWrap/>
          </w:tcPr>
          <w:p w14:paraId="5B64A9FD" w14:textId="77777777" w:rsidR="00272354" w:rsidRPr="00F24A76" w:rsidRDefault="00272354" w:rsidP="00F24A76">
            <w:pPr>
              <w:pStyle w:val="NoSpacing"/>
              <w:contextualSpacing/>
            </w:pPr>
          </w:p>
        </w:tc>
        <w:tc>
          <w:tcPr>
            <w:tcW w:w="168" w:type="pct"/>
            <w:tcBorders>
              <w:top w:val="nil"/>
              <w:left w:val="nil"/>
              <w:bottom w:val="nil"/>
              <w:right w:val="nil"/>
            </w:tcBorders>
            <w:shd w:val="clear" w:color="000000" w:fill="FFFFFF"/>
            <w:noWrap/>
          </w:tcPr>
          <w:p w14:paraId="3FDA3257" w14:textId="77777777" w:rsidR="00272354" w:rsidRPr="00F24A76" w:rsidRDefault="00272354" w:rsidP="00F24A76">
            <w:pPr>
              <w:pStyle w:val="NoSpacing"/>
              <w:contextualSpacing/>
              <w:jc w:val="right"/>
            </w:pPr>
          </w:p>
        </w:tc>
        <w:tc>
          <w:tcPr>
            <w:tcW w:w="350" w:type="pct"/>
            <w:tcBorders>
              <w:top w:val="nil"/>
              <w:left w:val="nil"/>
              <w:bottom w:val="nil"/>
              <w:right w:val="nil"/>
            </w:tcBorders>
            <w:shd w:val="clear" w:color="000000" w:fill="FFFFFF"/>
            <w:noWrap/>
          </w:tcPr>
          <w:p w14:paraId="30CA0EDF" w14:textId="77777777" w:rsidR="00272354" w:rsidRPr="00F24A76" w:rsidRDefault="00272354" w:rsidP="00F24A76">
            <w:pPr>
              <w:pStyle w:val="NoSpacing"/>
              <w:contextualSpacing/>
            </w:pPr>
          </w:p>
        </w:tc>
        <w:tc>
          <w:tcPr>
            <w:tcW w:w="168" w:type="pct"/>
            <w:tcBorders>
              <w:top w:val="nil"/>
              <w:left w:val="nil"/>
              <w:bottom w:val="nil"/>
              <w:right w:val="nil"/>
            </w:tcBorders>
            <w:shd w:val="clear" w:color="000000" w:fill="FFFFFF"/>
            <w:noWrap/>
          </w:tcPr>
          <w:p w14:paraId="52A93DA1" w14:textId="77777777" w:rsidR="00272354" w:rsidRPr="00F24A76" w:rsidRDefault="00272354" w:rsidP="00F24A76">
            <w:pPr>
              <w:pStyle w:val="NoSpacing"/>
              <w:contextualSpacing/>
              <w:jc w:val="right"/>
            </w:pPr>
          </w:p>
        </w:tc>
        <w:tc>
          <w:tcPr>
            <w:tcW w:w="350" w:type="pct"/>
            <w:tcBorders>
              <w:top w:val="nil"/>
              <w:left w:val="nil"/>
              <w:bottom w:val="nil"/>
              <w:right w:val="nil"/>
            </w:tcBorders>
            <w:shd w:val="clear" w:color="000000" w:fill="FFFFFF"/>
            <w:noWrap/>
          </w:tcPr>
          <w:p w14:paraId="41AE214E" w14:textId="77777777" w:rsidR="00272354" w:rsidRPr="00F24A76" w:rsidRDefault="00272354" w:rsidP="00F24A76">
            <w:pPr>
              <w:pStyle w:val="NoSpacing"/>
              <w:contextualSpacing/>
            </w:pPr>
          </w:p>
        </w:tc>
        <w:tc>
          <w:tcPr>
            <w:tcW w:w="267" w:type="pct"/>
            <w:tcBorders>
              <w:top w:val="nil"/>
              <w:left w:val="nil"/>
              <w:bottom w:val="nil"/>
              <w:right w:val="nil"/>
            </w:tcBorders>
            <w:shd w:val="clear" w:color="000000" w:fill="FFFFFF"/>
            <w:noWrap/>
          </w:tcPr>
          <w:p w14:paraId="504082AE" w14:textId="77777777" w:rsidR="00272354" w:rsidRPr="00F24A76" w:rsidRDefault="00272354" w:rsidP="00F24A76">
            <w:pPr>
              <w:pStyle w:val="NoSpacing"/>
              <w:contextualSpacing/>
              <w:jc w:val="center"/>
              <w:rPr>
                <w:i/>
              </w:rPr>
            </w:pPr>
          </w:p>
        </w:tc>
        <w:tc>
          <w:tcPr>
            <w:tcW w:w="168" w:type="pct"/>
            <w:tcBorders>
              <w:top w:val="nil"/>
              <w:left w:val="nil"/>
              <w:bottom w:val="nil"/>
              <w:right w:val="nil"/>
            </w:tcBorders>
            <w:shd w:val="clear" w:color="000000" w:fill="FFFFFF"/>
            <w:noWrap/>
          </w:tcPr>
          <w:p w14:paraId="55E222C7"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5F5D16C4" w14:textId="77777777" w:rsidR="00272354" w:rsidRPr="00F24A76" w:rsidRDefault="00272354" w:rsidP="00F24A76">
            <w:pPr>
              <w:pStyle w:val="NoSpacing"/>
              <w:contextualSpacing/>
            </w:pPr>
          </w:p>
        </w:tc>
        <w:tc>
          <w:tcPr>
            <w:tcW w:w="168" w:type="pct"/>
            <w:tcBorders>
              <w:top w:val="nil"/>
              <w:left w:val="nil"/>
              <w:bottom w:val="nil"/>
              <w:right w:val="nil"/>
            </w:tcBorders>
            <w:shd w:val="clear" w:color="000000" w:fill="FFFFFF"/>
            <w:noWrap/>
          </w:tcPr>
          <w:p w14:paraId="113F3B51"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41D34B4C" w14:textId="77777777" w:rsidR="00272354" w:rsidRPr="00F24A76" w:rsidRDefault="00272354" w:rsidP="00F24A76">
            <w:pPr>
              <w:pStyle w:val="NoSpacing"/>
              <w:contextualSpacing/>
            </w:pPr>
          </w:p>
        </w:tc>
        <w:tc>
          <w:tcPr>
            <w:tcW w:w="267" w:type="pct"/>
            <w:tcBorders>
              <w:top w:val="nil"/>
              <w:left w:val="nil"/>
              <w:bottom w:val="nil"/>
              <w:right w:val="nil"/>
            </w:tcBorders>
            <w:shd w:val="clear" w:color="000000" w:fill="FFFFFF"/>
            <w:noWrap/>
          </w:tcPr>
          <w:p w14:paraId="61FC7747" w14:textId="77777777" w:rsidR="00272354" w:rsidRPr="00F24A76" w:rsidRDefault="00272354" w:rsidP="00F24A76">
            <w:pPr>
              <w:pStyle w:val="NoSpacing"/>
              <w:contextualSpacing/>
              <w:jc w:val="center"/>
              <w:rPr>
                <w:i/>
              </w:rPr>
            </w:pPr>
          </w:p>
        </w:tc>
        <w:tc>
          <w:tcPr>
            <w:tcW w:w="168" w:type="pct"/>
            <w:tcBorders>
              <w:top w:val="nil"/>
              <w:left w:val="nil"/>
              <w:bottom w:val="nil"/>
              <w:right w:val="nil"/>
            </w:tcBorders>
            <w:shd w:val="clear" w:color="000000" w:fill="FFFFFF"/>
            <w:noWrap/>
          </w:tcPr>
          <w:p w14:paraId="2D78C260"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0CC59FB7" w14:textId="77777777" w:rsidR="00272354" w:rsidRPr="00F24A76" w:rsidRDefault="00272354" w:rsidP="00F24A76">
            <w:pPr>
              <w:pStyle w:val="NoSpacing"/>
              <w:contextualSpacing/>
            </w:pPr>
          </w:p>
        </w:tc>
        <w:tc>
          <w:tcPr>
            <w:tcW w:w="210" w:type="pct"/>
            <w:tcBorders>
              <w:top w:val="nil"/>
              <w:left w:val="nil"/>
              <w:bottom w:val="nil"/>
              <w:right w:val="nil"/>
            </w:tcBorders>
            <w:shd w:val="clear" w:color="000000" w:fill="FFFFFF"/>
            <w:noWrap/>
          </w:tcPr>
          <w:p w14:paraId="148CE3DC"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7C0E211F" w14:textId="77777777" w:rsidR="00272354" w:rsidRPr="00F24A76" w:rsidRDefault="00272354" w:rsidP="00F24A76">
            <w:pPr>
              <w:pStyle w:val="NoSpacing"/>
              <w:contextualSpacing/>
            </w:pPr>
          </w:p>
        </w:tc>
        <w:tc>
          <w:tcPr>
            <w:tcW w:w="210" w:type="pct"/>
            <w:tcBorders>
              <w:top w:val="nil"/>
              <w:left w:val="nil"/>
              <w:bottom w:val="nil"/>
              <w:right w:val="nil"/>
            </w:tcBorders>
            <w:shd w:val="clear" w:color="000000" w:fill="FFFFFF"/>
            <w:noWrap/>
          </w:tcPr>
          <w:p w14:paraId="451996ED" w14:textId="77777777" w:rsidR="00272354" w:rsidRPr="00F24A76" w:rsidRDefault="00272354" w:rsidP="00F24A76">
            <w:pPr>
              <w:pStyle w:val="NoSpacing"/>
              <w:contextualSpacing/>
              <w:jc w:val="center"/>
              <w:rPr>
                <w:i/>
              </w:rPr>
            </w:pPr>
          </w:p>
        </w:tc>
      </w:tr>
      <w:tr w:rsidR="004003A0" w:rsidRPr="00F24A76" w14:paraId="30CBDCD9" w14:textId="77777777" w:rsidTr="00235C79">
        <w:trPr>
          <w:trHeight w:val="19"/>
        </w:trPr>
        <w:tc>
          <w:tcPr>
            <w:tcW w:w="939" w:type="pct"/>
            <w:tcBorders>
              <w:top w:val="nil"/>
              <w:left w:val="nil"/>
              <w:bottom w:val="nil"/>
              <w:right w:val="nil"/>
            </w:tcBorders>
            <w:shd w:val="clear" w:color="000000" w:fill="FFFFFF"/>
            <w:noWrap/>
          </w:tcPr>
          <w:p w14:paraId="7851D792" w14:textId="0A7F1504" w:rsidR="00272354" w:rsidRPr="00272354" w:rsidRDefault="00272354" w:rsidP="00F24A76">
            <w:pPr>
              <w:pStyle w:val="NoSpacing"/>
              <w:contextualSpacing/>
              <w:rPr>
                <w:b/>
              </w:rPr>
            </w:pPr>
            <w:r w:rsidRPr="00272354">
              <w:rPr>
                <w:b/>
              </w:rPr>
              <w:t xml:space="preserve">Wave separation </w:t>
            </w:r>
            <w:r>
              <w:t>(mmHg)</w:t>
            </w:r>
          </w:p>
        </w:tc>
        <w:tc>
          <w:tcPr>
            <w:tcW w:w="168" w:type="pct"/>
            <w:tcBorders>
              <w:top w:val="nil"/>
              <w:left w:val="nil"/>
              <w:bottom w:val="nil"/>
              <w:right w:val="nil"/>
            </w:tcBorders>
            <w:shd w:val="clear" w:color="000000" w:fill="FFFFFF"/>
            <w:noWrap/>
          </w:tcPr>
          <w:p w14:paraId="76C7E6A9" w14:textId="77777777" w:rsidR="00272354" w:rsidRPr="00272354" w:rsidRDefault="00272354" w:rsidP="00F24A76">
            <w:pPr>
              <w:pStyle w:val="NoSpacing"/>
              <w:contextualSpacing/>
              <w:jc w:val="right"/>
            </w:pPr>
          </w:p>
        </w:tc>
        <w:tc>
          <w:tcPr>
            <w:tcW w:w="350" w:type="pct"/>
            <w:tcBorders>
              <w:top w:val="nil"/>
              <w:left w:val="nil"/>
              <w:bottom w:val="nil"/>
              <w:right w:val="nil"/>
            </w:tcBorders>
            <w:shd w:val="clear" w:color="000000" w:fill="FFFFFF"/>
            <w:noWrap/>
          </w:tcPr>
          <w:p w14:paraId="6DE8CD83" w14:textId="77777777" w:rsidR="00272354" w:rsidRPr="00F24A76" w:rsidRDefault="00272354" w:rsidP="00F24A76">
            <w:pPr>
              <w:pStyle w:val="NoSpacing"/>
              <w:contextualSpacing/>
            </w:pPr>
          </w:p>
        </w:tc>
        <w:tc>
          <w:tcPr>
            <w:tcW w:w="168" w:type="pct"/>
            <w:tcBorders>
              <w:top w:val="nil"/>
              <w:left w:val="nil"/>
              <w:bottom w:val="nil"/>
              <w:right w:val="nil"/>
            </w:tcBorders>
            <w:shd w:val="clear" w:color="000000" w:fill="FFFFFF"/>
            <w:noWrap/>
          </w:tcPr>
          <w:p w14:paraId="17211EFE" w14:textId="77777777" w:rsidR="00272354" w:rsidRPr="00F24A76" w:rsidRDefault="00272354" w:rsidP="00F24A76">
            <w:pPr>
              <w:pStyle w:val="NoSpacing"/>
              <w:contextualSpacing/>
              <w:jc w:val="right"/>
            </w:pPr>
          </w:p>
        </w:tc>
        <w:tc>
          <w:tcPr>
            <w:tcW w:w="350" w:type="pct"/>
            <w:tcBorders>
              <w:top w:val="nil"/>
              <w:left w:val="nil"/>
              <w:bottom w:val="nil"/>
              <w:right w:val="nil"/>
            </w:tcBorders>
            <w:shd w:val="clear" w:color="000000" w:fill="FFFFFF"/>
            <w:noWrap/>
          </w:tcPr>
          <w:p w14:paraId="6CAEA840" w14:textId="77777777" w:rsidR="00272354" w:rsidRPr="00F24A76" w:rsidRDefault="00272354" w:rsidP="00F24A76">
            <w:pPr>
              <w:pStyle w:val="NoSpacing"/>
              <w:contextualSpacing/>
            </w:pPr>
          </w:p>
        </w:tc>
        <w:tc>
          <w:tcPr>
            <w:tcW w:w="267" w:type="pct"/>
            <w:tcBorders>
              <w:top w:val="nil"/>
              <w:left w:val="nil"/>
              <w:bottom w:val="nil"/>
              <w:right w:val="nil"/>
            </w:tcBorders>
            <w:shd w:val="clear" w:color="000000" w:fill="FFFFFF"/>
            <w:noWrap/>
          </w:tcPr>
          <w:p w14:paraId="03797F03" w14:textId="77777777" w:rsidR="00272354" w:rsidRPr="00F24A76" w:rsidRDefault="00272354" w:rsidP="00F24A76">
            <w:pPr>
              <w:pStyle w:val="NoSpacing"/>
              <w:contextualSpacing/>
              <w:jc w:val="center"/>
              <w:rPr>
                <w:i/>
              </w:rPr>
            </w:pPr>
          </w:p>
        </w:tc>
        <w:tc>
          <w:tcPr>
            <w:tcW w:w="168" w:type="pct"/>
            <w:tcBorders>
              <w:top w:val="nil"/>
              <w:left w:val="nil"/>
              <w:bottom w:val="nil"/>
              <w:right w:val="nil"/>
            </w:tcBorders>
            <w:shd w:val="clear" w:color="000000" w:fill="FFFFFF"/>
            <w:noWrap/>
          </w:tcPr>
          <w:p w14:paraId="670A4EF5"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1184080A" w14:textId="77777777" w:rsidR="00272354" w:rsidRPr="00F24A76" w:rsidRDefault="00272354" w:rsidP="00F24A76">
            <w:pPr>
              <w:pStyle w:val="NoSpacing"/>
              <w:contextualSpacing/>
            </w:pPr>
          </w:p>
        </w:tc>
        <w:tc>
          <w:tcPr>
            <w:tcW w:w="168" w:type="pct"/>
            <w:tcBorders>
              <w:top w:val="nil"/>
              <w:left w:val="nil"/>
              <w:bottom w:val="nil"/>
              <w:right w:val="nil"/>
            </w:tcBorders>
            <w:shd w:val="clear" w:color="000000" w:fill="FFFFFF"/>
            <w:noWrap/>
          </w:tcPr>
          <w:p w14:paraId="113524DA"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3ED38208" w14:textId="77777777" w:rsidR="00272354" w:rsidRPr="00F24A76" w:rsidRDefault="00272354" w:rsidP="00F24A76">
            <w:pPr>
              <w:pStyle w:val="NoSpacing"/>
              <w:contextualSpacing/>
            </w:pPr>
          </w:p>
        </w:tc>
        <w:tc>
          <w:tcPr>
            <w:tcW w:w="267" w:type="pct"/>
            <w:tcBorders>
              <w:top w:val="nil"/>
              <w:left w:val="nil"/>
              <w:bottom w:val="nil"/>
              <w:right w:val="nil"/>
            </w:tcBorders>
            <w:shd w:val="clear" w:color="000000" w:fill="FFFFFF"/>
            <w:noWrap/>
          </w:tcPr>
          <w:p w14:paraId="533047A5" w14:textId="77777777" w:rsidR="00272354" w:rsidRPr="00F24A76" w:rsidRDefault="00272354" w:rsidP="00F24A76">
            <w:pPr>
              <w:pStyle w:val="NoSpacing"/>
              <w:contextualSpacing/>
              <w:jc w:val="center"/>
              <w:rPr>
                <w:i/>
              </w:rPr>
            </w:pPr>
          </w:p>
        </w:tc>
        <w:tc>
          <w:tcPr>
            <w:tcW w:w="168" w:type="pct"/>
            <w:tcBorders>
              <w:top w:val="nil"/>
              <w:left w:val="nil"/>
              <w:bottom w:val="nil"/>
              <w:right w:val="nil"/>
            </w:tcBorders>
            <w:shd w:val="clear" w:color="000000" w:fill="FFFFFF"/>
            <w:noWrap/>
          </w:tcPr>
          <w:p w14:paraId="7E395D81"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79C51286" w14:textId="77777777" w:rsidR="00272354" w:rsidRPr="00F24A76" w:rsidRDefault="00272354" w:rsidP="00F24A76">
            <w:pPr>
              <w:pStyle w:val="NoSpacing"/>
              <w:contextualSpacing/>
            </w:pPr>
          </w:p>
        </w:tc>
        <w:tc>
          <w:tcPr>
            <w:tcW w:w="210" w:type="pct"/>
            <w:tcBorders>
              <w:top w:val="nil"/>
              <w:left w:val="nil"/>
              <w:bottom w:val="nil"/>
              <w:right w:val="nil"/>
            </w:tcBorders>
            <w:shd w:val="clear" w:color="000000" w:fill="FFFFFF"/>
            <w:noWrap/>
          </w:tcPr>
          <w:p w14:paraId="186497D7" w14:textId="77777777" w:rsidR="00272354" w:rsidRPr="00F24A76" w:rsidRDefault="00272354" w:rsidP="00F24A76">
            <w:pPr>
              <w:pStyle w:val="NoSpacing"/>
              <w:contextualSpacing/>
              <w:jc w:val="right"/>
            </w:pPr>
          </w:p>
        </w:tc>
        <w:tc>
          <w:tcPr>
            <w:tcW w:w="392" w:type="pct"/>
            <w:tcBorders>
              <w:top w:val="nil"/>
              <w:left w:val="nil"/>
              <w:bottom w:val="nil"/>
              <w:right w:val="nil"/>
            </w:tcBorders>
            <w:shd w:val="clear" w:color="000000" w:fill="FFFFFF"/>
            <w:noWrap/>
          </w:tcPr>
          <w:p w14:paraId="6621E201" w14:textId="77777777" w:rsidR="00272354" w:rsidRPr="00F24A76" w:rsidRDefault="00272354" w:rsidP="00F24A76">
            <w:pPr>
              <w:pStyle w:val="NoSpacing"/>
              <w:contextualSpacing/>
            </w:pPr>
          </w:p>
        </w:tc>
        <w:tc>
          <w:tcPr>
            <w:tcW w:w="210" w:type="pct"/>
            <w:tcBorders>
              <w:top w:val="nil"/>
              <w:left w:val="nil"/>
              <w:bottom w:val="nil"/>
              <w:right w:val="nil"/>
            </w:tcBorders>
            <w:shd w:val="clear" w:color="000000" w:fill="FFFFFF"/>
            <w:noWrap/>
          </w:tcPr>
          <w:p w14:paraId="3CE82478" w14:textId="77777777" w:rsidR="00272354" w:rsidRPr="00F24A76" w:rsidRDefault="00272354" w:rsidP="00F24A76">
            <w:pPr>
              <w:pStyle w:val="NoSpacing"/>
              <w:contextualSpacing/>
              <w:jc w:val="center"/>
              <w:rPr>
                <w:i/>
              </w:rPr>
            </w:pPr>
          </w:p>
        </w:tc>
      </w:tr>
      <w:tr w:rsidR="004003A0" w:rsidRPr="00F24A76" w14:paraId="4E19E90B" w14:textId="77777777" w:rsidTr="00235C79">
        <w:trPr>
          <w:trHeight w:val="19"/>
        </w:trPr>
        <w:tc>
          <w:tcPr>
            <w:tcW w:w="939" w:type="pct"/>
            <w:tcBorders>
              <w:top w:val="nil"/>
              <w:left w:val="nil"/>
              <w:bottom w:val="nil"/>
              <w:right w:val="nil"/>
            </w:tcBorders>
            <w:shd w:val="clear" w:color="000000" w:fill="FFFFFF"/>
            <w:noWrap/>
          </w:tcPr>
          <w:p w14:paraId="62E5E49F" w14:textId="0D18A3A8" w:rsidR="00272354" w:rsidRPr="00F24A76" w:rsidRDefault="00272354" w:rsidP="00272354">
            <w:pPr>
              <w:pStyle w:val="NoSpacing"/>
              <w:contextualSpacing/>
            </w:pPr>
            <w:r>
              <w:t xml:space="preserve">Forward pressure wave </w:t>
            </w:r>
          </w:p>
        </w:tc>
        <w:tc>
          <w:tcPr>
            <w:tcW w:w="168" w:type="pct"/>
            <w:tcBorders>
              <w:top w:val="nil"/>
              <w:left w:val="nil"/>
              <w:bottom w:val="nil"/>
              <w:right w:val="nil"/>
            </w:tcBorders>
            <w:shd w:val="clear" w:color="000000" w:fill="FFFFFF"/>
            <w:noWrap/>
            <w:vAlign w:val="center"/>
          </w:tcPr>
          <w:p w14:paraId="288081E7" w14:textId="186106A8" w:rsidR="00272354" w:rsidRPr="00272354" w:rsidRDefault="00272354" w:rsidP="00272354">
            <w:pPr>
              <w:pStyle w:val="NoSpacing"/>
              <w:contextualSpacing/>
              <w:jc w:val="right"/>
            </w:pPr>
            <w:r w:rsidRPr="00272354">
              <w:rPr>
                <w:color w:val="000000" w:themeColor="text1"/>
              </w:rPr>
              <w:t>98</w:t>
            </w:r>
          </w:p>
        </w:tc>
        <w:tc>
          <w:tcPr>
            <w:tcW w:w="350" w:type="pct"/>
            <w:tcBorders>
              <w:top w:val="nil"/>
              <w:left w:val="nil"/>
              <w:bottom w:val="nil"/>
              <w:right w:val="nil"/>
            </w:tcBorders>
            <w:shd w:val="clear" w:color="000000" w:fill="FFFFFF"/>
            <w:noWrap/>
            <w:vAlign w:val="center"/>
          </w:tcPr>
          <w:p w14:paraId="65044219" w14:textId="4DEB3FFC" w:rsidR="00272354" w:rsidRPr="00272354" w:rsidRDefault="00272354" w:rsidP="00272354">
            <w:pPr>
              <w:pStyle w:val="NoSpacing"/>
              <w:contextualSpacing/>
            </w:pPr>
            <w:r w:rsidRPr="00272354">
              <w:rPr>
                <w:color w:val="000000" w:themeColor="text1"/>
              </w:rPr>
              <w:t>(92,105)</w:t>
            </w:r>
          </w:p>
        </w:tc>
        <w:tc>
          <w:tcPr>
            <w:tcW w:w="168" w:type="pct"/>
            <w:tcBorders>
              <w:top w:val="nil"/>
              <w:left w:val="nil"/>
              <w:bottom w:val="nil"/>
              <w:right w:val="nil"/>
            </w:tcBorders>
            <w:shd w:val="clear" w:color="000000" w:fill="FFFFFF"/>
            <w:noWrap/>
            <w:vAlign w:val="center"/>
          </w:tcPr>
          <w:p w14:paraId="6F68A859" w14:textId="55028CD3" w:rsidR="00272354" w:rsidRPr="00272354" w:rsidRDefault="00272354" w:rsidP="00272354">
            <w:pPr>
              <w:pStyle w:val="NoSpacing"/>
              <w:contextualSpacing/>
              <w:jc w:val="right"/>
            </w:pPr>
            <w:r w:rsidRPr="00272354">
              <w:rPr>
                <w:color w:val="000000" w:themeColor="text1"/>
              </w:rPr>
              <w:t>95</w:t>
            </w:r>
          </w:p>
        </w:tc>
        <w:tc>
          <w:tcPr>
            <w:tcW w:w="350" w:type="pct"/>
            <w:tcBorders>
              <w:top w:val="nil"/>
              <w:left w:val="nil"/>
              <w:bottom w:val="nil"/>
              <w:right w:val="nil"/>
            </w:tcBorders>
            <w:shd w:val="clear" w:color="000000" w:fill="FFFFFF"/>
            <w:noWrap/>
            <w:vAlign w:val="center"/>
          </w:tcPr>
          <w:p w14:paraId="1D0F546C" w14:textId="5DE1522B" w:rsidR="00272354" w:rsidRPr="00272354" w:rsidRDefault="00272354" w:rsidP="00272354">
            <w:pPr>
              <w:pStyle w:val="NoSpacing"/>
              <w:contextualSpacing/>
            </w:pPr>
            <w:r w:rsidRPr="00272354">
              <w:rPr>
                <w:color w:val="000000" w:themeColor="text1"/>
              </w:rPr>
              <w:t>(88,101)</w:t>
            </w:r>
          </w:p>
        </w:tc>
        <w:tc>
          <w:tcPr>
            <w:tcW w:w="267" w:type="pct"/>
            <w:tcBorders>
              <w:top w:val="nil"/>
              <w:left w:val="nil"/>
              <w:bottom w:val="nil"/>
              <w:right w:val="nil"/>
            </w:tcBorders>
            <w:shd w:val="clear" w:color="000000" w:fill="FFFFFF"/>
            <w:noWrap/>
            <w:vAlign w:val="center"/>
          </w:tcPr>
          <w:p w14:paraId="702670E6" w14:textId="281A1B75" w:rsidR="00272354" w:rsidRPr="00272354" w:rsidRDefault="00272354" w:rsidP="00272354">
            <w:pPr>
              <w:pStyle w:val="NoSpacing"/>
              <w:contextualSpacing/>
              <w:jc w:val="center"/>
              <w:rPr>
                <w:i/>
              </w:rPr>
            </w:pPr>
            <w:r w:rsidRPr="00272354">
              <w:rPr>
                <w:i/>
                <w:iCs/>
                <w:color w:val="000000" w:themeColor="text1"/>
              </w:rPr>
              <w:t>&lt;0.001</w:t>
            </w:r>
          </w:p>
        </w:tc>
        <w:tc>
          <w:tcPr>
            <w:tcW w:w="168" w:type="pct"/>
            <w:tcBorders>
              <w:top w:val="nil"/>
              <w:left w:val="nil"/>
              <w:bottom w:val="nil"/>
              <w:right w:val="nil"/>
            </w:tcBorders>
            <w:shd w:val="clear" w:color="000000" w:fill="FFFFFF"/>
            <w:noWrap/>
            <w:vAlign w:val="center"/>
          </w:tcPr>
          <w:p w14:paraId="0DC61434" w14:textId="0C9C1732" w:rsidR="00272354" w:rsidRPr="00272354" w:rsidRDefault="00272354" w:rsidP="00272354">
            <w:pPr>
              <w:pStyle w:val="NoSpacing"/>
              <w:contextualSpacing/>
              <w:jc w:val="right"/>
            </w:pPr>
            <w:r w:rsidRPr="00272354">
              <w:rPr>
                <w:color w:val="000000" w:themeColor="text1"/>
              </w:rPr>
              <w:t>102</w:t>
            </w:r>
          </w:p>
        </w:tc>
        <w:tc>
          <w:tcPr>
            <w:tcW w:w="392" w:type="pct"/>
            <w:tcBorders>
              <w:top w:val="nil"/>
              <w:left w:val="nil"/>
              <w:bottom w:val="nil"/>
              <w:right w:val="nil"/>
            </w:tcBorders>
            <w:shd w:val="clear" w:color="000000" w:fill="FFFFFF"/>
            <w:noWrap/>
            <w:vAlign w:val="center"/>
          </w:tcPr>
          <w:p w14:paraId="0301D10E" w14:textId="5B329BC6" w:rsidR="00272354" w:rsidRPr="00272354" w:rsidRDefault="00272354" w:rsidP="00272354">
            <w:pPr>
              <w:pStyle w:val="NoSpacing"/>
              <w:contextualSpacing/>
            </w:pPr>
            <w:r w:rsidRPr="00272354">
              <w:rPr>
                <w:color w:val="000000" w:themeColor="text1"/>
              </w:rPr>
              <w:t>(96,107)</w:t>
            </w:r>
          </w:p>
        </w:tc>
        <w:tc>
          <w:tcPr>
            <w:tcW w:w="168" w:type="pct"/>
            <w:tcBorders>
              <w:top w:val="nil"/>
              <w:left w:val="nil"/>
              <w:bottom w:val="nil"/>
              <w:right w:val="nil"/>
            </w:tcBorders>
            <w:shd w:val="clear" w:color="000000" w:fill="FFFFFF"/>
            <w:noWrap/>
            <w:vAlign w:val="center"/>
          </w:tcPr>
          <w:p w14:paraId="77BDC878" w14:textId="3F8EE720" w:rsidR="00272354" w:rsidRPr="00272354" w:rsidRDefault="00272354" w:rsidP="00272354">
            <w:pPr>
              <w:pStyle w:val="NoSpacing"/>
              <w:contextualSpacing/>
              <w:jc w:val="right"/>
            </w:pPr>
            <w:r w:rsidRPr="00272354">
              <w:rPr>
                <w:color w:val="000000" w:themeColor="text1"/>
              </w:rPr>
              <w:t>96</w:t>
            </w:r>
          </w:p>
        </w:tc>
        <w:tc>
          <w:tcPr>
            <w:tcW w:w="392" w:type="pct"/>
            <w:tcBorders>
              <w:top w:val="nil"/>
              <w:left w:val="nil"/>
              <w:bottom w:val="nil"/>
              <w:right w:val="nil"/>
            </w:tcBorders>
            <w:shd w:val="clear" w:color="000000" w:fill="FFFFFF"/>
            <w:noWrap/>
            <w:vAlign w:val="center"/>
          </w:tcPr>
          <w:p w14:paraId="46C0A140" w14:textId="68459B8D" w:rsidR="00272354" w:rsidRPr="00272354" w:rsidRDefault="00272354" w:rsidP="00272354">
            <w:pPr>
              <w:pStyle w:val="NoSpacing"/>
              <w:contextualSpacing/>
            </w:pPr>
            <w:r w:rsidRPr="00272354">
              <w:rPr>
                <w:color w:val="000000" w:themeColor="text1"/>
              </w:rPr>
              <w:t>(90,104)</w:t>
            </w:r>
          </w:p>
        </w:tc>
        <w:tc>
          <w:tcPr>
            <w:tcW w:w="267" w:type="pct"/>
            <w:tcBorders>
              <w:top w:val="nil"/>
              <w:left w:val="nil"/>
              <w:bottom w:val="nil"/>
              <w:right w:val="nil"/>
            </w:tcBorders>
            <w:shd w:val="clear" w:color="000000" w:fill="FFFFFF"/>
            <w:noWrap/>
            <w:vAlign w:val="center"/>
          </w:tcPr>
          <w:p w14:paraId="66F6F62E" w14:textId="516D63C3" w:rsidR="00272354" w:rsidRPr="00272354" w:rsidRDefault="00272354" w:rsidP="00272354">
            <w:pPr>
              <w:pStyle w:val="NoSpacing"/>
              <w:contextualSpacing/>
              <w:jc w:val="center"/>
              <w:rPr>
                <w:i/>
              </w:rPr>
            </w:pPr>
            <w:r w:rsidRPr="00272354">
              <w:rPr>
                <w:i/>
                <w:iCs/>
                <w:color w:val="000000" w:themeColor="text1"/>
              </w:rPr>
              <w:t>0.002</w:t>
            </w:r>
          </w:p>
        </w:tc>
        <w:tc>
          <w:tcPr>
            <w:tcW w:w="168" w:type="pct"/>
            <w:tcBorders>
              <w:top w:val="nil"/>
              <w:left w:val="nil"/>
              <w:bottom w:val="nil"/>
              <w:right w:val="nil"/>
            </w:tcBorders>
            <w:shd w:val="clear" w:color="000000" w:fill="FFFFFF"/>
            <w:noWrap/>
            <w:vAlign w:val="center"/>
          </w:tcPr>
          <w:p w14:paraId="2B4F2C10" w14:textId="6C990D20" w:rsidR="00272354" w:rsidRPr="00272354" w:rsidRDefault="00272354" w:rsidP="00272354">
            <w:pPr>
              <w:pStyle w:val="NoSpacing"/>
              <w:contextualSpacing/>
              <w:jc w:val="right"/>
            </w:pPr>
            <w:r w:rsidRPr="00272354">
              <w:rPr>
                <w:color w:val="000000" w:themeColor="text1"/>
              </w:rPr>
              <w:t>95</w:t>
            </w:r>
          </w:p>
        </w:tc>
        <w:tc>
          <w:tcPr>
            <w:tcW w:w="392" w:type="pct"/>
            <w:tcBorders>
              <w:top w:val="nil"/>
              <w:left w:val="nil"/>
              <w:bottom w:val="nil"/>
              <w:right w:val="nil"/>
            </w:tcBorders>
            <w:shd w:val="clear" w:color="000000" w:fill="FFFFFF"/>
            <w:noWrap/>
            <w:vAlign w:val="center"/>
          </w:tcPr>
          <w:p w14:paraId="175A2420" w14:textId="469963EF" w:rsidR="00272354" w:rsidRPr="00272354" w:rsidRDefault="00272354" w:rsidP="00272354">
            <w:pPr>
              <w:pStyle w:val="NoSpacing"/>
              <w:contextualSpacing/>
            </w:pPr>
            <w:r w:rsidRPr="00272354">
              <w:rPr>
                <w:color w:val="000000" w:themeColor="text1"/>
              </w:rPr>
              <w:t>(90,103)</w:t>
            </w:r>
          </w:p>
        </w:tc>
        <w:tc>
          <w:tcPr>
            <w:tcW w:w="210" w:type="pct"/>
            <w:tcBorders>
              <w:top w:val="nil"/>
              <w:left w:val="nil"/>
              <w:bottom w:val="nil"/>
              <w:right w:val="nil"/>
            </w:tcBorders>
            <w:shd w:val="clear" w:color="000000" w:fill="FFFFFF"/>
            <w:noWrap/>
            <w:vAlign w:val="center"/>
          </w:tcPr>
          <w:p w14:paraId="7828AFF2" w14:textId="059BA377" w:rsidR="00272354" w:rsidRPr="00272354" w:rsidRDefault="00272354" w:rsidP="00272354">
            <w:pPr>
              <w:pStyle w:val="NoSpacing"/>
              <w:contextualSpacing/>
              <w:jc w:val="right"/>
            </w:pPr>
            <w:r w:rsidRPr="00272354">
              <w:rPr>
                <w:color w:val="000000" w:themeColor="text1"/>
              </w:rPr>
              <w:t>93</w:t>
            </w:r>
          </w:p>
        </w:tc>
        <w:tc>
          <w:tcPr>
            <w:tcW w:w="392" w:type="pct"/>
            <w:tcBorders>
              <w:top w:val="nil"/>
              <w:left w:val="nil"/>
              <w:bottom w:val="nil"/>
              <w:right w:val="nil"/>
            </w:tcBorders>
            <w:shd w:val="clear" w:color="000000" w:fill="FFFFFF"/>
            <w:noWrap/>
            <w:vAlign w:val="center"/>
          </w:tcPr>
          <w:p w14:paraId="4BF2CC54" w14:textId="3EDAC554" w:rsidR="00272354" w:rsidRPr="00272354" w:rsidRDefault="00272354" w:rsidP="00272354">
            <w:pPr>
              <w:pStyle w:val="NoSpacing"/>
              <w:contextualSpacing/>
            </w:pPr>
            <w:r w:rsidRPr="00272354">
              <w:rPr>
                <w:color w:val="000000" w:themeColor="text1"/>
              </w:rPr>
              <w:t>(88,100)</w:t>
            </w:r>
          </w:p>
        </w:tc>
        <w:tc>
          <w:tcPr>
            <w:tcW w:w="210" w:type="pct"/>
            <w:tcBorders>
              <w:top w:val="nil"/>
              <w:left w:val="nil"/>
              <w:bottom w:val="nil"/>
              <w:right w:val="nil"/>
            </w:tcBorders>
            <w:shd w:val="clear" w:color="000000" w:fill="FFFFFF"/>
            <w:noWrap/>
            <w:vAlign w:val="center"/>
          </w:tcPr>
          <w:p w14:paraId="3C957E45" w14:textId="69D0EAB9" w:rsidR="00272354" w:rsidRPr="00272354" w:rsidRDefault="00272354" w:rsidP="00272354">
            <w:pPr>
              <w:pStyle w:val="NoSpacing"/>
              <w:contextualSpacing/>
              <w:jc w:val="center"/>
              <w:rPr>
                <w:i/>
              </w:rPr>
            </w:pPr>
            <w:r w:rsidRPr="00272354">
              <w:rPr>
                <w:i/>
                <w:iCs/>
                <w:color w:val="000000" w:themeColor="text1"/>
              </w:rPr>
              <w:t>0.01</w:t>
            </w:r>
          </w:p>
        </w:tc>
      </w:tr>
      <w:tr w:rsidR="004003A0" w:rsidRPr="00F24A76" w14:paraId="0B17AD0A" w14:textId="77777777" w:rsidTr="00235C79">
        <w:trPr>
          <w:trHeight w:val="19"/>
        </w:trPr>
        <w:tc>
          <w:tcPr>
            <w:tcW w:w="939" w:type="pct"/>
            <w:tcBorders>
              <w:top w:val="nil"/>
              <w:left w:val="nil"/>
              <w:bottom w:val="nil"/>
              <w:right w:val="nil"/>
            </w:tcBorders>
            <w:shd w:val="clear" w:color="000000" w:fill="FFFFFF"/>
            <w:noWrap/>
          </w:tcPr>
          <w:p w14:paraId="64965472" w14:textId="0E43047A" w:rsidR="00272354" w:rsidRPr="00F24A76" w:rsidRDefault="00272354" w:rsidP="00272354">
            <w:pPr>
              <w:pStyle w:val="NoSpacing"/>
              <w:contextualSpacing/>
            </w:pPr>
            <w:r>
              <w:t>Backward pressure wave</w:t>
            </w:r>
          </w:p>
        </w:tc>
        <w:tc>
          <w:tcPr>
            <w:tcW w:w="168" w:type="pct"/>
            <w:tcBorders>
              <w:top w:val="nil"/>
              <w:left w:val="nil"/>
              <w:bottom w:val="nil"/>
              <w:right w:val="nil"/>
            </w:tcBorders>
            <w:shd w:val="clear" w:color="000000" w:fill="FFFFFF"/>
            <w:noWrap/>
            <w:vAlign w:val="center"/>
          </w:tcPr>
          <w:p w14:paraId="763290B2" w14:textId="0EC9B8CA" w:rsidR="00272354" w:rsidRPr="00272354" w:rsidRDefault="00272354" w:rsidP="00272354">
            <w:pPr>
              <w:pStyle w:val="NoSpacing"/>
              <w:contextualSpacing/>
              <w:jc w:val="right"/>
            </w:pPr>
            <w:r w:rsidRPr="00272354">
              <w:rPr>
                <w:color w:val="000000" w:themeColor="text1"/>
              </w:rPr>
              <w:t>13</w:t>
            </w:r>
          </w:p>
        </w:tc>
        <w:tc>
          <w:tcPr>
            <w:tcW w:w="350" w:type="pct"/>
            <w:tcBorders>
              <w:top w:val="nil"/>
              <w:left w:val="nil"/>
              <w:bottom w:val="nil"/>
              <w:right w:val="nil"/>
            </w:tcBorders>
            <w:shd w:val="clear" w:color="000000" w:fill="FFFFFF"/>
            <w:noWrap/>
            <w:vAlign w:val="center"/>
          </w:tcPr>
          <w:p w14:paraId="0CE60377" w14:textId="6BC2E157" w:rsidR="00272354" w:rsidRPr="00272354" w:rsidRDefault="00272354" w:rsidP="00272354">
            <w:pPr>
              <w:pStyle w:val="NoSpacing"/>
              <w:contextualSpacing/>
            </w:pPr>
            <w:r w:rsidRPr="00272354">
              <w:rPr>
                <w:color w:val="000000" w:themeColor="text1"/>
              </w:rPr>
              <w:t>(12,16)</w:t>
            </w:r>
          </w:p>
        </w:tc>
        <w:tc>
          <w:tcPr>
            <w:tcW w:w="168" w:type="pct"/>
            <w:tcBorders>
              <w:top w:val="nil"/>
              <w:left w:val="nil"/>
              <w:bottom w:val="nil"/>
              <w:right w:val="nil"/>
            </w:tcBorders>
            <w:shd w:val="clear" w:color="000000" w:fill="FFFFFF"/>
            <w:noWrap/>
            <w:vAlign w:val="center"/>
          </w:tcPr>
          <w:p w14:paraId="6F1F9703" w14:textId="2E4BBD25" w:rsidR="00272354" w:rsidRPr="00272354" w:rsidRDefault="00272354" w:rsidP="00272354">
            <w:pPr>
              <w:pStyle w:val="NoSpacing"/>
              <w:contextualSpacing/>
              <w:jc w:val="right"/>
            </w:pPr>
            <w:r w:rsidRPr="00272354">
              <w:rPr>
                <w:color w:val="000000" w:themeColor="text1"/>
              </w:rPr>
              <w:t>12</w:t>
            </w:r>
          </w:p>
        </w:tc>
        <w:tc>
          <w:tcPr>
            <w:tcW w:w="350" w:type="pct"/>
            <w:tcBorders>
              <w:top w:val="nil"/>
              <w:left w:val="nil"/>
              <w:bottom w:val="nil"/>
              <w:right w:val="nil"/>
            </w:tcBorders>
            <w:shd w:val="clear" w:color="000000" w:fill="FFFFFF"/>
            <w:noWrap/>
            <w:vAlign w:val="center"/>
          </w:tcPr>
          <w:p w14:paraId="29F1436E" w14:textId="2AA3F5B5" w:rsidR="00272354" w:rsidRPr="00272354" w:rsidRDefault="00272354" w:rsidP="00272354">
            <w:pPr>
              <w:pStyle w:val="NoSpacing"/>
              <w:contextualSpacing/>
            </w:pPr>
            <w:r w:rsidRPr="00272354">
              <w:rPr>
                <w:color w:val="000000" w:themeColor="text1"/>
              </w:rPr>
              <w:t>(11,15)</w:t>
            </w:r>
          </w:p>
        </w:tc>
        <w:tc>
          <w:tcPr>
            <w:tcW w:w="267" w:type="pct"/>
            <w:tcBorders>
              <w:top w:val="nil"/>
              <w:left w:val="nil"/>
              <w:bottom w:val="nil"/>
              <w:right w:val="nil"/>
            </w:tcBorders>
            <w:shd w:val="clear" w:color="000000" w:fill="FFFFFF"/>
            <w:noWrap/>
            <w:vAlign w:val="center"/>
          </w:tcPr>
          <w:p w14:paraId="27B497D2" w14:textId="6F15DC3F" w:rsidR="00272354" w:rsidRPr="00272354" w:rsidRDefault="00272354" w:rsidP="00272354">
            <w:pPr>
              <w:pStyle w:val="NoSpacing"/>
              <w:contextualSpacing/>
              <w:jc w:val="center"/>
              <w:rPr>
                <w:i/>
              </w:rPr>
            </w:pPr>
            <w:r w:rsidRPr="00272354">
              <w:rPr>
                <w:i/>
                <w:iCs/>
                <w:color w:val="000000" w:themeColor="text1"/>
              </w:rPr>
              <w:t>0.009</w:t>
            </w:r>
          </w:p>
        </w:tc>
        <w:tc>
          <w:tcPr>
            <w:tcW w:w="168" w:type="pct"/>
            <w:tcBorders>
              <w:top w:val="nil"/>
              <w:left w:val="nil"/>
              <w:bottom w:val="nil"/>
              <w:right w:val="nil"/>
            </w:tcBorders>
            <w:shd w:val="clear" w:color="000000" w:fill="FFFFFF"/>
            <w:noWrap/>
            <w:vAlign w:val="center"/>
          </w:tcPr>
          <w:p w14:paraId="56312A5B" w14:textId="34AF3F45" w:rsidR="00272354" w:rsidRPr="00272354" w:rsidRDefault="00272354" w:rsidP="00272354">
            <w:pPr>
              <w:pStyle w:val="NoSpacing"/>
              <w:contextualSpacing/>
              <w:jc w:val="right"/>
            </w:pPr>
            <w:r w:rsidRPr="00272354">
              <w:rPr>
                <w:color w:val="000000" w:themeColor="text1"/>
              </w:rPr>
              <w:t>14</w:t>
            </w:r>
          </w:p>
        </w:tc>
        <w:tc>
          <w:tcPr>
            <w:tcW w:w="392" w:type="pct"/>
            <w:tcBorders>
              <w:top w:val="nil"/>
              <w:left w:val="nil"/>
              <w:bottom w:val="nil"/>
              <w:right w:val="nil"/>
            </w:tcBorders>
            <w:shd w:val="clear" w:color="000000" w:fill="FFFFFF"/>
            <w:noWrap/>
            <w:vAlign w:val="center"/>
          </w:tcPr>
          <w:p w14:paraId="3732C172" w14:textId="421B0093" w:rsidR="00272354" w:rsidRPr="00272354" w:rsidRDefault="00272354" w:rsidP="00272354">
            <w:pPr>
              <w:pStyle w:val="NoSpacing"/>
              <w:contextualSpacing/>
            </w:pPr>
            <w:r w:rsidRPr="00272354">
              <w:rPr>
                <w:color w:val="000000" w:themeColor="text1"/>
              </w:rPr>
              <w:t>(12,16)</w:t>
            </w:r>
          </w:p>
        </w:tc>
        <w:tc>
          <w:tcPr>
            <w:tcW w:w="168" w:type="pct"/>
            <w:tcBorders>
              <w:top w:val="nil"/>
              <w:left w:val="nil"/>
              <w:bottom w:val="nil"/>
              <w:right w:val="nil"/>
            </w:tcBorders>
            <w:shd w:val="clear" w:color="000000" w:fill="FFFFFF"/>
            <w:noWrap/>
            <w:vAlign w:val="center"/>
          </w:tcPr>
          <w:p w14:paraId="31340AD5" w14:textId="20F1DE52" w:rsidR="00272354" w:rsidRPr="00272354" w:rsidRDefault="00272354" w:rsidP="00272354">
            <w:pPr>
              <w:pStyle w:val="NoSpacing"/>
              <w:contextualSpacing/>
              <w:jc w:val="right"/>
            </w:pPr>
            <w:r w:rsidRPr="00272354">
              <w:rPr>
                <w:color w:val="000000" w:themeColor="text1"/>
              </w:rPr>
              <w:t>14</w:t>
            </w:r>
          </w:p>
        </w:tc>
        <w:tc>
          <w:tcPr>
            <w:tcW w:w="392" w:type="pct"/>
            <w:tcBorders>
              <w:top w:val="nil"/>
              <w:left w:val="nil"/>
              <w:bottom w:val="nil"/>
              <w:right w:val="nil"/>
            </w:tcBorders>
            <w:shd w:val="clear" w:color="000000" w:fill="FFFFFF"/>
            <w:noWrap/>
            <w:vAlign w:val="center"/>
          </w:tcPr>
          <w:p w14:paraId="34904DBE" w14:textId="79EABE3C" w:rsidR="00272354" w:rsidRPr="00272354" w:rsidRDefault="00272354" w:rsidP="00272354">
            <w:pPr>
              <w:pStyle w:val="NoSpacing"/>
              <w:contextualSpacing/>
            </w:pPr>
            <w:r w:rsidRPr="00272354">
              <w:rPr>
                <w:color w:val="000000" w:themeColor="text1"/>
              </w:rPr>
              <w:t>(11,16)</w:t>
            </w:r>
          </w:p>
        </w:tc>
        <w:tc>
          <w:tcPr>
            <w:tcW w:w="267" w:type="pct"/>
            <w:tcBorders>
              <w:top w:val="nil"/>
              <w:left w:val="nil"/>
              <w:bottom w:val="nil"/>
              <w:right w:val="nil"/>
            </w:tcBorders>
            <w:shd w:val="clear" w:color="000000" w:fill="FFFFFF"/>
            <w:noWrap/>
            <w:vAlign w:val="center"/>
          </w:tcPr>
          <w:p w14:paraId="1F034CFD" w14:textId="3D910AD1" w:rsidR="00272354" w:rsidRPr="00272354" w:rsidRDefault="00272354" w:rsidP="00272354">
            <w:pPr>
              <w:pStyle w:val="NoSpacing"/>
              <w:contextualSpacing/>
              <w:jc w:val="center"/>
              <w:rPr>
                <w:i/>
              </w:rPr>
            </w:pPr>
            <w:r w:rsidRPr="00272354">
              <w:rPr>
                <w:i/>
                <w:iCs/>
                <w:color w:val="000000" w:themeColor="text1"/>
              </w:rPr>
              <w:t>0.16</w:t>
            </w:r>
          </w:p>
        </w:tc>
        <w:tc>
          <w:tcPr>
            <w:tcW w:w="168" w:type="pct"/>
            <w:tcBorders>
              <w:top w:val="nil"/>
              <w:left w:val="nil"/>
              <w:bottom w:val="nil"/>
              <w:right w:val="nil"/>
            </w:tcBorders>
            <w:shd w:val="clear" w:color="000000" w:fill="FFFFFF"/>
            <w:noWrap/>
            <w:vAlign w:val="center"/>
          </w:tcPr>
          <w:p w14:paraId="5CAD4D04" w14:textId="0058DA0F" w:rsidR="00272354" w:rsidRPr="00272354" w:rsidRDefault="00272354" w:rsidP="00272354">
            <w:pPr>
              <w:pStyle w:val="NoSpacing"/>
              <w:contextualSpacing/>
              <w:jc w:val="right"/>
            </w:pPr>
            <w:r w:rsidRPr="00272354">
              <w:rPr>
                <w:color w:val="000000" w:themeColor="text1"/>
              </w:rPr>
              <w:t>12</w:t>
            </w:r>
          </w:p>
        </w:tc>
        <w:tc>
          <w:tcPr>
            <w:tcW w:w="392" w:type="pct"/>
            <w:tcBorders>
              <w:top w:val="nil"/>
              <w:left w:val="nil"/>
              <w:bottom w:val="nil"/>
              <w:right w:val="nil"/>
            </w:tcBorders>
            <w:shd w:val="clear" w:color="000000" w:fill="FFFFFF"/>
            <w:noWrap/>
            <w:vAlign w:val="center"/>
          </w:tcPr>
          <w:p w14:paraId="7F707AC0" w14:textId="6BB214AA" w:rsidR="00272354" w:rsidRPr="00272354" w:rsidRDefault="00272354" w:rsidP="00272354">
            <w:pPr>
              <w:pStyle w:val="NoSpacing"/>
              <w:contextualSpacing/>
            </w:pPr>
            <w:r w:rsidRPr="00272354">
              <w:rPr>
                <w:color w:val="000000" w:themeColor="text1"/>
              </w:rPr>
              <w:t>(10,14)</w:t>
            </w:r>
          </w:p>
        </w:tc>
        <w:tc>
          <w:tcPr>
            <w:tcW w:w="210" w:type="pct"/>
            <w:tcBorders>
              <w:top w:val="nil"/>
              <w:left w:val="nil"/>
              <w:bottom w:val="nil"/>
              <w:right w:val="nil"/>
            </w:tcBorders>
            <w:shd w:val="clear" w:color="000000" w:fill="FFFFFF"/>
            <w:noWrap/>
            <w:vAlign w:val="center"/>
          </w:tcPr>
          <w:p w14:paraId="192211F6" w14:textId="29CFA5D6" w:rsidR="00272354" w:rsidRPr="00272354" w:rsidRDefault="00272354" w:rsidP="00272354">
            <w:pPr>
              <w:pStyle w:val="NoSpacing"/>
              <w:contextualSpacing/>
              <w:jc w:val="right"/>
            </w:pPr>
            <w:r w:rsidRPr="00272354">
              <w:rPr>
                <w:color w:val="000000" w:themeColor="text1"/>
              </w:rPr>
              <w:t>11.31</w:t>
            </w:r>
          </w:p>
        </w:tc>
        <w:tc>
          <w:tcPr>
            <w:tcW w:w="392" w:type="pct"/>
            <w:tcBorders>
              <w:top w:val="nil"/>
              <w:left w:val="nil"/>
              <w:bottom w:val="nil"/>
              <w:right w:val="nil"/>
            </w:tcBorders>
            <w:shd w:val="clear" w:color="000000" w:fill="FFFFFF"/>
            <w:noWrap/>
            <w:vAlign w:val="center"/>
          </w:tcPr>
          <w:p w14:paraId="4B17C7BC" w14:textId="1E19D025" w:rsidR="00272354" w:rsidRPr="00272354" w:rsidRDefault="00272354" w:rsidP="00272354">
            <w:pPr>
              <w:pStyle w:val="NoSpacing"/>
              <w:contextualSpacing/>
            </w:pPr>
            <w:r w:rsidRPr="00272354">
              <w:rPr>
                <w:color w:val="000000" w:themeColor="text1"/>
              </w:rPr>
              <w:t>(10,13)</w:t>
            </w:r>
          </w:p>
        </w:tc>
        <w:tc>
          <w:tcPr>
            <w:tcW w:w="210" w:type="pct"/>
            <w:tcBorders>
              <w:top w:val="nil"/>
              <w:left w:val="nil"/>
              <w:bottom w:val="nil"/>
              <w:right w:val="nil"/>
            </w:tcBorders>
            <w:shd w:val="clear" w:color="000000" w:fill="FFFFFF"/>
            <w:noWrap/>
            <w:vAlign w:val="center"/>
          </w:tcPr>
          <w:p w14:paraId="6A564811" w14:textId="5F52E744" w:rsidR="00272354" w:rsidRPr="00272354" w:rsidRDefault="00272354" w:rsidP="00272354">
            <w:pPr>
              <w:pStyle w:val="NoSpacing"/>
              <w:contextualSpacing/>
              <w:jc w:val="center"/>
              <w:rPr>
                <w:i/>
              </w:rPr>
            </w:pPr>
            <w:r w:rsidRPr="00272354">
              <w:rPr>
                <w:i/>
                <w:iCs/>
                <w:color w:val="000000" w:themeColor="text1"/>
              </w:rPr>
              <w:t>0.06</w:t>
            </w:r>
          </w:p>
        </w:tc>
      </w:tr>
      <w:tr w:rsidR="004003A0" w:rsidRPr="00F24A76" w14:paraId="1701B4DA" w14:textId="77777777" w:rsidTr="00235C79">
        <w:trPr>
          <w:trHeight w:val="19"/>
        </w:trPr>
        <w:tc>
          <w:tcPr>
            <w:tcW w:w="939" w:type="pct"/>
            <w:tcBorders>
              <w:top w:val="nil"/>
              <w:left w:val="nil"/>
              <w:bottom w:val="nil"/>
              <w:right w:val="nil"/>
            </w:tcBorders>
            <w:shd w:val="clear" w:color="000000" w:fill="FFFFFF"/>
            <w:noWrap/>
          </w:tcPr>
          <w:p w14:paraId="3F5A5457" w14:textId="5CD1EDEE" w:rsidR="004003A0" w:rsidRPr="00AE7825" w:rsidRDefault="004003A0" w:rsidP="004003A0">
            <w:pPr>
              <w:pStyle w:val="NoSpacing"/>
              <w:contextualSpacing/>
            </w:pPr>
            <w:r w:rsidRPr="004003A0">
              <w:t>Reflection magnitude</w:t>
            </w:r>
          </w:p>
        </w:tc>
        <w:tc>
          <w:tcPr>
            <w:tcW w:w="168" w:type="pct"/>
            <w:tcBorders>
              <w:top w:val="nil"/>
              <w:left w:val="nil"/>
              <w:bottom w:val="nil"/>
              <w:right w:val="nil"/>
            </w:tcBorders>
            <w:shd w:val="clear" w:color="000000" w:fill="FFFFFF"/>
            <w:noWrap/>
            <w:vAlign w:val="center"/>
          </w:tcPr>
          <w:p w14:paraId="07626427" w14:textId="4F679A55" w:rsidR="004003A0" w:rsidRPr="00A77FB9" w:rsidRDefault="004003A0" w:rsidP="004003A0">
            <w:pPr>
              <w:pStyle w:val="NoSpacing"/>
              <w:contextualSpacing/>
              <w:jc w:val="right"/>
            </w:pPr>
            <w:r w:rsidRPr="00AE7825">
              <w:rPr>
                <w:color w:val="000000" w:themeColor="text1"/>
                <w:szCs w:val="16"/>
              </w:rPr>
              <w:t>0.55</w:t>
            </w:r>
          </w:p>
        </w:tc>
        <w:tc>
          <w:tcPr>
            <w:tcW w:w="350" w:type="pct"/>
            <w:tcBorders>
              <w:top w:val="nil"/>
              <w:left w:val="nil"/>
              <w:bottom w:val="nil"/>
              <w:right w:val="nil"/>
            </w:tcBorders>
            <w:shd w:val="clear" w:color="000000" w:fill="FFFFFF"/>
            <w:noWrap/>
            <w:vAlign w:val="center"/>
          </w:tcPr>
          <w:p w14:paraId="64A8D7C6" w14:textId="70BCCF51" w:rsidR="004003A0" w:rsidRPr="00A77FB9" w:rsidRDefault="004003A0" w:rsidP="004003A0">
            <w:pPr>
              <w:pStyle w:val="NoSpacing"/>
              <w:contextualSpacing/>
            </w:pPr>
            <w:r w:rsidRPr="00A77FB9">
              <w:rPr>
                <w:color w:val="000000" w:themeColor="text1"/>
                <w:szCs w:val="16"/>
              </w:rPr>
              <w:t>(0.5</w:t>
            </w:r>
            <w:r w:rsidR="000670C3">
              <w:rPr>
                <w:color w:val="000000" w:themeColor="text1"/>
                <w:szCs w:val="16"/>
              </w:rPr>
              <w:t>0</w:t>
            </w:r>
            <w:r w:rsidRPr="00A77FB9">
              <w:rPr>
                <w:color w:val="000000" w:themeColor="text1"/>
                <w:szCs w:val="16"/>
              </w:rPr>
              <w:t>,0.62)</w:t>
            </w:r>
          </w:p>
        </w:tc>
        <w:tc>
          <w:tcPr>
            <w:tcW w:w="168" w:type="pct"/>
            <w:tcBorders>
              <w:top w:val="nil"/>
              <w:left w:val="nil"/>
              <w:bottom w:val="nil"/>
              <w:right w:val="nil"/>
            </w:tcBorders>
            <w:shd w:val="clear" w:color="000000" w:fill="FFFFFF"/>
            <w:noWrap/>
            <w:vAlign w:val="center"/>
          </w:tcPr>
          <w:p w14:paraId="3C6ABC31" w14:textId="7A3D9276" w:rsidR="004003A0" w:rsidRPr="00A77FB9" w:rsidRDefault="004003A0" w:rsidP="004003A0">
            <w:pPr>
              <w:pStyle w:val="NoSpacing"/>
              <w:contextualSpacing/>
              <w:jc w:val="right"/>
            </w:pPr>
            <w:r w:rsidRPr="00A77FB9">
              <w:rPr>
                <w:color w:val="000000" w:themeColor="text1"/>
                <w:szCs w:val="16"/>
              </w:rPr>
              <w:t>0.54</w:t>
            </w:r>
          </w:p>
        </w:tc>
        <w:tc>
          <w:tcPr>
            <w:tcW w:w="350" w:type="pct"/>
            <w:tcBorders>
              <w:top w:val="nil"/>
              <w:left w:val="nil"/>
              <w:bottom w:val="nil"/>
              <w:right w:val="nil"/>
            </w:tcBorders>
            <w:shd w:val="clear" w:color="000000" w:fill="FFFFFF"/>
            <w:noWrap/>
            <w:vAlign w:val="center"/>
          </w:tcPr>
          <w:p w14:paraId="65C287E7" w14:textId="2728B660" w:rsidR="004003A0" w:rsidRPr="00A77FB9" w:rsidRDefault="004003A0" w:rsidP="004003A0">
            <w:pPr>
              <w:pStyle w:val="NoSpacing"/>
              <w:contextualSpacing/>
            </w:pPr>
            <w:r w:rsidRPr="00A77FB9">
              <w:rPr>
                <w:color w:val="000000" w:themeColor="text1"/>
                <w:szCs w:val="16"/>
              </w:rPr>
              <w:t>(0.51,0.6)</w:t>
            </w:r>
          </w:p>
        </w:tc>
        <w:tc>
          <w:tcPr>
            <w:tcW w:w="267" w:type="pct"/>
            <w:tcBorders>
              <w:top w:val="nil"/>
              <w:left w:val="nil"/>
              <w:bottom w:val="nil"/>
              <w:right w:val="nil"/>
            </w:tcBorders>
            <w:shd w:val="clear" w:color="000000" w:fill="FFFFFF"/>
            <w:noWrap/>
            <w:vAlign w:val="center"/>
          </w:tcPr>
          <w:p w14:paraId="72E49C88" w14:textId="5FE93DF1" w:rsidR="004003A0" w:rsidRPr="00A77FB9" w:rsidRDefault="004003A0" w:rsidP="004003A0">
            <w:pPr>
              <w:pStyle w:val="NoSpacing"/>
              <w:contextualSpacing/>
              <w:jc w:val="center"/>
              <w:rPr>
                <w:i/>
              </w:rPr>
            </w:pPr>
            <w:r w:rsidRPr="00A77FB9">
              <w:rPr>
                <w:i/>
                <w:iCs/>
                <w:color w:val="000000" w:themeColor="text1"/>
                <w:szCs w:val="16"/>
              </w:rPr>
              <w:t>0.60</w:t>
            </w:r>
          </w:p>
        </w:tc>
        <w:tc>
          <w:tcPr>
            <w:tcW w:w="168" w:type="pct"/>
            <w:tcBorders>
              <w:top w:val="nil"/>
              <w:left w:val="nil"/>
              <w:bottom w:val="nil"/>
              <w:right w:val="nil"/>
            </w:tcBorders>
            <w:shd w:val="clear" w:color="000000" w:fill="FFFFFF"/>
            <w:noWrap/>
            <w:vAlign w:val="center"/>
          </w:tcPr>
          <w:p w14:paraId="4755F1A9" w14:textId="11FA21D1" w:rsidR="004003A0" w:rsidRPr="00A77FB9" w:rsidRDefault="004003A0" w:rsidP="004003A0">
            <w:pPr>
              <w:pStyle w:val="NoSpacing"/>
              <w:contextualSpacing/>
              <w:jc w:val="right"/>
            </w:pPr>
            <w:r w:rsidRPr="00A77FB9">
              <w:rPr>
                <w:color w:val="000000" w:themeColor="text1"/>
                <w:szCs w:val="16"/>
              </w:rPr>
              <w:t>0.57</w:t>
            </w:r>
          </w:p>
        </w:tc>
        <w:tc>
          <w:tcPr>
            <w:tcW w:w="392" w:type="pct"/>
            <w:tcBorders>
              <w:top w:val="nil"/>
              <w:left w:val="nil"/>
              <w:bottom w:val="nil"/>
              <w:right w:val="nil"/>
            </w:tcBorders>
            <w:shd w:val="clear" w:color="000000" w:fill="FFFFFF"/>
            <w:noWrap/>
            <w:vAlign w:val="center"/>
          </w:tcPr>
          <w:p w14:paraId="4724BBBB" w14:textId="43F00B8B" w:rsidR="004003A0" w:rsidRPr="00A77FB9" w:rsidRDefault="004003A0" w:rsidP="004003A0">
            <w:pPr>
              <w:pStyle w:val="NoSpacing"/>
              <w:contextualSpacing/>
            </w:pPr>
            <w:r w:rsidRPr="00A77FB9">
              <w:rPr>
                <w:color w:val="000000" w:themeColor="text1"/>
                <w:szCs w:val="16"/>
              </w:rPr>
              <w:t>(0.51,0.64)</w:t>
            </w:r>
          </w:p>
        </w:tc>
        <w:tc>
          <w:tcPr>
            <w:tcW w:w="168" w:type="pct"/>
            <w:tcBorders>
              <w:top w:val="nil"/>
              <w:left w:val="nil"/>
              <w:bottom w:val="nil"/>
              <w:right w:val="nil"/>
            </w:tcBorders>
            <w:shd w:val="clear" w:color="000000" w:fill="FFFFFF"/>
            <w:noWrap/>
            <w:vAlign w:val="center"/>
          </w:tcPr>
          <w:p w14:paraId="6742DEE1" w14:textId="6AF7AB4F" w:rsidR="004003A0" w:rsidRPr="00A77FB9" w:rsidRDefault="004003A0" w:rsidP="004003A0">
            <w:pPr>
              <w:pStyle w:val="NoSpacing"/>
              <w:contextualSpacing/>
              <w:jc w:val="right"/>
            </w:pPr>
            <w:r w:rsidRPr="00A77FB9">
              <w:rPr>
                <w:color w:val="000000" w:themeColor="text1"/>
                <w:szCs w:val="16"/>
              </w:rPr>
              <w:t>0.55</w:t>
            </w:r>
          </w:p>
        </w:tc>
        <w:tc>
          <w:tcPr>
            <w:tcW w:w="392" w:type="pct"/>
            <w:tcBorders>
              <w:top w:val="nil"/>
              <w:left w:val="nil"/>
              <w:bottom w:val="nil"/>
              <w:right w:val="nil"/>
            </w:tcBorders>
            <w:shd w:val="clear" w:color="000000" w:fill="FFFFFF"/>
            <w:noWrap/>
            <w:vAlign w:val="center"/>
          </w:tcPr>
          <w:p w14:paraId="0B6D57CD" w14:textId="3A73F168" w:rsidR="004003A0" w:rsidRPr="00A77FB9" w:rsidRDefault="004003A0" w:rsidP="004003A0">
            <w:pPr>
              <w:pStyle w:val="NoSpacing"/>
              <w:contextualSpacing/>
            </w:pPr>
            <w:r w:rsidRPr="00A77FB9">
              <w:rPr>
                <w:color w:val="000000" w:themeColor="text1"/>
                <w:szCs w:val="16"/>
              </w:rPr>
              <w:t>(0.52,0.61)</w:t>
            </w:r>
          </w:p>
        </w:tc>
        <w:tc>
          <w:tcPr>
            <w:tcW w:w="267" w:type="pct"/>
            <w:tcBorders>
              <w:top w:val="nil"/>
              <w:left w:val="nil"/>
              <w:bottom w:val="nil"/>
              <w:right w:val="nil"/>
            </w:tcBorders>
            <w:shd w:val="clear" w:color="000000" w:fill="FFFFFF"/>
            <w:noWrap/>
            <w:vAlign w:val="center"/>
          </w:tcPr>
          <w:p w14:paraId="7CCE02D3" w14:textId="0D00F86D" w:rsidR="004003A0" w:rsidRPr="00A77FB9" w:rsidRDefault="004003A0" w:rsidP="004003A0">
            <w:pPr>
              <w:pStyle w:val="NoSpacing"/>
              <w:contextualSpacing/>
              <w:jc w:val="center"/>
              <w:rPr>
                <w:i/>
              </w:rPr>
            </w:pPr>
            <w:r w:rsidRPr="00A77FB9">
              <w:rPr>
                <w:i/>
                <w:color w:val="000000" w:themeColor="text1"/>
                <w:szCs w:val="16"/>
              </w:rPr>
              <w:t>0.66</w:t>
            </w:r>
          </w:p>
        </w:tc>
        <w:tc>
          <w:tcPr>
            <w:tcW w:w="168" w:type="pct"/>
            <w:tcBorders>
              <w:top w:val="nil"/>
              <w:left w:val="nil"/>
              <w:bottom w:val="nil"/>
              <w:right w:val="nil"/>
            </w:tcBorders>
            <w:shd w:val="clear" w:color="000000" w:fill="FFFFFF"/>
            <w:noWrap/>
            <w:vAlign w:val="center"/>
          </w:tcPr>
          <w:p w14:paraId="064F5111" w14:textId="794738AC" w:rsidR="004003A0" w:rsidRPr="00A77FB9" w:rsidRDefault="004003A0" w:rsidP="004003A0">
            <w:pPr>
              <w:pStyle w:val="NoSpacing"/>
              <w:contextualSpacing/>
              <w:jc w:val="right"/>
            </w:pPr>
            <w:r w:rsidRPr="00A77FB9">
              <w:rPr>
                <w:color w:val="000000" w:themeColor="text1"/>
                <w:szCs w:val="16"/>
              </w:rPr>
              <w:t>0.54</w:t>
            </w:r>
          </w:p>
        </w:tc>
        <w:tc>
          <w:tcPr>
            <w:tcW w:w="392" w:type="pct"/>
            <w:tcBorders>
              <w:top w:val="nil"/>
              <w:left w:val="nil"/>
              <w:bottom w:val="nil"/>
              <w:right w:val="nil"/>
            </w:tcBorders>
            <w:shd w:val="clear" w:color="000000" w:fill="FFFFFF"/>
            <w:noWrap/>
            <w:vAlign w:val="center"/>
          </w:tcPr>
          <w:p w14:paraId="2BE5A8C2" w14:textId="3C561ED6" w:rsidR="004003A0" w:rsidRPr="00A77FB9" w:rsidRDefault="004003A0" w:rsidP="004003A0">
            <w:pPr>
              <w:pStyle w:val="NoSpacing"/>
              <w:contextualSpacing/>
            </w:pPr>
            <w:r w:rsidRPr="00A77FB9">
              <w:rPr>
                <w:color w:val="000000" w:themeColor="text1"/>
                <w:szCs w:val="16"/>
              </w:rPr>
              <w:t>(0.49,0.61)</w:t>
            </w:r>
          </w:p>
        </w:tc>
        <w:tc>
          <w:tcPr>
            <w:tcW w:w="210" w:type="pct"/>
            <w:tcBorders>
              <w:top w:val="nil"/>
              <w:left w:val="nil"/>
              <w:bottom w:val="nil"/>
              <w:right w:val="nil"/>
            </w:tcBorders>
            <w:shd w:val="clear" w:color="000000" w:fill="FFFFFF"/>
            <w:noWrap/>
            <w:vAlign w:val="center"/>
          </w:tcPr>
          <w:p w14:paraId="2487DB11" w14:textId="4EE9D76D" w:rsidR="004003A0" w:rsidRPr="00A77FB9" w:rsidRDefault="004003A0" w:rsidP="004003A0">
            <w:pPr>
              <w:pStyle w:val="NoSpacing"/>
              <w:contextualSpacing/>
              <w:jc w:val="right"/>
            </w:pPr>
            <w:r w:rsidRPr="00A77FB9">
              <w:rPr>
                <w:color w:val="000000" w:themeColor="text1"/>
                <w:szCs w:val="16"/>
              </w:rPr>
              <w:t>0.54</w:t>
            </w:r>
          </w:p>
        </w:tc>
        <w:tc>
          <w:tcPr>
            <w:tcW w:w="392" w:type="pct"/>
            <w:tcBorders>
              <w:top w:val="nil"/>
              <w:left w:val="nil"/>
              <w:bottom w:val="nil"/>
              <w:right w:val="nil"/>
            </w:tcBorders>
            <w:shd w:val="clear" w:color="000000" w:fill="FFFFFF"/>
            <w:noWrap/>
            <w:vAlign w:val="center"/>
          </w:tcPr>
          <w:p w14:paraId="0AEBE4AF" w14:textId="7BFA48B6" w:rsidR="004003A0" w:rsidRPr="00A77FB9" w:rsidRDefault="004003A0" w:rsidP="004003A0">
            <w:pPr>
              <w:pStyle w:val="NoSpacing"/>
              <w:contextualSpacing/>
            </w:pPr>
            <w:r w:rsidRPr="00A77FB9">
              <w:rPr>
                <w:color w:val="000000" w:themeColor="text1"/>
                <w:szCs w:val="16"/>
              </w:rPr>
              <w:t>(0.49,0.59)</w:t>
            </w:r>
          </w:p>
        </w:tc>
        <w:tc>
          <w:tcPr>
            <w:tcW w:w="210" w:type="pct"/>
            <w:tcBorders>
              <w:top w:val="nil"/>
              <w:left w:val="nil"/>
              <w:bottom w:val="nil"/>
              <w:right w:val="nil"/>
            </w:tcBorders>
            <w:shd w:val="clear" w:color="000000" w:fill="FFFFFF"/>
            <w:noWrap/>
            <w:vAlign w:val="center"/>
          </w:tcPr>
          <w:p w14:paraId="16B0C852" w14:textId="4BC45F55" w:rsidR="004003A0" w:rsidRPr="00A77FB9" w:rsidRDefault="004003A0" w:rsidP="004003A0">
            <w:pPr>
              <w:pStyle w:val="NoSpacing"/>
              <w:contextualSpacing/>
              <w:jc w:val="center"/>
              <w:rPr>
                <w:i/>
              </w:rPr>
            </w:pPr>
            <w:r w:rsidRPr="00A77FB9">
              <w:rPr>
                <w:i/>
                <w:iCs/>
                <w:color w:val="000000" w:themeColor="text1"/>
                <w:szCs w:val="16"/>
              </w:rPr>
              <w:t>0.70</w:t>
            </w:r>
          </w:p>
        </w:tc>
      </w:tr>
    </w:tbl>
    <w:p w14:paraId="0AEAA3C6" w14:textId="2D1EC655" w:rsidR="00614507" w:rsidRPr="00D93162" w:rsidRDefault="00680870" w:rsidP="008103B1">
      <w:pPr>
        <w:pStyle w:val="Caption"/>
        <w:spacing w:line="240" w:lineRule="auto"/>
        <w:rPr>
          <w:i/>
          <w:sz w:val="24"/>
          <w:szCs w:val="24"/>
        </w:rPr>
      </w:pPr>
      <w:bookmarkStart w:id="5" w:name="_Ref533672574"/>
      <w:r w:rsidRPr="00D93162">
        <w:rPr>
          <w:b/>
          <w:sz w:val="24"/>
          <w:szCs w:val="24"/>
        </w:rPr>
        <w:t xml:space="preserve">Table </w:t>
      </w:r>
      <w:r w:rsidRPr="00D93162">
        <w:rPr>
          <w:b/>
          <w:sz w:val="24"/>
          <w:szCs w:val="24"/>
        </w:rPr>
        <w:fldChar w:fldCharType="begin"/>
      </w:r>
      <w:r w:rsidRPr="00D93162">
        <w:rPr>
          <w:b/>
          <w:sz w:val="24"/>
          <w:szCs w:val="24"/>
        </w:rPr>
        <w:instrText xml:space="preserve"> SEQ Table \* ARABIC </w:instrText>
      </w:r>
      <w:r w:rsidRPr="00D93162">
        <w:rPr>
          <w:b/>
          <w:sz w:val="24"/>
          <w:szCs w:val="24"/>
        </w:rPr>
        <w:fldChar w:fldCharType="separate"/>
      </w:r>
      <w:r w:rsidR="00523BD5" w:rsidRPr="00D93162">
        <w:rPr>
          <w:b/>
          <w:noProof/>
          <w:sz w:val="24"/>
          <w:szCs w:val="24"/>
        </w:rPr>
        <w:t>1</w:t>
      </w:r>
      <w:r w:rsidRPr="00D93162">
        <w:rPr>
          <w:b/>
          <w:sz w:val="24"/>
          <w:szCs w:val="24"/>
        </w:rPr>
        <w:fldChar w:fldCharType="end"/>
      </w:r>
      <w:bookmarkEnd w:id="5"/>
      <w:r w:rsidRPr="00D93162">
        <w:rPr>
          <w:b/>
          <w:sz w:val="24"/>
          <w:szCs w:val="24"/>
        </w:rPr>
        <w:t xml:space="preserve"> Baseline characteristics and </w:t>
      </w:r>
      <w:r w:rsidR="006A3E17" w:rsidRPr="00D93162">
        <w:rPr>
          <w:b/>
          <w:sz w:val="24"/>
          <w:szCs w:val="24"/>
        </w:rPr>
        <w:t xml:space="preserve">follow-up </w:t>
      </w:r>
      <w:r w:rsidRPr="00D93162">
        <w:rPr>
          <w:b/>
          <w:sz w:val="24"/>
          <w:szCs w:val="24"/>
        </w:rPr>
        <w:t xml:space="preserve">response to exercise, stratified by older (&gt;37 years) and younger </w:t>
      </w:r>
      <w:r w:rsidRPr="00D93162">
        <w:rPr>
          <w:rFonts w:eastAsia="Times New Roman"/>
          <w:b/>
          <w:color w:val="000000"/>
          <w:sz w:val="24"/>
          <w:szCs w:val="24"/>
        </w:rPr>
        <w:t>(≤37 years)</w:t>
      </w:r>
      <w:r w:rsidRPr="00D93162">
        <w:rPr>
          <w:b/>
          <w:sz w:val="24"/>
          <w:szCs w:val="24"/>
        </w:rPr>
        <w:t xml:space="preserve"> participants.</w:t>
      </w:r>
      <w:r w:rsidR="005201D5" w:rsidRPr="00D93162">
        <w:rPr>
          <w:b/>
          <w:sz w:val="24"/>
          <w:szCs w:val="24"/>
        </w:rPr>
        <w:t xml:space="preserve"> </w:t>
      </w:r>
      <w:r w:rsidR="005F48B1" w:rsidRPr="00D93162">
        <w:rPr>
          <w:sz w:val="24"/>
          <w:szCs w:val="24"/>
        </w:rPr>
        <w:t>D</w:t>
      </w:r>
      <w:r w:rsidR="0019403E" w:rsidRPr="00D93162">
        <w:rPr>
          <w:sz w:val="24"/>
          <w:szCs w:val="24"/>
        </w:rPr>
        <w:t>ata are mean (</w:t>
      </w:r>
      <w:r w:rsidR="00645932" w:rsidRPr="00D93162">
        <w:rPr>
          <w:sz w:val="24"/>
          <w:szCs w:val="24"/>
        </w:rPr>
        <w:t>±</w:t>
      </w:r>
      <w:r w:rsidR="0019403E" w:rsidRPr="00D93162">
        <w:rPr>
          <w:sz w:val="24"/>
          <w:szCs w:val="24"/>
        </w:rPr>
        <w:t>standard deviation</w:t>
      </w:r>
      <w:r w:rsidR="00753D1A" w:rsidRPr="00D93162">
        <w:rPr>
          <w:sz w:val="24"/>
          <w:szCs w:val="24"/>
        </w:rPr>
        <w:t>;</w:t>
      </w:r>
      <w:r w:rsidR="00886561" w:rsidRPr="00D93162">
        <w:rPr>
          <w:sz w:val="24"/>
          <w:szCs w:val="24"/>
        </w:rPr>
        <w:t xml:space="preserve"> </w:t>
      </w:r>
      <w:r w:rsidR="00753D1A" w:rsidRPr="00D93162">
        <w:rPr>
          <w:sz w:val="24"/>
          <w:szCs w:val="24"/>
        </w:rPr>
        <w:t xml:space="preserve">full </w:t>
      </w:r>
      <w:r w:rsidR="00886561" w:rsidRPr="00D93162">
        <w:rPr>
          <w:sz w:val="24"/>
          <w:szCs w:val="24"/>
        </w:rPr>
        <w:t xml:space="preserve">age </w:t>
      </w:r>
      <w:r w:rsidR="00753D1A" w:rsidRPr="00D93162">
        <w:rPr>
          <w:sz w:val="24"/>
          <w:szCs w:val="24"/>
        </w:rPr>
        <w:t xml:space="preserve">range for </w:t>
      </w:r>
      <w:r w:rsidR="0006510A" w:rsidRPr="00D93162">
        <w:rPr>
          <w:sz w:val="24"/>
          <w:szCs w:val="24"/>
        </w:rPr>
        <w:t>whole cohort</w:t>
      </w:r>
      <w:r w:rsidR="005F48B1" w:rsidRPr="00D93162">
        <w:rPr>
          <w:sz w:val="24"/>
          <w:szCs w:val="24"/>
        </w:rPr>
        <w:t>) or median (inter-quartile range</w:t>
      </w:r>
      <w:r w:rsidR="007F526C" w:rsidRPr="00D93162">
        <w:rPr>
          <w:sz w:val="24"/>
          <w:szCs w:val="24"/>
        </w:rPr>
        <w:t>)</w:t>
      </w:r>
      <w:r w:rsidR="00E07F5D" w:rsidRPr="00D93162">
        <w:rPr>
          <w:sz w:val="24"/>
          <w:szCs w:val="24"/>
        </w:rPr>
        <w:t>.</w:t>
      </w:r>
      <w:r w:rsidR="00746C10" w:rsidRPr="00D93162">
        <w:rPr>
          <w:sz w:val="24"/>
          <w:szCs w:val="24"/>
          <w:lang w:val="en-GB"/>
        </w:rPr>
        <w:t xml:space="preserve"> </w:t>
      </w:r>
      <w:r w:rsidR="00746C10" w:rsidRPr="00D93162">
        <w:rPr>
          <w:sz w:val="24"/>
          <w:szCs w:val="24"/>
        </w:rPr>
        <w:t>1 participant did not have follow-up cardiovascular magnetic resonance due to pregnancy; 3 participants had partial aortic phase cont</w:t>
      </w:r>
      <w:r w:rsidR="00381183" w:rsidRPr="00D93162">
        <w:rPr>
          <w:sz w:val="24"/>
          <w:szCs w:val="24"/>
        </w:rPr>
        <w:t xml:space="preserve">rast acquisition </w:t>
      </w:r>
      <w:r w:rsidR="00746C10" w:rsidRPr="00D93162">
        <w:rPr>
          <w:sz w:val="24"/>
          <w:szCs w:val="24"/>
        </w:rPr>
        <w:t xml:space="preserve">due to scanner crashes; 1 participant </w:t>
      </w:r>
      <w:r w:rsidR="00B3539C" w:rsidRPr="00D93162">
        <w:rPr>
          <w:sz w:val="24"/>
          <w:szCs w:val="24"/>
        </w:rPr>
        <w:t xml:space="preserve">imaging </w:t>
      </w:r>
      <w:r w:rsidR="00746C10" w:rsidRPr="00D93162">
        <w:rPr>
          <w:sz w:val="24"/>
          <w:szCs w:val="24"/>
        </w:rPr>
        <w:t xml:space="preserve">data was not saved successfully at one time-point. 5 participants did not have cardiopulmonary exercise testing data due to either machine crashes or injury at follow-up. </w:t>
      </w:r>
      <w:r w:rsidR="00051C79">
        <w:rPr>
          <w:sz w:val="24"/>
          <w:szCs w:val="24"/>
        </w:rPr>
        <w:t xml:space="preserve">Wave separation waves are measured in the ascending aorta. </w:t>
      </w:r>
      <w:r w:rsidR="00746C10" w:rsidRPr="00D93162">
        <w:rPr>
          <w:i/>
          <w:sz w:val="24"/>
          <w:szCs w:val="24"/>
        </w:rPr>
        <w:t xml:space="preserve">Abbreviations: </w:t>
      </w:r>
      <w:r w:rsidR="005201D5" w:rsidRPr="00D93162">
        <w:rPr>
          <w:i/>
          <w:sz w:val="24"/>
          <w:szCs w:val="24"/>
        </w:rPr>
        <w:t xml:space="preserve">SBP= </w:t>
      </w:r>
      <w:r w:rsidR="000357E6" w:rsidRPr="00D93162">
        <w:rPr>
          <w:i/>
          <w:sz w:val="24"/>
          <w:szCs w:val="24"/>
        </w:rPr>
        <w:t>systolic blood pressure, DBP= diastolic blood pressure; MAP= mean arterial pressure; PP= pulse pressure.</w:t>
      </w:r>
    </w:p>
    <w:tbl>
      <w:tblPr>
        <w:tblW w:w="5000" w:type="pct"/>
        <w:tblCellMar>
          <w:left w:w="0" w:type="dxa"/>
          <w:right w:w="57" w:type="dxa"/>
        </w:tblCellMar>
        <w:tblLook w:val="04A0" w:firstRow="1" w:lastRow="0" w:firstColumn="1" w:lastColumn="0" w:noHBand="0" w:noVBand="1"/>
      </w:tblPr>
      <w:tblGrid>
        <w:gridCol w:w="3577"/>
        <w:gridCol w:w="193"/>
        <w:gridCol w:w="514"/>
        <w:gridCol w:w="879"/>
        <w:gridCol w:w="505"/>
        <w:gridCol w:w="877"/>
        <w:gridCol w:w="611"/>
        <w:gridCol w:w="514"/>
        <w:gridCol w:w="879"/>
        <w:gridCol w:w="505"/>
        <w:gridCol w:w="877"/>
        <w:gridCol w:w="759"/>
        <w:gridCol w:w="511"/>
        <w:gridCol w:w="877"/>
        <w:gridCol w:w="508"/>
        <w:gridCol w:w="877"/>
        <w:gridCol w:w="497"/>
      </w:tblGrid>
      <w:tr w:rsidR="00407C3A" w:rsidRPr="00F24A76" w14:paraId="7E3DF8B3" w14:textId="77777777" w:rsidTr="003942DF">
        <w:trPr>
          <w:trHeight w:val="18"/>
        </w:trPr>
        <w:tc>
          <w:tcPr>
            <w:tcW w:w="1281" w:type="pct"/>
            <w:tcBorders>
              <w:top w:val="single" w:sz="4" w:space="0" w:color="auto"/>
              <w:left w:val="nil"/>
              <w:right w:val="nil"/>
            </w:tcBorders>
            <w:shd w:val="clear" w:color="000000" w:fill="FFFFFF"/>
            <w:noWrap/>
            <w:vAlign w:val="bottom"/>
            <w:hideMark/>
          </w:tcPr>
          <w:p w14:paraId="66175C21" w14:textId="7FE33306" w:rsidR="00155D1D" w:rsidRPr="00F24A76" w:rsidRDefault="00155D1D" w:rsidP="00374849">
            <w:pPr>
              <w:pStyle w:val="NoSpacing"/>
            </w:pPr>
          </w:p>
        </w:tc>
        <w:tc>
          <w:tcPr>
            <w:tcW w:w="69" w:type="pct"/>
            <w:tcBorders>
              <w:top w:val="single" w:sz="4" w:space="0" w:color="auto"/>
              <w:left w:val="nil"/>
              <w:right w:val="nil"/>
            </w:tcBorders>
            <w:shd w:val="clear" w:color="000000" w:fill="FFFFFF"/>
            <w:noWrap/>
            <w:vAlign w:val="bottom"/>
            <w:hideMark/>
          </w:tcPr>
          <w:p w14:paraId="2936550D" w14:textId="77777777" w:rsidR="00155D1D" w:rsidRPr="00F24A76" w:rsidRDefault="00155D1D" w:rsidP="00374849">
            <w:pPr>
              <w:pStyle w:val="NoSpacing"/>
            </w:pPr>
            <w:r w:rsidRPr="00F24A76">
              <w:t> </w:t>
            </w:r>
          </w:p>
        </w:tc>
        <w:tc>
          <w:tcPr>
            <w:tcW w:w="994" w:type="pct"/>
            <w:gridSpan w:val="4"/>
            <w:tcBorders>
              <w:top w:val="single" w:sz="4" w:space="0" w:color="auto"/>
              <w:left w:val="nil"/>
              <w:right w:val="nil"/>
            </w:tcBorders>
            <w:shd w:val="clear" w:color="000000" w:fill="FFFFFF"/>
            <w:noWrap/>
            <w:vAlign w:val="bottom"/>
            <w:hideMark/>
          </w:tcPr>
          <w:p w14:paraId="739648AF" w14:textId="57F40013" w:rsidR="00155D1D" w:rsidRPr="00F24A76" w:rsidRDefault="00155D1D" w:rsidP="008103B1">
            <w:pPr>
              <w:pStyle w:val="NoSpacing"/>
              <w:jc w:val="center"/>
            </w:pPr>
            <w:r w:rsidRPr="00F24A76">
              <w:t>Whole cohort</w:t>
            </w:r>
          </w:p>
        </w:tc>
        <w:tc>
          <w:tcPr>
            <w:tcW w:w="219" w:type="pct"/>
            <w:tcBorders>
              <w:top w:val="single" w:sz="4" w:space="0" w:color="auto"/>
              <w:left w:val="nil"/>
              <w:right w:val="nil"/>
            </w:tcBorders>
            <w:shd w:val="clear" w:color="000000" w:fill="FFFFFF"/>
            <w:noWrap/>
            <w:vAlign w:val="bottom"/>
            <w:hideMark/>
          </w:tcPr>
          <w:p w14:paraId="676F58C8" w14:textId="687EFEF6" w:rsidR="00155D1D" w:rsidRPr="00F24A76" w:rsidRDefault="00155D1D" w:rsidP="008103B1">
            <w:pPr>
              <w:pStyle w:val="NoSpacing"/>
              <w:jc w:val="center"/>
            </w:pPr>
          </w:p>
        </w:tc>
        <w:tc>
          <w:tcPr>
            <w:tcW w:w="1266" w:type="pct"/>
            <w:gridSpan w:val="5"/>
            <w:tcBorders>
              <w:top w:val="single" w:sz="4" w:space="0" w:color="auto"/>
              <w:left w:val="nil"/>
              <w:right w:val="nil"/>
            </w:tcBorders>
            <w:shd w:val="clear" w:color="000000" w:fill="FFFFFF"/>
            <w:noWrap/>
            <w:vAlign w:val="bottom"/>
            <w:hideMark/>
          </w:tcPr>
          <w:p w14:paraId="6CF27A1C" w14:textId="389116FA" w:rsidR="00155D1D" w:rsidRPr="00F24A76" w:rsidRDefault="00155D1D" w:rsidP="008103B1">
            <w:pPr>
              <w:pStyle w:val="NoSpacing"/>
              <w:jc w:val="center"/>
            </w:pPr>
            <w:r w:rsidRPr="00F24A76">
              <w:t>Older (&gt;37 years)</w:t>
            </w:r>
          </w:p>
        </w:tc>
        <w:tc>
          <w:tcPr>
            <w:tcW w:w="1171" w:type="pct"/>
            <w:gridSpan w:val="5"/>
            <w:tcBorders>
              <w:top w:val="single" w:sz="4" w:space="0" w:color="auto"/>
              <w:left w:val="nil"/>
              <w:right w:val="nil"/>
            </w:tcBorders>
            <w:shd w:val="clear" w:color="000000" w:fill="FFFFFF"/>
            <w:noWrap/>
            <w:vAlign w:val="bottom"/>
            <w:hideMark/>
          </w:tcPr>
          <w:p w14:paraId="0EE18F2A" w14:textId="226569FD" w:rsidR="00155D1D" w:rsidRPr="00F24A76" w:rsidRDefault="00155D1D" w:rsidP="008103B1">
            <w:pPr>
              <w:pStyle w:val="NoSpacing"/>
              <w:jc w:val="center"/>
            </w:pPr>
            <w:r w:rsidRPr="00F24A76">
              <w:t>Younger (≤37 years)</w:t>
            </w:r>
          </w:p>
        </w:tc>
      </w:tr>
      <w:tr w:rsidR="00FC5941" w:rsidRPr="00F24A76" w14:paraId="4B4592D1" w14:textId="77777777" w:rsidTr="004C5CB9">
        <w:trPr>
          <w:trHeight w:val="18"/>
        </w:trPr>
        <w:tc>
          <w:tcPr>
            <w:tcW w:w="1281" w:type="pct"/>
            <w:tcBorders>
              <w:left w:val="nil"/>
              <w:bottom w:val="single" w:sz="4" w:space="0" w:color="auto"/>
              <w:right w:val="nil"/>
            </w:tcBorders>
            <w:shd w:val="clear" w:color="000000" w:fill="FFFFFF"/>
            <w:noWrap/>
            <w:vAlign w:val="bottom"/>
            <w:hideMark/>
          </w:tcPr>
          <w:p w14:paraId="2A7ADEF1" w14:textId="50B2F3C0" w:rsidR="00155D1D" w:rsidRPr="00F24A76" w:rsidRDefault="00155D1D" w:rsidP="00374849">
            <w:pPr>
              <w:pStyle w:val="NoSpacing"/>
              <w:rPr>
                <w:b/>
                <w:bCs/>
              </w:rPr>
            </w:pPr>
          </w:p>
        </w:tc>
        <w:tc>
          <w:tcPr>
            <w:tcW w:w="69" w:type="pct"/>
            <w:tcBorders>
              <w:left w:val="nil"/>
              <w:bottom w:val="single" w:sz="4" w:space="0" w:color="auto"/>
              <w:right w:val="nil"/>
            </w:tcBorders>
            <w:shd w:val="clear" w:color="000000" w:fill="FFFFFF"/>
            <w:noWrap/>
            <w:vAlign w:val="bottom"/>
            <w:hideMark/>
          </w:tcPr>
          <w:p w14:paraId="46C79D64" w14:textId="77777777" w:rsidR="00155D1D" w:rsidRPr="00F24A76" w:rsidRDefault="00155D1D" w:rsidP="00374849">
            <w:pPr>
              <w:pStyle w:val="NoSpacing"/>
              <w:rPr>
                <w:b/>
                <w:bCs/>
              </w:rPr>
            </w:pPr>
            <w:r w:rsidRPr="00F24A76">
              <w:rPr>
                <w:b/>
                <w:bCs/>
              </w:rPr>
              <w:t> </w:t>
            </w:r>
          </w:p>
        </w:tc>
        <w:tc>
          <w:tcPr>
            <w:tcW w:w="499" w:type="pct"/>
            <w:gridSpan w:val="2"/>
            <w:tcBorders>
              <w:left w:val="nil"/>
              <w:bottom w:val="single" w:sz="4" w:space="0" w:color="auto"/>
              <w:right w:val="nil"/>
            </w:tcBorders>
            <w:shd w:val="clear" w:color="000000" w:fill="FFFFFF"/>
            <w:noWrap/>
            <w:vAlign w:val="bottom"/>
            <w:hideMark/>
          </w:tcPr>
          <w:p w14:paraId="72EDD6FF" w14:textId="77777777" w:rsidR="00155D1D" w:rsidRPr="00F24A76" w:rsidRDefault="00155D1D" w:rsidP="008103B1">
            <w:pPr>
              <w:pStyle w:val="NoSpacing"/>
              <w:jc w:val="center"/>
              <w:rPr>
                <w:b/>
                <w:bCs/>
              </w:rPr>
            </w:pPr>
            <w:r w:rsidRPr="00F24A76">
              <w:rPr>
                <w:b/>
                <w:bCs/>
              </w:rPr>
              <w:t>Baseline</w:t>
            </w:r>
          </w:p>
        </w:tc>
        <w:tc>
          <w:tcPr>
            <w:tcW w:w="495" w:type="pct"/>
            <w:gridSpan w:val="2"/>
            <w:tcBorders>
              <w:left w:val="nil"/>
              <w:bottom w:val="single" w:sz="4" w:space="0" w:color="auto"/>
              <w:right w:val="nil"/>
            </w:tcBorders>
            <w:shd w:val="clear" w:color="000000" w:fill="FFFFFF"/>
            <w:noWrap/>
            <w:vAlign w:val="bottom"/>
            <w:hideMark/>
          </w:tcPr>
          <w:p w14:paraId="295DF464" w14:textId="77777777" w:rsidR="00155D1D" w:rsidRPr="00F24A76" w:rsidRDefault="00155D1D" w:rsidP="008103B1">
            <w:pPr>
              <w:pStyle w:val="NoSpacing"/>
              <w:jc w:val="center"/>
              <w:rPr>
                <w:b/>
                <w:bCs/>
              </w:rPr>
            </w:pPr>
            <w:r w:rsidRPr="00F24A76">
              <w:rPr>
                <w:b/>
                <w:bCs/>
              </w:rPr>
              <w:t>Follow up</w:t>
            </w:r>
          </w:p>
        </w:tc>
        <w:tc>
          <w:tcPr>
            <w:tcW w:w="219" w:type="pct"/>
            <w:tcBorders>
              <w:left w:val="nil"/>
              <w:bottom w:val="single" w:sz="4" w:space="0" w:color="auto"/>
              <w:right w:val="nil"/>
            </w:tcBorders>
            <w:shd w:val="clear" w:color="000000" w:fill="FFFFFF"/>
            <w:noWrap/>
            <w:vAlign w:val="bottom"/>
            <w:hideMark/>
          </w:tcPr>
          <w:p w14:paraId="14756EA2" w14:textId="77777777" w:rsidR="00155D1D" w:rsidRPr="00F24A76" w:rsidRDefault="00155D1D" w:rsidP="008103B1">
            <w:pPr>
              <w:pStyle w:val="NoSpacing"/>
              <w:jc w:val="center"/>
              <w:rPr>
                <w:b/>
                <w:bCs/>
                <w:i/>
              </w:rPr>
            </w:pPr>
            <w:r w:rsidRPr="00F24A76">
              <w:rPr>
                <w:b/>
                <w:bCs/>
                <w:i/>
              </w:rPr>
              <w:t>p</w:t>
            </w:r>
          </w:p>
        </w:tc>
        <w:tc>
          <w:tcPr>
            <w:tcW w:w="499" w:type="pct"/>
            <w:gridSpan w:val="2"/>
            <w:tcBorders>
              <w:left w:val="nil"/>
              <w:bottom w:val="single" w:sz="4" w:space="0" w:color="auto"/>
              <w:right w:val="nil"/>
            </w:tcBorders>
            <w:shd w:val="clear" w:color="000000" w:fill="FFFFFF"/>
            <w:noWrap/>
            <w:vAlign w:val="bottom"/>
            <w:hideMark/>
          </w:tcPr>
          <w:p w14:paraId="47FC8479" w14:textId="77777777" w:rsidR="00155D1D" w:rsidRPr="00F24A76" w:rsidRDefault="00155D1D" w:rsidP="008103B1">
            <w:pPr>
              <w:pStyle w:val="NoSpacing"/>
              <w:jc w:val="center"/>
              <w:rPr>
                <w:b/>
                <w:bCs/>
              </w:rPr>
            </w:pPr>
            <w:r w:rsidRPr="00F24A76">
              <w:rPr>
                <w:b/>
                <w:bCs/>
              </w:rPr>
              <w:t>Baseline</w:t>
            </w:r>
          </w:p>
        </w:tc>
        <w:tc>
          <w:tcPr>
            <w:tcW w:w="495" w:type="pct"/>
            <w:gridSpan w:val="2"/>
            <w:tcBorders>
              <w:left w:val="nil"/>
              <w:bottom w:val="single" w:sz="4" w:space="0" w:color="auto"/>
              <w:right w:val="nil"/>
            </w:tcBorders>
            <w:shd w:val="clear" w:color="000000" w:fill="FFFFFF"/>
            <w:noWrap/>
            <w:vAlign w:val="bottom"/>
            <w:hideMark/>
          </w:tcPr>
          <w:p w14:paraId="3D72F74A" w14:textId="77777777" w:rsidR="00155D1D" w:rsidRPr="00F24A76" w:rsidRDefault="00155D1D" w:rsidP="008103B1">
            <w:pPr>
              <w:pStyle w:val="NoSpacing"/>
              <w:jc w:val="center"/>
              <w:rPr>
                <w:b/>
                <w:bCs/>
              </w:rPr>
            </w:pPr>
            <w:r w:rsidRPr="00F24A76">
              <w:rPr>
                <w:b/>
                <w:bCs/>
              </w:rPr>
              <w:t>Follow up</w:t>
            </w:r>
          </w:p>
        </w:tc>
        <w:tc>
          <w:tcPr>
            <w:tcW w:w="272" w:type="pct"/>
            <w:tcBorders>
              <w:left w:val="nil"/>
              <w:bottom w:val="single" w:sz="4" w:space="0" w:color="auto"/>
              <w:right w:val="nil"/>
            </w:tcBorders>
            <w:shd w:val="clear" w:color="000000" w:fill="FFFFFF"/>
            <w:noWrap/>
            <w:vAlign w:val="bottom"/>
            <w:hideMark/>
          </w:tcPr>
          <w:p w14:paraId="7E85A9D8" w14:textId="77777777" w:rsidR="00155D1D" w:rsidRPr="00F24A76" w:rsidRDefault="00155D1D" w:rsidP="008103B1">
            <w:pPr>
              <w:pStyle w:val="NoSpacing"/>
              <w:jc w:val="center"/>
              <w:rPr>
                <w:b/>
                <w:bCs/>
                <w:i/>
              </w:rPr>
            </w:pPr>
            <w:r w:rsidRPr="00F24A76">
              <w:rPr>
                <w:b/>
                <w:bCs/>
                <w:i/>
              </w:rPr>
              <w:t>p</w:t>
            </w:r>
          </w:p>
        </w:tc>
        <w:tc>
          <w:tcPr>
            <w:tcW w:w="497" w:type="pct"/>
            <w:gridSpan w:val="2"/>
            <w:tcBorders>
              <w:left w:val="nil"/>
              <w:bottom w:val="single" w:sz="4" w:space="0" w:color="auto"/>
              <w:right w:val="nil"/>
            </w:tcBorders>
            <w:shd w:val="clear" w:color="000000" w:fill="FFFFFF"/>
            <w:noWrap/>
            <w:vAlign w:val="bottom"/>
            <w:hideMark/>
          </w:tcPr>
          <w:p w14:paraId="53B69EEF" w14:textId="77777777" w:rsidR="00155D1D" w:rsidRPr="00F24A76" w:rsidRDefault="00155D1D" w:rsidP="008103B1">
            <w:pPr>
              <w:pStyle w:val="NoSpacing"/>
              <w:jc w:val="center"/>
              <w:rPr>
                <w:b/>
                <w:bCs/>
              </w:rPr>
            </w:pPr>
            <w:r w:rsidRPr="00F24A76">
              <w:rPr>
                <w:b/>
                <w:bCs/>
              </w:rPr>
              <w:t>Baseline</w:t>
            </w:r>
          </w:p>
        </w:tc>
        <w:tc>
          <w:tcPr>
            <w:tcW w:w="496" w:type="pct"/>
            <w:gridSpan w:val="2"/>
            <w:tcBorders>
              <w:left w:val="nil"/>
              <w:bottom w:val="single" w:sz="4" w:space="0" w:color="auto"/>
              <w:right w:val="nil"/>
            </w:tcBorders>
            <w:shd w:val="clear" w:color="000000" w:fill="FFFFFF"/>
            <w:noWrap/>
            <w:vAlign w:val="bottom"/>
            <w:hideMark/>
          </w:tcPr>
          <w:p w14:paraId="1FFC2904" w14:textId="77777777" w:rsidR="00155D1D" w:rsidRPr="00F24A76" w:rsidRDefault="00155D1D" w:rsidP="008103B1">
            <w:pPr>
              <w:pStyle w:val="NoSpacing"/>
              <w:jc w:val="center"/>
              <w:rPr>
                <w:b/>
                <w:bCs/>
              </w:rPr>
            </w:pPr>
            <w:r w:rsidRPr="00F24A76">
              <w:rPr>
                <w:b/>
                <w:bCs/>
              </w:rPr>
              <w:t>Follow up</w:t>
            </w:r>
          </w:p>
        </w:tc>
        <w:tc>
          <w:tcPr>
            <w:tcW w:w="178" w:type="pct"/>
            <w:tcBorders>
              <w:left w:val="nil"/>
              <w:bottom w:val="single" w:sz="4" w:space="0" w:color="auto"/>
              <w:right w:val="nil"/>
            </w:tcBorders>
            <w:shd w:val="clear" w:color="000000" w:fill="FFFFFF"/>
            <w:noWrap/>
            <w:vAlign w:val="bottom"/>
            <w:hideMark/>
          </w:tcPr>
          <w:p w14:paraId="27BE5167" w14:textId="77777777" w:rsidR="00155D1D" w:rsidRPr="00F24A76" w:rsidRDefault="00155D1D" w:rsidP="008103B1">
            <w:pPr>
              <w:pStyle w:val="NoSpacing"/>
              <w:jc w:val="center"/>
              <w:rPr>
                <w:b/>
                <w:bCs/>
                <w:i/>
              </w:rPr>
            </w:pPr>
            <w:r w:rsidRPr="00F24A76">
              <w:rPr>
                <w:b/>
                <w:bCs/>
                <w:i/>
              </w:rPr>
              <w:t>p</w:t>
            </w:r>
          </w:p>
        </w:tc>
      </w:tr>
      <w:tr w:rsidR="00590515" w:rsidRPr="00F24A76" w14:paraId="581E202C" w14:textId="77777777" w:rsidTr="004C5CB9">
        <w:trPr>
          <w:trHeight w:val="18"/>
        </w:trPr>
        <w:tc>
          <w:tcPr>
            <w:tcW w:w="1281" w:type="pct"/>
            <w:tcBorders>
              <w:top w:val="single" w:sz="4" w:space="0" w:color="auto"/>
              <w:left w:val="nil"/>
              <w:bottom w:val="nil"/>
              <w:right w:val="nil"/>
            </w:tcBorders>
            <w:shd w:val="clear" w:color="000000" w:fill="FFFFFF"/>
            <w:noWrap/>
            <w:vAlign w:val="bottom"/>
            <w:hideMark/>
          </w:tcPr>
          <w:p w14:paraId="471E30D2" w14:textId="77777777" w:rsidR="00155D1D" w:rsidRPr="00F24A76" w:rsidRDefault="00155D1D" w:rsidP="00374849">
            <w:pPr>
              <w:pStyle w:val="NoSpacing"/>
              <w:rPr>
                <w:i/>
                <w:iCs/>
              </w:rPr>
            </w:pPr>
            <w:r w:rsidRPr="00F24A76">
              <w:rPr>
                <w:i/>
                <w:iCs/>
              </w:rPr>
              <w:t>n</w:t>
            </w:r>
          </w:p>
        </w:tc>
        <w:tc>
          <w:tcPr>
            <w:tcW w:w="69" w:type="pct"/>
            <w:tcBorders>
              <w:top w:val="single" w:sz="4" w:space="0" w:color="auto"/>
              <w:left w:val="nil"/>
              <w:bottom w:val="nil"/>
              <w:right w:val="nil"/>
            </w:tcBorders>
            <w:shd w:val="clear" w:color="000000" w:fill="FFFFFF"/>
            <w:noWrap/>
            <w:vAlign w:val="bottom"/>
            <w:hideMark/>
          </w:tcPr>
          <w:p w14:paraId="6C43BA68" w14:textId="77777777" w:rsidR="00155D1D" w:rsidRPr="00F24A76" w:rsidRDefault="00155D1D" w:rsidP="00374849">
            <w:pPr>
              <w:pStyle w:val="NoSpacing"/>
            </w:pPr>
            <w:r w:rsidRPr="00F24A76">
              <w:t> </w:t>
            </w:r>
          </w:p>
        </w:tc>
        <w:tc>
          <w:tcPr>
            <w:tcW w:w="499" w:type="pct"/>
            <w:gridSpan w:val="2"/>
            <w:tcBorders>
              <w:top w:val="single" w:sz="4" w:space="0" w:color="auto"/>
              <w:left w:val="nil"/>
              <w:bottom w:val="nil"/>
              <w:right w:val="nil"/>
            </w:tcBorders>
            <w:shd w:val="clear" w:color="000000" w:fill="FFFFFF"/>
            <w:noWrap/>
            <w:vAlign w:val="bottom"/>
            <w:hideMark/>
          </w:tcPr>
          <w:p w14:paraId="7D532AFA" w14:textId="3B9BE9AB" w:rsidR="00155D1D" w:rsidRPr="00F24A76" w:rsidRDefault="001F7818" w:rsidP="008103B1">
            <w:pPr>
              <w:pStyle w:val="NoSpacing"/>
              <w:jc w:val="center"/>
            </w:pPr>
            <w:r w:rsidRPr="00F24A76">
              <w:t>138</w:t>
            </w:r>
          </w:p>
        </w:tc>
        <w:tc>
          <w:tcPr>
            <w:tcW w:w="181" w:type="pct"/>
            <w:tcBorders>
              <w:top w:val="single" w:sz="4" w:space="0" w:color="auto"/>
              <w:left w:val="nil"/>
              <w:bottom w:val="nil"/>
              <w:right w:val="nil"/>
            </w:tcBorders>
            <w:shd w:val="clear" w:color="000000" w:fill="FFFFFF"/>
            <w:noWrap/>
            <w:vAlign w:val="bottom"/>
            <w:hideMark/>
          </w:tcPr>
          <w:p w14:paraId="7AA4BB1E" w14:textId="1C1144E4" w:rsidR="00155D1D" w:rsidRPr="00F24A76" w:rsidRDefault="00155D1D" w:rsidP="008103B1">
            <w:pPr>
              <w:pStyle w:val="NoSpacing"/>
              <w:jc w:val="center"/>
            </w:pPr>
          </w:p>
        </w:tc>
        <w:tc>
          <w:tcPr>
            <w:tcW w:w="314" w:type="pct"/>
            <w:tcBorders>
              <w:top w:val="single" w:sz="4" w:space="0" w:color="auto"/>
              <w:left w:val="nil"/>
              <w:bottom w:val="nil"/>
              <w:right w:val="nil"/>
            </w:tcBorders>
            <w:shd w:val="clear" w:color="000000" w:fill="FFFFFF"/>
            <w:noWrap/>
            <w:vAlign w:val="bottom"/>
            <w:hideMark/>
          </w:tcPr>
          <w:p w14:paraId="1CAB694F" w14:textId="5D8C9958" w:rsidR="00155D1D" w:rsidRPr="00F24A76" w:rsidRDefault="00155D1D" w:rsidP="008103B1">
            <w:pPr>
              <w:pStyle w:val="NoSpacing"/>
              <w:jc w:val="center"/>
            </w:pPr>
          </w:p>
        </w:tc>
        <w:tc>
          <w:tcPr>
            <w:tcW w:w="219" w:type="pct"/>
            <w:tcBorders>
              <w:top w:val="single" w:sz="4" w:space="0" w:color="auto"/>
              <w:left w:val="nil"/>
              <w:bottom w:val="nil"/>
              <w:right w:val="nil"/>
            </w:tcBorders>
            <w:shd w:val="clear" w:color="000000" w:fill="FFFFFF"/>
            <w:noWrap/>
            <w:vAlign w:val="bottom"/>
            <w:hideMark/>
          </w:tcPr>
          <w:p w14:paraId="76F3B577" w14:textId="75E3BFD9" w:rsidR="00155D1D" w:rsidRPr="00F24A76" w:rsidRDefault="00155D1D" w:rsidP="008103B1">
            <w:pPr>
              <w:pStyle w:val="NoSpacing"/>
              <w:jc w:val="center"/>
              <w:rPr>
                <w:i/>
              </w:rPr>
            </w:pPr>
          </w:p>
        </w:tc>
        <w:tc>
          <w:tcPr>
            <w:tcW w:w="499" w:type="pct"/>
            <w:gridSpan w:val="2"/>
            <w:tcBorders>
              <w:top w:val="single" w:sz="4" w:space="0" w:color="auto"/>
              <w:left w:val="nil"/>
              <w:bottom w:val="nil"/>
              <w:right w:val="nil"/>
            </w:tcBorders>
            <w:shd w:val="clear" w:color="000000" w:fill="FFFFFF"/>
            <w:noWrap/>
            <w:vAlign w:val="bottom"/>
            <w:hideMark/>
          </w:tcPr>
          <w:p w14:paraId="662B0F05" w14:textId="354C6766" w:rsidR="00155D1D" w:rsidRPr="00F24A76" w:rsidRDefault="001F7818" w:rsidP="008103B1">
            <w:pPr>
              <w:pStyle w:val="NoSpacing"/>
              <w:jc w:val="center"/>
            </w:pPr>
            <w:r w:rsidRPr="00F24A76">
              <w:t>59</w:t>
            </w:r>
          </w:p>
        </w:tc>
        <w:tc>
          <w:tcPr>
            <w:tcW w:w="181" w:type="pct"/>
            <w:tcBorders>
              <w:top w:val="single" w:sz="4" w:space="0" w:color="auto"/>
              <w:left w:val="nil"/>
              <w:bottom w:val="nil"/>
              <w:right w:val="nil"/>
            </w:tcBorders>
            <w:shd w:val="clear" w:color="000000" w:fill="FFFFFF"/>
            <w:noWrap/>
            <w:vAlign w:val="bottom"/>
            <w:hideMark/>
          </w:tcPr>
          <w:p w14:paraId="1CEC2097" w14:textId="70887A42" w:rsidR="00155D1D" w:rsidRPr="00F24A76" w:rsidRDefault="00155D1D" w:rsidP="008103B1">
            <w:pPr>
              <w:pStyle w:val="NoSpacing"/>
              <w:jc w:val="center"/>
            </w:pPr>
          </w:p>
        </w:tc>
        <w:tc>
          <w:tcPr>
            <w:tcW w:w="314" w:type="pct"/>
            <w:tcBorders>
              <w:top w:val="single" w:sz="4" w:space="0" w:color="auto"/>
              <w:left w:val="nil"/>
              <w:bottom w:val="nil"/>
              <w:right w:val="nil"/>
            </w:tcBorders>
            <w:shd w:val="clear" w:color="000000" w:fill="FFFFFF"/>
            <w:noWrap/>
            <w:vAlign w:val="bottom"/>
            <w:hideMark/>
          </w:tcPr>
          <w:p w14:paraId="29AAF84E" w14:textId="3EC716EF" w:rsidR="00155D1D" w:rsidRPr="00F24A76" w:rsidRDefault="00155D1D" w:rsidP="008103B1">
            <w:pPr>
              <w:pStyle w:val="NoSpacing"/>
              <w:jc w:val="center"/>
            </w:pPr>
          </w:p>
        </w:tc>
        <w:tc>
          <w:tcPr>
            <w:tcW w:w="272" w:type="pct"/>
            <w:tcBorders>
              <w:top w:val="single" w:sz="4" w:space="0" w:color="auto"/>
              <w:left w:val="nil"/>
              <w:bottom w:val="nil"/>
              <w:right w:val="nil"/>
            </w:tcBorders>
            <w:shd w:val="clear" w:color="000000" w:fill="FFFFFF"/>
            <w:noWrap/>
            <w:vAlign w:val="bottom"/>
            <w:hideMark/>
          </w:tcPr>
          <w:p w14:paraId="1F048BB3" w14:textId="76C7AA4F" w:rsidR="00155D1D" w:rsidRPr="00F24A76" w:rsidRDefault="00155D1D" w:rsidP="008103B1">
            <w:pPr>
              <w:pStyle w:val="NoSpacing"/>
              <w:jc w:val="center"/>
              <w:rPr>
                <w:i/>
              </w:rPr>
            </w:pPr>
          </w:p>
        </w:tc>
        <w:tc>
          <w:tcPr>
            <w:tcW w:w="497" w:type="pct"/>
            <w:gridSpan w:val="2"/>
            <w:tcBorders>
              <w:top w:val="single" w:sz="4" w:space="0" w:color="auto"/>
              <w:left w:val="nil"/>
              <w:bottom w:val="nil"/>
              <w:right w:val="nil"/>
            </w:tcBorders>
            <w:shd w:val="clear" w:color="000000" w:fill="FFFFFF"/>
            <w:noWrap/>
            <w:vAlign w:val="bottom"/>
            <w:hideMark/>
          </w:tcPr>
          <w:p w14:paraId="42420402" w14:textId="77777777" w:rsidR="00155D1D" w:rsidRPr="00F24A76" w:rsidRDefault="00155D1D" w:rsidP="008103B1">
            <w:pPr>
              <w:pStyle w:val="NoSpacing"/>
              <w:jc w:val="center"/>
            </w:pPr>
            <w:r w:rsidRPr="00F24A76">
              <w:t>79</w:t>
            </w:r>
          </w:p>
        </w:tc>
        <w:tc>
          <w:tcPr>
            <w:tcW w:w="182" w:type="pct"/>
            <w:tcBorders>
              <w:top w:val="single" w:sz="4" w:space="0" w:color="auto"/>
              <w:left w:val="nil"/>
              <w:bottom w:val="nil"/>
              <w:right w:val="nil"/>
            </w:tcBorders>
            <w:shd w:val="clear" w:color="000000" w:fill="FFFFFF"/>
            <w:noWrap/>
            <w:vAlign w:val="bottom"/>
            <w:hideMark/>
          </w:tcPr>
          <w:p w14:paraId="79A091A5" w14:textId="230095F2" w:rsidR="00155D1D" w:rsidRPr="00F24A76" w:rsidRDefault="00155D1D" w:rsidP="008103B1">
            <w:pPr>
              <w:pStyle w:val="NoSpacing"/>
              <w:jc w:val="center"/>
            </w:pPr>
          </w:p>
        </w:tc>
        <w:tc>
          <w:tcPr>
            <w:tcW w:w="314" w:type="pct"/>
            <w:tcBorders>
              <w:top w:val="single" w:sz="4" w:space="0" w:color="auto"/>
              <w:left w:val="nil"/>
              <w:bottom w:val="nil"/>
              <w:right w:val="nil"/>
            </w:tcBorders>
            <w:shd w:val="clear" w:color="000000" w:fill="FFFFFF"/>
            <w:noWrap/>
            <w:vAlign w:val="bottom"/>
            <w:hideMark/>
          </w:tcPr>
          <w:p w14:paraId="20006DBD" w14:textId="68853B61" w:rsidR="00155D1D" w:rsidRPr="00F24A76" w:rsidRDefault="00155D1D" w:rsidP="008103B1">
            <w:pPr>
              <w:pStyle w:val="NoSpacing"/>
              <w:jc w:val="center"/>
            </w:pPr>
          </w:p>
        </w:tc>
        <w:tc>
          <w:tcPr>
            <w:tcW w:w="178" w:type="pct"/>
            <w:tcBorders>
              <w:top w:val="single" w:sz="4" w:space="0" w:color="auto"/>
              <w:left w:val="nil"/>
              <w:bottom w:val="nil"/>
              <w:right w:val="nil"/>
            </w:tcBorders>
            <w:shd w:val="clear" w:color="000000" w:fill="FFFFFF"/>
            <w:noWrap/>
            <w:vAlign w:val="bottom"/>
            <w:hideMark/>
          </w:tcPr>
          <w:p w14:paraId="4B7EBCCF" w14:textId="5A43E99A" w:rsidR="00155D1D" w:rsidRPr="00F24A76" w:rsidRDefault="00155D1D" w:rsidP="008103B1">
            <w:pPr>
              <w:pStyle w:val="NoSpacing"/>
              <w:jc w:val="center"/>
              <w:rPr>
                <w:i/>
              </w:rPr>
            </w:pPr>
          </w:p>
        </w:tc>
      </w:tr>
      <w:tr w:rsidR="00590515" w:rsidRPr="00F24A76" w14:paraId="7F02D0B0" w14:textId="77777777" w:rsidTr="003942DF">
        <w:trPr>
          <w:trHeight w:val="18"/>
        </w:trPr>
        <w:tc>
          <w:tcPr>
            <w:tcW w:w="1281" w:type="pct"/>
            <w:tcBorders>
              <w:top w:val="nil"/>
              <w:left w:val="nil"/>
              <w:bottom w:val="nil"/>
              <w:right w:val="nil"/>
            </w:tcBorders>
            <w:shd w:val="clear" w:color="000000" w:fill="FFFFFF"/>
            <w:noWrap/>
            <w:vAlign w:val="bottom"/>
          </w:tcPr>
          <w:p w14:paraId="0B52E18A" w14:textId="1078C127" w:rsidR="00155D1D" w:rsidRPr="00F24A76" w:rsidRDefault="00155D1D" w:rsidP="00374849">
            <w:pPr>
              <w:pStyle w:val="NoSpacing"/>
            </w:pPr>
            <w:r w:rsidRPr="00F24A76">
              <w:rPr>
                <w:b/>
              </w:rPr>
              <w:t xml:space="preserve">Distensibility </w:t>
            </w:r>
            <w:r w:rsidRPr="00F24A76">
              <w:t>(x10</w:t>
            </w:r>
            <w:r w:rsidRPr="00F24A76">
              <w:rPr>
                <w:vertAlign w:val="superscript"/>
              </w:rPr>
              <w:t>-3</w:t>
            </w:r>
            <w:r w:rsidRPr="00F24A76">
              <w:t>.mmHg</w:t>
            </w:r>
            <w:r w:rsidRPr="00F24A76">
              <w:rPr>
                <w:vertAlign w:val="superscript"/>
              </w:rPr>
              <w:t>-1</w:t>
            </w:r>
            <w:r w:rsidRPr="00F24A76">
              <w:t>)</w:t>
            </w:r>
          </w:p>
        </w:tc>
        <w:tc>
          <w:tcPr>
            <w:tcW w:w="69" w:type="pct"/>
            <w:tcBorders>
              <w:top w:val="nil"/>
              <w:left w:val="nil"/>
              <w:bottom w:val="nil"/>
              <w:right w:val="nil"/>
            </w:tcBorders>
            <w:shd w:val="clear" w:color="000000" w:fill="FFFFFF"/>
            <w:noWrap/>
            <w:vAlign w:val="bottom"/>
          </w:tcPr>
          <w:p w14:paraId="05A32B0D" w14:textId="77777777" w:rsidR="00155D1D" w:rsidRPr="00F24A76" w:rsidRDefault="00155D1D" w:rsidP="00374849">
            <w:pPr>
              <w:pStyle w:val="NoSpacing"/>
            </w:pPr>
          </w:p>
        </w:tc>
        <w:tc>
          <w:tcPr>
            <w:tcW w:w="184" w:type="pct"/>
            <w:tcBorders>
              <w:top w:val="nil"/>
              <w:left w:val="nil"/>
              <w:bottom w:val="nil"/>
              <w:right w:val="nil"/>
            </w:tcBorders>
            <w:shd w:val="clear" w:color="000000" w:fill="FFFFFF"/>
            <w:noWrap/>
            <w:vAlign w:val="bottom"/>
          </w:tcPr>
          <w:p w14:paraId="5FB742E0" w14:textId="77777777" w:rsidR="00155D1D" w:rsidRPr="00F24A76" w:rsidRDefault="00155D1D" w:rsidP="00BE4C66">
            <w:pPr>
              <w:pStyle w:val="NoSpacing"/>
              <w:jc w:val="right"/>
            </w:pPr>
          </w:p>
        </w:tc>
        <w:tc>
          <w:tcPr>
            <w:tcW w:w="315" w:type="pct"/>
            <w:tcBorders>
              <w:top w:val="nil"/>
              <w:left w:val="nil"/>
              <w:bottom w:val="nil"/>
              <w:right w:val="nil"/>
            </w:tcBorders>
            <w:shd w:val="clear" w:color="000000" w:fill="FFFFFF"/>
            <w:noWrap/>
            <w:vAlign w:val="bottom"/>
          </w:tcPr>
          <w:p w14:paraId="148D6B36" w14:textId="77777777" w:rsidR="00155D1D" w:rsidRPr="00F24A76" w:rsidRDefault="00155D1D" w:rsidP="00C9718B">
            <w:pPr>
              <w:pStyle w:val="NoSpacing"/>
            </w:pPr>
          </w:p>
        </w:tc>
        <w:tc>
          <w:tcPr>
            <w:tcW w:w="181" w:type="pct"/>
            <w:tcBorders>
              <w:top w:val="nil"/>
              <w:left w:val="nil"/>
              <w:bottom w:val="nil"/>
              <w:right w:val="nil"/>
            </w:tcBorders>
            <w:shd w:val="clear" w:color="000000" w:fill="FFFFFF"/>
            <w:noWrap/>
            <w:vAlign w:val="bottom"/>
          </w:tcPr>
          <w:p w14:paraId="1056B64F" w14:textId="77777777" w:rsidR="00155D1D" w:rsidRPr="00F24A76" w:rsidRDefault="00155D1D" w:rsidP="00BE4C66">
            <w:pPr>
              <w:pStyle w:val="NoSpacing"/>
              <w:jc w:val="right"/>
            </w:pPr>
          </w:p>
        </w:tc>
        <w:tc>
          <w:tcPr>
            <w:tcW w:w="314" w:type="pct"/>
            <w:tcBorders>
              <w:top w:val="nil"/>
              <w:left w:val="nil"/>
              <w:bottom w:val="nil"/>
              <w:right w:val="nil"/>
            </w:tcBorders>
            <w:shd w:val="clear" w:color="000000" w:fill="FFFFFF"/>
            <w:noWrap/>
            <w:vAlign w:val="bottom"/>
          </w:tcPr>
          <w:p w14:paraId="699CB74F" w14:textId="77777777" w:rsidR="00155D1D" w:rsidRPr="00F24A76" w:rsidRDefault="00155D1D" w:rsidP="00C9718B">
            <w:pPr>
              <w:pStyle w:val="NoSpacing"/>
            </w:pPr>
          </w:p>
        </w:tc>
        <w:tc>
          <w:tcPr>
            <w:tcW w:w="219" w:type="pct"/>
            <w:tcBorders>
              <w:top w:val="nil"/>
              <w:left w:val="nil"/>
              <w:bottom w:val="nil"/>
              <w:right w:val="nil"/>
            </w:tcBorders>
            <w:shd w:val="clear" w:color="000000" w:fill="FFFFFF"/>
            <w:noWrap/>
            <w:vAlign w:val="bottom"/>
          </w:tcPr>
          <w:p w14:paraId="3C313DE5" w14:textId="77777777" w:rsidR="00155D1D" w:rsidRPr="00F24A76" w:rsidRDefault="00155D1D" w:rsidP="008103B1">
            <w:pPr>
              <w:pStyle w:val="NoSpacing"/>
              <w:jc w:val="center"/>
              <w:rPr>
                <w:i/>
              </w:rPr>
            </w:pPr>
          </w:p>
        </w:tc>
        <w:tc>
          <w:tcPr>
            <w:tcW w:w="184" w:type="pct"/>
            <w:tcBorders>
              <w:top w:val="nil"/>
              <w:left w:val="nil"/>
              <w:bottom w:val="nil"/>
              <w:right w:val="nil"/>
            </w:tcBorders>
            <w:shd w:val="clear" w:color="000000" w:fill="FFFFFF"/>
            <w:noWrap/>
            <w:vAlign w:val="bottom"/>
          </w:tcPr>
          <w:p w14:paraId="1CEDF571" w14:textId="77777777" w:rsidR="00155D1D" w:rsidRPr="00F24A76" w:rsidRDefault="00155D1D" w:rsidP="00BE4C66">
            <w:pPr>
              <w:pStyle w:val="NoSpacing"/>
              <w:jc w:val="right"/>
            </w:pPr>
          </w:p>
        </w:tc>
        <w:tc>
          <w:tcPr>
            <w:tcW w:w="315" w:type="pct"/>
            <w:tcBorders>
              <w:top w:val="nil"/>
              <w:left w:val="nil"/>
              <w:bottom w:val="nil"/>
              <w:right w:val="nil"/>
            </w:tcBorders>
            <w:shd w:val="clear" w:color="000000" w:fill="FFFFFF"/>
            <w:noWrap/>
            <w:vAlign w:val="bottom"/>
          </w:tcPr>
          <w:p w14:paraId="6FEDA6F8" w14:textId="77777777" w:rsidR="00155D1D" w:rsidRPr="00F24A76" w:rsidRDefault="00155D1D" w:rsidP="00C9718B">
            <w:pPr>
              <w:pStyle w:val="NoSpacing"/>
            </w:pPr>
          </w:p>
        </w:tc>
        <w:tc>
          <w:tcPr>
            <w:tcW w:w="181" w:type="pct"/>
            <w:tcBorders>
              <w:top w:val="nil"/>
              <w:left w:val="nil"/>
              <w:bottom w:val="nil"/>
              <w:right w:val="nil"/>
            </w:tcBorders>
            <w:shd w:val="clear" w:color="000000" w:fill="FFFFFF"/>
            <w:noWrap/>
            <w:vAlign w:val="bottom"/>
          </w:tcPr>
          <w:p w14:paraId="0B2B7DC5" w14:textId="77777777" w:rsidR="00155D1D" w:rsidRPr="00F24A76" w:rsidRDefault="00155D1D" w:rsidP="00BE4C66">
            <w:pPr>
              <w:pStyle w:val="NoSpacing"/>
              <w:jc w:val="right"/>
            </w:pPr>
          </w:p>
        </w:tc>
        <w:tc>
          <w:tcPr>
            <w:tcW w:w="314" w:type="pct"/>
            <w:tcBorders>
              <w:top w:val="nil"/>
              <w:left w:val="nil"/>
              <w:bottom w:val="nil"/>
              <w:right w:val="nil"/>
            </w:tcBorders>
            <w:shd w:val="clear" w:color="000000" w:fill="FFFFFF"/>
            <w:noWrap/>
            <w:vAlign w:val="bottom"/>
          </w:tcPr>
          <w:p w14:paraId="1E84A3D8" w14:textId="77777777" w:rsidR="00155D1D" w:rsidRPr="00F24A76" w:rsidRDefault="00155D1D" w:rsidP="00C9718B">
            <w:pPr>
              <w:pStyle w:val="NoSpacing"/>
            </w:pPr>
          </w:p>
        </w:tc>
        <w:tc>
          <w:tcPr>
            <w:tcW w:w="272" w:type="pct"/>
            <w:tcBorders>
              <w:top w:val="nil"/>
              <w:left w:val="nil"/>
              <w:bottom w:val="nil"/>
              <w:right w:val="nil"/>
            </w:tcBorders>
            <w:shd w:val="clear" w:color="000000" w:fill="FFFFFF"/>
            <w:noWrap/>
            <w:vAlign w:val="bottom"/>
          </w:tcPr>
          <w:p w14:paraId="618E4E90" w14:textId="77777777" w:rsidR="00155D1D" w:rsidRPr="00F24A76" w:rsidRDefault="00155D1D" w:rsidP="008103B1">
            <w:pPr>
              <w:pStyle w:val="NoSpacing"/>
              <w:jc w:val="center"/>
              <w:rPr>
                <w:i/>
              </w:rPr>
            </w:pPr>
          </w:p>
        </w:tc>
        <w:tc>
          <w:tcPr>
            <w:tcW w:w="183" w:type="pct"/>
            <w:tcBorders>
              <w:top w:val="nil"/>
              <w:left w:val="nil"/>
              <w:bottom w:val="nil"/>
              <w:right w:val="nil"/>
            </w:tcBorders>
            <w:shd w:val="clear" w:color="000000" w:fill="FFFFFF"/>
            <w:noWrap/>
            <w:vAlign w:val="bottom"/>
          </w:tcPr>
          <w:p w14:paraId="6F9582AE" w14:textId="77777777" w:rsidR="00155D1D" w:rsidRPr="00F24A76" w:rsidRDefault="00155D1D" w:rsidP="00BE4C66">
            <w:pPr>
              <w:pStyle w:val="NoSpacing"/>
              <w:jc w:val="right"/>
            </w:pPr>
          </w:p>
        </w:tc>
        <w:tc>
          <w:tcPr>
            <w:tcW w:w="314" w:type="pct"/>
            <w:tcBorders>
              <w:top w:val="nil"/>
              <w:left w:val="nil"/>
              <w:bottom w:val="nil"/>
              <w:right w:val="nil"/>
            </w:tcBorders>
            <w:shd w:val="clear" w:color="000000" w:fill="FFFFFF"/>
            <w:noWrap/>
            <w:vAlign w:val="bottom"/>
          </w:tcPr>
          <w:p w14:paraId="55C33788" w14:textId="77777777" w:rsidR="00155D1D" w:rsidRPr="00F24A76" w:rsidRDefault="00155D1D" w:rsidP="00C9718B">
            <w:pPr>
              <w:pStyle w:val="NoSpacing"/>
            </w:pPr>
          </w:p>
        </w:tc>
        <w:tc>
          <w:tcPr>
            <w:tcW w:w="182" w:type="pct"/>
            <w:tcBorders>
              <w:top w:val="nil"/>
              <w:left w:val="nil"/>
              <w:bottom w:val="nil"/>
              <w:right w:val="nil"/>
            </w:tcBorders>
            <w:shd w:val="clear" w:color="000000" w:fill="FFFFFF"/>
            <w:noWrap/>
            <w:vAlign w:val="bottom"/>
          </w:tcPr>
          <w:p w14:paraId="3D365305" w14:textId="77777777" w:rsidR="00155D1D" w:rsidRPr="00F24A76" w:rsidRDefault="00155D1D" w:rsidP="00BE4C66">
            <w:pPr>
              <w:pStyle w:val="NoSpacing"/>
              <w:jc w:val="right"/>
            </w:pPr>
          </w:p>
        </w:tc>
        <w:tc>
          <w:tcPr>
            <w:tcW w:w="314" w:type="pct"/>
            <w:tcBorders>
              <w:top w:val="nil"/>
              <w:left w:val="nil"/>
              <w:bottom w:val="nil"/>
              <w:right w:val="nil"/>
            </w:tcBorders>
            <w:shd w:val="clear" w:color="000000" w:fill="FFFFFF"/>
            <w:noWrap/>
            <w:vAlign w:val="bottom"/>
          </w:tcPr>
          <w:p w14:paraId="681BAEE5" w14:textId="77777777" w:rsidR="00155D1D" w:rsidRPr="00F24A76" w:rsidRDefault="00155D1D" w:rsidP="00C9718B">
            <w:pPr>
              <w:pStyle w:val="NoSpacing"/>
            </w:pPr>
          </w:p>
        </w:tc>
        <w:tc>
          <w:tcPr>
            <w:tcW w:w="178" w:type="pct"/>
            <w:tcBorders>
              <w:top w:val="nil"/>
              <w:left w:val="nil"/>
              <w:bottom w:val="nil"/>
              <w:right w:val="nil"/>
            </w:tcBorders>
            <w:shd w:val="clear" w:color="000000" w:fill="FFFFFF"/>
            <w:noWrap/>
            <w:vAlign w:val="bottom"/>
          </w:tcPr>
          <w:p w14:paraId="09117D5B" w14:textId="77777777" w:rsidR="00155D1D" w:rsidRPr="00F24A76" w:rsidRDefault="00155D1D" w:rsidP="008103B1">
            <w:pPr>
              <w:pStyle w:val="NoSpacing"/>
              <w:jc w:val="center"/>
              <w:rPr>
                <w:i/>
              </w:rPr>
            </w:pPr>
          </w:p>
        </w:tc>
      </w:tr>
      <w:tr w:rsidR="003942DF" w:rsidRPr="00F24A76" w14:paraId="2CF331AD" w14:textId="77777777" w:rsidTr="003942DF">
        <w:trPr>
          <w:trHeight w:val="18"/>
        </w:trPr>
        <w:tc>
          <w:tcPr>
            <w:tcW w:w="1281" w:type="pct"/>
            <w:tcBorders>
              <w:top w:val="nil"/>
              <w:left w:val="nil"/>
              <w:bottom w:val="nil"/>
              <w:right w:val="nil"/>
            </w:tcBorders>
            <w:shd w:val="clear" w:color="000000" w:fill="FFFFFF"/>
            <w:noWrap/>
            <w:vAlign w:val="bottom"/>
            <w:hideMark/>
          </w:tcPr>
          <w:p w14:paraId="2E8D381E" w14:textId="3230BBF5" w:rsidR="003942DF" w:rsidRPr="00F24A76" w:rsidRDefault="003942DF" w:rsidP="003942DF">
            <w:pPr>
              <w:pStyle w:val="NoSpacing"/>
            </w:pPr>
            <w:r w:rsidRPr="00F24A76">
              <w:t>Ascending</w:t>
            </w:r>
          </w:p>
        </w:tc>
        <w:tc>
          <w:tcPr>
            <w:tcW w:w="69" w:type="pct"/>
            <w:tcBorders>
              <w:top w:val="nil"/>
              <w:left w:val="nil"/>
              <w:bottom w:val="nil"/>
              <w:right w:val="nil"/>
            </w:tcBorders>
            <w:shd w:val="clear" w:color="000000" w:fill="FFFFFF"/>
            <w:noWrap/>
            <w:vAlign w:val="bottom"/>
            <w:hideMark/>
          </w:tcPr>
          <w:p w14:paraId="7AAEA3C6"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18CDCAB5" w14:textId="6832433C" w:rsidR="003942DF" w:rsidRPr="00F24A76" w:rsidRDefault="003942DF" w:rsidP="003942DF">
            <w:pPr>
              <w:pStyle w:val="NoSpacing"/>
              <w:jc w:val="right"/>
            </w:pPr>
            <w:r w:rsidRPr="00F24A76">
              <w:t>8.6</w:t>
            </w:r>
          </w:p>
        </w:tc>
        <w:tc>
          <w:tcPr>
            <w:tcW w:w="315" w:type="pct"/>
            <w:tcBorders>
              <w:top w:val="nil"/>
              <w:left w:val="nil"/>
              <w:bottom w:val="nil"/>
              <w:right w:val="nil"/>
            </w:tcBorders>
            <w:shd w:val="clear" w:color="000000" w:fill="FFFFFF"/>
            <w:noWrap/>
            <w:vAlign w:val="bottom"/>
            <w:hideMark/>
          </w:tcPr>
          <w:p w14:paraId="29E64B43" w14:textId="77777777" w:rsidR="003942DF" w:rsidRPr="00F24A76" w:rsidRDefault="003942DF" w:rsidP="003942DF">
            <w:pPr>
              <w:pStyle w:val="NoSpacing"/>
            </w:pPr>
            <w:r w:rsidRPr="00F24A76">
              <w:t>(5,11)</w:t>
            </w:r>
          </w:p>
        </w:tc>
        <w:tc>
          <w:tcPr>
            <w:tcW w:w="181" w:type="pct"/>
            <w:tcBorders>
              <w:top w:val="nil"/>
              <w:left w:val="nil"/>
              <w:bottom w:val="nil"/>
              <w:right w:val="nil"/>
            </w:tcBorders>
            <w:shd w:val="clear" w:color="000000" w:fill="FFFFFF"/>
            <w:noWrap/>
            <w:vAlign w:val="bottom"/>
            <w:hideMark/>
          </w:tcPr>
          <w:p w14:paraId="02E20416" w14:textId="09C1CAAB" w:rsidR="003942DF" w:rsidRPr="00F24A76" w:rsidRDefault="003942DF" w:rsidP="003942DF">
            <w:pPr>
              <w:pStyle w:val="NoSpacing"/>
              <w:jc w:val="right"/>
            </w:pPr>
            <w:r w:rsidRPr="00F24A76">
              <w:t>8.5</w:t>
            </w:r>
          </w:p>
        </w:tc>
        <w:tc>
          <w:tcPr>
            <w:tcW w:w="314" w:type="pct"/>
            <w:tcBorders>
              <w:top w:val="nil"/>
              <w:left w:val="nil"/>
              <w:bottom w:val="nil"/>
              <w:right w:val="nil"/>
            </w:tcBorders>
            <w:shd w:val="clear" w:color="000000" w:fill="FFFFFF"/>
            <w:noWrap/>
            <w:vAlign w:val="bottom"/>
            <w:hideMark/>
          </w:tcPr>
          <w:p w14:paraId="33C3830E" w14:textId="77777777" w:rsidR="003942DF" w:rsidRPr="00F24A76" w:rsidRDefault="003942DF" w:rsidP="003942DF">
            <w:pPr>
              <w:pStyle w:val="NoSpacing"/>
            </w:pPr>
            <w:r w:rsidRPr="00F24A76">
              <w:t>(6,12)</w:t>
            </w:r>
          </w:p>
        </w:tc>
        <w:tc>
          <w:tcPr>
            <w:tcW w:w="219" w:type="pct"/>
            <w:tcBorders>
              <w:top w:val="nil"/>
              <w:left w:val="nil"/>
              <w:bottom w:val="nil"/>
              <w:right w:val="nil"/>
            </w:tcBorders>
            <w:shd w:val="clear" w:color="000000" w:fill="FFFFFF"/>
            <w:noWrap/>
            <w:vAlign w:val="bottom"/>
            <w:hideMark/>
          </w:tcPr>
          <w:p w14:paraId="6E87795E" w14:textId="3DC87693" w:rsidR="003942DF" w:rsidRPr="00F24A76" w:rsidRDefault="003942DF"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hideMark/>
          </w:tcPr>
          <w:p w14:paraId="088FDF6C" w14:textId="1AF35334" w:rsidR="003942DF" w:rsidRPr="00F24A76" w:rsidRDefault="003942DF" w:rsidP="003942DF">
            <w:pPr>
              <w:pStyle w:val="NoSpacing"/>
              <w:jc w:val="right"/>
            </w:pPr>
            <w:r w:rsidRPr="00F24A76">
              <w:t>5.4</w:t>
            </w:r>
          </w:p>
        </w:tc>
        <w:tc>
          <w:tcPr>
            <w:tcW w:w="315" w:type="pct"/>
            <w:tcBorders>
              <w:top w:val="nil"/>
              <w:left w:val="nil"/>
              <w:bottom w:val="nil"/>
              <w:right w:val="nil"/>
            </w:tcBorders>
            <w:shd w:val="clear" w:color="000000" w:fill="FFFFFF"/>
            <w:noWrap/>
            <w:vAlign w:val="bottom"/>
            <w:hideMark/>
          </w:tcPr>
          <w:p w14:paraId="127AD4DB" w14:textId="77777777" w:rsidR="003942DF" w:rsidRPr="00F24A76" w:rsidRDefault="003942DF" w:rsidP="003942DF">
            <w:pPr>
              <w:pStyle w:val="NoSpacing"/>
            </w:pPr>
            <w:r w:rsidRPr="00F24A76">
              <w:t>(3,8)</w:t>
            </w:r>
          </w:p>
        </w:tc>
        <w:tc>
          <w:tcPr>
            <w:tcW w:w="181" w:type="pct"/>
            <w:tcBorders>
              <w:top w:val="nil"/>
              <w:left w:val="nil"/>
              <w:bottom w:val="nil"/>
              <w:right w:val="nil"/>
            </w:tcBorders>
            <w:shd w:val="clear" w:color="000000" w:fill="FFFFFF"/>
            <w:noWrap/>
            <w:vAlign w:val="bottom"/>
            <w:hideMark/>
          </w:tcPr>
          <w:p w14:paraId="0D4485E4" w14:textId="3A486E25" w:rsidR="003942DF" w:rsidRPr="00F24A76" w:rsidRDefault="003942DF" w:rsidP="003942DF">
            <w:pPr>
              <w:pStyle w:val="NoSpacing"/>
              <w:jc w:val="right"/>
            </w:pPr>
            <w:r w:rsidRPr="00F24A76">
              <w:t>5.9</w:t>
            </w:r>
          </w:p>
        </w:tc>
        <w:tc>
          <w:tcPr>
            <w:tcW w:w="314" w:type="pct"/>
            <w:tcBorders>
              <w:top w:val="nil"/>
              <w:left w:val="nil"/>
              <w:bottom w:val="nil"/>
              <w:right w:val="nil"/>
            </w:tcBorders>
            <w:shd w:val="clear" w:color="000000" w:fill="FFFFFF"/>
            <w:noWrap/>
            <w:vAlign w:val="bottom"/>
            <w:hideMark/>
          </w:tcPr>
          <w:p w14:paraId="18D13560" w14:textId="77777777" w:rsidR="003942DF" w:rsidRPr="00F24A76" w:rsidRDefault="003942DF" w:rsidP="003942DF">
            <w:pPr>
              <w:pStyle w:val="NoSpacing"/>
            </w:pPr>
            <w:r w:rsidRPr="00F24A76">
              <w:t>(4,9)</w:t>
            </w:r>
          </w:p>
        </w:tc>
        <w:tc>
          <w:tcPr>
            <w:tcW w:w="272" w:type="pct"/>
            <w:tcBorders>
              <w:top w:val="nil"/>
              <w:left w:val="nil"/>
              <w:bottom w:val="nil"/>
              <w:right w:val="nil"/>
            </w:tcBorders>
            <w:shd w:val="clear" w:color="000000" w:fill="FFFFFF"/>
            <w:noWrap/>
            <w:vAlign w:val="bottom"/>
            <w:hideMark/>
          </w:tcPr>
          <w:p w14:paraId="2CF96A89" w14:textId="652FF51A" w:rsidR="003942DF" w:rsidRPr="00F24A76" w:rsidRDefault="003942DF" w:rsidP="003942DF">
            <w:pPr>
              <w:pStyle w:val="NoSpacing"/>
              <w:jc w:val="center"/>
              <w:rPr>
                <w:i/>
              </w:rPr>
            </w:pPr>
            <w:r w:rsidRPr="002221EB">
              <w:rPr>
                <w:i/>
              </w:rPr>
              <w:t>0.04</w:t>
            </w:r>
          </w:p>
        </w:tc>
        <w:tc>
          <w:tcPr>
            <w:tcW w:w="183" w:type="pct"/>
            <w:tcBorders>
              <w:top w:val="nil"/>
              <w:left w:val="nil"/>
              <w:bottom w:val="nil"/>
              <w:right w:val="nil"/>
            </w:tcBorders>
            <w:shd w:val="clear" w:color="000000" w:fill="FFFFFF"/>
            <w:noWrap/>
            <w:vAlign w:val="bottom"/>
            <w:hideMark/>
          </w:tcPr>
          <w:p w14:paraId="6FA7788C" w14:textId="060DE8AD" w:rsidR="003942DF" w:rsidRPr="00F24A76" w:rsidRDefault="003942DF" w:rsidP="003942DF">
            <w:pPr>
              <w:pStyle w:val="NoSpacing"/>
              <w:jc w:val="right"/>
            </w:pPr>
            <w:r w:rsidRPr="00F24A76">
              <w:t>10.3</w:t>
            </w:r>
          </w:p>
        </w:tc>
        <w:tc>
          <w:tcPr>
            <w:tcW w:w="314" w:type="pct"/>
            <w:tcBorders>
              <w:top w:val="nil"/>
              <w:left w:val="nil"/>
              <w:bottom w:val="nil"/>
              <w:right w:val="nil"/>
            </w:tcBorders>
            <w:shd w:val="clear" w:color="000000" w:fill="FFFFFF"/>
            <w:noWrap/>
            <w:vAlign w:val="bottom"/>
            <w:hideMark/>
          </w:tcPr>
          <w:p w14:paraId="06C87458" w14:textId="77777777" w:rsidR="003942DF" w:rsidRPr="00F24A76" w:rsidRDefault="003942DF" w:rsidP="003942DF">
            <w:pPr>
              <w:pStyle w:val="NoSpacing"/>
            </w:pPr>
            <w:r w:rsidRPr="00F24A76">
              <w:t>(8,13)</w:t>
            </w:r>
          </w:p>
        </w:tc>
        <w:tc>
          <w:tcPr>
            <w:tcW w:w="182" w:type="pct"/>
            <w:tcBorders>
              <w:top w:val="nil"/>
              <w:left w:val="nil"/>
              <w:bottom w:val="nil"/>
              <w:right w:val="nil"/>
            </w:tcBorders>
            <w:shd w:val="clear" w:color="000000" w:fill="FFFFFF"/>
            <w:noWrap/>
            <w:vAlign w:val="bottom"/>
            <w:hideMark/>
          </w:tcPr>
          <w:p w14:paraId="53241395" w14:textId="109FC262" w:rsidR="003942DF" w:rsidRPr="00F24A76" w:rsidRDefault="003942DF" w:rsidP="003942DF">
            <w:pPr>
              <w:pStyle w:val="NoSpacing"/>
              <w:jc w:val="right"/>
            </w:pPr>
            <w:r w:rsidRPr="00F24A76">
              <w:t>10.6</w:t>
            </w:r>
          </w:p>
        </w:tc>
        <w:tc>
          <w:tcPr>
            <w:tcW w:w="314" w:type="pct"/>
            <w:tcBorders>
              <w:top w:val="nil"/>
              <w:left w:val="nil"/>
              <w:bottom w:val="nil"/>
              <w:right w:val="nil"/>
            </w:tcBorders>
            <w:shd w:val="clear" w:color="000000" w:fill="FFFFFF"/>
            <w:noWrap/>
            <w:vAlign w:val="bottom"/>
            <w:hideMark/>
          </w:tcPr>
          <w:p w14:paraId="2A101D23" w14:textId="77777777" w:rsidR="003942DF" w:rsidRPr="00F24A76" w:rsidRDefault="003942DF" w:rsidP="003942DF">
            <w:pPr>
              <w:pStyle w:val="NoSpacing"/>
            </w:pPr>
            <w:r w:rsidRPr="00F24A76">
              <w:t>(8,13)</w:t>
            </w:r>
          </w:p>
        </w:tc>
        <w:tc>
          <w:tcPr>
            <w:tcW w:w="178" w:type="pct"/>
            <w:tcBorders>
              <w:top w:val="nil"/>
              <w:left w:val="nil"/>
              <w:bottom w:val="nil"/>
              <w:right w:val="nil"/>
            </w:tcBorders>
            <w:shd w:val="clear" w:color="000000" w:fill="FFFFFF"/>
            <w:noWrap/>
            <w:vAlign w:val="bottom"/>
            <w:hideMark/>
          </w:tcPr>
          <w:p w14:paraId="473A91AB" w14:textId="0D72BC72" w:rsidR="003942DF" w:rsidRPr="00F24A76" w:rsidRDefault="003942DF" w:rsidP="003942DF">
            <w:pPr>
              <w:pStyle w:val="NoSpacing"/>
              <w:jc w:val="center"/>
              <w:rPr>
                <w:i/>
              </w:rPr>
            </w:pPr>
            <w:r>
              <w:rPr>
                <w:i/>
              </w:rPr>
              <w:t>-</w:t>
            </w:r>
          </w:p>
        </w:tc>
      </w:tr>
      <w:tr w:rsidR="003942DF" w:rsidRPr="00F24A76" w14:paraId="066CBD2F" w14:textId="77777777" w:rsidTr="003942DF">
        <w:trPr>
          <w:trHeight w:val="18"/>
        </w:trPr>
        <w:tc>
          <w:tcPr>
            <w:tcW w:w="1281" w:type="pct"/>
            <w:tcBorders>
              <w:top w:val="nil"/>
              <w:left w:val="nil"/>
              <w:bottom w:val="nil"/>
              <w:right w:val="nil"/>
            </w:tcBorders>
            <w:shd w:val="clear" w:color="000000" w:fill="FFFFFF"/>
            <w:noWrap/>
            <w:vAlign w:val="bottom"/>
            <w:hideMark/>
          </w:tcPr>
          <w:p w14:paraId="08C58A8D" w14:textId="1A2E5A06" w:rsidR="003942DF" w:rsidRPr="00F24A76" w:rsidRDefault="003942DF" w:rsidP="003942DF">
            <w:pPr>
              <w:pStyle w:val="NoSpacing"/>
            </w:pPr>
            <w:r w:rsidRPr="00F24A76">
              <w:t>Proximal Descending</w:t>
            </w:r>
          </w:p>
        </w:tc>
        <w:tc>
          <w:tcPr>
            <w:tcW w:w="69" w:type="pct"/>
            <w:tcBorders>
              <w:top w:val="nil"/>
              <w:left w:val="nil"/>
              <w:bottom w:val="nil"/>
              <w:right w:val="nil"/>
            </w:tcBorders>
            <w:shd w:val="clear" w:color="000000" w:fill="FFFFFF"/>
            <w:noWrap/>
            <w:vAlign w:val="bottom"/>
            <w:hideMark/>
          </w:tcPr>
          <w:p w14:paraId="1D60E864"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29BFFB67" w14:textId="4137A46C" w:rsidR="003942DF" w:rsidRPr="00F24A76" w:rsidRDefault="003942DF" w:rsidP="003942DF">
            <w:pPr>
              <w:pStyle w:val="NoSpacing"/>
              <w:jc w:val="right"/>
            </w:pPr>
            <w:r w:rsidRPr="00F24A76">
              <w:t>8.6</w:t>
            </w:r>
          </w:p>
        </w:tc>
        <w:tc>
          <w:tcPr>
            <w:tcW w:w="315" w:type="pct"/>
            <w:tcBorders>
              <w:top w:val="nil"/>
              <w:left w:val="nil"/>
              <w:bottom w:val="nil"/>
              <w:right w:val="nil"/>
            </w:tcBorders>
            <w:shd w:val="clear" w:color="000000" w:fill="FFFFFF"/>
            <w:noWrap/>
            <w:vAlign w:val="bottom"/>
            <w:hideMark/>
          </w:tcPr>
          <w:p w14:paraId="451C654D" w14:textId="77777777" w:rsidR="003942DF" w:rsidRPr="00F24A76" w:rsidRDefault="003942DF" w:rsidP="003942DF">
            <w:pPr>
              <w:pStyle w:val="NoSpacing"/>
            </w:pPr>
            <w:r w:rsidRPr="00F24A76">
              <w:t>(6,12)</w:t>
            </w:r>
          </w:p>
        </w:tc>
        <w:tc>
          <w:tcPr>
            <w:tcW w:w="181" w:type="pct"/>
            <w:tcBorders>
              <w:top w:val="nil"/>
              <w:left w:val="nil"/>
              <w:bottom w:val="nil"/>
              <w:right w:val="nil"/>
            </w:tcBorders>
            <w:shd w:val="clear" w:color="000000" w:fill="FFFFFF"/>
            <w:noWrap/>
            <w:vAlign w:val="bottom"/>
            <w:hideMark/>
          </w:tcPr>
          <w:p w14:paraId="6D670E5E" w14:textId="678AC106" w:rsidR="003942DF" w:rsidRPr="00F24A76" w:rsidRDefault="003942DF" w:rsidP="003942DF">
            <w:pPr>
              <w:pStyle w:val="NoSpacing"/>
              <w:jc w:val="right"/>
            </w:pPr>
            <w:r w:rsidRPr="00F24A76">
              <w:t>9.1</w:t>
            </w:r>
          </w:p>
        </w:tc>
        <w:tc>
          <w:tcPr>
            <w:tcW w:w="314" w:type="pct"/>
            <w:tcBorders>
              <w:top w:val="nil"/>
              <w:left w:val="nil"/>
              <w:bottom w:val="nil"/>
              <w:right w:val="nil"/>
            </w:tcBorders>
            <w:shd w:val="clear" w:color="000000" w:fill="FFFFFF"/>
            <w:noWrap/>
            <w:vAlign w:val="bottom"/>
            <w:hideMark/>
          </w:tcPr>
          <w:p w14:paraId="259F0C5C" w14:textId="77777777" w:rsidR="003942DF" w:rsidRPr="00F24A76" w:rsidRDefault="003942DF" w:rsidP="003942DF">
            <w:pPr>
              <w:pStyle w:val="NoSpacing"/>
            </w:pPr>
            <w:r w:rsidRPr="00F24A76">
              <w:t>(6,13)</w:t>
            </w:r>
          </w:p>
        </w:tc>
        <w:tc>
          <w:tcPr>
            <w:tcW w:w="219" w:type="pct"/>
            <w:tcBorders>
              <w:top w:val="nil"/>
              <w:left w:val="nil"/>
              <w:bottom w:val="nil"/>
              <w:right w:val="nil"/>
            </w:tcBorders>
            <w:shd w:val="clear" w:color="000000" w:fill="FFFFFF"/>
            <w:noWrap/>
            <w:vAlign w:val="bottom"/>
            <w:hideMark/>
          </w:tcPr>
          <w:p w14:paraId="61A9E196" w14:textId="62898BAF" w:rsidR="003942DF" w:rsidRPr="00F24A76" w:rsidRDefault="003942DF" w:rsidP="003942DF">
            <w:pPr>
              <w:pStyle w:val="NoSpacing"/>
              <w:jc w:val="center"/>
              <w:rPr>
                <w:i/>
              </w:rPr>
            </w:pPr>
            <w:r w:rsidRPr="002221EB">
              <w:rPr>
                <w:i/>
              </w:rPr>
              <w:t>0.009</w:t>
            </w:r>
          </w:p>
        </w:tc>
        <w:tc>
          <w:tcPr>
            <w:tcW w:w="184" w:type="pct"/>
            <w:tcBorders>
              <w:top w:val="nil"/>
              <w:left w:val="nil"/>
              <w:bottom w:val="nil"/>
              <w:right w:val="nil"/>
            </w:tcBorders>
            <w:shd w:val="clear" w:color="000000" w:fill="FFFFFF"/>
            <w:noWrap/>
            <w:vAlign w:val="bottom"/>
            <w:hideMark/>
          </w:tcPr>
          <w:p w14:paraId="32D3A2C7" w14:textId="77324959" w:rsidR="003942DF" w:rsidRPr="00F24A76" w:rsidRDefault="003942DF" w:rsidP="003942DF">
            <w:pPr>
              <w:pStyle w:val="NoSpacing"/>
              <w:jc w:val="right"/>
            </w:pPr>
            <w:r w:rsidRPr="00F24A76">
              <w:t>6.2</w:t>
            </w:r>
          </w:p>
        </w:tc>
        <w:tc>
          <w:tcPr>
            <w:tcW w:w="315" w:type="pct"/>
            <w:tcBorders>
              <w:top w:val="nil"/>
              <w:left w:val="nil"/>
              <w:bottom w:val="nil"/>
              <w:right w:val="nil"/>
            </w:tcBorders>
            <w:shd w:val="clear" w:color="000000" w:fill="FFFFFF"/>
            <w:noWrap/>
            <w:vAlign w:val="bottom"/>
            <w:hideMark/>
          </w:tcPr>
          <w:p w14:paraId="7C187F9C" w14:textId="77777777" w:rsidR="003942DF" w:rsidRPr="00F24A76" w:rsidRDefault="003942DF" w:rsidP="003942DF">
            <w:pPr>
              <w:pStyle w:val="NoSpacing"/>
            </w:pPr>
            <w:r w:rsidRPr="00F24A76">
              <w:t>(4,10)</w:t>
            </w:r>
          </w:p>
        </w:tc>
        <w:tc>
          <w:tcPr>
            <w:tcW w:w="181" w:type="pct"/>
            <w:tcBorders>
              <w:top w:val="nil"/>
              <w:left w:val="nil"/>
              <w:bottom w:val="nil"/>
              <w:right w:val="nil"/>
            </w:tcBorders>
            <w:shd w:val="clear" w:color="000000" w:fill="FFFFFF"/>
            <w:noWrap/>
            <w:vAlign w:val="bottom"/>
            <w:hideMark/>
          </w:tcPr>
          <w:p w14:paraId="52E48346" w14:textId="060B543B" w:rsidR="003942DF" w:rsidRPr="00F24A76" w:rsidRDefault="003942DF" w:rsidP="003942DF">
            <w:pPr>
              <w:pStyle w:val="NoSpacing"/>
              <w:jc w:val="right"/>
            </w:pPr>
            <w:r w:rsidRPr="00F24A76">
              <w:t>7.1</w:t>
            </w:r>
          </w:p>
        </w:tc>
        <w:tc>
          <w:tcPr>
            <w:tcW w:w="314" w:type="pct"/>
            <w:tcBorders>
              <w:top w:val="nil"/>
              <w:left w:val="nil"/>
              <w:bottom w:val="nil"/>
              <w:right w:val="nil"/>
            </w:tcBorders>
            <w:shd w:val="clear" w:color="000000" w:fill="FFFFFF"/>
            <w:noWrap/>
            <w:vAlign w:val="bottom"/>
            <w:hideMark/>
          </w:tcPr>
          <w:p w14:paraId="238CFB29" w14:textId="6F5F9E1A" w:rsidR="003942DF" w:rsidRPr="00F24A76" w:rsidRDefault="003942DF" w:rsidP="003942DF">
            <w:pPr>
              <w:pStyle w:val="NoSpacing"/>
            </w:pPr>
            <w:r w:rsidRPr="00F24A76">
              <w:t>(5,10)</w:t>
            </w:r>
          </w:p>
        </w:tc>
        <w:tc>
          <w:tcPr>
            <w:tcW w:w="272" w:type="pct"/>
            <w:tcBorders>
              <w:top w:val="nil"/>
              <w:left w:val="nil"/>
              <w:bottom w:val="nil"/>
              <w:right w:val="nil"/>
            </w:tcBorders>
            <w:shd w:val="clear" w:color="000000" w:fill="FFFFFF"/>
            <w:noWrap/>
            <w:vAlign w:val="bottom"/>
            <w:hideMark/>
          </w:tcPr>
          <w:p w14:paraId="728C087E" w14:textId="73E12C4E" w:rsidR="003942DF" w:rsidRPr="00F24A76" w:rsidRDefault="003942DF" w:rsidP="003942DF">
            <w:pPr>
              <w:pStyle w:val="NoSpacing"/>
              <w:jc w:val="center"/>
              <w:rPr>
                <w:i/>
              </w:rPr>
            </w:pPr>
            <w:r w:rsidRPr="002221EB">
              <w:rPr>
                <w:i/>
              </w:rPr>
              <w:t>0.02</w:t>
            </w:r>
          </w:p>
        </w:tc>
        <w:tc>
          <w:tcPr>
            <w:tcW w:w="183" w:type="pct"/>
            <w:tcBorders>
              <w:top w:val="nil"/>
              <w:left w:val="nil"/>
              <w:bottom w:val="nil"/>
              <w:right w:val="nil"/>
            </w:tcBorders>
            <w:shd w:val="clear" w:color="000000" w:fill="FFFFFF"/>
            <w:noWrap/>
            <w:vAlign w:val="bottom"/>
            <w:hideMark/>
          </w:tcPr>
          <w:p w14:paraId="7838ADE5" w14:textId="5DB00A35" w:rsidR="003942DF" w:rsidRPr="00F24A76" w:rsidRDefault="003942DF" w:rsidP="003942DF">
            <w:pPr>
              <w:pStyle w:val="NoSpacing"/>
              <w:jc w:val="right"/>
            </w:pPr>
            <w:r w:rsidRPr="00F24A76">
              <w:t>9.2</w:t>
            </w:r>
          </w:p>
        </w:tc>
        <w:tc>
          <w:tcPr>
            <w:tcW w:w="314" w:type="pct"/>
            <w:tcBorders>
              <w:top w:val="nil"/>
              <w:left w:val="nil"/>
              <w:bottom w:val="nil"/>
              <w:right w:val="nil"/>
            </w:tcBorders>
            <w:shd w:val="clear" w:color="000000" w:fill="FFFFFF"/>
            <w:noWrap/>
            <w:vAlign w:val="bottom"/>
            <w:hideMark/>
          </w:tcPr>
          <w:p w14:paraId="31742B5F" w14:textId="77777777" w:rsidR="003942DF" w:rsidRPr="00F24A76" w:rsidRDefault="003942DF" w:rsidP="003942DF">
            <w:pPr>
              <w:pStyle w:val="NoSpacing"/>
            </w:pPr>
            <w:r w:rsidRPr="00F24A76">
              <w:t>(8,14)</w:t>
            </w:r>
          </w:p>
        </w:tc>
        <w:tc>
          <w:tcPr>
            <w:tcW w:w="182" w:type="pct"/>
            <w:tcBorders>
              <w:top w:val="nil"/>
              <w:left w:val="nil"/>
              <w:bottom w:val="nil"/>
              <w:right w:val="nil"/>
            </w:tcBorders>
            <w:shd w:val="clear" w:color="000000" w:fill="FFFFFF"/>
            <w:noWrap/>
            <w:vAlign w:val="bottom"/>
            <w:hideMark/>
          </w:tcPr>
          <w:p w14:paraId="50B0A038" w14:textId="5BF0D32F" w:rsidR="003942DF" w:rsidRPr="00F24A76" w:rsidRDefault="003942DF" w:rsidP="003942DF">
            <w:pPr>
              <w:pStyle w:val="NoSpacing"/>
              <w:jc w:val="right"/>
            </w:pPr>
            <w:r w:rsidRPr="00F24A76">
              <w:t>10.8</w:t>
            </w:r>
          </w:p>
        </w:tc>
        <w:tc>
          <w:tcPr>
            <w:tcW w:w="314" w:type="pct"/>
            <w:tcBorders>
              <w:top w:val="nil"/>
              <w:left w:val="nil"/>
              <w:bottom w:val="nil"/>
              <w:right w:val="nil"/>
            </w:tcBorders>
            <w:shd w:val="clear" w:color="000000" w:fill="FFFFFF"/>
            <w:noWrap/>
            <w:vAlign w:val="bottom"/>
            <w:hideMark/>
          </w:tcPr>
          <w:p w14:paraId="22FF73D7" w14:textId="77777777" w:rsidR="003942DF" w:rsidRPr="00F24A76" w:rsidRDefault="003942DF" w:rsidP="003942DF">
            <w:pPr>
              <w:pStyle w:val="NoSpacing"/>
            </w:pPr>
            <w:r w:rsidRPr="00F24A76">
              <w:t>(8,14)</w:t>
            </w:r>
          </w:p>
        </w:tc>
        <w:tc>
          <w:tcPr>
            <w:tcW w:w="178" w:type="pct"/>
            <w:tcBorders>
              <w:top w:val="nil"/>
              <w:left w:val="nil"/>
              <w:bottom w:val="nil"/>
              <w:right w:val="nil"/>
            </w:tcBorders>
            <w:shd w:val="clear" w:color="000000" w:fill="FFFFFF"/>
            <w:noWrap/>
            <w:vAlign w:val="bottom"/>
            <w:hideMark/>
          </w:tcPr>
          <w:p w14:paraId="3D0BBD5F" w14:textId="01DCD40B" w:rsidR="003942DF" w:rsidRPr="00F24A76" w:rsidRDefault="003942DF" w:rsidP="003942DF">
            <w:pPr>
              <w:pStyle w:val="NoSpacing"/>
              <w:jc w:val="center"/>
              <w:rPr>
                <w:i/>
              </w:rPr>
            </w:pPr>
            <w:r>
              <w:rPr>
                <w:i/>
              </w:rPr>
              <w:t>-</w:t>
            </w:r>
          </w:p>
        </w:tc>
      </w:tr>
      <w:tr w:rsidR="003942DF" w:rsidRPr="00F24A76" w14:paraId="371438BC" w14:textId="77777777" w:rsidTr="003942DF">
        <w:trPr>
          <w:trHeight w:val="18"/>
        </w:trPr>
        <w:tc>
          <w:tcPr>
            <w:tcW w:w="1281" w:type="pct"/>
            <w:tcBorders>
              <w:top w:val="nil"/>
              <w:left w:val="nil"/>
              <w:bottom w:val="nil"/>
              <w:right w:val="nil"/>
            </w:tcBorders>
            <w:shd w:val="clear" w:color="000000" w:fill="FFFFFF"/>
            <w:noWrap/>
            <w:vAlign w:val="bottom"/>
            <w:hideMark/>
          </w:tcPr>
          <w:p w14:paraId="14A2551F" w14:textId="632FC058" w:rsidR="003942DF" w:rsidRPr="00F24A76" w:rsidRDefault="003942DF" w:rsidP="003942DF">
            <w:pPr>
              <w:pStyle w:val="NoSpacing"/>
            </w:pPr>
            <w:r w:rsidRPr="00F24A76">
              <w:t>Diaphragmatic Descending</w:t>
            </w:r>
          </w:p>
        </w:tc>
        <w:tc>
          <w:tcPr>
            <w:tcW w:w="69" w:type="pct"/>
            <w:tcBorders>
              <w:top w:val="nil"/>
              <w:left w:val="nil"/>
              <w:bottom w:val="nil"/>
              <w:right w:val="nil"/>
            </w:tcBorders>
            <w:shd w:val="clear" w:color="000000" w:fill="FFFFFF"/>
            <w:noWrap/>
            <w:vAlign w:val="bottom"/>
            <w:hideMark/>
          </w:tcPr>
          <w:p w14:paraId="32A83DB6"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7B543279" w14:textId="35E68FE2" w:rsidR="003942DF" w:rsidRPr="00F24A76" w:rsidRDefault="003942DF" w:rsidP="003942DF">
            <w:pPr>
              <w:pStyle w:val="NoSpacing"/>
              <w:jc w:val="right"/>
            </w:pPr>
            <w:r w:rsidRPr="00F24A76">
              <w:t>13.7</w:t>
            </w:r>
          </w:p>
        </w:tc>
        <w:tc>
          <w:tcPr>
            <w:tcW w:w="315" w:type="pct"/>
            <w:tcBorders>
              <w:top w:val="nil"/>
              <w:left w:val="nil"/>
              <w:bottom w:val="nil"/>
              <w:right w:val="nil"/>
            </w:tcBorders>
            <w:shd w:val="clear" w:color="000000" w:fill="FFFFFF"/>
            <w:noWrap/>
            <w:vAlign w:val="bottom"/>
            <w:hideMark/>
          </w:tcPr>
          <w:p w14:paraId="68215779" w14:textId="77777777" w:rsidR="003942DF" w:rsidRPr="00F24A76" w:rsidRDefault="003942DF" w:rsidP="003942DF">
            <w:pPr>
              <w:pStyle w:val="NoSpacing"/>
            </w:pPr>
            <w:r w:rsidRPr="00F24A76">
              <w:t>(11,18)</w:t>
            </w:r>
          </w:p>
        </w:tc>
        <w:tc>
          <w:tcPr>
            <w:tcW w:w="181" w:type="pct"/>
            <w:tcBorders>
              <w:top w:val="nil"/>
              <w:left w:val="nil"/>
              <w:bottom w:val="nil"/>
              <w:right w:val="nil"/>
            </w:tcBorders>
            <w:shd w:val="clear" w:color="000000" w:fill="FFFFFF"/>
            <w:noWrap/>
            <w:vAlign w:val="bottom"/>
            <w:hideMark/>
          </w:tcPr>
          <w:p w14:paraId="62259F09" w14:textId="7B29246E" w:rsidR="003942DF" w:rsidRPr="00F24A76" w:rsidRDefault="003942DF" w:rsidP="003942DF">
            <w:pPr>
              <w:pStyle w:val="NoSpacing"/>
              <w:jc w:val="right"/>
            </w:pPr>
            <w:r w:rsidRPr="00F24A76">
              <w:t>15.2</w:t>
            </w:r>
          </w:p>
        </w:tc>
        <w:tc>
          <w:tcPr>
            <w:tcW w:w="314" w:type="pct"/>
            <w:tcBorders>
              <w:top w:val="nil"/>
              <w:left w:val="nil"/>
              <w:bottom w:val="nil"/>
              <w:right w:val="nil"/>
            </w:tcBorders>
            <w:shd w:val="clear" w:color="000000" w:fill="FFFFFF"/>
            <w:noWrap/>
            <w:vAlign w:val="bottom"/>
            <w:hideMark/>
          </w:tcPr>
          <w:p w14:paraId="5853138E" w14:textId="77777777" w:rsidR="003942DF" w:rsidRPr="00F24A76" w:rsidRDefault="003942DF" w:rsidP="003942DF">
            <w:pPr>
              <w:pStyle w:val="NoSpacing"/>
            </w:pPr>
            <w:r w:rsidRPr="00F24A76">
              <w:t>(12,21)</w:t>
            </w:r>
          </w:p>
        </w:tc>
        <w:tc>
          <w:tcPr>
            <w:tcW w:w="219" w:type="pct"/>
            <w:tcBorders>
              <w:top w:val="nil"/>
              <w:left w:val="nil"/>
              <w:bottom w:val="nil"/>
              <w:right w:val="nil"/>
            </w:tcBorders>
            <w:shd w:val="clear" w:color="000000" w:fill="FFFFFF"/>
            <w:noWrap/>
            <w:vAlign w:val="bottom"/>
            <w:hideMark/>
          </w:tcPr>
          <w:p w14:paraId="06220F06" w14:textId="678F1235" w:rsidR="003942DF" w:rsidRPr="00F24A76" w:rsidRDefault="003942DF" w:rsidP="003942DF">
            <w:pPr>
              <w:pStyle w:val="NoSpacing"/>
              <w:jc w:val="center"/>
              <w:rPr>
                <w:i/>
              </w:rPr>
            </w:pPr>
            <w:r w:rsidRPr="002221EB">
              <w:rPr>
                <w:i/>
              </w:rPr>
              <w:t>0.002</w:t>
            </w:r>
          </w:p>
        </w:tc>
        <w:tc>
          <w:tcPr>
            <w:tcW w:w="184" w:type="pct"/>
            <w:tcBorders>
              <w:top w:val="nil"/>
              <w:left w:val="nil"/>
              <w:bottom w:val="nil"/>
              <w:right w:val="nil"/>
            </w:tcBorders>
            <w:shd w:val="clear" w:color="000000" w:fill="FFFFFF"/>
            <w:noWrap/>
            <w:vAlign w:val="bottom"/>
            <w:hideMark/>
          </w:tcPr>
          <w:p w14:paraId="194D09D6" w14:textId="732C2788" w:rsidR="003942DF" w:rsidRPr="00F24A76" w:rsidRDefault="003942DF" w:rsidP="003942DF">
            <w:pPr>
              <w:pStyle w:val="NoSpacing"/>
              <w:jc w:val="right"/>
            </w:pPr>
            <w:r w:rsidRPr="00F24A76">
              <w:t>11.7</w:t>
            </w:r>
          </w:p>
        </w:tc>
        <w:tc>
          <w:tcPr>
            <w:tcW w:w="315" w:type="pct"/>
            <w:tcBorders>
              <w:top w:val="nil"/>
              <w:left w:val="nil"/>
              <w:bottom w:val="nil"/>
              <w:right w:val="nil"/>
            </w:tcBorders>
            <w:shd w:val="clear" w:color="000000" w:fill="FFFFFF"/>
            <w:noWrap/>
            <w:vAlign w:val="bottom"/>
            <w:hideMark/>
          </w:tcPr>
          <w:p w14:paraId="3B7F1F93" w14:textId="77777777" w:rsidR="003942DF" w:rsidRPr="00F24A76" w:rsidRDefault="003942DF" w:rsidP="003942DF">
            <w:pPr>
              <w:pStyle w:val="NoSpacing"/>
            </w:pPr>
            <w:r w:rsidRPr="00F24A76">
              <w:t>(9,14)</w:t>
            </w:r>
          </w:p>
        </w:tc>
        <w:tc>
          <w:tcPr>
            <w:tcW w:w="181" w:type="pct"/>
            <w:tcBorders>
              <w:top w:val="nil"/>
              <w:left w:val="nil"/>
              <w:bottom w:val="nil"/>
              <w:right w:val="nil"/>
            </w:tcBorders>
            <w:shd w:val="clear" w:color="000000" w:fill="FFFFFF"/>
            <w:noWrap/>
            <w:vAlign w:val="bottom"/>
            <w:hideMark/>
          </w:tcPr>
          <w:p w14:paraId="16EB1329" w14:textId="244694E7" w:rsidR="003942DF" w:rsidRPr="00F24A76" w:rsidRDefault="003942DF" w:rsidP="003942DF">
            <w:pPr>
              <w:pStyle w:val="NoSpacing"/>
              <w:jc w:val="right"/>
            </w:pPr>
            <w:r w:rsidRPr="00F24A76">
              <w:t>12.7</w:t>
            </w:r>
          </w:p>
        </w:tc>
        <w:tc>
          <w:tcPr>
            <w:tcW w:w="314" w:type="pct"/>
            <w:tcBorders>
              <w:top w:val="nil"/>
              <w:left w:val="nil"/>
              <w:bottom w:val="nil"/>
              <w:right w:val="nil"/>
            </w:tcBorders>
            <w:shd w:val="clear" w:color="000000" w:fill="FFFFFF"/>
            <w:noWrap/>
            <w:vAlign w:val="bottom"/>
            <w:hideMark/>
          </w:tcPr>
          <w:p w14:paraId="534ACDAE" w14:textId="1D11725C" w:rsidR="003942DF" w:rsidRPr="00F24A76" w:rsidRDefault="003942DF" w:rsidP="003942DF">
            <w:pPr>
              <w:pStyle w:val="NoSpacing"/>
            </w:pPr>
            <w:r w:rsidRPr="00F24A76">
              <w:t>(10,17)</w:t>
            </w:r>
          </w:p>
        </w:tc>
        <w:tc>
          <w:tcPr>
            <w:tcW w:w="272" w:type="pct"/>
            <w:tcBorders>
              <w:top w:val="nil"/>
              <w:left w:val="nil"/>
              <w:bottom w:val="nil"/>
              <w:right w:val="nil"/>
            </w:tcBorders>
            <w:shd w:val="clear" w:color="000000" w:fill="FFFFFF"/>
            <w:noWrap/>
            <w:vAlign w:val="bottom"/>
            <w:hideMark/>
          </w:tcPr>
          <w:p w14:paraId="77C1787B" w14:textId="29F9E1E2" w:rsidR="003942DF" w:rsidRPr="00F24A76" w:rsidRDefault="003942DF" w:rsidP="003942DF">
            <w:pPr>
              <w:pStyle w:val="NoSpacing"/>
              <w:jc w:val="center"/>
              <w:rPr>
                <w:i/>
              </w:rPr>
            </w:pPr>
            <w:r w:rsidRPr="002221EB">
              <w:rPr>
                <w:i/>
              </w:rPr>
              <w:t>&lt;0.001</w:t>
            </w:r>
          </w:p>
        </w:tc>
        <w:tc>
          <w:tcPr>
            <w:tcW w:w="183" w:type="pct"/>
            <w:tcBorders>
              <w:top w:val="nil"/>
              <w:left w:val="nil"/>
              <w:bottom w:val="nil"/>
              <w:right w:val="nil"/>
            </w:tcBorders>
            <w:shd w:val="clear" w:color="000000" w:fill="FFFFFF"/>
            <w:noWrap/>
            <w:vAlign w:val="bottom"/>
            <w:hideMark/>
          </w:tcPr>
          <w:p w14:paraId="01620730" w14:textId="066AEB99" w:rsidR="003942DF" w:rsidRPr="00F24A76" w:rsidRDefault="003942DF" w:rsidP="003942DF">
            <w:pPr>
              <w:pStyle w:val="NoSpacing"/>
              <w:jc w:val="right"/>
            </w:pPr>
            <w:r w:rsidRPr="00F24A76">
              <w:t>16.0</w:t>
            </w:r>
          </w:p>
        </w:tc>
        <w:tc>
          <w:tcPr>
            <w:tcW w:w="314" w:type="pct"/>
            <w:tcBorders>
              <w:top w:val="nil"/>
              <w:left w:val="nil"/>
              <w:bottom w:val="nil"/>
              <w:right w:val="nil"/>
            </w:tcBorders>
            <w:shd w:val="clear" w:color="000000" w:fill="FFFFFF"/>
            <w:noWrap/>
            <w:vAlign w:val="bottom"/>
            <w:hideMark/>
          </w:tcPr>
          <w:p w14:paraId="28BA73BD" w14:textId="77777777" w:rsidR="003942DF" w:rsidRPr="00F24A76" w:rsidRDefault="003942DF" w:rsidP="003942DF">
            <w:pPr>
              <w:pStyle w:val="NoSpacing"/>
            </w:pPr>
            <w:r w:rsidRPr="00F24A76">
              <w:t>(13,20)</w:t>
            </w:r>
          </w:p>
        </w:tc>
        <w:tc>
          <w:tcPr>
            <w:tcW w:w="182" w:type="pct"/>
            <w:tcBorders>
              <w:top w:val="nil"/>
              <w:left w:val="nil"/>
              <w:bottom w:val="nil"/>
              <w:right w:val="nil"/>
            </w:tcBorders>
            <w:shd w:val="clear" w:color="000000" w:fill="FFFFFF"/>
            <w:noWrap/>
            <w:vAlign w:val="bottom"/>
            <w:hideMark/>
          </w:tcPr>
          <w:p w14:paraId="13F6CF17" w14:textId="52C74C02" w:rsidR="003942DF" w:rsidRPr="00F24A76" w:rsidRDefault="003942DF" w:rsidP="003942DF">
            <w:pPr>
              <w:pStyle w:val="NoSpacing"/>
              <w:jc w:val="right"/>
            </w:pPr>
            <w:r w:rsidRPr="00F24A76">
              <w:t>16.6</w:t>
            </w:r>
          </w:p>
        </w:tc>
        <w:tc>
          <w:tcPr>
            <w:tcW w:w="314" w:type="pct"/>
            <w:tcBorders>
              <w:top w:val="nil"/>
              <w:left w:val="nil"/>
              <w:bottom w:val="nil"/>
              <w:right w:val="nil"/>
            </w:tcBorders>
            <w:shd w:val="clear" w:color="000000" w:fill="FFFFFF"/>
            <w:noWrap/>
            <w:vAlign w:val="bottom"/>
            <w:hideMark/>
          </w:tcPr>
          <w:p w14:paraId="7E735186" w14:textId="77777777" w:rsidR="003942DF" w:rsidRPr="00F24A76" w:rsidRDefault="003942DF" w:rsidP="003942DF">
            <w:pPr>
              <w:pStyle w:val="NoSpacing"/>
            </w:pPr>
            <w:r w:rsidRPr="00F24A76">
              <w:t>(14,23)</w:t>
            </w:r>
          </w:p>
        </w:tc>
        <w:tc>
          <w:tcPr>
            <w:tcW w:w="178" w:type="pct"/>
            <w:tcBorders>
              <w:top w:val="nil"/>
              <w:left w:val="nil"/>
              <w:bottom w:val="nil"/>
              <w:right w:val="nil"/>
            </w:tcBorders>
            <w:shd w:val="clear" w:color="000000" w:fill="FFFFFF"/>
            <w:noWrap/>
            <w:vAlign w:val="bottom"/>
            <w:hideMark/>
          </w:tcPr>
          <w:p w14:paraId="290B71A9" w14:textId="389D5D39" w:rsidR="003942DF" w:rsidRPr="00F24A76" w:rsidRDefault="003942DF" w:rsidP="003942DF">
            <w:pPr>
              <w:pStyle w:val="NoSpacing"/>
              <w:jc w:val="center"/>
              <w:rPr>
                <w:i/>
              </w:rPr>
            </w:pPr>
            <w:r>
              <w:rPr>
                <w:i/>
              </w:rPr>
              <w:t>-</w:t>
            </w:r>
          </w:p>
        </w:tc>
      </w:tr>
      <w:tr w:rsidR="003942DF" w:rsidRPr="00F24A76" w14:paraId="1E5CB03B" w14:textId="77777777" w:rsidTr="003942DF">
        <w:trPr>
          <w:trHeight w:val="18"/>
        </w:trPr>
        <w:tc>
          <w:tcPr>
            <w:tcW w:w="1281" w:type="pct"/>
            <w:tcBorders>
              <w:top w:val="nil"/>
              <w:left w:val="nil"/>
              <w:bottom w:val="nil"/>
              <w:right w:val="nil"/>
            </w:tcBorders>
            <w:shd w:val="clear" w:color="000000" w:fill="FFFFFF"/>
            <w:noWrap/>
            <w:vAlign w:val="bottom"/>
            <w:hideMark/>
          </w:tcPr>
          <w:p w14:paraId="1DD1640F" w14:textId="12A7683E" w:rsidR="003942DF" w:rsidRPr="00F24A76" w:rsidRDefault="003942DF" w:rsidP="003942DF">
            <w:pPr>
              <w:pStyle w:val="NoSpacing"/>
            </w:pPr>
          </w:p>
        </w:tc>
        <w:tc>
          <w:tcPr>
            <w:tcW w:w="69" w:type="pct"/>
            <w:tcBorders>
              <w:top w:val="nil"/>
              <w:left w:val="nil"/>
              <w:bottom w:val="nil"/>
              <w:right w:val="nil"/>
            </w:tcBorders>
            <w:shd w:val="clear" w:color="000000" w:fill="FFFFFF"/>
            <w:noWrap/>
            <w:vAlign w:val="bottom"/>
            <w:hideMark/>
          </w:tcPr>
          <w:p w14:paraId="04F84C2D"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448EFAB7" w14:textId="4311D811"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hideMark/>
          </w:tcPr>
          <w:p w14:paraId="3C352A4E" w14:textId="26B8FA64"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hideMark/>
          </w:tcPr>
          <w:p w14:paraId="5EA4B46C" w14:textId="216A942A"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hideMark/>
          </w:tcPr>
          <w:p w14:paraId="6FAA7503" w14:textId="10C2CDD3"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hideMark/>
          </w:tcPr>
          <w:p w14:paraId="7957F5DD" w14:textId="1C5EE4D5"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hideMark/>
          </w:tcPr>
          <w:p w14:paraId="51FA6A8A" w14:textId="0B304749"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hideMark/>
          </w:tcPr>
          <w:p w14:paraId="0ED60D32" w14:textId="562B70CB"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hideMark/>
          </w:tcPr>
          <w:p w14:paraId="44C50191" w14:textId="5B92FB34"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hideMark/>
          </w:tcPr>
          <w:p w14:paraId="54D9FFAD" w14:textId="30BBE3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hideMark/>
          </w:tcPr>
          <w:p w14:paraId="4A326E2F" w14:textId="33122373"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hideMark/>
          </w:tcPr>
          <w:p w14:paraId="72414980" w14:textId="02FD40D6"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hideMark/>
          </w:tcPr>
          <w:p w14:paraId="4DAD9834" w14:textId="48AD12DB"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hideMark/>
          </w:tcPr>
          <w:p w14:paraId="17B4E187" w14:textId="32B92F7B"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hideMark/>
          </w:tcPr>
          <w:p w14:paraId="113CBB55" w14:textId="055F5CF3"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hideMark/>
          </w:tcPr>
          <w:p w14:paraId="61EB63B3" w14:textId="367D92E5" w:rsidR="003942DF" w:rsidRPr="00F24A76" w:rsidRDefault="003942DF" w:rsidP="003942DF">
            <w:pPr>
              <w:pStyle w:val="NoSpacing"/>
              <w:jc w:val="center"/>
              <w:rPr>
                <w:i/>
              </w:rPr>
            </w:pPr>
          </w:p>
        </w:tc>
      </w:tr>
      <w:tr w:rsidR="003942DF" w:rsidRPr="00F24A76" w14:paraId="3C1B18E1" w14:textId="77777777" w:rsidTr="003942DF">
        <w:trPr>
          <w:trHeight w:val="18"/>
        </w:trPr>
        <w:tc>
          <w:tcPr>
            <w:tcW w:w="1281" w:type="pct"/>
            <w:tcBorders>
              <w:top w:val="nil"/>
              <w:left w:val="nil"/>
              <w:bottom w:val="nil"/>
              <w:right w:val="nil"/>
            </w:tcBorders>
            <w:shd w:val="clear" w:color="000000" w:fill="FFFFFF"/>
            <w:noWrap/>
            <w:vAlign w:val="bottom"/>
          </w:tcPr>
          <w:p w14:paraId="2F351B5D" w14:textId="183C9044" w:rsidR="003942DF" w:rsidRPr="00F24A76" w:rsidRDefault="003942DF" w:rsidP="003942DF">
            <w:pPr>
              <w:pStyle w:val="NoSpacing"/>
              <w:rPr>
                <w:b/>
              </w:rPr>
            </w:pPr>
            <w:r w:rsidRPr="00F24A76">
              <w:rPr>
                <w:b/>
              </w:rPr>
              <w:t>Beta-stiffness</w:t>
            </w:r>
          </w:p>
        </w:tc>
        <w:tc>
          <w:tcPr>
            <w:tcW w:w="69" w:type="pct"/>
            <w:tcBorders>
              <w:top w:val="nil"/>
              <w:left w:val="nil"/>
              <w:bottom w:val="nil"/>
              <w:right w:val="nil"/>
            </w:tcBorders>
            <w:shd w:val="clear" w:color="000000" w:fill="FFFFFF"/>
            <w:noWrap/>
            <w:vAlign w:val="bottom"/>
          </w:tcPr>
          <w:p w14:paraId="23678226"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54F8AA98"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62B56B4C"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64E239E5"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55D3E6A0"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3D435933"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332A6D9A"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7DBB75B2"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1B9F3C2E"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46D4769E"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5FD7774B"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257DC26C"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4985EA8"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4474406D"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AD876EE"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1D57606E" w14:textId="77777777" w:rsidR="003942DF" w:rsidRPr="00F24A76" w:rsidRDefault="003942DF" w:rsidP="003942DF">
            <w:pPr>
              <w:pStyle w:val="NoSpacing"/>
              <w:jc w:val="center"/>
              <w:rPr>
                <w:i/>
              </w:rPr>
            </w:pPr>
          </w:p>
        </w:tc>
      </w:tr>
      <w:tr w:rsidR="003942DF" w:rsidRPr="00F24A76" w14:paraId="74B792A2" w14:textId="77777777" w:rsidTr="003942DF">
        <w:trPr>
          <w:trHeight w:val="18"/>
        </w:trPr>
        <w:tc>
          <w:tcPr>
            <w:tcW w:w="1281" w:type="pct"/>
            <w:tcBorders>
              <w:top w:val="nil"/>
              <w:left w:val="nil"/>
              <w:bottom w:val="nil"/>
              <w:right w:val="nil"/>
            </w:tcBorders>
            <w:shd w:val="clear" w:color="000000" w:fill="FFFFFF"/>
            <w:noWrap/>
            <w:vAlign w:val="bottom"/>
            <w:hideMark/>
          </w:tcPr>
          <w:p w14:paraId="1B837A7C" w14:textId="3B56DBE1" w:rsidR="003942DF" w:rsidRPr="00F24A76" w:rsidRDefault="003942DF" w:rsidP="003942DF">
            <w:pPr>
              <w:pStyle w:val="NoSpacing"/>
            </w:pPr>
            <w:r w:rsidRPr="00F24A76">
              <w:t>Ascending</w:t>
            </w:r>
          </w:p>
        </w:tc>
        <w:tc>
          <w:tcPr>
            <w:tcW w:w="69" w:type="pct"/>
            <w:tcBorders>
              <w:top w:val="nil"/>
              <w:left w:val="nil"/>
              <w:bottom w:val="nil"/>
              <w:right w:val="nil"/>
            </w:tcBorders>
            <w:shd w:val="clear" w:color="000000" w:fill="FFFFFF"/>
            <w:noWrap/>
            <w:vAlign w:val="bottom"/>
            <w:hideMark/>
          </w:tcPr>
          <w:p w14:paraId="1DFEB26E"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4F0FDA99" w14:textId="5516BDF5" w:rsidR="003942DF" w:rsidRPr="00F24A76" w:rsidRDefault="003942DF" w:rsidP="003942DF">
            <w:pPr>
              <w:pStyle w:val="NoSpacing"/>
              <w:jc w:val="right"/>
            </w:pPr>
            <w:r w:rsidRPr="00F24A76">
              <w:t>2.9</w:t>
            </w:r>
          </w:p>
        </w:tc>
        <w:tc>
          <w:tcPr>
            <w:tcW w:w="315" w:type="pct"/>
            <w:tcBorders>
              <w:top w:val="nil"/>
              <w:left w:val="nil"/>
              <w:bottom w:val="nil"/>
              <w:right w:val="nil"/>
            </w:tcBorders>
            <w:shd w:val="clear" w:color="000000" w:fill="FFFFFF"/>
            <w:noWrap/>
            <w:vAlign w:val="bottom"/>
            <w:hideMark/>
          </w:tcPr>
          <w:p w14:paraId="2E41FD5B" w14:textId="69A6766B" w:rsidR="003942DF" w:rsidRPr="00F24A76" w:rsidRDefault="003942DF" w:rsidP="003942DF">
            <w:pPr>
              <w:pStyle w:val="NoSpacing"/>
            </w:pPr>
            <w:r w:rsidRPr="00F24A76">
              <w:t>(2.5,4.2)</w:t>
            </w:r>
          </w:p>
        </w:tc>
        <w:tc>
          <w:tcPr>
            <w:tcW w:w="181" w:type="pct"/>
            <w:tcBorders>
              <w:top w:val="nil"/>
              <w:left w:val="nil"/>
              <w:bottom w:val="nil"/>
              <w:right w:val="nil"/>
            </w:tcBorders>
            <w:shd w:val="clear" w:color="000000" w:fill="FFFFFF"/>
            <w:noWrap/>
            <w:vAlign w:val="bottom"/>
            <w:hideMark/>
          </w:tcPr>
          <w:p w14:paraId="34A15F28" w14:textId="4104902E" w:rsidR="003942DF" w:rsidRPr="00F24A76" w:rsidRDefault="003942DF" w:rsidP="003942DF">
            <w:pPr>
              <w:pStyle w:val="NoSpacing"/>
              <w:jc w:val="right"/>
            </w:pPr>
            <w:r w:rsidRPr="00F24A76">
              <w:t>3.1</w:t>
            </w:r>
          </w:p>
        </w:tc>
        <w:tc>
          <w:tcPr>
            <w:tcW w:w="314" w:type="pct"/>
            <w:tcBorders>
              <w:top w:val="nil"/>
              <w:left w:val="nil"/>
              <w:bottom w:val="nil"/>
              <w:right w:val="nil"/>
            </w:tcBorders>
            <w:shd w:val="clear" w:color="000000" w:fill="FFFFFF"/>
            <w:noWrap/>
            <w:vAlign w:val="bottom"/>
            <w:hideMark/>
          </w:tcPr>
          <w:p w14:paraId="2DCC45DE" w14:textId="0B97473D" w:rsidR="003942DF" w:rsidRPr="00F24A76" w:rsidRDefault="003942DF" w:rsidP="003942DF">
            <w:pPr>
              <w:pStyle w:val="NoSpacing"/>
            </w:pPr>
            <w:r w:rsidRPr="00F24A76">
              <w:t>(2.4,4.2)</w:t>
            </w:r>
          </w:p>
        </w:tc>
        <w:tc>
          <w:tcPr>
            <w:tcW w:w="219" w:type="pct"/>
            <w:tcBorders>
              <w:top w:val="nil"/>
              <w:left w:val="nil"/>
              <w:bottom w:val="nil"/>
              <w:right w:val="nil"/>
            </w:tcBorders>
            <w:shd w:val="clear" w:color="000000" w:fill="FFFFFF"/>
            <w:noWrap/>
            <w:vAlign w:val="bottom"/>
            <w:hideMark/>
          </w:tcPr>
          <w:p w14:paraId="10A1224E" w14:textId="680B6C9C" w:rsidR="003942DF" w:rsidRPr="00F24A76" w:rsidRDefault="003942DF"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hideMark/>
          </w:tcPr>
          <w:p w14:paraId="734C5242" w14:textId="2AAFC98F" w:rsidR="003942DF" w:rsidRPr="00F24A76" w:rsidRDefault="003942DF" w:rsidP="003942DF">
            <w:pPr>
              <w:pStyle w:val="NoSpacing"/>
              <w:jc w:val="right"/>
            </w:pPr>
            <w:r w:rsidRPr="00F24A76">
              <w:t>4.2</w:t>
            </w:r>
          </w:p>
        </w:tc>
        <w:tc>
          <w:tcPr>
            <w:tcW w:w="315" w:type="pct"/>
            <w:tcBorders>
              <w:top w:val="nil"/>
              <w:left w:val="nil"/>
              <w:bottom w:val="nil"/>
              <w:right w:val="nil"/>
            </w:tcBorders>
            <w:shd w:val="clear" w:color="000000" w:fill="FFFFFF"/>
            <w:noWrap/>
            <w:vAlign w:val="bottom"/>
            <w:hideMark/>
          </w:tcPr>
          <w:p w14:paraId="51FCAD5B" w14:textId="099EDD68" w:rsidR="003942DF" w:rsidRPr="00F24A76" w:rsidRDefault="003942DF" w:rsidP="003942DF">
            <w:pPr>
              <w:pStyle w:val="NoSpacing"/>
            </w:pPr>
            <w:r w:rsidRPr="00F24A76">
              <w:t>(3.3,6.8)</w:t>
            </w:r>
          </w:p>
        </w:tc>
        <w:tc>
          <w:tcPr>
            <w:tcW w:w="181" w:type="pct"/>
            <w:tcBorders>
              <w:top w:val="nil"/>
              <w:left w:val="nil"/>
              <w:bottom w:val="nil"/>
              <w:right w:val="nil"/>
            </w:tcBorders>
            <w:shd w:val="clear" w:color="000000" w:fill="FFFFFF"/>
            <w:noWrap/>
            <w:vAlign w:val="bottom"/>
            <w:hideMark/>
          </w:tcPr>
          <w:p w14:paraId="65934DCE" w14:textId="317C717E" w:rsidR="003942DF" w:rsidRPr="00F24A76" w:rsidRDefault="003942DF" w:rsidP="003942DF">
            <w:pPr>
              <w:pStyle w:val="NoSpacing"/>
              <w:jc w:val="right"/>
            </w:pPr>
            <w:r w:rsidRPr="00F24A76">
              <w:t>4.1</w:t>
            </w:r>
          </w:p>
        </w:tc>
        <w:tc>
          <w:tcPr>
            <w:tcW w:w="314" w:type="pct"/>
            <w:tcBorders>
              <w:top w:val="nil"/>
              <w:left w:val="nil"/>
              <w:bottom w:val="nil"/>
              <w:right w:val="nil"/>
            </w:tcBorders>
            <w:shd w:val="clear" w:color="000000" w:fill="FFFFFF"/>
            <w:noWrap/>
            <w:vAlign w:val="bottom"/>
            <w:hideMark/>
          </w:tcPr>
          <w:p w14:paraId="5F1CB831" w14:textId="09CA03BE" w:rsidR="003942DF" w:rsidRPr="00F24A76" w:rsidRDefault="003942DF" w:rsidP="003942DF">
            <w:pPr>
              <w:pStyle w:val="NoSpacing"/>
            </w:pPr>
            <w:r w:rsidRPr="00F24A76">
              <w:t>(3.1,6.0)</w:t>
            </w:r>
          </w:p>
        </w:tc>
        <w:tc>
          <w:tcPr>
            <w:tcW w:w="272" w:type="pct"/>
            <w:tcBorders>
              <w:top w:val="nil"/>
              <w:left w:val="nil"/>
              <w:bottom w:val="nil"/>
              <w:right w:val="nil"/>
            </w:tcBorders>
            <w:shd w:val="clear" w:color="000000" w:fill="FFFFFF"/>
            <w:noWrap/>
            <w:vAlign w:val="bottom"/>
            <w:hideMark/>
          </w:tcPr>
          <w:p w14:paraId="6BD32044" w14:textId="39D8B0C4"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hideMark/>
          </w:tcPr>
          <w:p w14:paraId="49121D9F" w14:textId="21E00EE4" w:rsidR="003942DF" w:rsidRPr="00F24A76" w:rsidRDefault="003942DF" w:rsidP="003942DF">
            <w:pPr>
              <w:pStyle w:val="NoSpacing"/>
              <w:jc w:val="right"/>
            </w:pPr>
            <w:r w:rsidRPr="00F24A76">
              <w:t>2.7</w:t>
            </w:r>
          </w:p>
        </w:tc>
        <w:tc>
          <w:tcPr>
            <w:tcW w:w="314" w:type="pct"/>
            <w:tcBorders>
              <w:top w:val="nil"/>
              <w:left w:val="nil"/>
              <w:bottom w:val="nil"/>
              <w:right w:val="nil"/>
            </w:tcBorders>
            <w:shd w:val="clear" w:color="000000" w:fill="FFFFFF"/>
            <w:noWrap/>
            <w:vAlign w:val="bottom"/>
            <w:hideMark/>
          </w:tcPr>
          <w:p w14:paraId="5707290A" w14:textId="31DD0DCD" w:rsidR="003942DF" w:rsidRPr="00F24A76" w:rsidRDefault="003942DF" w:rsidP="003942DF">
            <w:pPr>
              <w:pStyle w:val="NoSpacing"/>
            </w:pPr>
            <w:r w:rsidRPr="00F24A76">
              <w:t>(2.1,2.9)</w:t>
            </w:r>
          </w:p>
        </w:tc>
        <w:tc>
          <w:tcPr>
            <w:tcW w:w="182" w:type="pct"/>
            <w:tcBorders>
              <w:top w:val="nil"/>
              <w:left w:val="nil"/>
              <w:bottom w:val="nil"/>
              <w:right w:val="nil"/>
            </w:tcBorders>
            <w:shd w:val="clear" w:color="000000" w:fill="FFFFFF"/>
            <w:noWrap/>
            <w:vAlign w:val="bottom"/>
            <w:hideMark/>
          </w:tcPr>
          <w:p w14:paraId="48BE3B06" w14:textId="67A9626D" w:rsidR="003942DF" w:rsidRPr="00F24A76" w:rsidRDefault="003942DF" w:rsidP="003942DF">
            <w:pPr>
              <w:pStyle w:val="NoSpacing"/>
              <w:jc w:val="right"/>
            </w:pPr>
            <w:r w:rsidRPr="00F24A76">
              <w:t>2.6</w:t>
            </w:r>
          </w:p>
        </w:tc>
        <w:tc>
          <w:tcPr>
            <w:tcW w:w="314" w:type="pct"/>
            <w:tcBorders>
              <w:top w:val="nil"/>
              <w:left w:val="nil"/>
              <w:bottom w:val="nil"/>
              <w:right w:val="nil"/>
            </w:tcBorders>
            <w:shd w:val="clear" w:color="000000" w:fill="FFFFFF"/>
            <w:noWrap/>
            <w:vAlign w:val="bottom"/>
            <w:hideMark/>
          </w:tcPr>
          <w:p w14:paraId="44EB3F94" w14:textId="4B2C3C1F" w:rsidR="003942DF" w:rsidRPr="00F24A76" w:rsidRDefault="003942DF" w:rsidP="003942DF">
            <w:pPr>
              <w:pStyle w:val="NoSpacing"/>
            </w:pPr>
            <w:r w:rsidRPr="00F24A76">
              <w:t>(2.2,3.3)</w:t>
            </w:r>
          </w:p>
        </w:tc>
        <w:tc>
          <w:tcPr>
            <w:tcW w:w="178" w:type="pct"/>
            <w:tcBorders>
              <w:top w:val="nil"/>
              <w:left w:val="nil"/>
              <w:bottom w:val="nil"/>
              <w:right w:val="nil"/>
            </w:tcBorders>
            <w:shd w:val="clear" w:color="000000" w:fill="FFFFFF"/>
            <w:noWrap/>
            <w:vAlign w:val="bottom"/>
            <w:hideMark/>
          </w:tcPr>
          <w:p w14:paraId="0FF2E7E9" w14:textId="20FF1C2A" w:rsidR="003942DF" w:rsidRPr="00F24A76" w:rsidRDefault="003942DF" w:rsidP="003942DF">
            <w:pPr>
              <w:pStyle w:val="NoSpacing"/>
              <w:jc w:val="center"/>
              <w:rPr>
                <w:i/>
              </w:rPr>
            </w:pPr>
            <w:r>
              <w:rPr>
                <w:i/>
              </w:rPr>
              <w:t>-</w:t>
            </w:r>
          </w:p>
        </w:tc>
      </w:tr>
      <w:tr w:rsidR="003942DF" w:rsidRPr="00F24A76" w14:paraId="0DD830B5" w14:textId="77777777" w:rsidTr="003942DF">
        <w:trPr>
          <w:trHeight w:val="18"/>
        </w:trPr>
        <w:tc>
          <w:tcPr>
            <w:tcW w:w="1281" w:type="pct"/>
            <w:tcBorders>
              <w:top w:val="nil"/>
              <w:left w:val="nil"/>
              <w:bottom w:val="nil"/>
              <w:right w:val="nil"/>
            </w:tcBorders>
            <w:shd w:val="clear" w:color="000000" w:fill="FFFFFF"/>
            <w:noWrap/>
            <w:vAlign w:val="bottom"/>
            <w:hideMark/>
          </w:tcPr>
          <w:p w14:paraId="41814B82" w14:textId="3DA2FD8B" w:rsidR="003942DF" w:rsidRPr="00F24A76" w:rsidRDefault="003942DF" w:rsidP="003942DF">
            <w:pPr>
              <w:pStyle w:val="NoSpacing"/>
            </w:pPr>
            <w:r w:rsidRPr="00F24A76">
              <w:t>Proximal Descending</w:t>
            </w:r>
          </w:p>
        </w:tc>
        <w:tc>
          <w:tcPr>
            <w:tcW w:w="69" w:type="pct"/>
            <w:tcBorders>
              <w:top w:val="nil"/>
              <w:left w:val="nil"/>
              <w:bottom w:val="nil"/>
              <w:right w:val="nil"/>
            </w:tcBorders>
            <w:shd w:val="clear" w:color="000000" w:fill="FFFFFF"/>
            <w:noWrap/>
            <w:vAlign w:val="bottom"/>
            <w:hideMark/>
          </w:tcPr>
          <w:p w14:paraId="183AA168"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1C4ECAD5" w14:textId="7683FC03" w:rsidR="003942DF" w:rsidRPr="00F24A76" w:rsidRDefault="003942DF" w:rsidP="003942DF">
            <w:pPr>
              <w:pStyle w:val="NoSpacing"/>
              <w:jc w:val="right"/>
            </w:pPr>
            <w:r w:rsidRPr="00F24A76">
              <w:t>3.1</w:t>
            </w:r>
          </w:p>
        </w:tc>
        <w:tc>
          <w:tcPr>
            <w:tcW w:w="315" w:type="pct"/>
            <w:tcBorders>
              <w:top w:val="nil"/>
              <w:left w:val="nil"/>
              <w:bottom w:val="nil"/>
              <w:right w:val="nil"/>
            </w:tcBorders>
            <w:shd w:val="clear" w:color="000000" w:fill="FFFFFF"/>
            <w:noWrap/>
            <w:vAlign w:val="bottom"/>
            <w:hideMark/>
          </w:tcPr>
          <w:p w14:paraId="15C7FBC3" w14:textId="26FC12FD" w:rsidR="003942DF" w:rsidRPr="00F24A76" w:rsidRDefault="003942DF" w:rsidP="003942DF">
            <w:pPr>
              <w:pStyle w:val="NoSpacing"/>
            </w:pPr>
            <w:r w:rsidRPr="00F24A76">
              <w:t>(2.4,4.3)</w:t>
            </w:r>
          </w:p>
        </w:tc>
        <w:tc>
          <w:tcPr>
            <w:tcW w:w="181" w:type="pct"/>
            <w:tcBorders>
              <w:top w:val="nil"/>
              <w:left w:val="nil"/>
              <w:bottom w:val="nil"/>
              <w:right w:val="nil"/>
            </w:tcBorders>
            <w:shd w:val="clear" w:color="000000" w:fill="FFFFFF"/>
            <w:noWrap/>
            <w:vAlign w:val="bottom"/>
            <w:hideMark/>
          </w:tcPr>
          <w:p w14:paraId="34122C07" w14:textId="671C1D89" w:rsidR="003942DF" w:rsidRPr="00F24A76" w:rsidRDefault="003942DF" w:rsidP="003942DF">
            <w:pPr>
              <w:pStyle w:val="NoSpacing"/>
              <w:jc w:val="right"/>
            </w:pPr>
            <w:r w:rsidRPr="00F24A76">
              <w:t>2.9</w:t>
            </w:r>
          </w:p>
        </w:tc>
        <w:tc>
          <w:tcPr>
            <w:tcW w:w="314" w:type="pct"/>
            <w:tcBorders>
              <w:top w:val="nil"/>
              <w:left w:val="nil"/>
              <w:bottom w:val="nil"/>
              <w:right w:val="nil"/>
            </w:tcBorders>
            <w:shd w:val="clear" w:color="000000" w:fill="FFFFFF"/>
            <w:noWrap/>
            <w:vAlign w:val="bottom"/>
            <w:hideMark/>
          </w:tcPr>
          <w:p w14:paraId="382FC742" w14:textId="0DE9F84E" w:rsidR="003942DF" w:rsidRPr="00F24A76" w:rsidRDefault="003942DF" w:rsidP="003942DF">
            <w:pPr>
              <w:pStyle w:val="NoSpacing"/>
            </w:pPr>
            <w:r w:rsidRPr="00F24A76">
              <w:t>(2.3,4.0)</w:t>
            </w:r>
          </w:p>
        </w:tc>
        <w:tc>
          <w:tcPr>
            <w:tcW w:w="219" w:type="pct"/>
            <w:tcBorders>
              <w:top w:val="nil"/>
              <w:left w:val="nil"/>
              <w:bottom w:val="nil"/>
              <w:right w:val="nil"/>
            </w:tcBorders>
            <w:shd w:val="clear" w:color="000000" w:fill="FFFFFF"/>
            <w:noWrap/>
            <w:vAlign w:val="bottom"/>
            <w:hideMark/>
          </w:tcPr>
          <w:p w14:paraId="1BFC0A18" w14:textId="0E063555" w:rsidR="003942DF" w:rsidRPr="00F24A76" w:rsidRDefault="003942DF" w:rsidP="003942DF">
            <w:pPr>
              <w:pStyle w:val="NoSpacing"/>
              <w:jc w:val="center"/>
              <w:rPr>
                <w:i/>
              </w:rPr>
            </w:pPr>
            <w:r w:rsidRPr="002221EB">
              <w:rPr>
                <w:i/>
              </w:rPr>
              <w:t>0.08</w:t>
            </w:r>
          </w:p>
        </w:tc>
        <w:tc>
          <w:tcPr>
            <w:tcW w:w="184" w:type="pct"/>
            <w:tcBorders>
              <w:top w:val="nil"/>
              <w:left w:val="nil"/>
              <w:bottom w:val="nil"/>
              <w:right w:val="nil"/>
            </w:tcBorders>
            <w:shd w:val="clear" w:color="000000" w:fill="FFFFFF"/>
            <w:noWrap/>
            <w:vAlign w:val="bottom"/>
            <w:hideMark/>
          </w:tcPr>
          <w:p w14:paraId="5CD5CE1C" w14:textId="4D39EE15" w:rsidR="003942DF" w:rsidRPr="00F24A76" w:rsidRDefault="003942DF" w:rsidP="003942DF">
            <w:pPr>
              <w:pStyle w:val="NoSpacing"/>
              <w:jc w:val="right"/>
            </w:pPr>
            <w:r w:rsidRPr="00F24A76">
              <w:t>3.9</w:t>
            </w:r>
          </w:p>
        </w:tc>
        <w:tc>
          <w:tcPr>
            <w:tcW w:w="315" w:type="pct"/>
            <w:tcBorders>
              <w:top w:val="nil"/>
              <w:left w:val="nil"/>
              <w:bottom w:val="nil"/>
              <w:right w:val="nil"/>
            </w:tcBorders>
            <w:shd w:val="clear" w:color="000000" w:fill="FFFFFF"/>
            <w:noWrap/>
            <w:vAlign w:val="bottom"/>
            <w:hideMark/>
          </w:tcPr>
          <w:p w14:paraId="11510322" w14:textId="4E2101FC" w:rsidR="003942DF" w:rsidRPr="00F24A76" w:rsidRDefault="003942DF" w:rsidP="003942DF">
            <w:pPr>
              <w:pStyle w:val="NoSpacing"/>
            </w:pPr>
            <w:r w:rsidRPr="00F24A76">
              <w:t>(2.7,5.6)</w:t>
            </w:r>
          </w:p>
        </w:tc>
        <w:tc>
          <w:tcPr>
            <w:tcW w:w="181" w:type="pct"/>
            <w:tcBorders>
              <w:top w:val="nil"/>
              <w:left w:val="nil"/>
              <w:bottom w:val="nil"/>
              <w:right w:val="nil"/>
            </w:tcBorders>
            <w:shd w:val="clear" w:color="000000" w:fill="FFFFFF"/>
            <w:noWrap/>
            <w:vAlign w:val="bottom"/>
            <w:hideMark/>
          </w:tcPr>
          <w:p w14:paraId="6BF1E599" w14:textId="33F3C7B1" w:rsidR="003942DF" w:rsidRPr="00F24A76" w:rsidRDefault="003942DF" w:rsidP="003942DF">
            <w:pPr>
              <w:pStyle w:val="NoSpacing"/>
              <w:jc w:val="right"/>
            </w:pPr>
            <w:r w:rsidRPr="00F24A76">
              <w:t>3.9</w:t>
            </w:r>
          </w:p>
        </w:tc>
        <w:tc>
          <w:tcPr>
            <w:tcW w:w="314" w:type="pct"/>
            <w:tcBorders>
              <w:top w:val="nil"/>
              <w:left w:val="nil"/>
              <w:bottom w:val="nil"/>
              <w:right w:val="nil"/>
            </w:tcBorders>
            <w:shd w:val="clear" w:color="000000" w:fill="FFFFFF"/>
            <w:noWrap/>
            <w:vAlign w:val="bottom"/>
            <w:hideMark/>
          </w:tcPr>
          <w:p w14:paraId="3A020BE7" w14:textId="4C1EF5B0" w:rsidR="003942DF" w:rsidRPr="00F24A76" w:rsidRDefault="003942DF" w:rsidP="003942DF">
            <w:pPr>
              <w:pStyle w:val="NoSpacing"/>
            </w:pPr>
            <w:r w:rsidRPr="00F24A76">
              <w:t>(2.7,4.9)</w:t>
            </w:r>
          </w:p>
        </w:tc>
        <w:tc>
          <w:tcPr>
            <w:tcW w:w="272" w:type="pct"/>
            <w:tcBorders>
              <w:top w:val="nil"/>
              <w:left w:val="nil"/>
              <w:bottom w:val="nil"/>
              <w:right w:val="nil"/>
            </w:tcBorders>
            <w:shd w:val="clear" w:color="000000" w:fill="FFFFFF"/>
            <w:noWrap/>
            <w:vAlign w:val="bottom"/>
            <w:hideMark/>
          </w:tcPr>
          <w:p w14:paraId="7B8F775A" w14:textId="72A2A007"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hideMark/>
          </w:tcPr>
          <w:p w14:paraId="1B175452" w14:textId="69C0B30D" w:rsidR="003942DF" w:rsidRPr="00F24A76" w:rsidRDefault="003942DF" w:rsidP="003942DF">
            <w:pPr>
              <w:pStyle w:val="NoSpacing"/>
              <w:jc w:val="right"/>
            </w:pPr>
            <w:r w:rsidRPr="00F24A76">
              <w:t>2.7</w:t>
            </w:r>
          </w:p>
        </w:tc>
        <w:tc>
          <w:tcPr>
            <w:tcW w:w="314" w:type="pct"/>
            <w:tcBorders>
              <w:top w:val="nil"/>
              <w:left w:val="nil"/>
              <w:bottom w:val="nil"/>
              <w:right w:val="nil"/>
            </w:tcBorders>
            <w:shd w:val="clear" w:color="000000" w:fill="FFFFFF"/>
            <w:noWrap/>
            <w:vAlign w:val="bottom"/>
            <w:hideMark/>
          </w:tcPr>
          <w:p w14:paraId="690A9F02" w14:textId="01DB70EB" w:rsidR="003942DF" w:rsidRPr="00F24A76" w:rsidRDefault="003942DF" w:rsidP="003942DF">
            <w:pPr>
              <w:pStyle w:val="NoSpacing"/>
            </w:pPr>
            <w:r w:rsidRPr="00F24A76">
              <w:t>(2.2,3.4)</w:t>
            </w:r>
          </w:p>
        </w:tc>
        <w:tc>
          <w:tcPr>
            <w:tcW w:w="182" w:type="pct"/>
            <w:tcBorders>
              <w:top w:val="nil"/>
              <w:left w:val="nil"/>
              <w:bottom w:val="nil"/>
              <w:right w:val="nil"/>
            </w:tcBorders>
            <w:shd w:val="clear" w:color="000000" w:fill="FFFFFF"/>
            <w:noWrap/>
            <w:vAlign w:val="bottom"/>
            <w:hideMark/>
          </w:tcPr>
          <w:p w14:paraId="57830C08" w14:textId="5C81D765" w:rsidR="003942DF" w:rsidRPr="00F24A76" w:rsidRDefault="003942DF" w:rsidP="003942DF">
            <w:pPr>
              <w:pStyle w:val="NoSpacing"/>
              <w:jc w:val="right"/>
            </w:pPr>
            <w:r w:rsidRPr="00F24A76">
              <w:t>2.6</w:t>
            </w:r>
          </w:p>
        </w:tc>
        <w:tc>
          <w:tcPr>
            <w:tcW w:w="314" w:type="pct"/>
            <w:tcBorders>
              <w:top w:val="nil"/>
              <w:left w:val="nil"/>
              <w:bottom w:val="nil"/>
              <w:right w:val="nil"/>
            </w:tcBorders>
            <w:shd w:val="clear" w:color="000000" w:fill="FFFFFF"/>
            <w:noWrap/>
            <w:vAlign w:val="bottom"/>
            <w:hideMark/>
          </w:tcPr>
          <w:p w14:paraId="597175DB" w14:textId="50275DCC" w:rsidR="003942DF" w:rsidRPr="00F24A76" w:rsidRDefault="003942DF" w:rsidP="003942DF">
            <w:pPr>
              <w:pStyle w:val="NoSpacing"/>
            </w:pPr>
            <w:r w:rsidRPr="00F24A76">
              <w:t>(2.1,3.2)</w:t>
            </w:r>
          </w:p>
        </w:tc>
        <w:tc>
          <w:tcPr>
            <w:tcW w:w="178" w:type="pct"/>
            <w:tcBorders>
              <w:top w:val="nil"/>
              <w:left w:val="nil"/>
              <w:bottom w:val="nil"/>
              <w:right w:val="nil"/>
            </w:tcBorders>
            <w:shd w:val="clear" w:color="000000" w:fill="FFFFFF"/>
            <w:noWrap/>
            <w:vAlign w:val="bottom"/>
            <w:hideMark/>
          </w:tcPr>
          <w:p w14:paraId="70C3426D" w14:textId="6B42ABD9" w:rsidR="003942DF" w:rsidRPr="00F24A76" w:rsidRDefault="003942DF" w:rsidP="003942DF">
            <w:pPr>
              <w:pStyle w:val="NoSpacing"/>
              <w:jc w:val="center"/>
              <w:rPr>
                <w:i/>
              </w:rPr>
            </w:pPr>
            <w:r>
              <w:rPr>
                <w:i/>
              </w:rPr>
              <w:t>-</w:t>
            </w:r>
          </w:p>
        </w:tc>
      </w:tr>
      <w:tr w:rsidR="003942DF" w:rsidRPr="00F24A76" w14:paraId="0807BEE7" w14:textId="77777777" w:rsidTr="003942DF">
        <w:trPr>
          <w:trHeight w:val="18"/>
        </w:trPr>
        <w:tc>
          <w:tcPr>
            <w:tcW w:w="1281" w:type="pct"/>
            <w:tcBorders>
              <w:top w:val="nil"/>
              <w:left w:val="nil"/>
              <w:bottom w:val="nil"/>
              <w:right w:val="nil"/>
            </w:tcBorders>
            <w:shd w:val="clear" w:color="000000" w:fill="FFFFFF"/>
            <w:noWrap/>
            <w:vAlign w:val="bottom"/>
            <w:hideMark/>
          </w:tcPr>
          <w:p w14:paraId="39D152D1" w14:textId="6A2EBDC0" w:rsidR="003942DF" w:rsidRPr="00F24A76" w:rsidRDefault="003942DF" w:rsidP="003942DF">
            <w:pPr>
              <w:pStyle w:val="NoSpacing"/>
            </w:pPr>
            <w:r w:rsidRPr="00F24A76">
              <w:t>Diaphragmatic Descending</w:t>
            </w:r>
          </w:p>
        </w:tc>
        <w:tc>
          <w:tcPr>
            <w:tcW w:w="69" w:type="pct"/>
            <w:tcBorders>
              <w:top w:val="nil"/>
              <w:left w:val="nil"/>
              <w:bottom w:val="nil"/>
              <w:right w:val="nil"/>
            </w:tcBorders>
            <w:shd w:val="clear" w:color="000000" w:fill="FFFFFF"/>
            <w:noWrap/>
            <w:vAlign w:val="bottom"/>
            <w:hideMark/>
          </w:tcPr>
          <w:p w14:paraId="2E62E535"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22FFEE75" w14:textId="2E103429" w:rsidR="003942DF" w:rsidRPr="00F24A76" w:rsidRDefault="003942DF" w:rsidP="003942DF">
            <w:pPr>
              <w:pStyle w:val="NoSpacing"/>
              <w:jc w:val="right"/>
            </w:pPr>
            <w:r w:rsidRPr="00F24A76">
              <w:t>2.0</w:t>
            </w:r>
          </w:p>
        </w:tc>
        <w:tc>
          <w:tcPr>
            <w:tcW w:w="315" w:type="pct"/>
            <w:tcBorders>
              <w:top w:val="nil"/>
              <w:left w:val="nil"/>
              <w:bottom w:val="nil"/>
              <w:right w:val="nil"/>
            </w:tcBorders>
            <w:shd w:val="clear" w:color="000000" w:fill="FFFFFF"/>
            <w:noWrap/>
            <w:vAlign w:val="bottom"/>
            <w:hideMark/>
          </w:tcPr>
          <w:p w14:paraId="4F6BCDED" w14:textId="2BE36D97" w:rsidR="003942DF" w:rsidRPr="00F24A76" w:rsidRDefault="003942DF" w:rsidP="003942DF">
            <w:pPr>
              <w:pStyle w:val="NoSpacing"/>
            </w:pPr>
            <w:r w:rsidRPr="00F24A76">
              <w:t>(1.7,2.3)</w:t>
            </w:r>
          </w:p>
        </w:tc>
        <w:tc>
          <w:tcPr>
            <w:tcW w:w="181" w:type="pct"/>
            <w:tcBorders>
              <w:top w:val="nil"/>
              <w:left w:val="nil"/>
              <w:bottom w:val="nil"/>
              <w:right w:val="nil"/>
            </w:tcBorders>
            <w:shd w:val="clear" w:color="000000" w:fill="FFFFFF"/>
            <w:noWrap/>
            <w:vAlign w:val="bottom"/>
            <w:hideMark/>
          </w:tcPr>
          <w:p w14:paraId="75C7EB9D" w14:textId="630719E5" w:rsidR="003942DF" w:rsidRPr="00F24A76" w:rsidRDefault="003942DF" w:rsidP="003942DF">
            <w:pPr>
              <w:pStyle w:val="NoSpacing"/>
              <w:jc w:val="right"/>
            </w:pPr>
            <w:r w:rsidRPr="00F24A76">
              <w:t>1.9</w:t>
            </w:r>
          </w:p>
        </w:tc>
        <w:tc>
          <w:tcPr>
            <w:tcW w:w="314" w:type="pct"/>
            <w:tcBorders>
              <w:top w:val="nil"/>
              <w:left w:val="nil"/>
              <w:bottom w:val="nil"/>
              <w:right w:val="nil"/>
            </w:tcBorders>
            <w:shd w:val="clear" w:color="000000" w:fill="FFFFFF"/>
            <w:noWrap/>
            <w:vAlign w:val="bottom"/>
            <w:hideMark/>
          </w:tcPr>
          <w:p w14:paraId="11A6E32B" w14:textId="45572BC6" w:rsidR="003942DF" w:rsidRPr="00F24A76" w:rsidRDefault="003942DF" w:rsidP="003942DF">
            <w:pPr>
              <w:pStyle w:val="NoSpacing"/>
            </w:pPr>
            <w:r w:rsidRPr="00F24A76">
              <w:t>(1.6,2.3)</w:t>
            </w:r>
          </w:p>
        </w:tc>
        <w:tc>
          <w:tcPr>
            <w:tcW w:w="219" w:type="pct"/>
            <w:tcBorders>
              <w:top w:val="nil"/>
              <w:left w:val="nil"/>
              <w:bottom w:val="nil"/>
              <w:right w:val="nil"/>
            </w:tcBorders>
            <w:shd w:val="clear" w:color="000000" w:fill="FFFFFF"/>
            <w:noWrap/>
            <w:vAlign w:val="bottom"/>
            <w:hideMark/>
          </w:tcPr>
          <w:p w14:paraId="4A65A922" w14:textId="5BBC8FF4" w:rsidR="003942DF" w:rsidRPr="00F24A76" w:rsidRDefault="003942DF" w:rsidP="003942DF">
            <w:pPr>
              <w:pStyle w:val="NoSpacing"/>
              <w:jc w:val="center"/>
              <w:rPr>
                <w:i/>
              </w:rPr>
            </w:pPr>
            <w:r w:rsidRPr="002221EB">
              <w:rPr>
                <w:i/>
              </w:rPr>
              <w:t>0.04</w:t>
            </w:r>
          </w:p>
        </w:tc>
        <w:tc>
          <w:tcPr>
            <w:tcW w:w="184" w:type="pct"/>
            <w:tcBorders>
              <w:top w:val="nil"/>
              <w:left w:val="nil"/>
              <w:bottom w:val="nil"/>
              <w:right w:val="nil"/>
            </w:tcBorders>
            <w:shd w:val="clear" w:color="000000" w:fill="FFFFFF"/>
            <w:noWrap/>
            <w:vAlign w:val="bottom"/>
            <w:hideMark/>
          </w:tcPr>
          <w:p w14:paraId="2B5D8A7B" w14:textId="24DFA33B" w:rsidR="003942DF" w:rsidRPr="00F24A76" w:rsidRDefault="003942DF" w:rsidP="003942DF">
            <w:pPr>
              <w:pStyle w:val="NoSpacing"/>
              <w:jc w:val="right"/>
            </w:pPr>
            <w:r w:rsidRPr="00F24A76">
              <w:t>2.3</w:t>
            </w:r>
          </w:p>
        </w:tc>
        <w:tc>
          <w:tcPr>
            <w:tcW w:w="315" w:type="pct"/>
            <w:tcBorders>
              <w:top w:val="nil"/>
              <w:left w:val="nil"/>
              <w:bottom w:val="nil"/>
              <w:right w:val="nil"/>
            </w:tcBorders>
            <w:shd w:val="clear" w:color="000000" w:fill="FFFFFF"/>
            <w:noWrap/>
            <w:vAlign w:val="bottom"/>
            <w:hideMark/>
          </w:tcPr>
          <w:p w14:paraId="3E96535F" w14:textId="536C56C9" w:rsidR="003942DF" w:rsidRPr="00F24A76" w:rsidRDefault="003942DF" w:rsidP="003942DF">
            <w:pPr>
              <w:pStyle w:val="NoSpacing"/>
            </w:pPr>
            <w:r w:rsidRPr="00F24A76">
              <w:t>(2.0,2.7)</w:t>
            </w:r>
          </w:p>
        </w:tc>
        <w:tc>
          <w:tcPr>
            <w:tcW w:w="181" w:type="pct"/>
            <w:tcBorders>
              <w:top w:val="nil"/>
              <w:left w:val="nil"/>
              <w:bottom w:val="nil"/>
              <w:right w:val="nil"/>
            </w:tcBorders>
            <w:shd w:val="clear" w:color="000000" w:fill="FFFFFF"/>
            <w:noWrap/>
            <w:vAlign w:val="bottom"/>
            <w:hideMark/>
          </w:tcPr>
          <w:p w14:paraId="28093051" w14:textId="2A40A30D" w:rsidR="003942DF" w:rsidRPr="00F24A76" w:rsidRDefault="003942DF" w:rsidP="003942DF">
            <w:pPr>
              <w:pStyle w:val="NoSpacing"/>
              <w:jc w:val="right"/>
            </w:pPr>
            <w:r w:rsidRPr="00F24A76">
              <w:t>2.1</w:t>
            </w:r>
          </w:p>
        </w:tc>
        <w:tc>
          <w:tcPr>
            <w:tcW w:w="314" w:type="pct"/>
            <w:tcBorders>
              <w:top w:val="nil"/>
              <w:left w:val="nil"/>
              <w:bottom w:val="nil"/>
              <w:right w:val="nil"/>
            </w:tcBorders>
            <w:shd w:val="clear" w:color="000000" w:fill="FFFFFF"/>
            <w:noWrap/>
            <w:vAlign w:val="bottom"/>
            <w:hideMark/>
          </w:tcPr>
          <w:p w14:paraId="038F4DE0" w14:textId="641795FA" w:rsidR="003942DF" w:rsidRPr="00F24A76" w:rsidRDefault="003942DF" w:rsidP="003942DF">
            <w:pPr>
              <w:pStyle w:val="NoSpacing"/>
            </w:pPr>
            <w:r w:rsidRPr="00F24A76">
              <w:t>(1.9,2.5)</w:t>
            </w:r>
          </w:p>
        </w:tc>
        <w:tc>
          <w:tcPr>
            <w:tcW w:w="272" w:type="pct"/>
            <w:tcBorders>
              <w:top w:val="nil"/>
              <w:left w:val="nil"/>
              <w:bottom w:val="nil"/>
              <w:right w:val="nil"/>
            </w:tcBorders>
            <w:shd w:val="clear" w:color="000000" w:fill="FFFFFF"/>
            <w:noWrap/>
            <w:vAlign w:val="bottom"/>
            <w:hideMark/>
          </w:tcPr>
          <w:p w14:paraId="2BAB3190" w14:textId="75997B9D" w:rsidR="003942DF" w:rsidRPr="00F24A76" w:rsidRDefault="003942DF" w:rsidP="003942DF">
            <w:pPr>
              <w:pStyle w:val="NoSpacing"/>
              <w:jc w:val="center"/>
              <w:rPr>
                <w:i/>
              </w:rPr>
            </w:pPr>
            <w:r w:rsidRPr="002221EB">
              <w:rPr>
                <w:i/>
              </w:rPr>
              <w:t>0.051</w:t>
            </w:r>
          </w:p>
        </w:tc>
        <w:tc>
          <w:tcPr>
            <w:tcW w:w="183" w:type="pct"/>
            <w:tcBorders>
              <w:top w:val="nil"/>
              <w:left w:val="nil"/>
              <w:bottom w:val="nil"/>
              <w:right w:val="nil"/>
            </w:tcBorders>
            <w:shd w:val="clear" w:color="000000" w:fill="FFFFFF"/>
            <w:noWrap/>
            <w:vAlign w:val="bottom"/>
            <w:hideMark/>
          </w:tcPr>
          <w:p w14:paraId="4E7C38F8" w14:textId="7F0F6103" w:rsidR="003942DF" w:rsidRPr="00F24A76" w:rsidRDefault="003942DF" w:rsidP="003942DF">
            <w:pPr>
              <w:pStyle w:val="NoSpacing"/>
              <w:jc w:val="right"/>
            </w:pPr>
            <w:r w:rsidRPr="00F24A76">
              <w:t>1.8</w:t>
            </w:r>
          </w:p>
        </w:tc>
        <w:tc>
          <w:tcPr>
            <w:tcW w:w="314" w:type="pct"/>
            <w:tcBorders>
              <w:top w:val="nil"/>
              <w:left w:val="nil"/>
              <w:bottom w:val="nil"/>
              <w:right w:val="nil"/>
            </w:tcBorders>
            <w:shd w:val="clear" w:color="000000" w:fill="FFFFFF"/>
            <w:noWrap/>
            <w:vAlign w:val="bottom"/>
            <w:hideMark/>
          </w:tcPr>
          <w:p w14:paraId="0EA25F9C" w14:textId="7656E275" w:rsidR="003942DF" w:rsidRPr="00F24A76" w:rsidRDefault="003942DF" w:rsidP="003942DF">
            <w:pPr>
              <w:pStyle w:val="NoSpacing"/>
            </w:pPr>
            <w:r w:rsidRPr="00F24A76">
              <w:t>(1.6,2.1)</w:t>
            </w:r>
          </w:p>
        </w:tc>
        <w:tc>
          <w:tcPr>
            <w:tcW w:w="182" w:type="pct"/>
            <w:tcBorders>
              <w:top w:val="nil"/>
              <w:left w:val="nil"/>
              <w:bottom w:val="nil"/>
              <w:right w:val="nil"/>
            </w:tcBorders>
            <w:shd w:val="clear" w:color="000000" w:fill="FFFFFF"/>
            <w:noWrap/>
            <w:vAlign w:val="bottom"/>
            <w:hideMark/>
          </w:tcPr>
          <w:p w14:paraId="063A8B2A" w14:textId="06F27972" w:rsidR="003942DF" w:rsidRPr="00F24A76" w:rsidRDefault="003942DF" w:rsidP="003942DF">
            <w:pPr>
              <w:pStyle w:val="NoSpacing"/>
              <w:jc w:val="right"/>
            </w:pPr>
            <w:r w:rsidRPr="00F24A76">
              <w:t>1.8</w:t>
            </w:r>
          </w:p>
        </w:tc>
        <w:tc>
          <w:tcPr>
            <w:tcW w:w="314" w:type="pct"/>
            <w:tcBorders>
              <w:top w:val="nil"/>
              <w:left w:val="nil"/>
              <w:bottom w:val="nil"/>
              <w:right w:val="nil"/>
            </w:tcBorders>
            <w:shd w:val="clear" w:color="000000" w:fill="FFFFFF"/>
            <w:noWrap/>
            <w:vAlign w:val="bottom"/>
            <w:hideMark/>
          </w:tcPr>
          <w:p w14:paraId="0EF9732C" w14:textId="51FC54CC" w:rsidR="003942DF" w:rsidRPr="00F24A76" w:rsidRDefault="003942DF" w:rsidP="003942DF">
            <w:pPr>
              <w:pStyle w:val="NoSpacing"/>
            </w:pPr>
            <w:r w:rsidRPr="00F24A76">
              <w:t>(1.5,2.2)</w:t>
            </w:r>
          </w:p>
        </w:tc>
        <w:tc>
          <w:tcPr>
            <w:tcW w:w="178" w:type="pct"/>
            <w:tcBorders>
              <w:top w:val="nil"/>
              <w:left w:val="nil"/>
              <w:bottom w:val="nil"/>
              <w:right w:val="nil"/>
            </w:tcBorders>
            <w:shd w:val="clear" w:color="000000" w:fill="FFFFFF"/>
            <w:noWrap/>
            <w:vAlign w:val="bottom"/>
            <w:hideMark/>
          </w:tcPr>
          <w:p w14:paraId="12C41935" w14:textId="3F3212EF" w:rsidR="003942DF" w:rsidRPr="00F24A76" w:rsidRDefault="003942DF" w:rsidP="003942DF">
            <w:pPr>
              <w:pStyle w:val="NoSpacing"/>
              <w:jc w:val="center"/>
              <w:rPr>
                <w:i/>
              </w:rPr>
            </w:pPr>
            <w:r>
              <w:rPr>
                <w:i/>
              </w:rPr>
              <w:t>-</w:t>
            </w:r>
          </w:p>
        </w:tc>
      </w:tr>
      <w:tr w:rsidR="003942DF" w:rsidRPr="00F24A76" w14:paraId="157E9241" w14:textId="77777777" w:rsidTr="003942DF">
        <w:trPr>
          <w:trHeight w:val="18"/>
        </w:trPr>
        <w:tc>
          <w:tcPr>
            <w:tcW w:w="1281" w:type="pct"/>
            <w:tcBorders>
              <w:top w:val="nil"/>
              <w:left w:val="nil"/>
              <w:bottom w:val="nil"/>
              <w:right w:val="nil"/>
            </w:tcBorders>
            <w:shd w:val="clear" w:color="000000" w:fill="FFFFFF"/>
            <w:noWrap/>
            <w:vAlign w:val="bottom"/>
          </w:tcPr>
          <w:p w14:paraId="61ABED0B" w14:textId="77777777" w:rsidR="003942DF" w:rsidRPr="00F24A76" w:rsidRDefault="003942DF" w:rsidP="003942DF">
            <w:pPr>
              <w:pStyle w:val="NoSpacing"/>
            </w:pPr>
          </w:p>
        </w:tc>
        <w:tc>
          <w:tcPr>
            <w:tcW w:w="69" w:type="pct"/>
            <w:tcBorders>
              <w:top w:val="nil"/>
              <w:left w:val="nil"/>
              <w:bottom w:val="nil"/>
              <w:right w:val="nil"/>
            </w:tcBorders>
            <w:shd w:val="clear" w:color="000000" w:fill="FFFFFF"/>
            <w:noWrap/>
            <w:vAlign w:val="bottom"/>
          </w:tcPr>
          <w:p w14:paraId="1BB1A979"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09BF3EB5"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08D55EA1"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7C9BF4CA"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060AF354"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6D25A06D"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248A1FC8"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61F20A54"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1D832E15"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4C8B8EE1"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20F530DF"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0A102E86"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29D57AB6"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7DD15C26"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3C91B4F"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35298921" w14:textId="77777777" w:rsidR="003942DF" w:rsidRPr="00F24A76" w:rsidRDefault="003942DF" w:rsidP="003942DF">
            <w:pPr>
              <w:pStyle w:val="NoSpacing"/>
              <w:jc w:val="center"/>
              <w:rPr>
                <w:i/>
              </w:rPr>
            </w:pPr>
          </w:p>
        </w:tc>
      </w:tr>
      <w:tr w:rsidR="003942DF" w:rsidRPr="00F24A76" w14:paraId="6A0B24B3" w14:textId="77777777" w:rsidTr="003942DF">
        <w:trPr>
          <w:trHeight w:val="18"/>
        </w:trPr>
        <w:tc>
          <w:tcPr>
            <w:tcW w:w="1281" w:type="pct"/>
            <w:tcBorders>
              <w:top w:val="nil"/>
              <w:left w:val="nil"/>
              <w:bottom w:val="nil"/>
              <w:right w:val="nil"/>
            </w:tcBorders>
            <w:shd w:val="clear" w:color="000000" w:fill="FFFFFF"/>
            <w:noWrap/>
            <w:vAlign w:val="bottom"/>
          </w:tcPr>
          <w:p w14:paraId="59B89766" w14:textId="4EAC6166" w:rsidR="003942DF" w:rsidRPr="00F24A76" w:rsidRDefault="003942DF" w:rsidP="003942DF">
            <w:pPr>
              <w:pStyle w:val="NoSpacing"/>
              <w:rPr>
                <w:b/>
              </w:rPr>
            </w:pPr>
            <w:r w:rsidRPr="00F24A76">
              <w:rPr>
                <w:b/>
              </w:rPr>
              <w:t xml:space="preserve">Vascular age (Distensibility) </w:t>
            </w:r>
          </w:p>
        </w:tc>
        <w:tc>
          <w:tcPr>
            <w:tcW w:w="69" w:type="pct"/>
            <w:tcBorders>
              <w:top w:val="nil"/>
              <w:left w:val="nil"/>
              <w:bottom w:val="nil"/>
              <w:right w:val="nil"/>
            </w:tcBorders>
            <w:shd w:val="clear" w:color="000000" w:fill="FFFFFF"/>
            <w:noWrap/>
            <w:vAlign w:val="bottom"/>
          </w:tcPr>
          <w:p w14:paraId="1995070A"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053BBC17"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5FAB6D55"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4E8E51CF"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44E55CAC"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2E211099"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527B14CF"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56DA2CC7"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0AF4B77F"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9303782"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79CE7527"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15C3B72D"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1057082D"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75E1689E"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3777BC8"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79D48BFB" w14:textId="77777777" w:rsidR="003942DF" w:rsidRPr="00F24A76" w:rsidRDefault="003942DF" w:rsidP="003942DF">
            <w:pPr>
              <w:pStyle w:val="NoSpacing"/>
              <w:jc w:val="center"/>
              <w:rPr>
                <w:i/>
              </w:rPr>
            </w:pPr>
          </w:p>
        </w:tc>
      </w:tr>
      <w:tr w:rsidR="003942DF" w:rsidRPr="00F24A76" w14:paraId="585CE99F" w14:textId="77777777" w:rsidTr="003942DF">
        <w:trPr>
          <w:trHeight w:val="209"/>
        </w:trPr>
        <w:tc>
          <w:tcPr>
            <w:tcW w:w="1281" w:type="pct"/>
            <w:tcBorders>
              <w:top w:val="nil"/>
              <w:left w:val="nil"/>
              <w:bottom w:val="nil"/>
              <w:right w:val="nil"/>
            </w:tcBorders>
            <w:shd w:val="clear" w:color="000000" w:fill="FFFFFF"/>
            <w:noWrap/>
            <w:vAlign w:val="bottom"/>
            <w:hideMark/>
          </w:tcPr>
          <w:p w14:paraId="2C3363AF" w14:textId="0E3E19E9" w:rsidR="003942DF" w:rsidRPr="00F24A76" w:rsidRDefault="003942DF" w:rsidP="003942DF">
            <w:pPr>
              <w:pStyle w:val="NoSpacing"/>
            </w:pPr>
            <w:r w:rsidRPr="00F24A76">
              <w:t>Ascending</w:t>
            </w:r>
          </w:p>
        </w:tc>
        <w:tc>
          <w:tcPr>
            <w:tcW w:w="69" w:type="pct"/>
            <w:tcBorders>
              <w:top w:val="nil"/>
              <w:left w:val="nil"/>
              <w:bottom w:val="nil"/>
              <w:right w:val="nil"/>
            </w:tcBorders>
            <w:shd w:val="clear" w:color="000000" w:fill="FFFFFF"/>
            <w:noWrap/>
            <w:vAlign w:val="bottom"/>
            <w:hideMark/>
          </w:tcPr>
          <w:p w14:paraId="4A83FA27"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4420923E" w14:textId="1283A81E" w:rsidR="003942DF" w:rsidRPr="00F24A76" w:rsidRDefault="003942DF" w:rsidP="003942DF">
            <w:pPr>
              <w:pStyle w:val="NoSpacing"/>
              <w:jc w:val="right"/>
            </w:pPr>
            <w:r w:rsidRPr="00F24A76">
              <w:t>39.3</w:t>
            </w:r>
          </w:p>
        </w:tc>
        <w:tc>
          <w:tcPr>
            <w:tcW w:w="315" w:type="pct"/>
            <w:tcBorders>
              <w:top w:val="nil"/>
              <w:left w:val="nil"/>
              <w:bottom w:val="nil"/>
              <w:right w:val="nil"/>
            </w:tcBorders>
            <w:shd w:val="clear" w:color="000000" w:fill="FFFFFF"/>
            <w:noWrap/>
            <w:vAlign w:val="bottom"/>
            <w:hideMark/>
          </w:tcPr>
          <w:p w14:paraId="309739D4" w14:textId="77777777" w:rsidR="003942DF" w:rsidRPr="00F24A76" w:rsidRDefault="003942DF" w:rsidP="003942DF">
            <w:pPr>
              <w:pStyle w:val="NoSpacing"/>
            </w:pPr>
            <w:r w:rsidRPr="00F24A76">
              <w:t>(28,53)</w:t>
            </w:r>
          </w:p>
        </w:tc>
        <w:tc>
          <w:tcPr>
            <w:tcW w:w="181" w:type="pct"/>
            <w:tcBorders>
              <w:top w:val="nil"/>
              <w:left w:val="nil"/>
              <w:bottom w:val="nil"/>
              <w:right w:val="nil"/>
            </w:tcBorders>
            <w:shd w:val="clear" w:color="000000" w:fill="FFFFFF"/>
            <w:noWrap/>
            <w:vAlign w:val="bottom"/>
            <w:hideMark/>
          </w:tcPr>
          <w:p w14:paraId="349243AC" w14:textId="010AA386" w:rsidR="003942DF" w:rsidRPr="00F24A76" w:rsidRDefault="003942DF" w:rsidP="003942DF">
            <w:pPr>
              <w:pStyle w:val="NoSpacing"/>
              <w:jc w:val="right"/>
            </w:pPr>
            <w:r w:rsidRPr="00F24A76">
              <w:t>39.9</w:t>
            </w:r>
          </w:p>
        </w:tc>
        <w:tc>
          <w:tcPr>
            <w:tcW w:w="314" w:type="pct"/>
            <w:tcBorders>
              <w:top w:val="nil"/>
              <w:left w:val="nil"/>
              <w:bottom w:val="nil"/>
              <w:right w:val="nil"/>
            </w:tcBorders>
            <w:shd w:val="clear" w:color="000000" w:fill="FFFFFF"/>
            <w:noWrap/>
            <w:vAlign w:val="bottom"/>
            <w:hideMark/>
          </w:tcPr>
          <w:p w14:paraId="6A3AE62A" w14:textId="77777777" w:rsidR="003942DF" w:rsidRPr="00F24A76" w:rsidRDefault="003942DF" w:rsidP="003942DF">
            <w:pPr>
              <w:pStyle w:val="NoSpacing"/>
            </w:pPr>
            <w:r w:rsidRPr="00F24A76">
              <w:t>(24,52)</w:t>
            </w:r>
          </w:p>
        </w:tc>
        <w:tc>
          <w:tcPr>
            <w:tcW w:w="219" w:type="pct"/>
            <w:tcBorders>
              <w:top w:val="nil"/>
              <w:left w:val="nil"/>
              <w:bottom w:val="nil"/>
              <w:right w:val="nil"/>
            </w:tcBorders>
            <w:shd w:val="clear" w:color="000000" w:fill="FFFFFF"/>
            <w:noWrap/>
            <w:vAlign w:val="bottom"/>
            <w:hideMark/>
          </w:tcPr>
          <w:p w14:paraId="709CBA70" w14:textId="440E5413" w:rsidR="003942DF" w:rsidRPr="00F24A76" w:rsidRDefault="003942DF"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hideMark/>
          </w:tcPr>
          <w:p w14:paraId="44B229CA" w14:textId="7304B5BE" w:rsidR="003942DF" w:rsidRPr="00F24A76" w:rsidRDefault="003942DF" w:rsidP="003942DF">
            <w:pPr>
              <w:pStyle w:val="NoSpacing"/>
              <w:jc w:val="right"/>
            </w:pPr>
            <w:r w:rsidRPr="00F24A76">
              <w:t>53.1</w:t>
            </w:r>
          </w:p>
        </w:tc>
        <w:tc>
          <w:tcPr>
            <w:tcW w:w="315" w:type="pct"/>
            <w:tcBorders>
              <w:top w:val="nil"/>
              <w:left w:val="nil"/>
              <w:bottom w:val="nil"/>
              <w:right w:val="nil"/>
            </w:tcBorders>
            <w:shd w:val="clear" w:color="000000" w:fill="FFFFFF"/>
            <w:noWrap/>
            <w:vAlign w:val="bottom"/>
            <w:hideMark/>
          </w:tcPr>
          <w:p w14:paraId="01F9F6F7" w14:textId="77777777" w:rsidR="003942DF" w:rsidRPr="00F24A76" w:rsidRDefault="003942DF" w:rsidP="003942DF">
            <w:pPr>
              <w:pStyle w:val="NoSpacing"/>
            </w:pPr>
            <w:r w:rsidRPr="00F24A76">
              <w:t>(43,63)</w:t>
            </w:r>
          </w:p>
        </w:tc>
        <w:tc>
          <w:tcPr>
            <w:tcW w:w="181" w:type="pct"/>
            <w:tcBorders>
              <w:top w:val="nil"/>
              <w:left w:val="nil"/>
              <w:bottom w:val="nil"/>
              <w:right w:val="nil"/>
            </w:tcBorders>
            <w:shd w:val="clear" w:color="000000" w:fill="FFFFFF"/>
            <w:noWrap/>
            <w:vAlign w:val="bottom"/>
            <w:hideMark/>
          </w:tcPr>
          <w:p w14:paraId="6D840744" w14:textId="709E40C9" w:rsidR="003942DF" w:rsidRPr="00F24A76" w:rsidRDefault="003942DF" w:rsidP="003942DF">
            <w:pPr>
              <w:pStyle w:val="NoSpacing"/>
              <w:jc w:val="right"/>
            </w:pPr>
            <w:r w:rsidRPr="00F24A76">
              <w:t>51.2</w:t>
            </w:r>
          </w:p>
        </w:tc>
        <w:tc>
          <w:tcPr>
            <w:tcW w:w="314" w:type="pct"/>
            <w:tcBorders>
              <w:top w:val="nil"/>
              <w:left w:val="nil"/>
              <w:bottom w:val="nil"/>
              <w:right w:val="nil"/>
            </w:tcBorders>
            <w:shd w:val="clear" w:color="000000" w:fill="FFFFFF"/>
            <w:noWrap/>
            <w:vAlign w:val="bottom"/>
            <w:hideMark/>
          </w:tcPr>
          <w:p w14:paraId="7D17BBFB" w14:textId="77777777" w:rsidR="003942DF" w:rsidRPr="00F24A76" w:rsidRDefault="003942DF" w:rsidP="003942DF">
            <w:pPr>
              <w:pStyle w:val="NoSpacing"/>
            </w:pPr>
            <w:r w:rsidRPr="00F24A76">
              <w:t>(37,59)</w:t>
            </w:r>
          </w:p>
        </w:tc>
        <w:tc>
          <w:tcPr>
            <w:tcW w:w="272" w:type="pct"/>
            <w:tcBorders>
              <w:top w:val="nil"/>
              <w:left w:val="nil"/>
              <w:bottom w:val="nil"/>
              <w:right w:val="nil"/>
            </w:tcBorders>
            <w:shd w:val="clear" w:color="000000" w:fill="FFFFFF"/>
            <w:noWrap/>
            <w:vAlign w:val="bottom"/>
            <w:hideMark/>
          </w:tcPr>
          <w:p w14:paraId="12937BC1" w14:textId="4EDDA6A9" w:rsidR="003942DF" w:rsidRPr="00F24A76" w:rsidRDefault="003942DF" w:rsidP="003942DF">
            <w:pPr>
              <w:pStyle w:val="NoSpacing"/>
              <w:jc w:val="center"/>
              <w:rPr>
                <w:i/>
              </w:rPr>
            </w:pPr>
            <w:r w:rsidRPr="002221EB">
              <w:rPr>
                <w:i/>
              </w:rPr>
              <w:t>0.04</w:t>
            </w:r>
          </w:p>
        </w:tc>
        <w:tc>
          <w:tcPr>
            <w:tcW w:w="183" w:type="pct"/>
            <w:tcBorders>
              <w:top w:val="nil"/>
              <w:left w:val="nil"/>
              <w:bottom w:val="nil"/>
              <w:right w:val="nil"/>
            </w:tcBorders>
            <w:shd w:val="clear" w:color="000000" w:fill="FFFFFF"/>
            <w:noWrap/>
            <w:vAlign w:val="bottom"/>
            <w:hideMark/>
          </w:tcPr>
          <w:p w14:paraId="6622E9BF" w14:textId="1EE3C32B" w:rsidR="003942DF" w:rsidRPr="00F24A76" w:rsidRDefault="003942DF" w:rsidP="003942DF">
            <w:pPr>
              <w:pStyle w:val="NoSpacing"/>
              <w:jc w:val="right"/>
            </w:pPr>
            <w:r w:rsidRPr="00F24A76">
              <w:t>32.0</w:t>
            </w:r>
          </w:p>
        </w:tc>
        <w:tc>
          <w:tcPr>
            <w:tcW w:w="314" w:type="pct"/>
            <w:tcBorders>
              <w:top w:val="nil"/>
              <w:left w:val="nil"/>
              <w:bottom w:val="nil"/>
              <w:right w:val="nil"/>
            </w:tcBorders>
            <w:shd w:val="clear" w:color="000000" w:fill="FFFFFF"/>
            <w:noWrap/>
            <w:vAlign w:val="bottom"/>
            <w:hideMark/>
          </w:tcPr>
          <w:p w14:paraId="646E2E69" w14:textId="77777777" w:rsidR="003942DF" w:rsidRPr="00F24A76" w:rsidRDefault="003942DF" w:rsidP="003942DF">
            <w:pPr>
              <w:pStyle w:val="NoSpacing"/>
            </w:pPr>
            <w:r w:rsidRPr="00F24A76">
              <w:t>(20,40)</w:t>
            </w:r>
          </w:p>
        </w:tc>
        <w:tc>
          <w:tcPr>
            <w:tcW w:w="182" w:type="pct"/>
            <w:tcBorders>
              <w:top w:val="nil"/>
              <w:left w:val="nil"/>
              <w:bottom w:val="nil"/>
              <w:right w:val="nil"/>
            </w:tcBorders>
            <w:shd w:val="clear" w:color="000000" w:fill="FFFFFF"/>
            <w:noWrap/>
            <w:vAlign w:val="bottom"/>
            <w:hideMark/>
          </w:tcPr>
          <w:p w14:paraId="71F74CCE" w14:textId="388B6016" w:rsidR="003942DF" w:rsidRPr="00F24A76" w:rsidRDefault="003942DF" w:rsidP="003942DF">
            <w:pPr>
              <w:pStyle w:val="NoSpacing"/>
              <w:jc w:val="right"/>
            </w:pPr>
            <w:r w:rsidRPr="00F24A76">
              <w:t>31.0</w:t>
            </w:r>
          </w:p>
        </w:tc>
        <w:tc>
          <w:tcPr>
            <w:tcW w:w="314" w:type="pct"/>
            <w:tcBorders>
              <w:top w:val="nil"/>
              <w:left w:val="nil"/>
              <w:bottom w:val="nil"/>
              <w:right w:val="nil"/>
            </w:tcBorders>
            <w:shd w:val="clear" w:color="000000" w:fill="FFFFFF"/>
            <w:noWrap/>
            <w:vAlign w:val="bottom"/>
            <w:hideMark/>
          </w:tcPr>
          <w:p w14:paraId="374A72CC" w14:textId="77777777" w:rsidR="003942DF" w:rsidRPr="00F24A76" w:rsidRDefault="003942DF" w:rsidP="003942DF">
            <w:pPr>
              <w:pStyle w:val="NoSpacing"/>
            </w:pPr>
            <w:r w:rsidRPr="00F24A76">
              <w:t>(19,44)</w:t>
            </w:r>
          </w:p>
        </w:tc>
        <w:tc>
          <w:tcPr>
            <w:tcW w:w="178" w:type="pct"/>
            <w:tcBorders>
              <w:top w:val="nil"/>
              <w:left w:val="nil"/>
              <w:bottom w:val="nil"/>
              <w:right w:val="nil"/>
            </w:tcBorders>
            <w:shd w:val="clear" w:color="000000" w:fill="FFFFFF"/>
            <w:noWrap/>
            <w:vAlign w:val="bottom"/>
            <w:hideMark/>
          </w:tcPr>
          <w:p w14:paraId="3E22CE9B" w14:textId="37068250" w:rsidR="003942DF" w:rsidRPr="00F24A76" w:rsidRDefault="003942DF" w:rsidP="003942DF">
            <w:pPr>
              <w:pStyle w:val="NoSpacing"/>
              <w:jc w:val="center"/>
              <w:rPr>
                <w:i/>
              </w:rPr>
            </w:pPr>
            <w:r>
              <w:rPr>
                <w:i/>
              </w:rPr>
              <w:t>-</w:t>
            </w:r>
          </w:p>
        </w:tc>
      </w:tr>
      <w:tr w:rsidR="003942DF" w:rsidRPr="00F24A76" w14:paraId="68C5FFB1" w14:textId="77777777" w:rsidTr="003942DF">
        <w:trPr>
          <w:trHeight w:val="18"/>
        </w:trPr>
        <w:tc>
          <w:tcPr>
            <w:tcW w:w="1281" w:type="pct"/>
            <w:tcBorders>
              <w:top w:val="nil"/>
              <w:left w:val="nil"/>
              <w:bottom w:val="nil"/>
              <w:right w:val="nil"/>
            </w:tcBorders>
            <w:shd w:val="clear" w:color="000000" w:fill="FFFFFF"/>
            <w:noWrap/>
            <w:vAlign w:val="bottom"/>
            <w:hideMark/>
          </w:tcPr>
          <w:p w14:paraId="7F7B6661" w14:textId="394C9A52" w:rsidR="003942DF" w:rsidRPr="00F24A76" w:rsidRDefault="003942DF" w:rsidP="003942DF">
            <w:pPr>
              <w:pStyle w:val="NoSpacing"/>
            </w:pPr>
            <w:r w:rsidRPr="00F24A76">
              <w:t>Proximal Descending</w:t>
            </w:r>
          </w:p>
        </w:tc>
        <w:tc>
          <w:tcPr>
            <w:tcW w:w="69" w:type="pct"/>
            <w:tcBorders>
              <w:top w:val="nil"/>
              <w:left w:val="nil"/>
              <w:bottom w:val="nil"/>
              <w:right w:val="nil"/>
            </w:tcBorders>
            <w:shd w:val="clear" w:color="000000" w:fill="FFFFFF"/>
            <w:noWrap/>
            <w:vAlign w:val="bottom"/>
            <w:hideMark/>
          </w:tcPr>
          <w:p w14:paraId="3C138D7A"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55274CEC" w14:textId="75F56564" w:rsidR="003942DF" w:rsidRPr="00F24A76" w:rsidRDefault="003942DF" w:rsidP="003942DF">
            <w:pPr>
              <w:pStyle w:val="NoSpacing"/>
              <w:jc w:val="right"/>
            </w:pPr>
            <w:r w:rsidRPr="00F24A76">
              <w:t>40.0</w:t>
            </w:r>
          </w:p>
        </w:tc>
        <w:tc>
          <w:tcPr>
            <w:tcW w:w="315" w:type="pct"/>
            <w:tcBorders>
              <w:top w:val="nil"/>
              <w:left w:val="nil"/>
              <w:bottom w:val="nil"/>
              <w:right w:val="nil"/>
            </w:tcBorders>
            <w:shd w:val="clear" w:color="000000" w:fill="FFFFFF"/>
            <w:noWrap/>
            <w:vAlign w:val="bottom"/>
            <w:hideMark/>
          </w:tcPr>
          <w:p w14:paraId="5FBEDE23" w14:textId="77777777" w:rsidR="003942DF" w:rsidRPr="00F24A76" w:rsidRDefault="003942DF" w:rsidP="003942DF">
            <w:pPr>
              <w:pStyle w:val="NoSpacing"/>
            </w:pPr>
            <w:r w:rsidRPr="00F24A76">
              <w:t>(22,55)</w:t>
            </w:r>
          </w:p>
        </w:tc>
        <w:tc>
          <w:tcPr>
            <w:tcW w:w="181" w:type="pct"/>
            <w:tcBorders>
              <w:top w:val="nil"/>
              <w:left w:val="nil"/>
              <w:bottom w:val="nil"/>
              <w:right w:val="nil"/>
            </w:tcBorders>
            <w:shd w:val="clear" w:color="000000" w:fill="FFFFFF"/>
            <w:noWrap/>
            <w:vAlign w:val="bottom"/>
            <w:hideMark/>
          </w:tcPr>
          <w:p w14:paraId="385CCDD7" w14:textId="3EC6199A" w:rsidR="003942DF" w:rsidRPr="00F24A76" w:rsidRDefault="003942DF" w:rsidP="003942DF">
            <w:pPr>
              <w:pStyle w:val="NoSpacing"/>
              <w:jc w:val="right"/>
            </w:pPr>
            <w:r w:rsidRPr="00F24A76">
              <w:t>37.5</w:t>
            </w:r>
          </w:p>
        </w:tc>
        <w:tc>
          <w:tcPr>
            <w:tcW w:w="314" w:type="pct"/>
            <w:tcBorders>
              <w:top w:val="nil"/>
              <w:left w:val="nil"/>
              <w:bottom w:val="nil"/>
              <w:right w:val="nil"/>
            </w:tcBorders>
            <w:shd w:val="clear" w:color="000000" w:fill="FFFFFF"/>
            <w:noWrap/>
            <w:vAlign w:val="bottom"/>
            <w:hideMark/>
          </w:tcPr>
          <w:p w14:paraId="5B5184E0" w14:textId="7C17848E" w:rsidR="003942DF" w:rsidRPr="00F24A76" w:rsidRDefault="003942DF" w:rsidP="003942DF">
            <w:pPr>
              <w:pStyle w:val="NoSpacing"/>
            </w:pPr>
            <w:r w:rsidRPr="00F24A76">
              <w:t>(19,51)</w:t>
            </w:r>
          </w:p>
        </w:tc>
        <w:tc>
          <w:tcPr>
            <w:tcW w:w="219" w:type="pct"/>
            <w:tcBorders>
              <w:top w:val="nil"/>
              <w:left w:val="nil"/>
              <w:bottom w:val="nil"/>
              <w:right w:val="nil"/>
            </w:tcBorders>
            <w:shd w:val="clear" w:color="000000" w:fill="FFFFFF"/>
            <w:noWrap/>
            <w:vAlign w:val="bottom"/>
            <w:hideMark/>
          </w:tcPr>
          <w:p w14:paraId="6163620F" w14:textId="7205FA48" w:rsidR="003942DF" w:rsidRPr="00F24A76" w:rsidRDefault="003942DF" w:rsidP="003942DF">
            <w:pPr>
              <w:pStyle w:val="NoSpacing"/>
              <w:jc w:val="center"/>
              <w:rPr>
                <w:i/>
              </w:rPr>
            </w:pPr>
            <w:r w:rsidRPr="002221EB">
              <w:rPr>
                <w:i/>
              </w:rPr>
              <w:t>0.009</w:t>
            </w:r>
          </w:p>
        </w:tc>
        <w:tc>
          <w:tcPr>
            <w:tcW w:w="184" w:type="pct"/>
            <w:tcBorders>
              <w:top w:val="nil"/>
              <w:left w:val="nil"/>
              <w:bottom w:val="nil"/>
              <w:right w:val="nil"/>
            </w:tcBorders>
            <w:shd w:val="clear" w:color="000000" w:fill="FFFFFF"/>
            <w:noWrap/>
            <w:vAlign w:val="bottom"/>
            <w:hideMark/>
          </w:tcPr>
          <w:p w14:paraId="25A2A1E8" w14:textId="4F78E8C6" w:rsidR="003942DF" w:rsidRPr="00F24A76" w:rsidRDefault="003942DF" w:rsidP="003942DF">
            <w:pPr>
              <w:pStyle w:val="NoSpacing"/>
              <w:jc w:val="right"/>
            </w:pPr>
            <w:r w:rsidRPr="00F24A76">
              <w:t>53.4</w:t>
            </w:r>
          </w:p>
        </w:tc>
        <w:tc>
          <w:tcPr>
            <w:tcW w:w="315" w:type="pct"/>
            <w:tcBorders>
              <w:top w:val="nil"/>
              <w:left w:val="nil"/>
              <w:bottom w:val="nil"/>
              <w:right w:val="nil"/>
            </w:tcBorders>
            <w:shd w:val="clear" w:color="000000" w:fill="FFFFFF"/>
            <w:noWrap/>
            <w:vAlign w:val="bottom"/>
            <w:hideMark/>
          </w:tcPr>
          <w:p w14:paraId="6B29F761" w14:textId="64843C63" w:rsidR="003942DF" w:rsidRPr="00F24A76" w:rsidRDefault="003942DF" w:rsidP="003942DF">
            <w:pPr>
              <w:pStyle w:val="NoSpacing"/>
            </w:pPr>
            <w:r w:rsidRPr="00F24A76">
              <w:t>(34,63)</w:t>
            </w:r>
          </w:p>
        </w:tc>
        <w:tc>
          <w:tcPr>
            <w:tcW w:w="181" w:type="pct"/>
            <w:tcBorders>
              <w:top w:val="nil"/>
              <w:left w:val="nil"/>
              <w:bottom w:val="nil"/>
              <w:right w:val="nil"/>
            </w:tcBorders>
            <w:shd w:val="clear" w:color="000000" w:fill="FFFFFF"/>
            <w:noWrap/>
            <w:vAlign w:val="bottom"/>
            <w:hideMark/>
          </w:tcPr>
          <w:p w14:paraId="4404239F" w14:textId="1214D3A2" w:rsidR="003942DF" w:rsidRPr="00F24A76" w:rsidRDefault="003942DF" w:rsidP="003942DF">
            <w:pPr>
              <w:pStyle w:val="NoSpacing"/>
              <w:jc w:val="right"/>
            </w:pPr>
            <w:r w:rsidRPr="00F24A76">
              <w:t>48.0</w:t>
            </w:r>
          </w:p>
        </w:tc>
        <w:tc>
          <w:tcPr>
            <w:tcW w:w="314" w:type="pct"/>
            <w:tcBorders>
              <w:top w:val="nil"/>
              <w:left w:val="nil"/>
              <w:bottom w:val="nil"/>
              <w:right w:val="nil"/>
            </w:tcBorders>
            <w:shd w:val="clear" w:color="000000" w:fill="FFFFFF"/>
            <w:noWrap/>
            <w:vAlign w:val="bottom"/>
            <w:hideMark/>
          </w:tcPr>
          <w:p w14:paraId="6DD76D71" w14:textId="2A090612" w:rsidR="003942DF" w:rsidRPr="00F24A76" w:rsidRDefault="003942DF" w:rsidP="003942DF">
            <w:pPr>
              <w:pStyle w:val="NoSpacing"/>
            </w:pPr>
            <w:r w:rsidRPr="00F24A76">
              <w:t>(35,59)</w:t>
            </w:r>
          </w:p>
        </w:tc>
        <w:tc>
          <w:tcPr>
            <w:tcW w:w="272" w:type="pct"/>
            <w:tcBorders>
              <w:top w:val="nil"/>
              <w:left w:val="nil"/>
              <w:bottom w:val="nil"/>
              <w:right w:val="nil"/>
            </w:tcBorders>
            <w:shd w:val="clear" w:color="000000" w:fill="FFFFFF"/>
            <w:noWrap/>
            <w:vAlign w:val="bottom"/>
            <w:hideMark/>
          </w:tcPr>
          <w:p w14:paraId="7C8E6A5A" w14:textId="0DDE0B76" w:rsidR="003942DF" w:rsidRPr="00F24A76" w:rsidRDefault="003942DF" w:rsidP="003942DF">
            <w:pPr>
              <w:pStyle w:val="NoSpacing"/>
              <w:jc w:val="center"/>
              <w:rPr>
                <w:i/>
              </w:rPr>
            </w:pPr>
            <w:r w:rsidRPr="002221EB">
              <w:rPr>
                <w:i/>
              </w:rPr>
              <w:t>0.02</w:t>
            </w:r>
          </w:p>
        </w:tc>
        <w:tc>
          <w:tcPr>
            <w:tcW w:w="183" w:type="pct"/>
            <w:tcBorders>
              <w:top w:val="nil"/>
              <w:left w:val="nil"/>
              <w:bottom w:val="nil"/>
              <w:right w:val="nil"/>
            </w:tcBorders>
            <w:shd w:val="clear" w:color="000000" w:fill="FFFFFF"/>
            <w:noWrap/>
            <w:vAlign w:val="bottom"/>
            <w:hideMark/>
          </w:tcPr>
          <w:p w14:paraId="6A157A9B" w14:textId="102B50C3" w:rsidR="003942DF" w:rsidRPr="00F24A76" w:rsidRDefault="003942DF" w:rsidP="003942DF">
            <w:pPr>
              <w:pStyle w:val="NoSpacing"/>
              <w:jc w:val="right"/>
            </w:pPr>
            <w:r w:rsidRPr="00F24A76">
              <w:t>28.1</w:t>
            </w:r>
          </w:p>
        </w:tc>
        <w:tc>
          <w:tcPr>
            <w:tcW w:w="314" w:type="pct"/>
            <w:tcBorders>
              <w:top w:val="nil"/>
              <w:left w:val="nil"/>
              <w:bottom w:val="nil"/>
              <w:right w:val="nil"/>
            </w:tcBorders>
            <w:shd w:val="clear" w:color="000000" w:fill="FFFFFF"/>
            <w:noWrap/>
            <w:vAlign w:val="bottom"/>
            <w:hideMark/>
          </w:tcPr>
          <w:p w14:paraId="550D8BE9" w14:textId="77777777" w:rsidR="003942DF" w:rsidRPr="00F24A76" w:rsidRDefault="003942DF" w:rsidP="003942DF">
            <w:pPr>
              <w:pStyle w:val="NoSpacing"/>
            </w:pPr>
            <w:r w:rsidRPr="00F24A76">
              <w:t>(10,44)</w:t>
            </w:r>
          </w:p>
        </w:tc>
        <w:tc>
          <w:tcPr>
            <w:tcW w:w="182" w:type="pct"/>
            <w:tcBorders>
              <w:top w:val="nil"/>
              <w:left w:val="nil"/>
              <w:bottom w:val="nil"/>
              <w:right w:val="nil"/>
            </w:tcBorders>
            <w:shd w:val="clear" w:color="000000" w:fill="FFFFFF"/>
            <w:noWrap/>
            <w:vAlign w:val="bottom"/>
            <w:hideMark/>
          </w:tcPr>
          <w:p w14:paraId="03BD504D" w14:textId="0DEA9F76" w:rsidR="003942DF" w:rsidRPr="00F24A76" w:rsidRDefault="003942DF" w:rsidP="003942DF">
            <w:pPr>
              <w:pStyle w:val="NoSpacing"/>
              <w:jc w:val="right"/>
            </w:pPr>
            <w:r w:rsidRPr="00F24A76">
              <w:rPr>
                <w:color w:val="000000" w:themeColor="text1"/>
              </w:rPr>
              <w:t>28</w:t>
            </w:r>
            <w:r w:rsidRPr="00F24A76">
              <w:t>.6</w:t>
            </w:r>
          </w:p>
        </w:tc>
        <w:tc>
          <w:tcPr>
            <w:tcW w:w="314" w:type="pct"/>
            <w:tcBorders>
              <w:top w:val="nil"/>
              <w:left w:val="nil"/>
              <w:bottom w:val="nil"/>
              <w:right w:val="nil"/>
            </w:tcBorders>
            <w:shd w:val="clear" w:color="000000" w:fill="FFFFFF"/>
            <w:noWrap/>
            <w:vAlign w:val="bottom"/>
            <w:hideMark/>
          </w:tcPr>
          <w:p w14:paraId="10BE479B" w14:textId="77777777" w:rsidR="003942DF" w:rsidRPr="00F24A76" w:rsidRDefault="003942DF" w:rsidP="003942DF">
            <w:pPr>
              <w:pStyle w:val="NoSpacing"/>
            </w:pPr>
            <w:r w:rsidRPr="00F24A76">
              <w:t>(12,42)</w:t>
            </w:r>
          </w:p>
        </w:tc>
        <w:tc>
          <w:tcPr>
            <w:tcW w:w="178" w:type="pct"/>
            <w:tcBorders>
              <w:top w:val="nil"/>
              <w:left w:val="nil"/>
              <w:bottom w:val="nil"/>
              <w:right w:val="nil"/>
            </w:tcBorders>
            <w:shd w:val="clear" w:color="000000" w:fill="FFFFFF"/>
            <w:noWrap/>
            <w:vAlign w:val="bottom"/>
            <w:hideMark/>
          </w:tcPr>
          <w:p w14:paraId="6ECDD089" w14:textId="212C5552" w:rsidR="003942DF" w:rsidRPr="00F24A76" w:rsidRDefault="003942DF" w:rsidP="003942DF">
            <w:pPr>
              <w:pStyle w:val="NoSpacing"/>
              <w:jc w:val="center"/>
              <w:rPr>
                <w:i/>
              </w:rPr>
            </w:pPr>
            <w:r>
              <w:rPr>
                <w:i/>
              </w:rPr>
              <w:t>-</w:t>
            </w:r>
          </w:p>
        </w:tc>
      </w:tr>
      <w:tr w:rsidR="003942DF" w:rsidRPr="00F24A76" w14:paraId="1A613F45" w14:textId="77777777" w:rsidTr="003942DF">
        <w:trPr>
          <w:trHeight w:val="18"/>
        </w:trPr>
        <w:tc>
          <w:tcPr>
            <w:tcW w:w="1281" w:type="pct"/>
            <w:tcBorders>
              <w:top w:val="nil"/>
              <w:left w:val="nil"/>
              <w:bottom w:val="nil"/>
              <w:right w:val="nil"/>
            </w:tcBorders>
            <w:shd w:val="clear" w:color="000000" w:fill="FFFFFF"/>
            <w:noWrap/>
            <w:vAlign w:val="bottom"/>
            <w:hideMark/>
          </w:tcPr>
          <w:p w14:paraId="0EEF271C" w14:textId="1F49D36C" w:rsidR="003942DF" w:rsidRPr="00F24A76" w:rsidRDefault="003942DF" w:rsidP="003942DF">
            <w:pPr>
              <w:pStyle w:val="NoSpacing"/>
            </w:pPr>
            <w:r w:rsidRPr="00F24A76">
              <w:t>Diaphragmatic Descending</w:t>
            </w:r>
          </w:p>
        </w:tc>
        <w:tc>
          <w:tcPr>
            <w:tcW w:w="69" w:type="pct"/>
            <w:tcBorders>
              <w:top w:val="nil"/>
              <w:left w:val="nil"/>
              <w:bottom w:val="nil"/>
              <w:right w:val="nil"/>
            </w:tcBorders>
            <w:shd w:val="clear" w:color="000000" w:fill="FFFFFF"/>
            <w:noWrap/>
            <w:vAlign w:val="bottom"/>
            <w:hideMark/>
          </w:tcPr>
          <w:p w14:paraId="07BC0FAD"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54B223A8" w14:textId="5A5C659B" w:rsidR="003942DF" w:rsidRPr="00F24A76" w:rsidRDefault="003942DF" w:rsidP="003942DF">
            <w:pPr>
              <w:pStyle w:val="NoSpacing"/>
              <w:jc w:val="right"/>
            </w:pPr>
            <w:r w:rsidRPr="00F24A76">
              <w:t>41.4</w:t>
            </w:r>
          </w:p>
        </w:tc>
        <w:tc>
          <w:tcPr>
            <w:tcW w:w="315" w:type="pct"/>
            <w:tcBorders>
              <w:top w:val="nil"/>
              <w:left w:val="nil"/>
              <w:bottom w:val="nil"/>
              <w:right w:val="nil"/>
            </w:tcBorders>
            <w:shd w:val="clear" w:color="000000" w:fill="FFFFFF"/>
            <w:noWrap/>
            <w:vAlign w:val="bottom"/>
            <w:hideMark/>
          </w:tcPr>
          <w:p w14:paraId="510ECCA1" w14:textId="77777777" w:rsidR="003942DF" w:rsidRPr="00F24A76" w:rsidRDefault="003942DF" w:rsidP="003942DF">
            <w:pPr>
              <w:pStyle w:val="NoSpacing"/>
            </w:pPr>
            <w:r w:rsidRPr="00F24A76">
              <w:t>(28,51)</w:t>
            </w:r>
          </w:p>
        </w:tc>
        <w:tc>
          <w:tcPr>
            <w:tcW w:w="181" w:type="pct"/>
            <w:tcBorders>
              <w:top w:val="nil"/>
              <w:left w:val="nil"/>
              <w:bottom w:val="nil"/>
              <w:right w:val="nil"/>
            </w:tcBorders>
            <w:shd w:val="clear" w:color="000000" w:fill="FFFFFF"/>
            <w:noWrap/>
            <w:vAlign w:val="bottom"/>
            <w:hideMark/>
          </w:tcPr>
          <w:p w14:paraId="3FCD2C35" w14:textId="2030E5CE" w:rsidR="003942DF" w:rsidRPr="00F24A76" w:rsidRDefault="003942DF" w:rsidP="003942DF">
            <w:pPr>
              <w:pStyle w:val="NoSpacing"/>
              <w:jc w:val="right"/>
            </w:pPr>
            <w:r w:rsidRPr="00F24A76">
              <w:t>36.4</w:t>
            </w:r>
          </w:p>
        </w:tc>
        <w:tc>
          <w:tcPr>
            <w:tcW w:w="314" w:type="pct"/>
            <w:tcBorders>
              <w:top w:val="nil"/>
              <w:left w:val="nil"/>
              <w:bottom w:val="nil"/>
              <w:right w:val="nil"/>
            </w:tcBorders>
            <w:shd w:val="clear" w:color="000000" w:fill="FFFFFF"/>
            <w:noWrap/>
            <w:vAlign w:val="bottom"/>
            <w:hideMark/>
          </w:tcPr>
          <w:p w14:paraId="3D25C06D" w14:textId="77777777" w:rsidR="003942DF" w:rsidRPr="00F24A76" w:rsidRDefault="003942DF" w:rsidP="003942DF">
            <w:pPr>
              <w:pStyle w:val="NoSpacing"/>
            </w:pPr>
            <w:r w:rsidRPr="00F24A76">
              <w:t>(19,48)</w:t>
            </w:r>
          </w:p>
        </w:tc>
        <w:tc>
          <w:tcPr>
            <w:tcW w:w="219" w:type="pct"/>
            <w:tcBorders>
              <w:top w:val="nil"/>
              <w:left w:val="nil"/>
              <w:bottom w:val="nil"/>
              <w:right w:val="nil"/>
            </w:tcBorders>
            <w:shd w:val="clear" w:color="000000" w:fill="FFFFFF"/>
            <w:noWrap/>
            <w:vAlign w:val="bottom"/>
            <w:hideMark/>
          </w:tcPr>
          <w:p w14:paraId="6C53E0E6" w14:textId="6EB3E18C" w:rsidR="003942DF" w:rsidRPr="00F24A76" w:rsidRDefault="003942DF" w:rsidP="003942DF">
            <w:pPr>
              <w:pStyle w:val="NoSpacing"/>
              <w:jc w:val="center"/>
              <w:rPr>
                <w:i/>
              </w:rPr>
            </w:pPr>
            <w:r w:rsidRPr="002221EB">
              <w:rPr>
                <w:i/>
              </w:rPr>
              <w:t>0.002</w:t>
            </w:r>
          </w:p>
        </w:tc>
        <w:tc>
          <w:tcPr>
            <w:tcW w:w="184" w:type="pct"/>
            <w:tcBorders>
              <w:top w:val="nil"/>
              <w:left w:val="nil"/>
              <w:bottom w:val="nil"/>
              <w:right w:val="nil"/>
            </w:tcBorders>
            <w:shd w:val="clear" w:color="000000" w:fill="FFFFFF"/>
            <w:noWrap/>
            <w:vAlign w:val="bottom"/>
            <w:hideMark/>
          </w:tcPr>
          <w:p w14:paraId="1EB4FD06" w14:textId="3F224603" w:rsidR="003942DF" w:rsidRPr="00F24A76" w:rsidRDefault="003942DF" w:rsidP="003942DF">
            <w:pPr>
              <w:pStyle w:val="NoSpacing"/>
              <w:jc w:val="right"/>
            </w:pPr>
            <w:r w:rsidRPr="00F24A76">
              <w:t>47.8</w:t>
            </w:r>
          </w:p>
        </w:tc>
        <w:tc>
          <w:tcPr>
            <w:tcW w:w="315" w:type="pct"/>
            <w:tcBorders>
              <w:top w:val="nil"/>
              <w:left w:val="nil"/>
              <w:bottom w:val="nil"/>
              <w:right w:val="nil"/>
            </w:tcBorders>
            <w:shd w:val="clear" w:color="000000" w:fill="FFFFFF"/>
            <w:noWrap/>
            <w:vAlign w:val="bottom"/>
            <w:hideMark/>
          </w:tcPr>
          <w:p w14:paraId="205BA174" w14:textId="7F96C8A4" w:rsidR="003942DF" w:rsidRPr="00F24A76" w:rsidRDefault="003942DF" w:rsidP="003942DF">
            <w:pPr>
              <w:pStyle w:val="NoSpacing"/>
            </w:pPr>
            <w:r w:rsidRPr="00F24A76">
              <w:t>(41,57)</w:t>
            </w:r>
          </w:p>
        </w:tc>
        <w:tc>
          <w:tcPr>
            <w:tcW w:w="181" w:type="pct"/>
            <w:tcBorders>
              <w:top w:val="nil"/>
              <w:left w:val="nil"/>
              <w:bottom w:val="nil"/>
              <w:right w:val="nil"/>
            </w:tcBorders>
            <w:shd w:val="clear" w:color="000000" w:fill="FFFFFF"/>
            <w:noWrap/>
            <w:vAlign w:val="bottom"/>
            <w:hideMark/>
          </w:tcPr>
          <w:p w14:paraId="764DA38C" w14:textId="2B852473" w:rsidR="003942DF" w:rsidRPr="00F24A76" w:rsidRDefault="003942DF" w:rsidP="003942DF">
            <w:pPr>
              <w:pStyle w:val="NoSpacing"/>
              <w:jc w:val="right"/>
            </w:pPr>
            <w:r w:rsidRPr="00F24A76">
              <w:t>44.6</w:t>
            </w:r>
          </w:p>
        </w:tc>
        <w:tc>
          <w:tcPr>
            <w:tcW w:w="314" w:type="pct"/>
            <w:tcBorders>
              <w:top w:val="nil"/>
              <w:left w:val="nil"/>
              <w:bottom w:val="nil"/>
              <w:right w:val="nil"/>
            </w:tcBorders>
            <w:shd w:val="clear" w:color="000000" w:fill="FFFFFF"/>
            <w:noWrap/>
            <w:vAlign w:val="bottom"/>
            <w:hideMark/>
          </w:tcPr>
          <w:p w14:paraId="1B882BD8" w14:textId="5E1D785E" w:rsidR="003942DF" w:rsidRPr="00F24A76" w:rsidRDefault="003942DF" w:rsidP="003942DF">
            <w:pPr>
              <w:pStyle w:val="NoSpacing"/>
            </w:pPr>
            <w:r w:rsidRPr="00F24A76">
              <w:t>(32,53)</w:t>
            </w:r>
          </w:p>
        </w:tc>
        <w:tc>
          <w:tcPr>
            <w:tcW w:w="272" w:type="pct"/>
            <w:tcBorders>
              <w:top w:val="nil"/>
              <w:left w:val="nil"/>
              <w:bottom w:val="nil"/>
              <w:right w:val="nil"/>
            </w:tcBorders>
            <w:shd w:val="clear" w:color="000000" w:fill="FFFFFF"/>
            <w:noWrap/>
            <w:vAlign w:val="bottom"/>
            <w:hideMark/>
          </w:tcPr>
          <w:p w14:paraId="5206CC38" w14:textId="7F479193" w:rsidR="003942DF" w:rsidRPr="00F24A76" w:rsidRDefault="003942DF" w:rsidP="003942DF">
            <w:pPr>
              <w:pStyle w:val="NoSpacing"/>
              <w:jc w:val="center"/>
              <w:rPr>
                <w:i/>
              </w:rPr>
            </w:pPr>
            <w:r w:rsidRPr="002221EB">
              <w:rPr>
                <w:i/>
              </w:rPr>
              <w:t>&lt;0.001</w:t>
            </w:r>
          </w:p>
        </w:tc>
        <w:tc>
          <w:tcPr>
            <w:tcW w:w="183" w:type="pct"/>
            <w:tcBorders>
              <w:top w:val="nil"/>
              <w:left w:val="nil"/>
              <w:bottom w:val="nil"/>
              <w:right w:val="nil"/>
            </w:tcBorders>
            <w:shd w:val="clear" w:color="000000" w:fill="FFFFFF"/>
            <w:noWrap/>
            <w:vAlign w:val="bottom"/>
            <w:hideMark/>
          </w:tcPr>
          <w:p w14:paraId="3864B515" w14:textId="71553234" w:rsidR="003942DF" w:rsidRPr="00F24A76" w:rsidRDefault="003942DF" w:rsidP="003942DF">
            <w:pPr>
              <w:pStyle w:val="NoSpacing"/>
              <w:jc w:val="right"/>
            </w:pPr>
            <w:r w:rsidRPr="00F24A76">
              <w:t>33.6</w:t>
            </w:r>
          </w:p>
        </w:tc>
        <w:tc>
          <w:tcPr>
            <w:tcW w:w="314" w:type="pct"/>
            <w:tcBorders>
              <w:top w:val="nil"/>
              <w:left w:val="nil"/>
              <w:bottom w:val="nil"/>
              <w:right w:val="nil"/>
            </w:tcBorders>
            <w:shd w:val="clear" w:color="000000" w:fill="FFFFFF"/>
            <w:noWrap/>
            <w:vAlign w:val="bottom"/>
            <w:hideMark/>
          </w:tcPr>
          <w:p w14:paraId="0A83CA23" w14:textId="77777777" w:rsidR="003942DF" w:rsidRPr="00F24A76" w:rsidRDefault="003942DF" w:rsidP="003942DF">
            <w:pPr>
              <w:pStyle w:val="NoSpacing"/>
            </w:pPr>
            <w:r w:rsidRPr="00F24A76">
              <w:t>(20,44)</w:t>
            </w:r>
          </w:p>
        </w:tc>
        <w:tc>
          <w:tcPr>
            <w:tcW w:w="182" w:type="pct"/>
            <w:tcBorders>
              <w:top w:val="nil"/>
              <w:left w:val="nil"/>
              <w:bottom w:val="nil"/>
              <w:right w:val="nil"/>
            </w:tcBorders>
            <w:shd w:val="clear" w:color="000000" w:fill="FFFFFF"/>
            <w:noWrap/>
            <w:vAlign w:val="bottom"/>
            <w:hideMark/>
          </w:tcPr>
          <w:p w14:paraId="7CEE5C94" w14:textId="284C0B1D" w:rsidR="003942DF" w:rsidRPr="00F24A76" w:rsidRDefault="003942DF" w:rsidP="003942DF">
            <w:pPr>
              <w:pStyle w:val="NoSpacing"/>
              <w:jc w:val="right"/>
            </w:pPr>
            <w:r w:rsidRPr="00F24A76">
              <w:t>31.8</w:t>
            </w:r>
          </w:p>
        </w:tc>
        <w:tc>
          <w:tcPr>
            <w:tcW w:w="314" w:type="pct"/>
            <w:tcBorders>
              <w:top w:val="nil"/>
              <w:left w:val="nil"/>
              <w:bottom w:val="nil"/>
              <w:right w:val="nil"/>
            </w:tcBorders>
            <w:shd w:val="clear" w:color="000000" w:fill="FFFFFF"/>
            <w:noWrap/>
            <w:vAlign w:val="bottom"/>
            <w:hideMark/>
          </w:tcPr>
          <w:p w14:paraId="5F629EFD" w14:textId="77777777" w:rsidR="003942DF" w:rsidRPr="00F24A76" w:rsidRDefault="003942DF" w:rsidP="003942DF">
            <w:pPr>
              <w:pStyle w:val="NoSpacing"/>
            </w:pPr>
            <w:r w:rsidRPr="00F24A76">
              <w:t>(12,41)</w:t>
            </w:r>
          </w:p>
        </w:tc>
        <w:tc>
          <w:tcPr>
            <w:tcW w:w="178" w:type="pct"/>
            <w:tcBorders>
              <w:top w:val="nil"/>
              <w:left w:val="nil"/>
              <w:bottom w:val="nil"/>
              <w:right w:val="nil"/>
            </w:tcBorders>
            <w:shd w:val="clear" w:color="000000" w:fill="FFFFFF"/>
            <w:noWrap/>
            <w:vAlign w:val="bottom"/>
            <w:hideMark/>
          </w:tcPr>
          <w:p w14:paraId="657A2819" w14:textId="5A7C660C" w:rsidR="003942DF" w:rsidRPr="00F24A76" w:rsidRDefault="003942DF" w:rsidP="003942DF">
            <w:pPr>
              <w:pStyle w:val="NoSpacing"/>
              <w:jc w:val="center"/>
              <w:rPr>
                <w:i/>
              </w:rPr>
            </w:pPr>
            <w:r>
              <w:rPr>
                <w:i/>
              </w:rPr>
              <w:t>-</w:t>
            </w:r>
          </w:p>
        </w:tc>
      </w:tr>
      <w:tr w:rsidR="003942DF" w:rsidRPr="00F24A76" w14:paraId="0EC6F0C8" w14:textId="77777777" w:rsidTr="003942DF">
        <w:trPr>
          <w:trHeight w:val="18"/>
        </w:trPr>
        <w:tc>
          <w:tcPr>
            <w:tcW w:w="1281" w:type="pct"/>
            <w:tcBorders>
              <w:top w:val="nil"/>
              <w:left w:val="nil"/>
              <w:bottom w:val="nil"/>
              <w:right w:val="nil"/>
            </w:tcBorders>
            <w:shd w:val="clear" w:color="000000" w:fill="FFFFFF"/>
            <w:noWrap/>
            <w:vAlign w:val="bottom"/>
          </w:tcPr>
          <w:p w14:paraId="3355324C" w14:textId="77777777" w:rsidR="003942DF" w:rsidRPr="00F24A76" w:rsidRDefault="003942DF" w:rsidP="003942DF">
            <w:pPr>
              <w:pStyle w:val="NoSpacing"/>
            </w:pPr>
          </w:p>
        </w:tc>
        <w:tc>
          <w:tcPr>
            <w:tcW w:w="69" w:type="pct"/>
            <w:tcBorders>
              <w:top w:val="nil"/>
              <w:left w:val="nil"/>
              <w:bottom w:val="nil"/>
              <w:right w:val="nil"/>
            </w:tcBorders>
            <w:shd w:val="clear" w:color="000000" w:fill="FFFFFF"/>
            <w:noWrap/>
            <w:vAlign w:val="bottom"/>
          </w:tcPr>
          <w:p w14:paraId="667768B8"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0DF95641"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316EB54F"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7F2E6C4A"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2FD55DC"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3BD39FE1"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3B32A288"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20921E50"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20A1B3EA"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767FCB1B"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1F9FC65E"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745E63E0"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42A87FA"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4EAF688C"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A4A9DD3"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5B956EC2" w14:textId="77777777" w:rsidR="003942DF" w:rsidRPr="00F24A76" w:rsidRDefault="003942DF" w:rsidP="003942DF">
            <w:pPr>
              <w:pStyle w:val="NoSpacing"/>
              <w:jc w:val="center"/>
              <w:rPr>
                <w:i/>
              </w:rPr>
            </w:pPr>
          </w:p>
        </w:tc>
      </w:tr>
      <w:tr w:rsidR="003942DF" w:rsidRPr="00F24A76" w14:paraId="64ED6C3C" w14:textId="77777777" w:rsidTr="003942DF">
        <w:trPr>
          <w:trHeight w:val="18"/>
        </w:trPr>
        <w:tc>
          <w:tcPr>
            <w:tcW w:w="1281" w:type="pct"/>
            <w:tcBorders>
              <w:top w:val="nil"/>
              <w:left w:val="nil"/>
              <w:bottom w:val="nil"/>
              <w:right w:val="nil"/>
            </w:tcBorders>
            <w:shd w:val="clear" w:color="000000" w:fill="FFFFFF"/>
            <w:noWrap/>
            <w:vAlign w:val="bottom"/>
          </w:tcPr>
          <w:p w14:paraId="7B72D8AA" w14:textId="09BD1CC2" w:rsidR="003942DF" w:rsidRPr="00F24A76" w:rsidRDefault="003942DF" w:rsidP="003942DF">
            <w:pPr>
              <w:pStyle w:val="NoSpacing"/>
            </w:pPr>
            <w:r w:rsidRPr="00F24A76">
              <w:rPr>
                <w:b/>
              </w:rPr>
              <w:t>Vascular age (Beta-stiffness)</w:t>
            </w:r>
          </w:p>
        </w:tc>
        <w:tc>
          <w:tcPr>
            <w:tcW w:w="69" w:type="pct"/>
            <w:tcBorders>
              <w:top w:val="nil"/>
              <w:left w:val="nil"/>
              <w:bottom w:val="nil"/>
              <w:right w:val="nil"/>
            </w:tcBorders>
            <w:shd w:val="clear" w:color="000000" w:fill="FFFFFF"/>
            <w:noWrap/>
            <w:vAlign w:val="bottom"/>
          </w:tcPr>
          <w:p w14:paraId="7FEEED76"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0C18C3E1"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2D1F3388"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2108A301"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362127C"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446C16EF"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22036C43"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785D1158"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256F46FF"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9035903"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507AA0A8"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338F5E9A"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1E2D01CE"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3FAAF6BB"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1CC834EF"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47A375DD" w14:textId="77777777" w:rsidR="003942DF" w:rsidRPr="00F24A76" w:rsidRDefault="003942DF" w:rsidP="003942DF">
            <w:pPr>
              <w:pStyle w:val="NoSpacing"/>
              <w:jc w:val="center"/>
              <w:rPr>
                <w:i/>
              </w:rPr>
            </w:pPr>
          </w:p>
        </w:tc>
      </w:tr>
      <w:tr w:rsidR="003942DF" w:rsidRPr="00F24A76" w14:paraId="6E546B9E" w14:textId="77777777" w:rsidTr="003942DF">
        <w:trPr>
          <w:trHeight w:val="18"/>
        </w:trPr>
        <w:tc>
          <w:tcPr>
            <w:tcW w:w="1281" w:type="pct"/>
            <w:tcBorders>
              <w:top w:val="nil"/>
              <w:left w:val="nil"/>
              <w:bottom w:val="nil"/>
              <w:right w:val="nil"/>
            </w:tcBorders>
            <w:shd w:val="clear" w:color="000000" w:fill="FFFFFF"/>
            <w:noWrap/>
            <w:vAlign w:val="bottom"/>
            <w:hideMark/>
          </w:tcPr>
          <w:p w14:paraId="1FC4FB08" w14:textId="7F74CAF2" w:rsidR="003942DF" w:rsidRPr="00F24A76" w:rsidRDefault="003942DF" w:rsidP="003942DF">
            <w:pPr>
              <w:pStyle w:val="NoSpacing"/>
            </w:pPr>
            <w:r w:rsidRPr="00F24A76">
              <w:t>Ascending</w:t>
            </w:r>
          </w:p>
        </w:tc>
        <w:tc>
          <w:tcPr>
            <w:tcW w:w="69" w:type="pct"/>
            <w:tcBorders>
              <w:top w:val="nil"/>
              <w:left w:val="nil"/>
              <w:bottom w:val="nil"/>
              <w:right w:val="nil"/>
            </w:tcBorders>
            <w:shd w:val="clear" w:color="000000" w:fill="FFFFFF"/>
            <w:noWrap/>
            <w:vAlign w:val="bottom"/>
            <w:hideMark/>
          </w:tcPr>
          <w:p w14:paraId="62DF27E3"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260A2255" w14:textId="185D79C4" w:rsidR="003942DF" w:rsidRPr="00F24A76" w:rsidRDefault="003942DF" w:rsidP="003942DF">
            <w:pPr>
              <w:pStyle w:val="NoSpacing"/>
              <w:jc w:val="right"/>
            </w:pPr>
            <w:r w:rsidRPr="00F24A76">
              <w:t>38.3</w:t>
            </w:r>
          </w:p>
        </w:tc>
        <w:tc>
          <w:tcPr>
            <w:tcW w:w="315" w:type="pct"/>
            <w:tcBorders>
              <w:top w:val="nil"/>
              <w:left w:val="nil"/>
              <w:bottom w:val="nil"/>
              <w:right w:val="nil"/>
            </w:tcBorders>
            <w:shd w:val="clear" w:color="000000" w:fill="FFFFFF"/>
            <w:noWrap/>
            <w:vAlign w:val="bottom"/>
            <w:hideMark/>
          </w:tcPr>
          <w:p w14:paraId="6DD3DBCF" w14:textId="6C946576" w:rsidR="003942DF" w:rsidRPr="00F24A76" w:rsidRDefault="003942DF" w:rsidP="003942DF">
            <w:pPr>
              <w:pStyle w:val="NoSpacing"/>
            </w:pPr>
            <w:r w:rsidRPr="00F24A76">
              <w:t>±17.9</w:t>
            </w:r>
          </w:p>
        </w:tc>
        <w:tc>
          <w:tcPr>
            <w:tcW w:w="181" w:type="pct"/>
            <w:tcBorders>
              <w:top w:val="nil"/>
              <w:left w:val="nil"/>
              <w:bottom w:val="nil"/>
              <w:right w:val="nil"/>
            </w:tcBorders>
            <w:shd w:val="clear" w:color="000000" w:fill="FFFFFF"/>
            <w:noWrap/>
            <w:vAlign w:val="bottom"/>
            <w:hideMark/>
          </w:tcPr>
          <w:p w14:paraId="73A49898" w14:textId="7ABD5474" w:rsidR="003942DF" w:rsidRPr="00F24A76" w:rsidRDefault="003942DF" w:rsidP="003942DF">
            <w:pPr>
              <w:pStyle w:val="NoSpacing"/>
              <w:jc w:val="right"/>
            </w:pPr>
            <w:r w:rsidRPr="00F24A76">
              <w:t>38.6</w:t>
            </w:r>
          </w:p>
        </w:tc>
        <w:tc>
          <w:tcPr>
            <w:tcW w:w="314" w:type="pct"/>
            <w:tcBorders>
              <w:top w:val="nil"/>
              <w:left w:val="nil"/>
              <w:bottom w:val="nil"/>
              <w:right w:val="nil"/>
            </w:tcBorders>
            <w:shd w:val="clear" w:color="000000" w:fill="FFFFFF"/>
            <w:noWrap/>
            <w:vAlign w:val="bottom"/>
            <w:hideMark/>
          </w:tcPr>
          <w:p w14:paraId="0C7EFDED" w14:textId="4923F219" w:rsidR="003942DF" w:rsidRPr="00F24A76" w:rsidRDefault="003942DF" w:rsidP="003942DF">
            <w:pPr>
              <w:pStyle w:val="NoSpacing"/>
            </w:pPr>
            <w:r w:rsidRPr="00F24A76">
              <w:t>±16.8</w:t>
            </w:r>
          </w:p>
        </w:tc>
        <w:tc>
          <w:tcPr>
            <w:tcW w:w="219" w:type="pct"/>
            <w:tcBorders>
              <w:top w:val="nil"/>
              <w:left w:val="nil"/>
              <w:bottom w:val="nil"/>
              <w:right w:val="nil"/>
            </w:tcBorders>
            <w:shd w:val="clear" w:color="000000" w:fill="FFFFFF"/>
            <w:noWrap/>
            <w:vAlign w:val="bottom"/>
            <w:hideMark/>
          </w:tcPr>
          <w:p w14:paraId="7EE02690" w14:textId="197DAA13" w:rsidR="003942DF" w:rsidRPr="00F24A76" w:rsidRDefault="003942DF"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hideMark/>
          </w:tcPr>
          <w:p w14:paraId="0E88BE8C" w14:textId="0364995A" w:rsidR="003942DF" w:rsidRPr="00F24A76" w:rsidRDefault="003942DF" w:rsidP="003942DF">
            <w:pPr>
              <w:pStyle w:val="NoSpacing"/>
              <w:jc w:val="right"/>
            </w:pPr>
            <w:r w:rsidRPr="00F24A76">
              <w:t>50.1</w:t>
            </w:r>
          </w:p>
        </w:tc>
        <w:tc>
          <w:tcPr>
            <w:tcW w:w="315" w:type="pct"/>
            <w:tcBorders>
              <w:top w:val="nil"/>
              <w:left w:val="nil"/>
              <w:bottom w:val="nil"/>
              <w:right w:val="nil"/>
            </w:tcBorders>
            <w:shd w:val="clear" w:color="000000" w:fill="FFFFFF"/>
            <w:noWrap/>
            <w:vAlign w:val="bottom"/>
            <w:hideMark/>
          </w:tcPr>
          <w:p w14:paraId="2F02C6C5" w14:textId="3C547A5D" w:rsidR="003942DF" w:rsidRPr="00F24A76" w:rsidRDefault="003942DF" w:rsidP="003942DF">
            <w:pPr>
              <w:pStyle w:val="NoSpacing"/>
            </w:pPr>
            <w:r w:rsidRPr="00F24A76">
              <w:t>±17.7</w:t>
            </w:r>
          </w:p>
        </w:tc>
        <w:tc>
          <w:tcPr>
            <w:tcW w:w="181" w:type="pct"/>
            <w:tcBorders>
              <w:top w:val="nil"/>
              <w:left w:val="nil"/>
              <w:bottom w:val="nil"/>
              <w:right w:val="nil"/>
            </w:tcBorders>
            <w:shd w:val="clear" w:color="000000" w:fill="FFFFFF"/>
            <w:noWrap/>
            <w:vAlign w:val="bottom"/>
            <w:hideMark/>
          </w:tcPr>
          <w:p w14:paraId="1890391A" w14:textId="594A9CDD" w:rsidR="003942DF" w:rsidRPr="00F24A76" w:rsidRDefault="003942DF" w:rsidP="003942DF">
            <w:pPr>
              <w:pStyle w:val="NoSpacing"/>
              <w:jc w:val="right"/>
            </w:pPr>
            <w:r w:rsidRPr="00F24A76">
              <w:t>48.5</w:t>
            </w:r>
          </w:p>
        </w:tc>
        <w:tc>
          <w:tcPr>
            <w:tcW w:w="314" w:type="pct"/>
            <w:tcBorders>
              <w:top w:val="nil"/>
              <w:left w:val="nil"/>
              <w:bottom w:val="nil"/>
              <w:right w:val="nil"/>
            </w:tcBorders>
            <w:shd w:val="clear" w:color="000000" w:fill="FFFFFF"/>
            <w:noWrap/>
            <w:vAlign w:val="bottom"/>
            <w:hideMark/>
          </w:tcPr>
          <w:p w14:paraId="6FEB637F" w14:textId="75E5F1D9" w:rsidR="003942DF" w:rsidRPr="00F24A76" w:rsidRDefault="003942DF" w:rsidP="003942DF">
            <w:pPr>
              <w:pStyle w:val="NoSpacing"/>
            </w:pPr>
            <w:r w:rsidRPr="00F24A76">
              <w:t>±17.2</w:t>
            </w:r>
          </w:p>
        </w:tc>
        <w:tc>
          <w:tcPr>
            <w:tcW w:w="272" w:type="pct"/>
            <w:tcBorders>
              <w:top w:val="nil"/>
              <w:left w:val="nil"/>
              <w:bottom w:val="nil"/>
              <w:right w:val="nil"/>
            </w:tcBorders>
            <w:shd w:val="clear" w:color="000000" w:fill="FFFFFF"/>
            <w:noWrap/>
            <w:vAlign w:val="bottom"/>
            <w:hideMark/>
          </w:tcPr>
          <w:p w14:paraId="34550329" w14:textId="1EF186F3"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hideMark/>
          </w:tcPr>
          <w:p w14:paraId="5A045B9B" w14:textId="34A8B012" w:rsidR="003942DF" w:rsidRPr="00F24A76" w:rsidRDefault="003942DF" w:rsidP="003942DF">
            <w:pPr>
              <w:pStyle w:val="NoSpacing"/>
              <w:jc w:val="right"/>
            </w:pPr>
            <w:r w:rsidRPr="00F24A76">
              <w:t>29.4</w:t>
            </w:r>
          </w:p>
        </w:tc>
        <w:tc>
          <w:tcPr>
            <w:tcW w:w="314" w:type="pct"/>
            <w:tcBorders>
              <w:top w:val="nil"/>
              <w:left w:val="nil"/>
              <w:bottom w:val="nil"/>
              <w:right w:val="nil"/>
            </w:tcBorders>
            <w:shd w:val="clear" w:color="000000" w:fill="FFFFFF"/>
            <w:noWrap/>
            <w:vAlign w:val="bottom"/>
            <w:hideMark/>
          </w:tcPr>
          <w:p w14:paraId="743B2AA3" w14:textId="02243D19" w:rsidR="003942DF" w:rsidRPr="00F24A76" w:rsidRDefault="003942DF" w:rsidP="003942DF">
            <w:pPr>
              <w:pStyle w:val="NoSpacing"/>
            </w:pPr>
            <w:r w:rsidRPr="00F24A76">
              <w:t>11.9</w:t>
            </w:r>
          </w:p>
        </w:tc>
        <w:tc>
          <w:tcPr>
            <w:tcW w:w="182" w:type="pct"/>
            <w:tcBorders>
              <w:top w:val="nil"/>
              <w:left w:val="nil"/>
              <w:bottom w:val="nil"/>
              <w:right w:val="nil"/>
            </w:tcBorders>
            <w:shd w:val="clear" w:color="000000" w:fill="FFFFFF"/>
            <w:noWrap/>
            <w:vAlign w:val="bottom"/>
            <w:hideMark/>
          </w:tcPr>
          <w:p w14:paraId="1CDFAD8C" w14:textId="49FA3A51" w:rsidR="003942DF" w:rsidRPr="00F24A76" w:rsidRDefault="003942DF" w:rsidP="003942DF">
            <w:pPr>
              <w:pStyle w:val="NoSpacing"/>
              <w:jc w:val="right"/>
            </w:pPr>
            <w:r w:rsidRPr="00F24A76">
              <w:t>30.9</w:t>
            </w:r>
          </w:p>
        </w:tc>
        <w:tc>
          <w:tcPr>
            <w:tcW w:w="314" w:type="pct"/>
            <w:tcBorders>
              <w:top w:val="nil"/>
              <w:left w:val="nil"/>
              <w:bottom w:val="nil"/>
              <w:right w:val="nil"/>
            </w:tcBorders>
            <w:shd w:val="clear" w:color="000000" w:fill="FFFFFF"/>
            <w:noWrap/>
            <w:vAlign w:val="bottom"/>
            <w:hideMark/>
          </w:tcPr>
          <w:p w14:paraId="4C1190C7" w14:textId="39988C74" w:rsidR="003942DF" w:rsidRPr="00F24A76" w:rsidRDefault="003942DF" w:rsidP="003942DF">
            <w:pPr>
              <w:pStyle w:val="NoSpacing"/>
            </w:pPr>
            <w:r w:rsidRPr="00F24A76">
              <w:t>±11.6</w:t>
            </w:r>
          </w:p>
        </w:tc>
        <w:tc>
          <w:tcPr>
            <w:tcW w:w="178" w:type="pct"/>
            <w:tcBorders>
              <w:top w:val="nil"/>
              <w:left w:val="nil"/>
              <w:bottom w:val="nil"/>
              <w:right w:val="nil"/>
            </w:tcBorders>
            <w:shd w:val="clear" w:color="000000" w:fill="FFFFFF"/>
            <w:noWrap/>
            <w:vAlign w:val="bottom"/>
            <w:hideMark/>
          </w:tcPr>
          <w:p w14:paraId="58EBEF9E" w14:textId="19555695" w:rsidR="003942DF" w:rsidRPr="00F24A76" w:rsidRDefault="003942DF" w:rsidP="003942DF">
            <w:pPr>
              <w:pStyle w:val="NoSpacing"/>
              <w:jc w:val="center"/>
              <w:rPr>
                <w:i/>
              </w:rPr>
            </w:pPr>
            <w:r>
              <w:rPr>
                <w:i/>
              </w:rPr>
              <w:t>-</w:t>
            </w:r>
          </w:p>
        </w:tc>
      </w:tr>
      <w:tr w:rsidR="003942DF" w:rsidRPr="00F24A76" w14:paraId="54AB85BE" w14:textId="77777777" w:rsidTr="003942DF">
        <w:trPr>
          <w:trHeight w:val="18"/>
        </w:trPr>
        <w:tc>
          <w:tcPr>
            <w:tcW w:w="1281" w:type="pct"/>
            <w:tcBorders>
              <w:top w:val="nil"/>
              <w:left w:val="nil"/>
              <w:bottom w:val="nil"/>
              <w:right w:val="nil"/>
            </w:tcBorders>
            <w:shd w:val="clear" w:color="000000" w:fill="FFFFFF"/>
            <w:noWrap/>
            <w:vAlign w:val="bottom"/>
            <w:hideMark/>
          </w:tcPr>
          <w:p w14:paraId="37B189D4" w14:textId="3218C479" w:rsidR="003942DF" w:rsidRPr="00F24A76" w:rsidRDefault="003942DF" w:rsidP="003942DF">
            <w:pPr>
              <w:pStyle w:val="NoSpacing"/>
            </w:pPr>
            <w:r w:rsidRPr="00F24A76">
              <w:t>Proximal Descending</w:t>
            </w:r>
          </w:p>
        </w:tc>
        <w:tc>
          <w:tcPr>
            <w:tcW w:w="69" w:type="pct"/>
            <w:tcBorders>
              <w:top w:val="nil"/>
              <w:left w:val="nil"/>
              <w:bottom w:val="nil"/>
              <w:right w:val="nil"/>
            </w:tcBorders>
            <w:shd w:val="clear" w:color="000000" w:fill="FFFFFF"/>
            <w:noWrap/>
            <w:vAlign w:val="bottom"/>
            <w:hideMark/>
          </w:tcPr>
          <w:p w14:paraId="31016667"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1DC255D6" w14:textId="6BD58777" w:rsidR="003942DF" w:rsidRPr="00F24A76" w:rsidRDefault="003942DF" w:rsidP="003942DF">
            <w:pPr>
              <w:pStyle w:val="NoSpacing"/>
              <w:jc w:val="right"/>
            </w:pPr>
            <w:r w:rsidRPr="00F24A76">
              <w:t>37.1</w:t>
            </w:r>
          </w:p>
        </w:tc>
        <w:tc>
          <w:tcPr>
            <w:tcW w:w="315" w:type="pct"/>
            <w:tcBorders>
              <w:top w:val="nil"/>
              <w:left w:val="nil"/>
              <w:bottom w:val="nil"/>
              <w:right w:val="nil"/>
            </w:tcBorders>
            <w:shd w:val="clear" w:color="000000" w:fill="FFFFFF"/>
            <w:noWrap/>
            <w:vAlign w:val="bottom"/>
            <w:hideMark/>
          </w:tcPr>
          <w:p w14:paraId="4363B31B" w14:textId="0DABF42F" w:rsidR="003942DF" w:rsidRPr="00F24A76" w:rsidRDefault="003942DF" w:rsidP="003942DF">
            <w:pPr>
              <w:pStyle w:val="NoSpacing"/>
            </w:pPr>
            <w:r w:rsidRPr="00F24A76">
              <w:t>±20.5</w:t>
            </w:r>
          </w:p>
        </w:tc>
        <w:tc>
          <w:tcPr>
            <w:tcW w:w="181" w:type="pct"/>
            <w:tcBorders>
              <w:top w:val="nil"/>
              <w:left w:val="nil"/>
              <w:bottom w:val="nil"/>
              <w:right w:val="nil"/>
            </w:tcBorders>
            <w:shd w:val="clear" w:color="000000" w:fill="FFFFFF"/>
            <w:noWrap/>
            <w:vAlign w:val="bottom"/>
            <w:hideMark/>
          </w:tcPr>
          <w:p w14:paraId="62DAEDC5" w14:textId="3EC19FBA" w:rsidR="003942DF" w:rsidRPr="00F24A76" w:rsidRDefault="003942DF" w:rsidP="003942DF">
            <w:pPr>
              <w:pStyle w:val="NoSpacing"/>
              <w:jc w:val="right"/>
            </w:pPr>
            <w:r w:rsidRPr="00F24A76">
              <w:t>34.8</w:t>
            </w:r>
          </w:p>
        </w:tc>
        <w:tc>
          <w:tcPr>
            <w:tcW w:w="314" w:type="pct"/>
            <w:tcBorders>
              <w:top w:val="nil"/>
              <w:left w:val="nil"/>
              <w:bottom w:val="nil"/>
              <w:right w:val="nil"/>
            </w:tcBorders>
            <w:shd w:val="clear" w:color="000000" w:fill="FFFFFF"/>
            <w:noWrap/>
            <w:vAlign w:val="bottom"/>
            <w:hideMark/>
          </w:tcPr>
          <w:p w14:paraId="03E08C0A" w14:textId="5670AC9D" w:rsidR="003942DF" w:rsidRPr="00F24A76" w:rsidRDefault="003942DF" w:rsidP="003942DF">
            <w:pPr>
              <w:pStyle w:val="NoSpacing"/>
            </w:pPr>
            <w:r w:rsidRPr="00F24A76">
              <w:t>±19.0</w:t>
            </w:r>
          </w:p>
        </w:tc>
        <w:tc>
          <w:tcPr>
            <w:tcW w:w="219" w:type="pct"/>
            <w:tcBorders>
              <w:top w:val="nil"/>
              <w:left w:val="nil"/>
              <w:bottom w:val="nil"/>
              <w:right w:val="nil"/>
            </w:tcBorders>
            <w:shd w:val="clear" w:color="000000" w:fill="FFFFFF"/>
            <w:noWrap/>
            <w:vAlign w:val="bottom"/>
            <w:hideMark/>
          </w:tcPr>
          <w:p w14:paraId="58691D92" w14:textId="62EBA069" w:rsidR="003942DF" w:rsidRPr="00F24A76" w:rsidRDefault="003942DF" w:rsidP="003942DF">
            <w:pPr>
              <w:pStyle w:val="NoSpacing"/>
              <w:jc w:val="center"/>
              <w:rPr>
                <w:i/>
              </w:rPr>
            </w:pPr>
            <w:r w:rsidRPr="002221EB">
              <w:rPr>
                <w:i/>
              </w:rPr>
              <w:t>0.11</w:t>
            </w:r>
          </w:p>
        </w:tc>
        <w:tc>
          <w:tcPr>
            <w:tcW w:w="184" w:type="pct"/>
            <w:tcBorders>
              <w:top w:val="nil"/>
              <w:left w:val="nil"/>
              <w:bottom w:val="nil"/>
              <w:right w:val="nil"/>
            </w:tcBorders>
            <w:shd w:val="clear" w:color="000000" w:fill="FFFFFF"/>
            <w:noWrap/>
            <w:vAlign w:val="bottom"/>
            <w:hideMark/>
          </w:tcPr>
          <w:p w14:paraId="4572EAC2" w14:textId="30F14727" w:rsidR="003942DF" w:rsidRPr="00F24A76" w:rsidRDefault="003942DF" w:rsidP="003942DF">
            <w:pPr>
              <w:pStyle w:val="NoSpacing"/>
              <w:jc w:val="right"/>
            </w:pPr>
            <w:r w:rsidRPr="00F24A76">
              <w:t>46.3</w:t>
            </w:r>
          </w:p>
        </w:tc>
        <w:tc>
          <w:tcPr>
            <w:tcW w:w="315" w:type="pct"/>
            <w:tcBorders>
              <w:top w:val="nil"/>
              <w:left w:val="nil"/>
              <w:bottom w:val="nil"/>
              <w:right w:val="nil"/>
            </w:tcBorders>
            <w:shd w:val="clear" w:color="000000" w:fill="FFFFFF"/>
            <w:noWrap/>
            <w:vAlign w:val="bottom"/>
            <w:hideMark/>
          </w:tcPr>
          <w:p w14:paraId="64A4DE47" w14:textId="3DACB815" w:rsidR="003942DF" w:rsidRPr="00F24A76" w:rsidRDefault="003942DF" w:rsidP="003942DF">
            <w:pPr>
              <w:pStyle w:val="NoSpacing"/>
            </w:pPr>
            <w:r w:rsidRPr="00F24A76">
              <w:t>±22.0</w:t>
            </w:r>
          </w:p>
        </w:tc>
        <w:tc>
          <w:tcPr>
            <w:tcW w:w="181" w:type="pct"/>
            <w:tcBorders>
              <w:top w:val="nil"/>
              <w:left w:val="nil"/>
              <w:bottom w:val="nil"/>
              <w:right w:val="nil"/>
            </w:tcBorders>
            <w:shd w:val="clear" w:color="000000" w:fill="FFFFFF"/>
            <w:noWrap/>
            <w:vAlign w:val="bottom"/>
            <w:hideMark/>
          </w:tcPr>
          <w:p w14:paraId="23F046C7" w14:textId="09D846C4" w:rsidR="003942DF" w:rsidRPr="00F24A76" w:rsidRDefault="003942DF" w:rsidP="003942DF">
            <w:pPr>
              <w:pStyle w:val="NoSpacing"/>
              <w:jc w:val="right"/>
            </w:pPr>
            <w:r w:rsidRPr="00F24A76">
              <w:t>43.2</w:t>
            </w:r>
          </w:p>
        </w:tc>
        <w:tc>
          <w:tcPr>
            <w:tcW w:w="314" w:type="pct"/>
            <w:tcBorders>
              <w:top w:val="nil"/>
              <w:left w:val="nil"/>
              <w:bottom w:val="nil"/>
              <w:right w:val="nil"/>
            </w:tcBorders>
            <w:shd w:val="clear" w:color="000000" w:fill="FFFFFF"/>
            <w:noWrap/>
            <w:vAlign w:val="bottom"/>
            <w:hideMark/>
          </w:tcPr>
          <w:p w14:paraId="53D7F2DE" w14:textId="5D852F31" w:rsidR="003942DF" w:rsidRPr="00F24A76" w:rsidRDefault="003942DF" w:rsidP="003942DF">
            <w:pPr>
              <w:pStyle w:val="NoSpacing"/>
            </w:pPr>
            <w:r w:rsidRPr="00F24A76">
              <w:t>±20.4</w:t>
            </w:r>
          </w:p>
        </w:tc>
        <w:tc>
          <w:tcPr>
            <w:tcW w:w="272" w:type="pct"/>
            <w:tcBorders>
              <w:top w:val="nil"/>
              <w:left w:val="nil"/>
              <w:bottom w:val="nil"/>
              <w:right w:val="nil"/>
            </w:tcBorders>
            <w:shd w:val="clear" w:color="000000" w:fill="FFFFFF"/>
            <w:noWrap/>
            <w:vAlign w:val="bottom"/>
            <w:hideMark/>
          </w:tcPr>
          <w:p w14:paraId="1E8D1FCB" w14:textId="600CCCAD"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hideMark/>
          </w:tcPr>
          <w:p w14:paraId="2FA22404" w14:textId="46777A48" w:rsidR="003942DF" w:rsidRPr="00F24A76" w:rsidRDefault="003942DF" w:rsidP="003942DF">
            <w:pPr>
              <w:pStyle w:val="NoSpacing"/>
              <w:jc w:val="right"/>
            </w:pPr>
            <w:r w:rsidRPr="00F24A76">
              <w:t>30.3</w:t>
            </w:r>
          </w:p>
        </w:tc>
        <w:tc>
          <w:tcPr>
            <w:tcW w:w="314" w:type="pct"/>
            <w:tcBorders>
              <w:top w:val="nil"/>
              <w:left w:val="nil"/>
              <w:bottom w:val="nil"/>
              <w:right w:val="nil"/>
            </w:tcBorders>
            <w:shd w:val="clear" w:color="000000" w:fill="FFFFFF"/>
            <w:noWrap/>
            <w:vAlign w:val="bottom"/>
            <w:hideMark/>
          </w:tcPr>
          <w:p w14:paraId="7A4C7D19" w14:textId="55F7326E" w:rsidR="003942DF" w:rsidRPr="00F24A76" w:rsidRDefault="003942DF" w:rsidP="003942DF">
            <w:pPr>
              <w:pStyle w:val="NoSpacing"/>
            </w:pPr>
            <w:r w:rsidRPr="00F24A76">
              <w:t>16.4</w:t>
            </w:r>
          </w:p>
        </w:tc>
        <w:tc>
          <w:tcPr>
            <w:tcW w:w="182" w:type="pct"/>
            <w:tcBorders>
              <w:top w:val="nil"/>
              <w:left w:val="nil"/>
              <w:bottom w:val="nil"/>
              <w:right w:val="nil"/>
            </w:tcBorders>
            <w:shd w:val="clear" w:color="000000" w:fill="FFFFFF"/>
            <w:noWrap/>
            <w:vAlign w:val="bottom"/>
            <w:hideMark/>
          </w:tcPr>
          <w:p w14:paraId="63682B81" w14:textId="1F9C243F" w:rsidR="003942DF" w:rsidRPr="00F24A76" w:rsidRDefault="003942DF" w:rsidP="003942DF">
            <w:pPr>
              <w:pStyle w:val="NoSpacing"/>
              <w:jc w:val="right"/>
            </w:pPr>
            <w:r w:rsidRPr="00F24A76">
              <w:t>28.4</w:t>
            </w:r>
          </w:p>
        </w:tc>
        <w:tc>
          <w:tcPr>
            <w:tcW w:w="314" w:type="pct"/>
            <w:tcBorders>
              <w:top w:val="nil"/>
              <w:left w:val="nil"/>
              <w:bottom w:val="nil"/>
              <w:right w:val="nil"/>
            </w:tcBorders>
            <w:shd w:val="clear" w:color="000000" w:fill="FFFFFF"/>
            <w:noWrap/>
            <w:vAlign w:val="bottom"/>
            <w:hideMark/>
          </w:tcPr>
          <w:p w14:paraId="2E59E4A2" w14:textId="3DB5CDFF" w:rsidR="003942DF" w:rsidRPr="00F24A76" w:rsidRDefault="003942DF" w:rsidP="003942DF">
            <w:pPr>
              <w:pStyle w:val="NoSpacing"/>
            </w:pPr>
            <w:r w:rsidRPr="00F24A76">
              <w:t>±15.2</w:t>
            </w:r>
          </w:p>
        </w:tc>
        <w:tc>
          <w:tcPr>
            <w:tcW w:w="178" w:type="pct"/>
            <w:tcBorders>
              <w:top w:val="nil"/>
              <w:left w:val="nil"/>
              <w:bottom w:val="nil"/>
              <w:right w:val="nil"/>
            </w:tcBorders>
            <w:shd w:val="clear" w:color="000000" w:fill="FFFFFF"/>
            <w:noWrap/>
            <w:vAlign w:val="bottom"/>
            <w:hideMark/>
          </w:tcPr>
          <w:p w14:paraId="49A4DC7D" w14:textId="384F1E04" w:rsidR="003942DF" w:rsidRPr="00F24A76" w:rsidRDefault="003942DF" w:rsidP="003942DF">
            <w:pPr>
              <w:pStyle w:val="NoSpacing"/>
              <w:jc w:val="center"/>
              <w:rPr>
                <w:i/>
              </w:rPr>
            </w:pPr>
            <w:r>
              <w:rPr>
                <w:i/>
              </w:rPr>
              <w:t>-</w:t>
            </w:r>
          </w:p>
        </w:tc>
      </w:tr>
      <w:tr w:rsidR="003942DF" w:rsidRPr="00F24A76" w14:paraId="632B0F3D" w14:textId="77777777" w:rsidTr="003942DF">
        <w:trPr>
          <w:trHeight w:val="18"/>
        </w:trPr>
        <w:tc>
          <w:tcPr>
            <w:tcW w:w="1281" w:type="pct"/>
            <w:tcBorders>
              <w:top w:val="nil"/>
              <w:left w:val="nil"/>
              <w:bottom w:val="nil"/>
              <w:right w:val="nil"/>
            </w:tcBorders>
            <w:shd w:val="clear" w:color="000000" w:fill="FFFFFF"/>
            <w:noWrap/>
            <w:vAlign w:val="bottom"/>
            <w:hideMark/>
          </w:tcPr>
          <w:p w14:paraId="5336BE29" w14:textId="676D26F2" w:rsidR="003942DF" w:rsidRPr="00F24A76" w:rsidRDefault="003942DF" w:rsidP="003942DF">
            <w:pPr>
              <w:pStyle w:val="NoSpacing"/>
            </w:pPr>
            <w:r w:rsidRPr="00F24A76">
              <w:t>Diaphragmatic Descending</w:t>
            </w:r>
          </w:p>
        </w:tc>
        <w:tc>
          <w:tcPr>
            <w:tcW w:w="69" w:type="pct"/>
            <w:tcBorders>
              <w:top w:val="nil"/>
              <w:left w:val="nil"/>
              <w:bottom w:val="nil"/>
              <w:right w:val="nil"/>
            </w:tcBorders>
            <w:shd w:val="clear" w:color="000000" w:fill="FFFFFF"/>
            <w:noWrap/>
            <w:vAlign w:val="bottom"/>
            <w:hideMark/>
          </w:tcPr>
          <w:p w14:paraId="762A1990" w14:textId="77777777"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hideMark/>
          </w:tcPr>
          <w:p w14:paraId="48238E04" w14:textId="39AE55B3" w:rsidR="003942DF" w:rsidRPr="00F24A76" w:rsidRDefault="003942DF" w:rsidP="003942DF">
            <w:pPr>
              <w:pStyle w:val="NoSpacing"/>
              <w:jc w:val="right"/>
            </w:pPr>
            <w:r w:rsidRPr="00F24A76">
              <w:t>37.2</w:t>
            </w:r>
          </w:p>
        </w:tc>
        <w:tc>
          <w:tcPr>
            <w:tcW w:w="315" w:type="pct"/>
            <w:tcBorders>
              <w:top w:val="nil"/>
              <w:left w:val="nil"/>
              <w:bottom w:val="nil"/>
              <w:right w:val="nil"/>
            </w:tcBorders>
            <w:shd w:val="clear" w:color="000000" w:fill="FFFFFF"/>
            <w:noWrap/>
            <w:vAlign w:val="bottom"/>
            <w:hideMark/>
          </w:tcPr>
          <w:p w14:paraId="170C0E17" w14:textId="7B425529" w:rsidR="003942DF" w:rsidRPr="00F24A76" w:rsidRDefault="003942DF" w:rsidP="003942DF">
            <w:pPr>
              <w:pStyle w:val="NoSpacing"/>
            </w:pPr>
            <w:r w:rsidRPr="00F24A76">
              <w:t>±17.5</w:t>
            </w:r>
          </w:p>
        </w:tc>
        <w:tc>
          <w:tcPr>
            <w:tcW w:w="181" w:type="pct"/>
            <w:tcBorders>
              <w:top w:val="nil"/>
              <w:left w:val="nil"/>
              <w:bottom w:val="nil"/>
              <w:right w:val="nil"/>
            </w:tcBorders>
            <w:shd w:val="clear" w:color="000000" w:fill="FFFFFF"/>
            <w:noWrap/>
            <w:vAlign w:val="bottom"/>
            <w:hideMark/>
          </w:tcPr>
          <w:p w14:paraId="44854BA4" w14:textId="78B9C24B" w:rsidR="003942DF" w:rsidRPr="00F24A76" w:rsidRDefault="003942DF" w:rsidP="003942DF">
            <w:pPr>
              <w:pStyle w:val="NoSpacing"/>
              <w:jc w:val="right"/>
            </w:pPr>
            <w:r w:rsidRPr="00F24A76">
              <w:t>33.6</w:t>
            </w:r>
          </w:p>
        </w:tc>
        <w:tc>
          <w:tcPr>
            <w:tcW w:w="314" w:type="pct"/>
            <w:tcBorders>
              <w:top w:val="nil"/>
              <w:left w:val="nil"/>
              <w:bottom w:val="nil"/>
              <w:right w:val="nil"/>
            </w:tcBorders>
            <w:shd w:val="clear" w:color="000000" w:fill="FFFFFF"/>
            <w:noWrap/>
            <w:vAlign w:val="bottom"/>
            <w:hideMark/>
          </w:tcPr>
          <w:p w14:paraId="48B3B0C3" w14:textId="4137969B" w:rsidR="003942DF" w:rsidRPr="00F24A76" w:rsidRDefault="003942DF" w:rsidP="003942DF">
            <w:pPr>
              <w:pStyle w:val="NoSpacing"/>
            </w:pPr>
            <w:r w:rsidRPr="00F24A76">
              <w:t>±18.6</w:t>
            </w:r>
          </w:p>
        </w:tc>
        <w:tc>
          <w:tcPr>
            <w:tcW w:w="219" w:type="pct"/>
            <w:tcBorders>
              <w:top w:val="nil"/>
              <w:left w:val="nil"/>
              <w:bottom w:val="nil"/>
              <w:right w:val="nil"/>
            </w:tcBorders>
            <w:shd w:val="clear" w:color="000000" w:fill="FFFFFF"/>
            <w:noWrap/>
            <w:vAlign w:val="bottom"/>
            <w:hideMark/>
          </w:tcPr>
          <w:p w14:paraId="30910F0B" w14:textId="36E10788" w:rsidR="003942DF" w:rsidRPr="00F24A76" w:rsidRDefault="003942DF" w:rsidP="003942DF">
            <w:pPr>
              <w:pStyle w:val="NoSpacing"/>
              <w:jc w:val="center"/>
              <w:rPr>
                <w:i/>
              </w:rPr>
            </w:pPr>
            <w:r w:rsidRPr="002221EB">
              <w:rPr>
                <w:i/>
              </w:rPr>
              <w:t>0.04</w:t>
            </w:r>
          </w:p>
        </w:tc>
        <w:tc>
          <w:tcPr>
            <w:tcW w:w="184" w:type="pct"/>
            <w:tcBorders>
              <w:top w:val="nil"/>
              <w:left w:val="nil"/>
              <w:bottom w:val="nil"/>
              <w:right w:val="nil"/>
            </w:tcBorders>
            <w:shd w:val="clear" w:color="000000" w:fill="FFFFFF"/>
            <w:noWrap/>
            <w:vAlign w:val="bottom"/>
            <w:hideMark/>
          </w:tcPr>
          <w:p w14:paraId="7FDE5D72" w14:textId="07910985" w:rsidR="003942DF" w:rsidRPr="00F24A76" w:rsidRDefault="003942DF" w:rsidP="003942DF">
            <w:pPr>
              <w:pStyle w:val="NoSpacing"/>
              <w:jc w:val="right"/>
            </w:pPr>
            <w:r w:rsidRPr="00F24A76">
              <w:t>46.1</w:t>
            </w:r>
          </w:p>
        </w:tc>
        <w:tc>
          <w:tcPr>
            <w:tcW w:w="315" w:type="pct"/>
            <w:tcBorders>
              <w:top w:val="nil"/>
              <w:left w:val="nil"/>
              <w:bottom w:val="nil"/>
              <w:right w:val="nil"/>
            </w:tcBorders>
            <w:shd w:val="clear" w:color="000000" w:fill="FFFFFF"/>
            <w:noWrap/>
            <w:vAlign w:val="bottom"/>
            <w:hideMark/>
          </w:tcPr>
          <w:p w14:paraId="10B3EA75" w14:textId="1BECA4BC" w:rsidR="003942DF" w:rsidRPr="00F24A76" w:rsidRDefault="003942DF" w:rsidP="003942DF">
            <w:pPr>
              <w:pStyle w:val="NoSpacing"/>
            </w:pPr>
            <w:r w:rsidRPr="00F24A76">
              <w:t>±17.4</w:t>
            </w:r>
          </w:p>
        </w:tc>
        <w:tc>
          <w:tcPr>
            <w:tcW w:w="181" w:type="pct"/>
            <w:tcBorders>
              <w:top w:val="nil"/>
              <w:left w:val="nil"/>
              <w:bottom w:val="nil"/>
              <w:right w:val="nil"/>
            </w:tcBorders>
            <w:shd w:val="clear" w:color="000000" w:fill="FFFFFF"/>
            <w:noWrap/>
            <w:vAlign w:val="bottom"/>
            <w:hideMark/>
          </w:tcPr>
          <w:p w14:paraId="613650B6" w14:textId="05BB1A20" w:rsidR="003942DF" w:rsidRPr="00F24A76" w:rsidRDefault="003942DF" w:rsidP="003942DF">
            <w:pPr>
              <w:pStyle w:val="NoSpacing"/>
              <w:jc w:val="right"/>
            </w:pPr>
            <w:r w:rsidRPr="00F24A76">
              <w:t>40.4</w:t>
            </w:r>
          </w:p>
        </w:tc>
        <w:tc>
          <w:tcPr>
            <w:tcW w:w="314" w:type="pct"/>
            <w:tcBorders>
              <w:top w:val="nil"/>
              <w:left w:val="nil"/>
              <w:bottom w:val="nil"/>
              <w:right w:val="nil"/>
            </w:tcBorders>
            <w:shd w:val="clear" w:color="000000" w:fill="FFFFFF"/>
            <w:noWrap/>
            <w:vAlign w:val="bottom"/>
            <w:hideMark/>
          </w:tcPr>
          <w:p w14:paraId="7BC33785" w14:textId="4C7E3554" w:rsidR="003942DF" w:rsidRPr="00F24A76" w:rsidRDefault="003942DF" w:rsidP="003942DF">
            <w:pPr>
              <w:pStyle w:val="NoSpacing"/>
            </w:pPr>
            <w:r w:rsidRPr="00F24A76">
              <w:t>±20.0</w:t>
            </w:r>
          </w:p>
        </w:tc>
        <w:tc>
          <w:tcPr>
            <w:tcW w:w="272" w:type="pct"/>
            <w:tcBorders>
              <w:top w:val="nil"/>
              <w:left w:val="nil"/>
              <w:bottom w:val="nil"/>
              <w:right w:val="nil"/>
            </w:tcBorders>
            <w:shd w:val="clear" w:color="000000" w:fill="FFFFFF"/>
            <w:noWrap/>
            <w:vAlign w:val="bottom"/>
            <w:hideMark/>
          </w:tcPr>
          <w:p w14:paraId="0B35EE9E" w14:textId="4A7189CC" w:rsidR="003942DF" w:rsidRPr="00F24A76" w:rsidRDefault="003942DF" w:rsidP="003942DF">
            <w:pPr>
              <w:pStyle w:val="NoSpacing"/>
              <w:jc w:val="center"/>
              <w:rPr>
                <w:i/>
              </w:rPr>
            </w:pPr>
            <w:r w:rsidRPr="002221EB">
              <w:rPr>
                <w:i/>
              </w:rPr>
              <w:t>0.051</w:t>
            </w:r>
          </w:p>
        </w:tc>
        <w:tc>
          <w:tcPr>
            <w:tcW w:w="183" w:type="pct"/>
            <w:tcBorders>
              <w:top w:val="nil"/>
              <w:left w:val="nil"/>
              <w:bottom w:val="nil"/>
              <w:right w:val="nil"/>
            </w:tcBorders>
            <w:shd w:val="clear" w:color="000000" w:fill="FFFFFF"/>
            <w:noWrap/>
            <w:vAlign w:val="bottom"/>
            <w:hideMark/>
          </w:tcPr>
          <w:p w14:paraId="0E8217BD" w14:textId="709AEA87" w:rsidR="003942DF" w:rsidRPr="00F24A76" w:rsidRDefault="003942DF" w:rsidP="003942DF">
            <w:pPr>
              <w:pStyle w:val="NoSpacing"/>
              <w:jc w:val="right"/>
            </w:pPr>
            <w:r w:rsidRPr="00F24A76">
              <w:t>30.4</w:t>
            </w:r>
          </w:p>
        </w:tc>
        <w:tc>
          <w:tcPr>
            <w:tcW w:w="314" w:type="pct"/>
            <w:tcBorders>
              <w:top w:val="nil"/>
              <w:left w:val="nil"/>
              <w:bottom w:val="nil"/>
              <w:right w:val="nil"/>
            </w:tcBorders>
            <w:shd w:val="clear" w:color="000000" w:fill="FFFFFF"/>
            <w:noWrap/>
            <w:vAlign w:val="bottom"/>
            <w:hideMark/>
          </w:tcPr>
          <w:p w14:paraId="2FD56AE1" w14:textId="07568653" w:rsidR="003942DF" w:rsidRPr="00F24A76" w:rsidRDefault="003942DF" w:rsidP="003942DF">
            <w:pPr>
              <w:pStyle w:val="NoSpacing"/>
            </w:pPr>
            <w:r w:rsidRPr="00F24A76">
              <w:t>14.4</w:t>
            </w:r>
          </w:p>
        </w:tc>
        <w:tc>
          <w:tcPr>
            <w:tcW w:w="182" w:type="pct"/>
            <w:tcBorders>
              <w:top w:val="nil"/>
              <w:left w:val="nil"/>
              <w:bottom w:val="nil"/>
              <w:right w:val="nil"/>
            </w:tcBorders>
            <w:shd w:val="clear" w:color="000000" w:fill="FFFFFF"/>
            <w:noWrap/>
            <w:vAlign w:val="bottom"/>
            <w:hideMark/>
          </w:tcPr>
          <w:p w14:paraId="2971FC93" w14:textId="33618EA7" w:rsidR="003942DF" w:rsidRPr="00F24A76" w:rsidRDefault="003942DF" w:rsidP="003942DF">
            <w:pPr>
              <w:pStyle w:val="NoSpacing"/>
              <w:jc w:val="right"/>
            </w:pPr>
            <w:r w:rsidRPr="00F24A76">
              <w:t>28.4</w:t>
            </w:r>
          </w:p>
        </w:tc>
        <w:tc>
          <w:tcPr>
            <w:tcW w:w="314" w:type="pct"/>
            <w:tcBorders>
              <w:top w:val="nil"/>
              <w:left w:val="nil"/>
              <w:bottom w:val="nil"/>
              <w:right w:val="nil"/>
            </w:tcBorders>
            <w:shd w:val="clear" w:color="000000" w:fill="FFFFFF"/>
            <w:noWrap/>
            <w:vAlign w:val="bottom"/>
            <w:hideMark/>
          </w:tcPr>
          <w:p w14:paraId="14F36E25" w14:textId="02AC7373" w:rsidR="003942DF" w:rsidRPr="00F24A76" w:rsidRDefault="003942DF" w:rsidP="003942DF">
            <w:pPr>
              <w:pStyle w:val="NoSpacing"/>
            </w:pPr>
            <w:r w:rsidRPr="00F24A76">
              <w:t>±15.5</w:t>
            </w:r>
          </w:p>
        </w:tc>
        <w:tc>
          <w:tcPr>
            <w:tcW w:w="178" w:type="pct"/>
            <w:tcBorders>
              <w:top w:val="nil"/>
              <w:left w:val="nil"/>
              <w:bottom w:val="nil"/>
              <w:right w:val="nil"/>
            </w:tcBorders>
            <w:shd w:val="clear" w:color="000000" w:fill="FFFFFF"/>
            <w:noWrap/>
            <w:vAlign w:val="bottom"/>
            <w:hideMark/>
          </w:tcPr>
          <w:p w14:paraId="59D533A4" w14:textId="6E76EDBF" w:rsidR="003942DF" w:rsidRPr="00F24A76" w:rsidRDefault="003942DF" w:rsidP="003942DF">
            <w:pPr>
              <w:pStyle w:val="NoSpacing"/>
              <w:jc w:val="center"/>
              <w:rPr>
                <w:i/>
              </w:rPr>
            </w:pPr>
            <w:r>
              <w:rPr>
                <w:i/>
              </w:rPr>
              <w:t>-</w:t>
            </w:r>
          </w:p>
        </w:tc>
      </w:tr>
      <w:tr w:rsidR="003942DF" w:rsidRPr="00F24A76" w14:paraId="6D1E2457" w14:textId="77777777" w:rsidTr="003942DF">
        <w:trPr>
          <w:trHeight w:val="18"/>
        </w:trPr>
        <w:tc>
          <w:tcPr>
            <w:tcW w:w="1281" w:type="pct"/>
            <w:tcBorders>
              <w:top w:val="nil"/>
              <w:left w:val="nil"/>
              <w:bottom w:val="nil"/>
              <w:right w:val="nil"/>
            </w:tcBorders>
            <w:shd w:val="clear" w:color="000000" w:fill="FFFFFF"/>
            <w:noWrap/>
            <w:vAlign w:val="bottom"/>
          </w:tcPr>
          <w:p w14:paraId="654E8316" w14:textId="77777777" w:rsidR="003942DF" w:rsidRPr="00F24A76" w:rsidRDefault="003942DF" w:rsidP="003942DF">
            <w:pPr>
              <w:pStyle w:val="NoSpacing"/>
            </w:pPr>
          </w:p>
        </w:tc>
        <w:tc>
          <w:tcPr>
            <w:tcW w:w="69" w:type="pct"/>
            <w:tcBorders>
              <w:top w:val="nil"/>
              <w:left w:val="nil"/>
              <w:bottom w:val="nil"/>
              <w:right w:val="nil"/>
            </w:tcBorders>
            <w:shd w:val="clear" w:color="000000" w:fill="FFFFFF"/>
            <w:noWrap/>
            <w:vAlign w:val="bottom"/>
          </w:tcPr>
          <w:p w14:paraId="1007C7A0"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1581F66E"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35D7A15E"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2C5670F6"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0B3850BB"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0A7DD4BA"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18569F4A"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4E29AACE"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2F8A8145"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6F8E0523"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3667FE16"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4E8B5AE6"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532AF947"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32A9FCD3"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E54F0EF"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5BABE933" w14:textId="77777777" w:rsidR="003942DF" w:rsidRPr="00F24A76" w:rsidRDefault="003942DF" w:rsidP="003942DF">
            <w:pPr>
              <w:pStyle w:val="NoSpacing"/>
              <w:jc w:val="center"/>
              <w:rPr>
                <w:i/>
              </w:rPr>
            </w:pPr>
          </w:p>
        </w:tc>
      </w:tr>
      <w:tr w:rsidR="003942DF" w:rsidRPr="00F24A76" w14:paraId="03356536" w14:textId="77777777" w:rsidTr="003942DF">
        <w:trPr>
          <w:trHeight w:val="18"/>
        </w:trPr>
        <w:tc>
          <w:tcPr>
            <w:tcW w:w="1281" w:type="pct"/>
            <w:tcBorders>
              <w:top w:val="nil"/>
              <w:left w:val="nil"/>
              <w:bottom w:val="nil"/>
              <w:right w:val="nil"/>
            </w:tcBorders>
            <w:shd w:val="clear" w:color="000000" w:fill="FFFFFF"/>
            <w:noWrap/>
            <w:vAlign w:val="bottom"/>
          </w:tcPr>
          <w:p w14:paraId="3864FD24" w14:textId="5123E76C" w:rsidR="003942DF" w:rsidRPr="00F24A76" w:rsidRDefault="003942DF" w:rsidP="003942DF">
            <w:pPr>
              <w:pStyle w:val="NoSpacing"/>
            </w:pPr>
            <w:r w:rsidRPr="00F24A76">
              <w:rPr>
                <w:b/>
              </w:rPr>
              <w:t xml:space="preserve">Pulse wave velocity </w:t>
            </w:r>
            <w:r w:rsidRPr="00F24A76">
              <w:t>(m/s)</w:t>
            </w:r>
          </w:p>
        </w:tc>
        <w:tc>
          <w:tcPr>
            <w:tcW w:w="69" w:type="pct"/>
            <w:tcBorders>
              <w:top w:val="nil"/>
              <w:left w:val="nil"/>
              <w:bottom w:val="nil"/>
              <w:right w:val="nil"/>
            </w:tcBorders>
            <w:shd w:val="clear" w:color="000000" w:fill="FFFFFF"/>
            <w:noWrap/>
            <w:vAlign w:val="bottom"/>
          </w:tcPr>
          <w:p w14:paraId="15501856"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3CC24EF1"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055B5A22"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1C9D7104"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5F0575CD"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6F852105"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6150BE11"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719878C0"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015D5125"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73FEA16D"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0A83BA27"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7A892A3A"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7B25FEE2"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7BB02234"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2F1D19B5"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0A6FEF20" w14:textId="77777777" w:rsidR="003942DF" w:rsidRPr="00F24A76" w:rsidRDefault="003942DF" w:rsidP="003942DF">
            <w:pPr>
              <w:pStyle w:val="NoSpacing"/>
              <w:jc w:val="center"/>
              <w:rPr>
                <w:i/>
              </w:rPr>
            </w:pPr>
          </w:p>
        </w:tc>
      </w:tr>
      <w:tr w:rsidR="003942DF" w:rsidRPr="00F24A76" w14:paraId="5780A3C9" w14:textId="77777777" w:rsidTr="003942DF">
        <w:trPr>
          <w:trHeight w:val="18"/>
        </w:trPr>
        <w:tc>
          <w:tcPr>
            <w:tcW w:w="1281" w:type="pct"/>
            <w:tcBorders>
              <w:top w:val="nil"/>
              <w:left w:val="nil"/>
              <w:bottom w:val="nil"/>
              <w:right w:val="nil"/>
            </w:tcBorders>
            <w:shd w:val="clear" w:color="000000" w:fill="FFFFFF"/>
            <w:noWrap/>
            <w:vAlign w:val="bottom"/>
          </w:tcPr>
          <w:p w14:paraId="32788024" w14:textId="6971FEC9" w:rsidR="003942DF" w:rsidRPr="00F24A76" w:rsidRDefault="003942DF" w:rsidP="003942DF">
            <w:pPr>
              <w:pStyle w:val="NoSpacing"/>
            </w:pPr>
            <w:r w:rsidRPr="00F24A76">
              <w:t>Arch</w:t>
            </w:r>
          </w:p>
        </w:tc>
        <w:tc>
          <w:tcPr>
            <w:tcW w:w="69" w:type="pct"/>
            <w:tcBorders>
              <w:top w:val="nil"/>
              <w:left w:val="nil"/>
              <w:bottom w:val="nil"/>
              <w:right w:val="nil"/>
            </w:tcBorders>
            <w:shd w:val="clear" w:color="000000" w:fill="FFFFFF"/>
            <w:noWrap/>
            <w:vAlign w:val="bottom"/>
          </w:tcPr>
          <w:p w14:paraId="53D8AF69" w14:textId="55485C14"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tcPr>
          <w:p w14:paraId="3ACE20D1" w14:textId="54015D28" w:rsidR="003942DF" w:rsidRPr="00F24A76" w:rsidRDefault="003942DF" w:rsidP="003942DF">
            <w:pPr>
              <w:pStyle w:val="NoSpacing"/>
              <w:jc w:val="right"/>
            </w:pPr>
            <w:r w:rsidRPr="00F24A76">
              <w:t>4.4</w:t>
            </w:r>
          </w:p>
        </w:tc>
        <w:tc>
          <w:tcPr>
            <w:tcW w:w="315" w:type="pct"/>
            <w:tcBorders>
              <w:top w:val="nil"/>
              <w:left w:val="nil"/>
              <w:bottom w:val="nil"/>
              <w:right w:val="nil"/>
            </w:tcBorders>
            <w:shd w:val="clear" w:color="000000" w:fill="FFFFFF"/>
            <w:noWrap/>
            <w:vAlign w:val="bottom"/>
          </w:tcPr>
          <w:p w14:paraId="10CDCB52" w14:textId="535FA4F7" w:rsidR="003942DF" w:rsidRPr="00F24A76" w:rsidRDefault="003942DF" w:rsidP="003942DF">
            <w:pPr>
              <w:pStyle w:val="NoSpacing"/>
            </w:pPr>
            <w:r w:rsidRPr="00F24A76">
              <w:t>(4,5)</w:t>
            </w:r>
          </w:p>
        </w:tc>
        <w:tc>
          <w:tcPr>
            <w:tcW w:w="181" w:type="pct"/>
            <w:tcBorders>
              <w:top w:val="nil"/>
              <w:left w:val="nil"/>
              <w:bottom w:val="nil"/>
              <w:right w:val="nil"/>
            </w:tcBorders>
            <w:shd w:val="clear" w:color="000000" w:fill="FFFFFF"/>
            <w:noWrap/>
            <w:vAlign w:val="bottom"/>
          </w:tcPr>
          <w:p w14:paraId="41FDB0A7" w14:textId="174884FB" w:rsidR="003942DF" w:rsidRPr="00F24A76" w:rsidRDefault="003942DF" w:rsidP="003942DF">
            <w:pPr>
              <w:pStyle w:val="NoSpacing"/>
              <w:jc w:val="right"/>
            </w:pPr>
            <w:r w:rsidRPr="00F24A76">
              <w:t>4.2</w:t>
            </w:r>
          </w:p>
        </w:tc>
        <w:tc>
          <w:tcPr>
            <w:tcW w:w="314" w:type="pct"/>
            <w:tcBorders>
              <w:top w:val="nil"/>
              <w:left w:val="nil"/>
              <w:bottom w:val="nil"/>
              <w:right w:val="nil"/>
            </w:tcBorders>
            <w:shd w:val="clear" w:color="000000" w:fill="FFFFFF"/>
            <w:noWrap/>
            <w:vAlign w:val="bottom"/>
          </w:tcPr>
          <w:p w14:paraId="3C6EC26C" w14:textId="54223E37" w:rsidR="003942DF" w:rsidRPr="00F24A76" w:rsidRDefault="003942DF" w:rsidP="003942DF">
            <w:pPr>
              <w:pStyle w:val="NoSpacing"/>
            </w:pPr>
            <w:r w:rsidRPr="00F24A76">
              <w:t>(4,5)</w:t>
            </w:r>
          </w:p>
        </w:tc>
        <w:tc>
          <w:tcPr>
            <w:tcW w:w="219" w:type="pct"/>
            <w:tcBorders>
              <w:top w:val="nil"/>
              <w:left w:val="nil"/>
              <w:bottom w:val="nil"/>
              <w:right w:val="nil"/>
            </w:tcBorders>
            <w:shd w:val="clear" w:color="000000" w:fill="FFFFFF"/>
            <w:noWrap/>
            <w:vAlign w:val="bottom"/>
          </w:tcPr>
          <w:p w14:paraId="00257537" w14:textId="57F7C2B8" w:rsidR="003942DF" w:rsidRPr="00F24A76" w:rsidRDefault="003942DF"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tcPr>
          <w:p w14:paraId="380E7980" w14:textId="2CDCA7F8" w:rsidR="003942DF" w:rsidRPr="00F24A76" w:rsidRDefault="003942DF" w:rsidP="003942DF">
            <w:pPr>
              <w:pStyle w:val="NoSpacing"/>
              <w:jc w:val="right"/>
            </w:pPr>
            <w:r w:rsidRPr="00F24A76">
              <w:t>5.4</w:t>
            </w:r>
          </w:p>
        </w:tc>
        <w:tc>
          <w:tcPr>
            <w:tcW w:w="315" w:type="pct"/>
            <w:tcBorders>
              <w:top w:val="nil"/>
              <w:left w:val="nil"/>
              <w:bottom w:val="nil"/>
              <w:right w:val="nil"/>
            </w:tcBorders>
            <w:shd w:val="clear" w:color="000000" w:fill="FFFFFF"/>
            <w:noWrap/>
            <w:vAlign w:val="bottom"/>
          </w:tcPr>
          <w:p w14:paraId="1E57F806" w14:textId="2824A977" w:rsidR="003942DF" w:rsidRPr="00F24A76" w:rsidRDefault="003942DF" w:rsidP="003942DF">
            <w:pPr>
              <w:pStyle w:val="NoSpacing"/>
            </w:pPr>
            <w:r w:rsidRPr="00F24A76">
              <w:t>(5,6)</w:t>
            </w:r>
          </w:p>
        </w:tc>
        <w:tc>
          <w:tcPr>
            <w:tcW w:w="181" w:type="pct"/>
            <w:tcBorders>
              <w:top w:val="nil"/>
              <w:left w:val="nil"/>
              <w:bottom w:val="nil"/>
              <w:right w:val="nil"/>
            </w:tcBorders>
            <w:shd w:val="clear" w:color="000000" w:fill="FFFFFF"/>
            <w:noWrap/>
            <w:vAlign w:val="bottom"/>
          </w:tcPr>
          <w:p w14:paraId="2FD2BBD9" w14:textId="218601F0" w:rsidR="003942DF" w:rsidRPr="00F24A76" w:rsidRDefault="003942DF" w:rsidP="003942DF">
            <w:pPr>
              <w:pStyle w:val="NoSpacing"/>
              <w:jc w:val="right"/>
            </w:pPr>
            <w:r w:rsidRPr="00F24A76">
              <w:t>5.3</w:t>
            </w:r>
          </w:p>
        </w:tc>
        <w:tc>
          <w:tcPr>
            <w:tcW w:w="314" w:type="pct"/>
            <w:tcBorders>
              <w:top w:val="nil"/>
              <w:left w:val="nil"/>
              <w:bottom w:val="nil"/>
              <w:right w:val="nil"/>
            </w:tcBorders>
            <w:shd w:val="clear" w:color="000000" w:fill="FFFFFF"/>
            <w:noWrap/>
            <w:vAlign w:val="bottom"/>
          </w:tcPr>
          <w:p w14:paraId="427D3A1D" w14:textId="2D052782" w:rsidR="003942DF" w:rsidRPr="00F24A76" w:rsidRDefault="003942DF" w:rsidP="003942DF">
            <w:pPr>
              <w:pStyle w:val="NoSpacing"/>
            </w:pPr>
            <w:r w:rsidRPr="00F24A76">
              <w:t>(4,6)</w:t>
            </w:r>
          </w:p>
        </w:tc>
        <w:tc>
          <w:tcPr>
            <w:tcW w:w="272" w:type="pct"/>
            <w:tcBorders>
              <w:top w:val="nil"/>
              <w:left w:val="nil"/>
              <w:bottom w:val="nil"/>
              <w:right w:val="nil"/>
            </w:tcBorders>
            <w:shd w:val="clear" w:color="000000" w:fill="FFFFFF"/>
            <w:noWrap/>
            <w:vAlign w:val="bottom"/>
          </w:tcPr>
          <w:p w14:paraId="592B52E9" w14:textId="6AEB8BE0" w:rsidR="003942DF" w:rsidRPr="00F24A76" w:rsidRDefault="003942DF" w:rsidP="003942DF">
            <w:pPr>
              <w:pStyle w:val="NoSpacing"/>
              <w:jc w:val="center"/>
              <w:rPr>
                <w:i/>
              </w:rPr>
            </w:pPr>
            <w:r w:rsidRPr="002221EB">
              <w:rPr>
                <w:i/>
              </w:rPr>
              <w:t>0.09</w:t>
            </w:r>
          </w:p>
        </w:tc>
        <w:tc>
          <w:tcPr>
            <w:tcW w:w="183" w:type="pct"/>
            <w:tcBorders>
              <w:top w:val="nil"/>
              <w:left w:val="nil"/>
              <w:bottom w:val="nil"/>
              <w:right w:val="nil"/>
            </w:tcBorders>
            <w:shd w:val="clear" w:color="000000" w:fill="FFFFFF"/>
            <w:noWrap/>
            <w:vAlign w:val="bottom"/>
          </w:tcPr>
          <w:p w14:paraId="6E188F75" w14:textId="022BDEE3" w:rsidR="003942DF" w:rsidRPr="00F24A76" w:rsidRDefault="003942DF" w:rsidP="003942DF">
            <w:pPr>
              <w:pStyle w:val="NoSpacing"/>
              <w:jc w:val="right"/>
            </w:pPr>
            <w:r w:rsidRPr="00F24A76">
              <w:t>3.9</w:t>
            </w:r>
          </w:p>
        </w:tc>
        <w:tc>
          <w:tcPr>
            <w:tcW w:w="314" w:type="pct"/>
            <w:tcBorders>
              <w:top w:val="nil"/>
              <w:left w:val="nil"/>
              <w:bottom w:val="nil"/>
              <w:right w:val="nil"/>
            </w:tcBorders>
            <w:shd w:val="clear" w:color="000000" w:fill="FFFFFF"/>
            <w:noWrap/>
            <w:vAlign w:val="bottom"/>
          </w:tcPr>
          <w:p w14:paraId="3F445B0A" w14:textId="68125818" w:rsidR="003942DF" w:rsidRPr="00F24A76" w:rsidRDefault="003942DF" w:rsidP="003942DF">
            <w:pPr>
              <w:pStyle w:val="NoSpacing"/>
            </w:pPr>
            <w:r w:rsidRPr="00F24A76">
              <w:t>(3,4)</w:t>
            </w:r>
          </w:p>
        </w:tc>
        <w:tc>
          <w:tcPr>
            <w:tcW w:w="182" w:type="pct"/>
            <w:tcBorders>
              <w:top w:val="nil"/>
              <w:left w:val="nil"/>
              <w:bottom w:val="nil"/>
              <w:right w:val="nil"/>
            </w:tcBorders>
            <w:shd w:val="clear" w:color="000000" w:fill="FFFFFF"/>
            <w:noWrap/>
            <w:vAlign w:val="bottom"/>
          </w:tcPr>
          <w:p w14:paraId="3C6558E3" w14:textId="22CA8251" w:rsidR="003942DF" w:rsidRPr="00F24A76" w:rsidRDefault="003942DF" w:rsidP="003942DF">
            <w:pPr>
              <w:pStyle w:val="NoSpacing"/>
              <w:jc w:val="right"/>
            </w:pPr>
            <w:r w:rsidRPr="00F24A76">
              <w:t>3.9</w:t>
            </w:r>
          </w:p>
        </w:tc>
        <w:tc>
          <w:tcPr>
            <w:tcW w:w="314" w:type="pct"/>
            <w:tcBorders>
              <w:top w:val="nil"/>
              <w:left w:val="nil"/>
              <w:bottom w:val="nil"/>
              <w:right w:val="nil"/>
            </w:tcBorders>
            <w:shd w:val="clear" w:color="000000" w:fill="FFFFFF"/>
            <w:noWrap/>
            <w:vAlign w:val="bottom"/>
          </w:tcPr>
          <w:p w14:paraId="170FD688" w14:textId="4DF60FA1" w:rsidR="003942DF" w:rsidRPr="00F24A76" w:rsidRDefault="003942DF" w:rsidP="003942DF">
            <w:pPr>
              <w:pStyle w:val="NoSpacing"/>
            </w:pPr>
            <w:r w:rsidRPr="00F24A76">
              <w:t>(4,4)</w:t>
            </w:r>
          </w:p>
        </w:tc>
        <w:tc>
          <w:tcPr>
            <w:tcW w:w="178" w:type="pct"/>
            <w:tcBorders>
              <w:top w:val="nil"/>
              <w:left w:val="nil"/>
              <w:bottom w:val="nil"/>
              <w:right w:val="nil"/>
            </w:tcBorders>
            <w:shd w:val="clear" w:color="000000" w:fill="FFFFFF"/>
            <w:noWrap/>
            <w:vAlign w:val="bottom"/>
          </w:tcPr>
          <w:p w14:paraId="55A5DF9E" w14:textId="7D55C2BA" w:rsidR="003942DF" w:rsidRPr="00F24A76" w:rsidRDefault="003942DF" w:rsidP="003942DF">
            <w:pPr>
              <w:pStyle w:val="NoSpacing"/>
              <w:jc w:val="center"/>
              <w:rPr>
                <w:i/>
              </w:rPr>
            </w:pPr>
            <w:r>
              <w:rPr>
                <w:i/>
              </w:rPr>
              <w:t>-</w:t>
            </w:r>
          </w:p>
        </w:tc>
      </w:tr>
      <w:tr w:rsidR="003942DF" w:rsidRPr="00F24A76" w14:paraId="1A72733B" w14:textId="77777777" w:rsidTr="003942DF">
        <w:trPr>
          <w:trHeight w:val="18"/>
        </w:trPr>
        <w:tc>
          <w:tcPr>
            <w:tcW w:w="1281" w:type="pct"/>
            <w:tcBorders>
              <w:top w:val="nil"/>
              <w:left w:val="nil"/>
              <w:bottom w:val="nil"/>
              <w:right w:val="nil"/>
            </w:tcBorders>
            <w:shd w:val="clear" w:color="000000" w:fill="FFFFFF"/>
            <w:noWrap/>
            <w:vAlign w:val="bottom"/>
          </w:tcPr>
          <w:p w14:paraId="7D184BBA" w14:textId="032E551C" w:rsidR="003942DF" w:rsidRPr="00F24A76" w:rsidRDefault="003942DF" w:rsidP="003942DF">
            <w:pPr>
              <w:pStyle w:val="NoSpacing"/>
            </w:pPr>
            <w:r w:rsidRPr="00F24A76">
              <w:t>Descending Aorta</w:t>
            </w:r>
          </w:p>
        </w:tc>
        <w:tc>
          <w:tcPr>
            <w:tcW w:w="69" w:type="pct"/>
            <w:tcBorders>
              <w:top w:val="nil"/>
              <w:left w:val="nil"/>
              <w:bottom w:val="nil"/>
              <w:right w:val="nil"/>
            </w:tcBorders>
            <w:shd w:val="clear" w:color="000000" w:fill="FFFFFF"/>
            <w:noWrap/>
            <w:vAlign w:val="bottom"/>
          </w:tcPr>
          <w:p w14:paraId="281E2C7C" w14:textId="2383B4AB"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tcPr>
          <w:p w14:paraId="289D6C16" w14:textId="0EB6BF05" w:rsidR="003942DF" w:rsidRPr="00F24A76" w:rsidRDefault="003942DF" w:rsidP="003942DF">
            <w:pPr>
              <w:pStyle w:val="NoSpacing"/>
              <w:jc w:val="right"/>
            </w:pPr>
            <w:r w:rsidRPr="00F24A76">
              <w:t>7.9</w:t>
            </w:r>
          </w:p>
        </w:tc>
        <w:tc>
          <w:tcPr>
            <w:tcW w:w="315" w:type="pct"/>
            <w:tcBorders>
              <w:top w:val="nil"/>
              <w:left w:val="nil"/>
              <w:bottom w:val="nil"/>
              <w:right w:val="nil"/>
            </w:tcBorders>
            <w:shd w:val="clear" w:color="000000" w:fill="FFFFFF"/>
            <w:noWrap/>
            <w:vAlign w:val="bottom"/>
          </w:tcPr>
          <w:p w14:paraId="3A485611" w14:textId="13CAE475" w:rsidR="003942DF" w:rsidRPr="00F24A76" w:rsidRDefault="003942DF" w:rsidP="003942DF">
            <w:pPr>
              <w:pStyle w:val="NoSpacing"/>
            </w:pPr>
            <w:r w:rsidRPr="00F24A76">
              <w:t>(6,10)</w:t>
            </w:r>
          </w:p>
        </w:tc>
        <w:tc>
          <w:tcPr>
            <w:tcW w:w="181" w:type="pct"/>
            <w:tcBorders>
              <w:top w:val="nil"/>
              <w:left w:val="nil"/>
              <w:bottom w:val="nil"/>
              <w:right w:val="nil"/>
            </w:tcBorders>
            <w:shd w:val="clear" w:color="000000" w:fill="FFFFFF"/>
            <w:noWrap/>
            <w:vAlign w:val="bottom"/>
          </w:tcPr>
          <w:p w14:paraId="041AAE5C" w14:textId="69AB1479" w:rsidR="003942DF" w:rsidRPr="00F24A76" w:rsidRDefault="003942DF" w:rsidP="003942DF">
            <w:pPr>
              <w:pStyle w:val="NoSpacing"/>
              <w:jc w:val="right"/>
            </w:pPr>
            <w:r w:rsidRPr="00F24A76">
              <w:t>7.4</w:t>
            </w:r>
          </w:p>
        </w:tc>
        <w:tc>
          <w:tcPr>
            <w:tcW w:w="314" w:type="pct"/>
            <w:tcBorders>
              <w:top w:val="nil"/>
              <w:left w:val="nil"/>
              <w:bottom w:val="nil"/>
              <w:right w:val="nil"/>
            </w:tcBorders>
            <w:shd w:val="clear" w:color="000000" w:fill="FFFFFF"/>
            <w:noWrap/>
            <w:vAlign w:val="bottom"/>
          </w:tcPr>
          <w:p w14:paraId="0E9FAD48" w14:textId="633D5A18" w:rsidR="003942DF" w:rsidRPr="00F24A76" w:rsidRDefault="003942DF" w:rsidP="003942DF">
            <w:pPr>
              <w:pStyle w:val="NoSpacing"/>
            </w:pPr>
            <w:r w:rsidRPr="00F24A76">
              <w:t>(6,9)</w:t>
            </w:r>
          </w:p>
        </w:tc>
        <w:tc>
          <w:tcPr>
            <w:tcW w:w="219" w:type="pct"/>
            <w:tcBorders>
              <w:top w:val="nil"/>
              <w:left w:val="nil"/>
              <w:bottom w:val="nil"/>
              <w:right w:val="nil"/>
            </w:tcBorders>
            <w:shd w:val="clear" w:color="000000" w:fill="FFFFFF"/>
            <w:noWrap/>
            <w:vAlign w:val="bottom"/>
          </w:tcPr>
          <w:p w14:paraId="1EC75CEE" w14:textId="3579B866" w:rsidR="003942DF" w:rsidRPr="00F24A76" w:rsidRDefault="003942DF" w:rsidP="003942DF">
            <w:pPr>
              <w:pStyle w:val="NoSpacing"/>
              <w:jc w:val="center"/>
              <w:rPr>
                <w:i/>
              </w:rPr>
            </w:pPr>
            <w:r w:rsidRPr="002221EB">
              <w:rPr>
                <w:i/>
              </w:rPr>
              <w:t>0.06</w:t>
            </w:r>
          </w:p>
        </w:tc>
        <w:tc>
          <w:tcPr>
            <w:tcW w:w="184" w:type="pct"/>
            <w:tcBorders>
              <w:top w:val="nil"/>
              <w:left w:val="nil"/>
              <w:bottom w:val="nil"/>
              <w:right w:val="nil"/>
            </w:tcBorders>
            <w:shd w:val="clear" w:color="000000" w:fill="FFFFFF"/>
            <w:noWrap/>
            <w:vAlign w:val="bottom"/>
          </w:tcPr>
          <w:p w14:paraId="6144CBA9" w14:textId="40C46FAB" w:rsidR="003942DF" w:rsidRPr="00F24A76" w:rsidRDefault="003942DF" w:rsidP="003942DF">
            <w:pPr>
              <w:pStyle w:val="NoSpacing"/>
              <w:jc w:val="right"/>
            </w:pPr>
            <w:r w:rsidRPr="00F24A76">
              <w:t>8.1</w:t>
            </w:r>
          </w:p>
        </w:tc>
        <w:tc>
          <w:tcPr>
            <w:tcW w:w="315" w:type="pct"/>
            <w:tcBorders>
              <w:top w:val="nil"/>
              <w:left w:val="nil"/>
              <w:bottom w:val="nil"/>
              <w:right w:val="nil"/>
            </w:tcBorders>
            <w:shd w:val="clear" w:color="000000" w:fill="FFFFFF"/>
            <w:noWrap/>
            <w:vAlign w:val="bottom"/>
          </w:tcPr>
          <w:p w14:paraId="2745EAE3" w14:textId="4AFCD1C1" w:rsidR="003942DF" w:rsidRPr="00F24A76" w:rsidRDefault="003942DF" w:rsidP="003942DF">
            <w:pPr>
              <w:pStyle w:val="NoSpacing"/>
            </w:pPr>
            <w:r w:rsidRPr="00F24A76">
              <w:t>(7,10)</w:t>
            </w:r>
          </w:p>
        </w:tc>
        <w:tc>
          <w:tcPr>
            <w:tcW w:w="181" w:type="pct"/>
            <w:tcBorders>
              <w:top w:val="nil"/>
              <w:left w:val="nil"/>
              <w:bottom w:val="nil"/>
              <w:right w:val="nil"/>
            </w:tcBorders>
            <w:shd w:val="clear" w:color="000000" w:fill="FFFFFF"/>
            <w:noWrap/>
            <w:vAlign w:val="bottom"/>
          </w:tcPr>
          <w:p w14:paraId="4050CDCC" w14:textId="6007C2C3" w:rsidR="003942DF" w:rsidRPr="00F24A76" w:rsidRDefault="003942DF" w:rsidP="003942DF">
            <w:pPr>
              <w:pStyle w:val="NoSpacing"/>
              <w:jc w:val="right"/>
            </w:pPr>
            <w:r w:rsidRPr="00F24A76">
              <w:t>7.7</w:t>
            </w:r>
          </w:p>
        </w:tc>
        <w:tc>
          <w:tcPr>
            <w:tcW w:w="314" w:type="pct"/>
            <w:tcBorders>
              <w:top w:val="nil"/>
              <w:left w:val="nil"/>
              <w:bottom w:val="nil"/>
              <w:right w:val="nil"/>
            </w:tcBorders>
            <w:shd w:val="clear" w:color="000000" w:fill="FFFFFF"/>
            <w:noWrap/>
            <w:vAlign w:val="bottom"/>
          </w:tcPr>
          <w:p w14:paraId="76F3E1F3" w14:textId="24C79107" w:rsidR="003942DF" w:rsidRPr="00F24A76" w:rsidRDefault="003942DF" w:rsidP="003942DF">
            <w:pPr>
              <w:pStyle w:val="NoSpacing"/>
            </w:pPr>
            <w:r w:rsidRPr="00F24A76">
              <w:t>(7,10)</w:t>
            </w:r>
          </w:p>
        </w:tc>
        <w:tc>
          <w:tcPr>
            <w:tcW w:w="272" w:type="pct"/>
            <w:tcBorders>
              <w:top w:val="nil"/>
              <w:left w:val="nil"/>
              <w:bottom w:val="nil"/>
              <w:right w:val="nil"/>
            </w:tcBorders>
            <w:shd w:val="clear" w:color="000000" w:fill="FFFFFF"/>
            <w:noWrap/>
            <w:vAlign w:val="bottom"/>
          </w:tcPr>
          <w:p w14:paraId="05301520" w14:textId="6E62C63E"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20A72B31" w14:textId="61247526" w:rsidR="003942DF" w:rsidRPr="00F24A76" w:rsidRDefault="003942DF" w:rsidP="003942DF">
            <w:pPr>
              <w:pStyle w:val="NoSpacing"/>
              <w:jc w:val="right"/>
            </w:pPr>
            <w:r w:rsidRPr="00F24A76">
              <w:t>7.6</w:t>
            </w:r>
          </w:p>
        </w:tc>
        <w:tc>
          <w:tcPr>
            <w:tcW w:w="314" w:type="pct"/>
            <w:tcBorders>
              <w:top w:val="nil"/>
              <w:left w:val="nil"/>
              <w:bottom w:val="nil"/>
              <w:right w:val="nil"/>
            </w:tcBorders>
            <w:shd w:val="clear" w:color="000000" w:fill="FFFFFF"/>
            <w:noWrap/>
            <w:vAlign w:val="bottom"/>
          </w:tcPr>
          <w:p w14:paraId="4830C3FA" w14:textId="4EAF16C2" w:rsidR="003942DF" w:rsidRPr="00F24A76" w:rsidRDefault="003942DF" w:rsidP="003942DF">
            <w:pPr>
              <w:pStyle w:val="NoSpacing"/>
            </w:pPr>
            <w:r w:rsidRPr="00F24A76">
              <w:t>(6,10)</w:t>
            </w:r>
          </w:p>
        </w:tc>
        <w:tc>
          <w:tcPr>
            <w:tcW w:w="182" w:type="pct"/>
            <w:tcBorders>
              <w:top w:val="nil"/>
              <w:left w:val="nil"/>
              <w:bottom w:val="nil"/>
              <w:right w:val="nil"/>
            </w:tcBorders>
            <w:shd w:val="clear" w:color="000000" w:fill="FFFFFF"/>
            <w:noWrap/>
            <w:vAlign w:val="bottom"/>
          </w:tcPr>
          <w:p w14:paraId="11DB2B1C" w14:textId="2E08F628" w:rsidR="003942DF" w:rsidRPr="00F24A76" w:rsidRDefault="003942DF" w:rsidP="003942DF">
            <w:pPr>
              <w:pStyle w:val="NoSpacing"/>
              <w:jc w:val="right"/>
            </w:pPr>
            <w:r w:rsidRPr="00F24A76">
              <w:t>7.1</w:t>
            </w:r>
          </w:p>
        </w:tc>
        <w:tc>
          <w:tcPr>
            <w:tcW w:w="314" w:type="pct"/>
            <w:tcBorders>
              <w:top w:val="nil"/>
              <w:left w:val="nil"/>
              <w:bottom w:val="nil"/>
              <w:right w:val="nil"/>
            </w:tcBorders>
            <w:shd w:val="clear" w:color="000000" w:fill="FFFFFF"/>
            <w:noWrap/>
            <w:vAlign w:val="bottom"/>
          </w:tcPr>
          <w:p w14:paraId="20118A1F" w14:textId="28D822AA" w:rsidR="003942DF" w:rsidRPr="00F24A76" w:rsidRDefault="003942DF" w:rsidP="003942DF">
            <w:pPr>
              <w:pStyle w:val="NoSpacing"/>
            </w:pPr>
            <w:r w:rsidRPr="00F24A76">
              <w:t>(6,9)</w:t>
            </w:r>
          </w:p>
        </w:tc>
        <w:tc>
          <w:tcPr>
            <w:tcW w:w="178" w:type="pct"/>
            <w:tcBorders>
              <w:top w:val="nil"/>
              <w:left w:val="nil"/>
              <w:bottom w:val="nil"/>
              <w:right w:val="nil"/>
            </w:tcBorders>
            <w:shd w:val="clear" w:color="000000" w:fill="FFFFFF"/>
            <w:noWrap/>
            <w:vAlign w:val="bottom"/>
          </w:tcPr>
          <w:p w14:paraId="5BEC7C89" w14:textId="7F794070" w:rsidR="003942DF" w:rsidRPr="00F24A76" w:rsidRDefault="003942DF" w:rsidP="003942DF">
            <w:pPr>
              <w:pStyle w:val="NoSpacing"/>
              <w:jc w:val="center"/>
              <w:rPr>
                <w:i/>
              </w:rPr>
            </w:pPr>
            <w:r w:rsidRPr="002221EB">
              <w:rPr>
                <w:i/>
              </w:rPr>
              <w:t>0.08</w:t>
            </w:r>
          </w:p>
        </w:tc>
      </w:tr>
      <w:tr w:rsidR="003942DF" w:rsidRPr="00F24A76" w14:paraId="3EA16A8E" w14:textId="77777777" w:rsidTr="003942DF">
        <w:trPr>
          <w:trHeight w:val="18"/>
        </w:trPr>
        <w:tc>
          <w:tcPr>
            <w:tcW w:w="1281" w:type="pct"/>
            <w:tcBorders>
              <w:top w:val="nil"/>
              <w:left w:val="nil"/>
              <w:bottom w:val="nil"/>
              <w:right w:val="nil"/>
            </w:tcBorders>
            <w:shd w:val="clear" w:color="000000" w:fill="FFFFFF"/>
            <w:noWrap/>
            <w:vAlign w:val="bottom"/>
          </w:tcPr>
          <w:p w14:paraId="33BB61A5" w14:textId="29459739" w:rsidR="003942DF" w:rsidRPr="00F24A76" w:rsidRDefault="003942DF" w:rsidP="003942DF">
            <w:pPr>
              <w:pStyle w:val="NoSpacing"/>
            </w:pPr>
            <w:r w:rsidRPr="00F24A76">
              <w:t>Whole Aorta</w:t>
            </w:r>
          </w:p>
        </w:tc>
        <w:tc>
          <w:tcPr>
            <w:tcW w:w="69" w:type="pct"/>
            <w:tcBorders>
              <w:top w:val="nil"/>
              <w:left w:val="nil"/>
              <w:bottom w:val="nil"/>
              <w:right w:val="nil"/>
            </w:tcBorders>
            <w:shd w:val="clear" w:color="000000" w:fill="FFFFFF"/>
            <w:noWrap/>
            <w:vAlign w:val="bottom"/>
          </w:tcPr>
          <w:p w14:paraId="369DCE29" w14:textId="6DC71E20" w:rsidR="003942DF" w:rsidRPr="00F24A76" w:rsidRDefault="003942DF" w:rsidP="003942DF">
            <w:pPr>
              <w:pStyle w:val="NoSpacing"/>
            </w:pPr>
            <w:r w:rsidRPr="00F24A76">
              <w:t> </w:t>
            </w:r>
          </w:p>
        </w:tc>
        <w:tc>
          <w:tcPr>
            <w:tcW w:w="184" w:type="pct"/>
            <w:tcBorders>
              <w:top w:val="nil"/>
              <w:left w:val="nil"/>
              <w:bottom w:val="nil"/>
              <w:right w:val="nil"/>
            </w:tcBorders>
            <w:shd w:val="clear" w:color="000000" w:fill="FFFFFF"/>
            <w:noWrap/>
            <w:vAlign w:val="bottom"/>
          </w:tcPr>
          <w:p w14:paraId="5EFABEDA" w14:textId="0ADBA937" w:rsidR="003942DF" w:rsidRPr="00F24A76" w:rsidRDefault="003942DF" w:rsidP="003942DF">
            <w:pPr>
              <w:pStyle w:val="NoSpacing"/>
              <w:jc w:val="right"/>
            </w:pPr>
            <w:r w:rsidRPr="00F24A76">
              <w:t>5.7</w:t>
            </w:r>
          </w:p>
        </w:tc>
        <w:tc>
          <w:tcPr>
            <w:tcW w:w="315" w:type="pct"/>
            <w:tcBorders>
              <w:top w:val="nil"/>
              <w:left w:val="nil"/>
              <w:bottom w:val="nil"/>
              <w:right w:val="nil"/>
            </w:tcBorders>
            <w:shd w:val="clear" w:color="000000" w:fill="FFFFFF"/>
            <w:noWrap/>
            <w:vAlign w:val="bottom"/>
          </w:tcPr>
          <w:p w14:paraId="5478A7BB" w14:textId="27F75290" w:rsidR="003942DF" w:rsidRPr="00F24A76" w:rsidRDefault="003942DF" w:rsidP="003942DF">
            <w:pPr>
              <w:pStyle w:val="NoSpacing"/>
            </w:pPr>
            <w:r w:rsidRPr="00F24A76">
              <w:t>(5,7)</w:t>
            </w:r>
          </w:p>
        </w:tc>
        <w:tc>
          <w:tcPr>
            <w:tcW w:w="181" w:type="pct"/>
            <w:tcBorders>
              <w:top w:val="nil"/>
              <w:left w:val="nil"/>
              <w:bottom w:val="nil"/>
              <w:right w:val="nil"/>
            </w:tcBorders>
            <w:shd w:val="clear" w:color="000000" w:fill="FFFFFF"/>
            <w:noWrap/>
            <w:vAlign w:val="bottom"/>
          </w:tcPr>
          <w:p w14:paraId="33C79869" w14:textId="56271EE6" w:rsidR="003942DF" w:rsidRPr="00F24A76" w:rsidRDefault="003942DF" w:rsidP="003942DF">
            <w:pPr>
              <w:pStyle w:val="NoSpacing"/>
              <w:jc w:val="right"/>
            </w:pPr>
            <w:r w:rsidRPr="00F24A76">
              <w:t>5.5</w:t>
            </w:r>
          </w:p>
        </w:tc>
        <w:tc>
          <w:tcPr>
            <w:tcW w:w="314" w:type="pct"/>
            <w:tcBorders>
              <w:top w:val="nil"/>
              <w:left w:val="nil"/>
              <w:bottom w:val="nil"/>
              <w:right w:val="nil"/>
            </w:tcBorders>
            <w:shd w:val="clear" w:color="000000" w:fill="FFFFFF"/>
            <w:noWrap/>
            <w:vAlign w:val="bottom"/>
          </w:tcPr>
          <w:p w14:paraId="0B2EC811" w14:textId="35D94D6C" w:rsidR="003942DF" w:rsidRPr="00F24A76" w:rsidRDefault="003942DF" w:rsidP="003942DF">
            <w:pPr>
              <w:pStyle w:val="NoSpacing"/>
            </w:pPr>
            <w:r w:rsidRPr="00F24A76">
              <w:t>(5,6)</w:t>
            </w:r>
          </w:p>
        </w:tc>
        <w:tc>
          <w:tcPr>
            <w:tcW w:w="219" w:type="pct"/>
            <w:tcBorders>
              <w:top w:val="nil"/>
              <w:left w:val="nil"/>
              <w:bottom w:val="nil"/>
              <w:right w:val="nil"/>
            </w:tcBorders>
            <w:shd w:val="clear" w:color="000000" w:fill="FFFFFF"/>
            <w:noWrap/>
            <w:vAlign w:val="bottom"/>
          </w:tcPr>
          <w:p w14:paraId="1CBDF870" w14:textId="41280885" w:rsidR="003942DF" w:rsidRPr="00F24A76" w:rsidRDefault="003942DF" w:rsidP="003942DF">
            <w:pPr>
              <w:pStyle w:val="NoSpacing"/>
              <w:jc w:val="center"/>
              <w:rPr>
                <w:i/>
              </w:rPr>
            </w:pPr>
            <w:r w:rsidRPr="002221EB">
              <w:rPr>
                <w:i/>
              </w:rPr>
              <w:t>0.03</w:t>
            </w:r>
          </w:p>
        </w:tc>
        <w:tc>
          <w:tcPr>
            <w:tcW w:w="184" w:type="pct"/>
            <w:tcBorders>
              <w:top w:val="nil"/>
              <w:left w:val="nil"/>
              <w:bottom w:val="nil"/>
              <w:right w:val="nil"/>
            </w:tcBorders>
            <w:shd w:val="clear" w:color="000000" w:fill="FFFFFF"/>
            <w:noWrap/>
            <w:vAlign w:val="bottom"/>
          </w:tcPr>
          <w:p w14:paraId="3EF0A65F" w14:textId="6D7F3807" w:rsidR="003942DF" w:rsidRPr="00F24A76" w:rsidRDefault="003942DF" w:rsidP="003942DF">
            <w:pPr>
              <w:pStyle w:val="NoSpacing"/>
              <w:jc w:val="right"/>
            </w:pPr>
            <w:r w:rsidRPr="00F24A76">
              <w:t>6.3</w:t>
            </w:r>
          </w:p>
        </w:tc>
        <w:tc>
          <w:tcPr>
            <w:tcW w:w="315" w:type="pct"/>
            <w:tcBorders>
              <w:top w:val="nil"/>
              <w:left w:val="nil"/>
              <w:bottom w:val="nil"/>
              <w:right w:val="nil"/>
            </w:tcBorders>
            <w:shd w:val="clear" w:color="000000" w:fill="FFFFFF"/>
            <w:noWrap/>
            <w:vAlign w:val="bottom"/>
          </w:tcPr>
          <w:p w14:paraId="312B6181" w14:textId="44955443" w:rsidR="003942DF" w:rsidRPr="00F24A76" w:rsidRDefault="003942DF" w:rsidP="003942DF">
            <w:pPr>
              <w:pStyle w:val="NoSpacing"/>
            </w:pPr>
            <w:r w:rsidRPr="00F24A76">
              <w:t>(6,7)</w:t>
            </w:r>
          </w:p>
        </w:tc>
        <w:tc>
          <w:tcPr>
            <w:tcW w:w="181" w:type="pct"/>
            <w:tcBorders>
              <w:top w:val="nil"/>
              <w:left w:val="nil"/>
              <w:bottom w:val="nil"/>
              <w:right w:val="nil"/>
            </w:tcBorders>
            <w:shd w:val="clear" w:color="000000" w:fill="FFFFFF"/>
            <w:noWrap/>
            <w:vAlign w:val="bottom"/>
          </w:tcPr>
          <w:p w14:paraId="68486748" w14:textId="2FCE6196" w:rsidR="003942DF" w:rsidRPr="00F24A76" w:rsidRDefault="003942DF" w:rsidP="003942DF">
            <w:pPr>
              <w:pStyle w:val="NoSpacing"/>
              <w:jc w:val="right"/>
            </w:pPr>
            <w:r w:rsidRPr="00F24A76">
              <w:t>6.1</w:t>
            </w:r>
          </w:p>
        </w:tc>
        <w:tc>
          <w:tcPr>
            <w:tcW w:w="314" w:type="pct"/>
            <w:tcBorders>
              <w:top w:val="nil"/>
              <w:left w:val="nil"/>
              <w:bottom w:val="nil"/>
              <w:right w:val="nil"/>
            </w:tcBorders>
            <w:shd w:val="clear" w:color="000000" w:fill="FFFFFF"/>
            <w:noWrap/>
            <w:vAlign w:val="bottom"/>
          </w:tcPr>
          <w:p w14:paraId="3CAF11B1" w14:textId="1B8289C4" w:rsidR="003942DF" w:rsidRPr="00F24A76" w:rsidRDefault="003942DF" w:rsidP="003942DF">
            <w:pPr>
              <w:pStyle w:val="NoSpacing"/>
            </w:pPr>
            <w:r w:rsidRPr="00F24A76">
              <w:t>(5,8)</w:t>
            </w:r>
          </w:p>
        </w:tc>
        <w:tc>
          <w:tcPr>
            <w:tcW w:w="272" w:type="pct"/>
            <w:tcBorders>
              <w:top w:val="nil"/>
              <w:left w:val="nil"/>
              <w:bottom w:val="nil"/>
              <w:right w:val="nil"/>
            </w:tcBorders>
            <w:shd w:val="clear" w:color="000000" w:fill="FFFFFF"/>
            <w:noWrap/>
            <w:vAlign w:val="bottom"/>
          </w:tcPr>
          <w:p w14:paraId="234699A8" w14:textId="1318A7F9" w:rsidR="003942DF" w:rsidRPr="00F24A76" w:rsidRDefault="003942DF"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66817A27" w14:textId="6A47A2A7" w:rsidR="003942DF" w:rsidRPr="00F24A76" w:rsidRDefault="003942DF" w:rsidP="003942DF">
            <w:pPr>
              <w:pStyle w:val="NoSpacing"/>
              <w:jc w:val="right"/>
            </w:pPr>
            <w:r w:rsidRPr="00F24A76">
              <w:t>5.1</w:t>
            </w:r>
          </w:p>
        </w:tc>
        <w:tc>
          <w:tcPr>
            <w:tcW w:w="314" w:type="pct"/>
            <w:tcBorders>
              <w:top w:val="nil"/>
              <w:left w:val="nil"/>
              <w:bottom w:val="nil"/>
              <w:right w:val="nil"/>
            </w:tcBorders>
            <w:shd w:val="clear" w:color="000000" w:fill="FFFFFF"/>
            <w:noWrap/>
            <w:vAlign w:val="bottom"/>
          </w:tcPr>
          <w:p w14:paraId="103805E2" w14:textId="5937D5C8" w:rsidR="003942DF" w:rsidRPr="00F24A76" w:rsidRDefault="003942DF" w:rsidP="003942DF">
            <w:pPr>
              <w:pStyle w:val="NoSpacing"/>
            </w:pPr>
            <w:r w:rsidRPr="00F24A76">
              <w:t>(5,6)</w:t>
            </w:r>
          </w:p>
        </w:tc>
        <w:tc>
          <w:tcPr>
            <w:tcW w:w="182" w:type="pct"/>
            <w:tcBorders>
              <w:top w:val="nil"/>
              <w:left w:val="nil"/>
              <w:bottom w:val="nil"/>
              <w:right w:val="nil"/>
            </w:tcBorders>
            <w:shd w:val="clear" w:color="000000" w:fill="FFFFFF"/>
            <w:noWrap/>
            <w:vAlign w:val="bottom"/>
          </w:tcPr>
          <w:p w14:paraId="50466F2A" w14:textId="4E112FD3" w:rsidR="003942DF" w:rsidRPr="00F24A76" w:rsidRDefault="003942DF" w:rsidP="003942DF">
            <w:pPr>
              <w:pStyle w:val="NoSpacing"/>
              <w:jc w:val="right"/>
            </w:pPr>
            <w:r w:rsidRPr="00F24A76">
              <w:t>5.0</w:t>
            </w:r>
          </w:p>
        </w:tc>
        <w:tc>
          <w:tcPr>
            <w:tcW w:w="314" w:type="pct"/>
            <w:tcBorders>
              <w:top w:val="nil"/>
              <w:left w:val="nil"/>
              <w:bottom w:val="nil"/>
              <w:right w:val="nil"/>
            </w:tcBorders>
            <w:shd w:val="clear" w:color="000000" w:fill="FFFFFF"/>
            <w:noWrap/>
            <w:vAlign w:val="bottom"/>
          </w:tcPr>
          <w:p w14:paraId="392383B6" w14:textId="04648726" w:rsidR="003942DF" w:rsidRPr="00F24A76" w:rsidRDefault="003942DF" w:rsidP="003942DF">
            <w:pPr>
              <w:pStyle w:val="NoSpacing"/>
            </w:pPr>
            <w:r w:rsidRPr="00F24A76">
              <w:t>(5,6)</w:t>
            </w:r>
          </w:p>
        </w:tc>
        <w:tc>
          <w:tcPr>
            <w:tcW w:w="178" w:type="pct"/>
            <w:tcBorders>
              <w:top w:val="nil"/>
              <w:left w:val="nil"/>
              <w:bottom w:val="nil"/>
              <w:right w:val="nil"/>
            </w:tcBorders>
            <w:shd w:val="clear" w:color="000000" w:fill="FFFFFF"/>
            <w:noWrap/>
            <w:vAlign w:val="bottom"/>
          </w:tcPr>
          <w:p w14:paraId="2280B4B6" w14:textId="382A26EC" w:rsidR="003942DF" w:rsidRPr="00F24A76" w:rsidRDefault="003942DF" w:rsidP="003942DF">
            <w:pPr>
              <w:pStyle w:val="NoSpacing"/>
              <w:jc w:val="center"/>
              <w:rPr>
                <w:i/>
              </w:rPr>
            </w:pPr>
            <w:r w:rsidRPr="002221EB">
              <w:rPr>
                <w:i/>
              </w:rPr>
              <w:t>0.10</w:t>
            </w:r>
          </w:p>
        </w:tc>
      </w:tr>
      <w:tr w:rsidR="003942DF" w:rsidRPr="00F24A76" w14:paraId="4D912AF7" w14:textId="77777777" w:rsidTr="003942DF">
        <w:trPr>
          <w:trHeight w:val="18"/>
        </w:trPr>
        <w:tc>
          <w:tcPr>
            <w:tcW w:w="1281" w:type="pct"/>
            <w:tcBorders>
              <w:top w:val="nil"/>
              <w:left w:val="nil"/>
              <w:bottom w:val="nil"/>
              <w:right w:val="nil"/>
            </w:tcBorders>
            <w:shd w:val="clear" w:color="000000" w:fill="FFFFFF"/>
            <w:noWrap/>
            <w:vAlign w:val="bottom"/>
          </w:tcPr>
          <w:p w14:paraId="6336E46C" w14:textId="77777777" w:rsidR="003942DF" w:rsidRPr="00F24A76" w:rsidRDefault="003942DF" w:rsidP="003942DF">
            <w:pPr>
              <w:pStyle w:val="NoSpacing"/>
            </w:pPr>
          </w:p>
        </w:tc>
        <w:tc>
          <w:tcPr>
            <w:tcW w:w="69" w:type="pct"/>
            <w:tcBorders>
              <w:top w:val="nil"/>
              <w:left w:val="nil"/>
              <w:bottom w:val="nil"/>
              <w:right w:val="nil"/>
            </w:tcBorders>
            <w:shd w:val="clear" w:color="000000" w:fill="FFFFFF"/>
            <w:noWrap/>
            <w:vAlign w:val="bottom"/>
          </w:tcPr>
          <w:p w14:paraId="4BE5FF17" w14:textId="77777777" w:rsidR="003942DF" w:rsidRPr="00F24A76" w:rsidRDefault="003942DF" w:rsidP="003942DF">
            <w:pPr>
              <w:pStyle w:val="NoSpacing"/>
            </w:pPr>
          </w:p>
        </w:tc>
        <w:tc>
          <w:tcPr>
            <w:tcW w:w="184" w:type="pct"/>
            <w:tcBorders>
              <w:top w:val="nil"/>
              <w:left w:val="nil"/>
              <w:bottom w:val="nil"/>
              <w:right w:val="nil"/>
            </w:tcBorders>
            <w:shd w:val="clear" w:color="000000" w:fill="FFFFFF"/>
            <w:noWrap/>
            <w:vAlign w:val="bottom"/>
          </w:tcPr>
          <w:p w14:paraId="5177F8DC"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0292F228"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5A60A107"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480E61BC" w14:textId="77777777" w:rsidR="003942DF" w:rsidRPr="00F24A76" w:rsidRDefault="003942DF" w:rsidP="003942DF">
            <w:pPr>
              <w:pStyle w:val="NoSpacing"/>
            </w:pPr>
          </w:p>
        </w:tc>
        <w:tc>
          <w:tcPr>
            <w:tcW w:w="219" w:type="pct"/>
            <w:tcBorders>
              <w:top w:val="nil"/>
              <w:left w:val="nil"/>
              <w:bottom w:val="nil"/>
              <w:right w:val="nil"/>
            </w:tcBorders>
            <w:shd w:val="clear" w:color="000000" w:fill="FFFFFF"/>
            <w:noWrap/>
            <w:vAlign w:val="bottom"/>
          </w:tcPr>
          <w:p w14:paraId="6AC8521F" w14:textId="77777777" w:rsidR="003942DF" w:rsidRPr="00F24A76" w:rsidRDefault="003942DF" w:rsidP="003942DF">
            <w:pPr>
              <w:pStyle w:val="NoSpacing"/>
              <w:jc w:val="center"/>
              <w:rPr>
                <w:i/>
              </w:rPr>
            </w:pPr>
          </w:p>
        </w:tc>
        <w:tc>
          <w:tcPr>
            <w:tcW w:w="184" w:type="pct"/>
            <w:tcBorders>
              <w:top w:val="nil"/>
              <w:left w:val="nil"/>
              <w:bottom w:val="nil"/>
              <w:right w:val="nil"/>
            </w:tcBorders>
            <w:shd w:val="clear" w:color="000000" w:fill="FFFFFF"/>
            <w:noWrap/>
            <w:vAlign w:val="bottom"/>
          </w:tcPr>
          <w:p w14:paraId="22034D86" w14:textId="77777777" w:rsidR="003942DF" w:rsidRPr="00F24A76" w:rsidRDefault="003942DF" w:rsidP="003942DF">
            <w:pPr>
              <w:pStyle w:val="NoSpacing"/>
              <w:jc w:val="right"/>
            </w:pPr>
          </w:p>
        </w:tc>
        <w:tc>
          <w:tcPr>
            <w:tcW w:w="315" w:type="pct"/>
            <w:tcBorders>
              <w:top w:val="nil"/>
              <w:left w:val="nil"/>
              <w:bottom w:val="nil"/>
              <w:right w:val="nil"/>
            </w:tcBorders>
            <w:shd w:val="clear" w:color="000000" w:fill="FFFFFF"/>
            <w:noWrap/>
            <w:vAlign w:val="bottom"/>
          </w:tcPr>
          <w:p w14:paraId="73C1D4A2" w14:textId="77777777" w:rsidR="003942DF" w:rsidRPr="00F24A76" w:rsidRDefault="003942DF" w:rsidP="003942DF">
            <w:pPr>
              <w:pStyle w:val="NoSpacing"/>
            </w:pPr>
          </w:p>
        </w:tc>
        <w:tc>
          <w:tcPr>
            <w:tcW w:w="181" w:type="pct"/>
            <w:tcBorders>
              <w:top w:val="nil"/>
              <w:left w:val="nil"/>
              <w:bottom w:val="nil"/>
              <w:right w:val="nil"/>
            </w:tcBorders>
            <w:shd w:val="clear" w:color="000000" w:fill="FFFFFF"/>
            <w:noWrap/>
            <w:vAlign w:val="bottom"/>
          </w:tcPr>
          <w:p w14:paraId="6E074B93"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28EB4901" w14:textId="77777777" w:rsidR="003942DF" w:rsidRPr="00F24A76" w:rsidRDefault="003942DF" w:rsidP="003942DF">
            <w:pPr>
              <w:pStyle w:val="NoSpacing"/>
            </w:pPr>
          </w:p>
        </w:tc>
        <w:tc>
          <w:tcPr>
            <w:tcW w:w="272" w:type="pct"/>
            <w:tcBorders>
              <w:top w:val="nil"/>
              <w:left w:val="nil"/>
              <w:bottom w:val="nil"/>
              <w:right w:val="nil"/>
            </w:tcBorders>
            <w:shd w:val="clear" w:color="000000" w:fill="FFFFFF"/>
            <w:noWrap/>
            <w:vAlign w:val="bottom"/>
          </w:tcPr>
          <w:p w14:paraId="655C75EA" w14:textId="77777777" w:rsidR="003942DF" w:rsidRPr="00F24A76" w:rsidRDefault="003942DF" w:rsidP="003942DF">
            <w:pPr>
              <w:pStyle w:val="NoSpacing"/>
              <w:jc w:val="center"/>
              <w:rPr>
                <w:i/>
              </w:rPr>
            </w:pPr>
          </w:p>
        </w:tc>
        <w:tc>
          <w:tcPr>
            <w:tcW w:w="183" w:type="pct"/>
            <w:tcBorders>
              <w:top w:val="nil"/>
              <w:left w:val="nil"/>
              <w:bottom w:val="nil"/>
              <w:right w:val="nil"/>
            </w:tcBorders>
            <w:shd w:val="clear" w:color="000000" w:fill="FFFFFF"/>
            <w:noWrap/>
            <w:vAlign w:val="bottom"/>
          </w:tcPr>
          <w:p w14:paraId="272487F2"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3F802502" w14:textId="77777777" w:rsidR="003942DF" w:rsidRPr="00F24A76" w:rsidRDefault="003942DF" w:rsidP="003942DF">
            <w:pPr>
              <w:pStyle w:val="NoSpacing"/>
            </w:pPr>
          </w:p>
        </w:tc>
        <w:tc>
          <w:tcPr>
            <w:tcW w:w="182" w:type="pct"/>
            <w:tcBorders>
              <w:top w:val="nil"/>
              <w:left w:val="nil"/>
              <w:bottom w:val="nil"/>
              <w:right w:val="nil"/>
            </w:tcBorders>
            <w:shd w:val="clear" w:color="000000" w:fill="FFFFFF"/>
            <w:noWrap/>
            <w:vAlign w:val="bottom"/>
          </w:tcPr>
          <w:p w14:paraId="32188C41" w14:textId="77777777" w:rsidR="003942DF" w:rsidRPr="00F24A76" w:rsidRDefault="003942DF" w:rsidP="003942DF">
            <w:pPr>
              <w:pStyle w:val="NoSpacing"/>
              <w:jc w:val="right"/>
            </w:pPr>
          </w:p>
        </w:tc>
        <w:tc>
          <w:tcPr>
            <w:tcW w:w="314" w:type="pct"/>
            <w:tcBorders>
              <w:top w:val="nil"/>
              <w:left w:val="nil"/>
              <w:bottom w:val="nil"/>
              <w:right w:val="nil"/>
            </w:tcBorders>
            <w:shd w:val="clear" w:color="000000" w:fill="FFFFFF"/>
            <w:noWrap/>
            <w:vAlign w:val="bottom"/>
          </w:tcPr>
          <w:p w14:paraId="72C95AE0" w14:textId="77777777" w:rsidR="003942DF" w:rsidRPr="00F24A76" w:rsidRDefault="003942DF" w:rsidP="003942DF">
            <w:pPr>
              <w:pStyle w:val="NoSpacing"/>
            </w:pPr>
          </w:p>
        </w:tc>
        <w:tc>
          <w:tcPr>
            <w:tcW w:w="178" w:type="pct"/>
            <w:tcBorders>
              <w:top w:val="nil"/>
              <w:left w:val="nil"/>
              <w:bottom w:val="nil"/>
              <w:right w:val="nil"/>
            </w:tcBorders>
            <w:shd w:val="clear" w:color="000000" w:fill="FFFFFF"/>
            <w:noWrap/>
            <w:vAlign w:val="bottom"/>
          </w:tcPr>
          <w:p w14:paraId="31B0253C" w14:textId="77777777" w:rsidR="003942DF" w:rsidRPr="00F24A76" w:rsidRDefault="003942DF" w:rsidP="003942DF">
            <w:pPr>
              <w:pStyle w:val="NoSpacing"/>
              <w:jc w:val="center"/>
              <w:rPr>
                <w:i/>
              </w:rPr>
            </w:pPr>
          </w:p>
        </w:tc>
      </w:tr>
      <w:tr w:rsidR="003B2A3E" w:rsidRPr="00F24A76" w14:paraId="1EAFB725" w14:textId="77777777" w:rsidTr="003942DF">
        <w:trPr>
          <w:trHeight w:val="18"/>
        </w:trPr>
        <w:tc>
          <w:tcPr>
            <w:tcW w:w="1281" w:type="pct"/>
            <w:tcBorders>
              <w:top w:val="nil"/>
              <w:left w:val="nil"/>
              <w:bottom w:val="nil"/>
              <w:right w:val="nil"/>
            </w:tcBorders>
            <w:shd w:val="clear" w:color="000000" w:fill="FFFFFF"/>
            <w:noWrap/>
            <w:vAlign w:val="bottom"/>
          </w:tcPr>
          <w:p w14:paraId="29697AC6" w14:textId="6EFE41E8" w:rsidR="003B2A3E" w:rsidRDefault="003B2A3E" w:rsidP="003942DF">
            <w:pPr>
              <w:pStyle w:val="NoSpacing"/>
              <w:rPr>
                <w:b/>
              </w:rPr>
            </w:pPr>
            <w:r>
              <w:rPr>
                <w:b/>
              </w:rPr>
              <w:t>A</w:t>
            </w:r>
            <w:r w:rsidRPr="00137F26">
              <w:rPr>
                <w:b/>
              </w:rPr>
              <w:t xml:space="preserve">scending </w:t>
            </w:r>
            <w:r>
              <w:rPr>
                <w:b/>
              </w:rPr>
              <w:t>aortic Z</w:t>
            </w:r>
            <w:r w:rsidRPr="00D941AE">
              <w:rPr>
                <w:b/>
                <w:vertAlign w:val="subscript"/>
              </w:rPr>
              <w:t>c</w:t>
            </w:r>
            <w:r>
              <w:rPr>
                <w:b/>
                <w:vertAlign w:val="subscript"/>
              </w:rPr>
              <w:t xml:space="preserve"> </w:t>
            </w:r>
            <w:r w:rsidRPr="007D67D0">
              <w:t>(dynes.s.cm</w:t>
            </w:r>
            <w:r w:rsidRPr="007D67D0">
              <w:rPr>
                <w:vertAlign w:val="superscript"/>
              </w:rPr>
              <w:t>-5</w:t>
            </w:r>
            <w:r w:rsidRPr="007D67D0">
              <w:t>)</w:t>
            </w:r>
          </w:p>
        </w:tc>
        <w:tc>
          <w:tcPr>
            <w:tcW w:w="69" w:type="pct"/>
            <w:tcBorders>
              <w:top w:val="nil"/>
              <w:left w:val="nil"/>
              <w:bottom w:val="nil"/>
              <w:right w:val="nil"/>
            </w:tcBorders>
            <w:shd w:val="clear" w:color="000000" w:fill="FFFFFF"/>
            <w:noWrap/>
            <w:vAlign w:val="bottom"/>
          </w:tcPr>
          <w:p w14:paraId="4E97D24C" w14:textId="77777777" w:rsidR="003B2A3E" w:rsidRPr="00F24A76" w:rsidRDefault="003B2A3E" w:rsidP="003942DF">
            <w:pPr>
              <w:pStyle w:val="NoSpacing"/>
            </w:pPr>
          </w:p>
        </w:tc>
        <w:tc>
          <w:tcPr>
            <w:tcW w:w="184" w:type="pct"/>
            <w:tcBorders>
              <w:top w:val="nil"/>
              <w:left w:val="nil"/>
              <w:bottom w:val="nil"/>
              <w:right w:val="nil"/>
            </w:tcBorders>
            <w:shd w:val="clear" w:color="000000" w:fill="FFFFFF"/>
            <w:noWrap/>
            <w:vAlign w:val="bottom"/>
          </w:tcPr>
          <w:p w14:paraId="316B9BAE" w14:textId="4C630E48" w:rsidR="003B2A3E" w:rsidRPr="003B2A3E" w:rsidRDefault="003B2A3E" w:rsidP="003942DF">
            <w:pPr>
              <w:pStyle w:val="NoSpacing"/>
              <w:jc w:val="right"/>
              <w:rPr>
                <w:color w:val="000000"/>
              </w:rPr>
            </w:pPr>
            <w:r w:rsidRPr="003B2A3E">
              <w:rPr>
                <w:color w:val="000000"/>
              </w:rPr>
              <w:t>59</w:t>
            </w:r>
          </w:p>
        </w:tc>
        <w:tc>
          <w:tcPr>
            <w:tcW w:w="315" w:type="pct"/>
            <w:tcBorders>
              <w:top w:val="nil"/>
              <w:left w:val="nil"/>
              <w:bottom w:val="nil"/>
              <w:right w:val="nil"/>
            </w:tcBorders>
            <w:shd w:val="clear" w:color="000000" w:fill="FFFFFF"/>
            <w:noWrap/>
            <w:vAlign w:val="bottom"/>
          </w:tcPr>
          <w:p w14:paraId="08403589" w14:textId="0F27CEFA" w:rsidR="003B2A3E" w:rsidRPr="003B2A3E" w:rsidRDefault="003B2A3E" w:rsidP="003942DF">
            <w:pPr>
              <w:pStyle w:val="NoSpacing"/>
              <w:rPr>
                <w:color w:val="000000"/>
              </w:rPr>
            </w:pPr>
            <w:r w:rsidRPr="003B2A3E">
              <w:t>±18</w:t>
            </w:r>
          </w:p>
        </w:tc>
        <w:tc>
          <w:tcPr>
            <w:tcW w:w="181" w:type="pct"/>
            <w:tcBorders>
              <w:top w:val="nil"/>
              <w:left w:val="nil"/>
              <w:bottom w:val="nil"/>
              <w:right w:val="nil"/>
            </w:tcBorders>
            <w:shd w:val="clear" w:color="000000" w:fill="FFFFFF"/>
            <w:noWrap/>
            <w:vAlign w:val="bottom"/>
          </w:tcPr>
          <w:p w14:paraId="22527BA6" w14:textId="053C191A" w:rsidR="003B2A3E" w:rsidRPr="003B2A3E" w:rsidRDefault="003B2A3E" w:rsidP="003942DF">
            <w:pPr>
              <w:pStyle w:val="NoSpacing"/>
              <w:jc w:val="right"/>
              <w:rPr>
                <w:color w:val="000000"/>
              </w:rPr>
            </w:pPr>
            <w:r w:rsidRPr="003B2A3E">
              <w:rPr>
                <w:color w:val="000000"/>
              </w:rPr>
              <w:t>57</w:t>
            </w:r>
          </w:p>
        </w:tc>
        <w:tc>
          <w:tcPr>
            <w:tcW w:w="314" w:type="pct"/>
            <w:tcBorders>
              <w:top w:val="nil"/>
              <w:left w:val="nil"/>
              <w:bottom w:val="nil"/>
              <w:right w:val="nil"/>
            </w:tcBorders>
            <w:shd w:val="clear" w:color="000000" w:fill="FFFFFF"/>
            <w:noWrap/>
            <w:vAlign w:val="bottom"/>
          </w:tcPr>
          <w:p w14:paraId="515E4F98" w14:textId="6D9BAA79" w:rsidR="003B2A3E" w:rsidRPr="003B2A3E" w:rsidRDefault="003B2A3E" w:rsidP="003942DF">
            <w:pPr>
              <w:pStyle w:val="NoSpacing"/>
              <w:rPr>
                <w:color w:val="000000"/>
              </w:rPr>
            </w:pPr>
            <w:r w:rsidRPr="003B2A3E">
              <w:t>±</w:t>
            </w:r>
            <w:r w:rsidRPr="003B2A3E">
              <w:rPr>
                <w:color w:val="000000"/>
              </w:rPr>
              <w:t>14</w:t>
            </w:r>
          </w:p>
        </w:tc>
        <w:tc>
          <w:tcPr>
            <w:tcW w:w="219" w:type="pct"/>
            <w:tcBorders>
              <w:top w:val="nil"/>
              <w:left w:val="nil"/>
              <w:bottom w:val="nil"/>
              <w:right w:val="nil"/>
            </w:tcBorders>
            <w:shd w:val="clear" w:color="000000" w:fill="FFFFFF"/>
            <w:noWrap/>
            <w:vAlign w:val="bottom"/>
          </w:tcPr>
          <w:p w14:paraId="2A204E37" w14:textId="58156FC1" w:rsidR="003B2A3E" w:rsidRPr="003B2A3E" w:rsidRDefault="00802B9D"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tcPr>
          <w:p w14:paraId="34655F36" w14:textId="62E45033" w:rsidR="003B2A3E" w:rsidRPr="003B2A3E" w:rsidRDefault="003B2A3E" w:rsidP="003942DF">
            <w:pPr>
              <w:pStyle w:val="NoSpacing"/>
              <w:jc w:val="right"/>
              <w:rPr>
                <w:color w:val="000000"/>
              </w:rPr>
            </w:pPr>
            <w:r w:rsidRPr="003B2A3E">
              <w:rPr>
                <w:color w:val="000000"/>
              </w:rPr>
              <w:t>60</w:t>
            </w:r>
          </w:p>
        </w:tc>
        <w:tc>
          <w:tcPr>
            <w:tcW w:w="315" w:type="pct"/>
            <w:tcBorders>
              <w:top w:val="nil"/>
              <w:left w:val="nil"/>
              <w:bottom w:val="nil"/>
              <w:right w:val="nil"/>
            </w:tcBorders>
            <w:shd w:val="clear" w:color="000000" w:fill="FFFFFF"/>
            <w:noWrap/>
            <w:vAlign w:val="bottom"/>
          </w:tcPr>
          <w:p w14:paraId="30025C2E" w14:textId="6BE597E1" w:rsidR="003B2A3E" w:rsidRPr="003B2A3E" w:rsidRDefault="003B2A3E" w:rsidP="003942DF">
            <w:pPr>
              <w:pStyle w:val="NoSpacing"/>
              <w:rPr>
                <w:color w:val="000000"/>
              </w:rPr>
            </w:pPr>
            <w:r w:rsidRPr="003B2A3E">
              <w:t>±20</w:t>
            </w:r>
          </w:p>
        </w:tc>
        <w:tc>
          <w:tcPr>
            <w:tcW w:w="181" w:type="pct"/>
            <w:tcBorders>
              <w:top w:val="nil"/>
              <w:left w:val="nil"/>
              <w:bottom w:val="nil"/>
              <w:right w:val="nil"/>
            </w:tcBorders>
            <w:shd w:val="clear" w:color="000000" w:fill="FFFFFF"/>
            <w:noWrap/>
            <w:vAlign w:val="bottom"/>
          </w:tcPr>
          <w:p w14:paraId="65972813" w14:textId="62008D65" w:rsidR="003B2A3E" w:rsidRPr="003B2A3E" w:rsidRDefault="003B2A3E" w:rsidP="003942DF">
            <w:pPr>
              <w:pStyle w:val="NoSpacing"/>
              <w:jc w:val="right"/>
              <w:rPr>
                <w:color w:val="000000"/>
              </w:rPr>
            </w:pPr>
            <w:r w:rsidRPr="003B2A3E">
              <w:rPr>
                <w:color w:val="000000"/>
              </w:rPr>
              <w:t>57</w:t>
            </w:r>
          </w:p>
        </w:tc>
        <w:tc>
          <w:tcPr>
            <w:tcW w:w="314" w:type="pct"/>
            <w:tcBorders>
              <w:top w:val="nil"/>
              <w:left w:val="nil"/>
              <w:bottom w:val="nil"/>
              <w:right w:val="nil"/>
            </w:tcBorders>
            <w:shd w:val="clear" w:color="000000" w:fill="FFFFFF"/>
            <w:noWrap/>
            <w:vAlign w:val="bottom"/>
          </w:tcPr>
          <w:p w14:paraId="72E95929" w14:textId="4A3D42DE" w:rsidR="003B2A3E" w:rsidRPr="003B2A3E" w:rsidRDefault="003B2A3E" w:rsidP="003942DF">
            <w:pPr>
              <w:pStyle w:val="NoSpacing"/>
              <w:rPr>
                <w:color w:val="000000"/>
              </w:rPr>
            </w:pPr>
            <w:r w:rsidRPr="003B2A3E">
              <w:t>±15</w:t>
            </w:r>
          </w:p>
        </w:tc>
        <w:tc>
          <w:tcPr>
            <w:tcW w:w="272" w:type="pct"/>
            <w:tcBorders>
              <w:top w:val="nil"/>
              <w:left w:val="nil"/>
              <w:bottom w:val="nil"/>
              <w:right w:val="nil"/>
            </w:tcBorders>
            <w:shd w:val="clear" w:color="000000" w:fill="FFFFFF"/>
            <w:noWrap/>
            <w:vAlign w:val="bottom"/>
          </w:tcPr>
          <w:p w14:paraId="7D0E6830" w14:textId="7B5743CE" w:rsidR="003B2A3E" w:rsidRPr="003B2A3E" w:rsidRDefault="00802B9D"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2CBFE1AA" w14:textId="15D69D32" w:rsidR="003B2A3E" w:rsidRPr="003B2A3E" w:rsidRDefault="003B2A3E" w:rsidP="003942DF">
            <w:pPr>
              <w:pStyle w:val="NoSpacing"/>
              <w:jc w:val="right"/>
              <w:rPr>
                <w:color w:val="000000"/>
              </w:rPr>
            </w:pPr>
            <w:r w:rsidRPr="003B2A3E">
              <w:rPr>
                <w:color w:val="000000"/>
              </w:rPr>
              <w:t>57</w:t>
            </w:r>
          </w:p>
        </w:tc>
        <w:tc>
          <w:tcPr>
            <w:tcW w:w="314" w:type="pct"/>
            <w:tcBorders>
              <w:top w:val="nil"/>
              <w:left w:val="nil"/>
              <w:bottom w:val="nil"/>
              <w:right w:val="nil"/>
            </w:tcBorders>
            <w:shd w:val="clear" w:color="000000" w:fill="FFFFFF"/>
            <w:noWrap/>
            <w:vAlign w:val="bottom"/>
          </w:tcPr>
          <w:p w14:paraId="584103B5" w14:textId="65594B59" w:rsidR="003B2A3E" w:rsidRPr="003B2A3E" w:rsidRDefault="003B2A3E" w:rsidP="003942DF">
            <w:pPr>
              <w:pStyle w:val="NoSpacing"/>
              <w:rPr>
                <w:color w:val="000000"/>
              </w:rPr>
            </w:pPr>
            <w:r w:rsidRPr="003B2A3E">
              <w:t>±15</w:t>
            </w:r>
          </w:p>
        </w:tc>
        <w:tc>
          <w:tcPr>
            <w:tcW w:w="182" w:type="pct"/>
            <w:tcBorders>
              <w:top w:val="nil"/>
              <w:left w:val="nil"/>
              <w:bottom w:val="nil"/>
              <w:right w:val="nil"/>
            </w:tcBorders>
            <w:shd w:val="clear" w:color="000000" w:fill="FFFFFF"/>
            <w:noWrap/>
            <w:vAlign w:val="bottom"/>
          </w:tcPr>
          <w:p w14:paraId="5138257F" w14:textId="2DAC7A69" w:rsidR="003B2A3E" w:rsidRPr="003B2A3E" w:rsidRDefault="003B2A3E" w:rsidP="003942DF">
            <w:pPr>
              <w:pStyle w:val="NoSpacing"/>
              <w:jc w:val="right"/>
              <w:rPr>
                <w:color w:val="000000"/>
              </w:rPr>
            </w:pPr>
            <w:r w:rsidRPr="003B2A3E">
              <w:rPr>
                <w:color w:val="000000"/>
              </w:rPr>
              <w:t>56</w:t>
            </w:r>
          </w:p>
        </w:tc>
        <w:tc>
          <w:tcPr>
            <w:tcW w:w="314" w:type="pct"/>
            <w:tcBorders>
              <w:top w:val="nil"/>
              <w:left w:val="nil"/>
              <w:bottom w:val="nil"/>
              <w:right w:val="nil"/>
            </w:tcBorders>
            <w:shd w:val="clear" w:color="000000" w:fill="FFFFFF"/>
            <w:noWrap/>
            <w:vAlign w:val="bottom"/>
          </w:tcPr>
          <w:p w14:paraId="720364CE" w14:textId="4CE0E942" w:rsidR="003B2A3E" w:rsidRPr="003B2A3E" w:rsidRDefault="003B2A3E" w:rsidP="003942DF">
            <w:pPr>
              <w:pStyle w:val="NoSpacing"/>
              <w:rPr>
                <w:color w:val="000000"/>
              </w:rPr>
            </w:pPr>
            <w:r w:rsidRPr="003B2A3E">
              <w:t>±12</w:t>
            </w:r>
          </w:p>
        </w:tc>
        <w:tc>
          <w:tcPr>
            <w:tcW w:w="178" w:type="pct"/>
            <w:tcBorders>
              <w:top w:val="nil"/>
              <w:left w:val="nil"/>
              <w:bottom w:val="nil"/>
              <w:right w:val="nil"/>
            </w:tcBorders>
            <w:shd w:val="clear" w:color="000000" w:fill="FFFFFF"/>
            <w:noWrap/>
            <w:vAlign w:val="bottom"/>
          </w:tcPr>
          <w:p w14:paraId="073F33B7" w14:textId="0DEBA33B" w:rsidR="003B2A3E" w:rsidRPr="00C9580D" w:rsidRDefault="00802B9D" w:rsidP="003942DF">
            <w:pPr>
              <w:pStyle w:val="NoSpacing"/>
              <w:jc w:val="center"/>
            </w:pPr>
            <w:r w:rsidRPr="00C9580D">
              <w:t>-</w:t>
            </w:r>
          </w:p>
        </w:tc>
      </w:tr>
      <w:tr w:rsidR="0099102B" w:rsidRPr="00F24A76" w14:paraId="12BEA084" w14:textId="77777777" w:rsidTr="003942DF">
        <w:trPr>
          <w:trHeight w:val="18"/>
        </w:trPr>
        <w:tc>
          <w:tcPr>
            <w:tcW w:w="1281" w:type="pct"/>
            <w:tcBorders>
              <w:top w:val="nil"/>
              <w:left w:val="nil"/>
              <w:bottom w:val="nil"/>
              <w:right w:val="nil"/>
            </w:tcBorders>
            <w:shd w:val="clear" w:color="000000" w:fill="FFFFFF"/>
            <w:noWrap/>
            <w:vAlign w:val="bottom"/>
          </w:tcPr>
          <w:p w14:paraId="2F1FB892" w14:textId="357E188D" w:rsidR="0099102B" w:rsidRDefault="0099102B" w:rsidP="003942DF">
            <w:pPr>
              <w:pStyle w:val="NoSpacing"/>
              <w:rPr>
                <w:b/>
              </w:rPr>
            </w:pPr>
            <w:r>
              <w:rPr>
                <w:b/>
              </w:rPr>
              <w:t>A</w:t>
            </w:r>
            <w:r w:rsidRPr="00137F26">
              <w:rPr>
                <w:b/>
              </w:rPr>
              <w:t xml:space="preserve">scending </w:t>
            </w:r>
            <w:r>
              <w:rPr>
                <w:b/>
              </w:rPr>
              <w:t xml:space="preserve">aortic </w:t>
            </w:r>
            <w:r w:rsidRPr="00137F26">
              <w:rPr>
                <w:b/>
              </w:rPr>
              <w:t xml:space="preserve">wave speed </w:t>
            </w:r>
            <w:r w:rsidRPr="001C5FD8">
              <w:t>(m/s)</w:t>
            </w:r>
          </w:p>
        </w:tc>
        <w:tc>
          <w:tcPr>
            <w:tcW w:w="69" w:type="pct"/>
            <w:tcBorders>
              <w:top w:val="nil"/>
              <w:left w:val="nil"/>
              <w:bottom w:val="nil"/>
              <w:right w:val="nil"/>
            </w:tcBorders>
            <w:shd w:val="clear" w:color="000000" w:fill="FFFFFF"/>
            <w:noWrap/>
            <w:vAlign w:val="bottom"/>
          </w:tcPr>
          <w:p w14:paraId="6EF88012"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4E5613DF" w14:textId="4180AB45" w:rsidR="0099102B" w:rsidRPr="003B2A3E" w:rsidRDefault="0099102B" w:rsidP="003942DF">
            <w:pPr>
              <w:pStyle w:val="NoSpacing"/>
              <w:jc w:val="right"/>
              <w:rPr>
                <w:color w:val="000000"/>
              </w:rPr>
            </w:pPr>
            <w:r w:rsidRPr="00B03228">
              <w:rPr>
                <w:color w:val="000000"/>
              </w:rPr>
              <w:t>3.3</w:t>
            </w:r>
          </w:p>
        </w:tc>
        <w:tc>
          <w:tcPr>
            <w:tcW w:w="315" w:type="pct"/>
            <w:tcBorders>
              <w:top w:val="nil"/>
              <w:left w:val="nil"/>
              <w:bottom w:val="nil"/>
              <w:right w:val="nil"/>
            </w:tcBorders>
            <w:shd w:val="clear" w:color="000000" w:fill="FFFFFF"/>
            <w:noWrap/>
            <w:vAlign w:val="bottom"/>
          </w:tcPr>
          <w:p w14:paraId="57452A0D" w14:textId="00374BF0" w:rsidR="0099102B" w:rsidRPr="003B2A3E" w:rsidRDefault="0099102B" w:rsidP="003942DF">
            <w:pPr>
              <w:pStyle w:val="NoSpacing"/>
            </w:pPr>
            <w:r w:rsidRPr="00B03228">
              <w:rPr>
                <w:color w:val="000000"/>
              </w:rPr>
              <w:t>(3,4)</w:t>
            </w:r>
          </w:p>
        </w:tc>
        <w:tc>
          <w:tcPr>
            <w:tcW w:w="181" w:type="pct"/>
            <w:tcBorders>
              <w:top w:val="nil"/>
              <w:left w:val="nil"/>
              <w:bottom w:val="nil"/>
              <w:right w:val="nil"/>
            </w:tcBorders>
            <w:shd w:val="clear" w:color="000000" w:fill="FFFFFF"/>
            <w:noWrap/>
            <w:vAlign w:val="bottom"/>
          </w:tcPr>
          <w:p w14:paraId="136B1EF9" w14:textId="6468EFCE" w:rsidR="0099102B" w:rsidRPr="003B2A3E" w:rsidRDefault="0099102B" w:rsidP="003942DF">
            <w:pPr>
              <w:pStyle w:val="NoSpacing"/>
              <w:jc w:val="right"/>
              <w:rPr>
                <w:color w:val="000000"/>
              </w:rPr>
            </w:pPr>
            <w:r w:rsidRPr="00B03228">
              <w:rPr>
                <w:color w:val="000000"/>
              </w:rPr>
              <w:t>3.0</w:t>
            </w:r>
          </w:p>
        </w:tc>
        <w:tc>
          <w:tcPr>
            <w:tcW w:w="314" w:type="pct"/>
            <w:tcBorders>
              <w:top w:val="nil"/>
              <w:left w:val="nil"/>
              <w:bottom w:val="nil"/>
              <w:right w:val="nil"/>
            </w:tcBorders>
            <w:shd w:val="clear" w:color="000000" w:fill="FFFFFF"/>
            <w:noWrap/>
            <w:vAlign w:val="bottom"/>
          </w:tcPr>
          <w:p w14:paraId="0F8FFFAA" w14:textId="28C4A5D4" w:rsidR="0099102B" w:rsidRPr="003B2A3E" w:rsidRDefault="0099102B" w:rsidP="003942DF">
            <w:pPr>
              <w:pStyle w:val="NoSpacing"/>
            </w:pPr>
            <w:r w:rsidRPr="00B03228">
              <w:rPr>
                <w:color w:val="000000"/>
              </w:rPr>
              <w:t>(3,4)</w:t>
            </w:r>
          </w:p>
        </w:tc>
        <w:tc>
          <w:tcPr>
            <w:tcW w:w="219" w:type="pct"/>
            <w:tcBorders>
              <w:top w:val="nil"/>
              <w:left w:val="nil"/>
              <w:bottom w:val="nil"/>
              <w:right w:val="nil"/>
            </w:tcBorders>
            <w:shd w:val="clear" w:color="000000" w:fill="FFFFFF"/>
            <w:noWrap/>
            <w:vAlign w:val="bottom"/>
          </w:tcPr>
          <w:p w14:paraId="224FE1FE" w14:textId="1B1A7EC6" w:rsidR="0099102B" w:rsidRDefault="0099102B"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tcPr>
          <w:p w14:paraId="6D9DA0D1" w14:textId="627E33B7" w:rsidR="0099102B" w:rsidRPr="003B2A3E" w:rsidRDefault="0099102B" w:rsidP="003942DF">
            <w:pPr>
              <w:pStyle w:val="NoSpacing"/>
              <w:jc w:val="right"/>
              <w:rPr>
                <w:color w:val="000000"/>
              </w:rPr>
            </w:pPr>
            <w:r w:rsidRPr="00B03228">
              <w:rPr>
                <w:color w:val="000000"/>
              </w:rPr>
              <w:t>3.7</w:t>
            </w:r>
          </w:p>
        </w:tc>
        <w:tc>
          <w:tcPr>
            <w:tcW w:w="315" w:type="pct"/>
            <w:tcBorders>
              <w:top w:val="nil"/>
              <w:left w:val="nil"/>
              <w:bottom w:val="nil"/>
              <w:right w:val="nil"/>
            </w:tcBorders>
            <w:shd w:val="clear" w:color="000000" w:fill="FFFFFF"/>
            <w:noWrap/>
            <w:vAlign w:val="bottom"/>
          </w:tcPr>
          <w:p w14:paraId="532F6012" w14:textId="1E92DFC1" w:rsidR="0099102B" w:rsidRPr="003B2A3E" w:rsidRDefault="0099102B" w:rsidP="003942DF">
            <w:pPr>
              <w:pStyle w:val="NoSpacing"/>
            </w:pPr>
            <w:r w:rsidRPr="00B03228">
              <w:rPr>
                <w:color w:val="000000"/>
              </w:rPr>
              <w:t>(3,4)</w:t>
            </w:r>
          </w:p>
        </w:tc>
        <w:tc>
          <w:tcPr>
            <w:tcW w:w="181" w:type="pct"/>
            <w:tcBorders>
              <w:top w:val="nil"/>
              <w:left w:val="nil"/>
              <w:bottom w:val="nil"/>
              <w:right w:val="nil"/>
            </w:tcBorders>
            <w:shd w:val="clear" w:color="000000" w:fill="FFFFFF"/>
            <w:noWrap/>
            <w:vAlign w:val="bottom"/>
          </w:tcPr>
          <w:p w14:paraId="5B856CD4" w14:textId="039EB4A7" w:rsidR="0099102B" w:rsidRPr="003B2A3E" w:rsidRDefault="0099102B" w:rsidP="003942DF">
            <w:pPr>
              <w:pStyle w:val="NoSpacing"/>
              <w:jc w:val="right"/>
              <w:rPr>
                <w:color w:val="000000"/>
              </w:rPr>
            </w:pPr>
            <w:r w:rsidRPr="00B03228">
              <w:rPr>
                <w:color w:val="000000"/>
              </w:rPr>
              <w:t>3.7</w:t>
            </w:r>
          </w:p>
        </w:tc>
        <w:tc>
          <w:tcPr>
            <w:tcW w:w="314" w:type="pct"/>
            <w:tcBorders>
              <w:top w:val="nil"/>
              <w:left w:val="nil"/>
              <w:bottom w:val="nil"/>
              <w:right w:val="nil"/>
            </w:tcBorders>
            <w:shd w:val="clear" w:color="000000" w:fill="FFFFFF"/>
            <w:noWrap/>
            <w:vAlign w:val="bottom"/>
          </w:tcPr>
          <w:p w14:paraId="28ACD623" w14:textId="7A850D5B" w:rsidR="0099102B" w:rsidRPr="003B2A3E" w:rsidRDefault="0099102B" w:rsidP="003942DF">
            <w:pPr>
              <w:pStyle w:val="NoSpacing"/>
            </w:pPr>
            <w:r w:rsidRPr="00B03228">
              <w:rPr>
                <w:color w:val="000000"/>
              </w:rPr>
              <w:t>(3,4)</w:t>
            </w:r>
          </w:p>
        </w:tc>
        <w:tc>
          <w:tcPr>
            <w:tcW w:w="272" w:type="pct"/>
            <w:tcBorders>
              <w:top w:val="nil"/>
              <w:left w:val="nil"/>
              <w:bottom w:val="nil"/>
              <w:right w:val="nil"/>
            </w:tcBorders>
            <w:shd w:val="clear" w:color="000000" w:fill="FFFFFF"/>
            <w:noWrap/>
            <w:vAlign w:val="bottom"/>
          </w:tcPr>
          <w:p w14:paraId="099FBD62" w14:textId="5D5E6015" w:rsidR="0099102B" w:rsidRDefault="0099102B"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503102B6" w14:textId="0898E16B" w:rsidR="0099102B" w:rsidRPr="003B2A3E" w:rsidRDefault="0099102B" w:rsidP="003942DF">
            <w:pPr>
              <w:pStyle w:val="NoSpacing"/>
              <w:jc w:val="right"/>
              <w:rPr>
                <w:color w:val="000000"/>
              </w:rPr>
            </w:pPr>
            <w:r w:rsidRPr="00B03228">
              <w:rPr>
                <w:color w:val="000000"/>
              </w:rPr>
              <w:t>3.0</w:t>
            </w:r>
          </w:p>
        </w:tc>
        <w:tc>
          <w:tcPr>
            <w:tcW w:w="314" w:type="pct"/>
            <w:tcBorders>
              <w:top w:val="nil"/>
              <w:left w:val="nil"/>
              <w:bottom w:val="nil"/>
              <w:right w:val="nil"/>
            </w:tcBorders>
            <w:shd w:val="clear" w:color="000000" w:fill="FFFFFF"/>
            <w:noWrap/>
            <w:vAlign w:val="bottom"/>
          </w:tcPr>
          <w:p w14:paraId="0341DD1B" w14:textId="6C0C8CE7" w:rsidR="0099102B" w:rsidRPr="003B2A3E" w:rsidRDefault="0099102B" w:rsidP="003942DF">
            <w:pPr>
              <w:pStyle w:val="NoSpacing"/>
            </w:pPr>
            <w:r w:rsidRPr="00B03228">
              <w:rPr>
                <w:color w:val="000000"/>
              </w:rPr>
              <w:t>(2,4)</w:t>
            </w:r>
          </w:p>
        </w:tc>
        <w:tc>
          <w:tcPr>
            <w:tcW w:w="182" w:type="pct"/>
            <w:tcBorders>
              <w:top w:val="nil"/>
              <w:left w:val="nil"/>
              <w:bottom w:val="nil"/>
              <w:right w:val="nil"/>
            </w:tcBorders>
            <w:shd w:val="clear" w:color="000000" w:fill="FFFFFF"/>
            <w:noWrap/>
            <w:vAlign w:val="bottom"/>
          </w:tcPr>
          <w:p w14:paraId="10CC183F" w14:textId="38865B40" w:rsidR="0099102B" w:rsidRPr="003B2A3E" w:rsidRDefault="0099102B" w:rsidP="003942DF">
            <w:pPr>
              <w:pStyle w:val="NoSpacing"/>
              <w:jc w:val="right"/>
              <w:rPr>
                <w:color w:val="000000"/>
              </w:rPr>
            </w:pPr>
            <w:r w:rsidRPr="00B03228">
              <w:rPr>
                <w:color w:val="000000"/>
              </w:rPr>
              <w:t>2.8</w:t>
            </w:r>
          </w:p>
        </w:tc>
        <w:tc>
          <w:tcPr>
            <w:tcW w:w="314" w:type="pct"/>
            <w:tcBorders>
              <w:top w:val="nil"/>
              <w:left w:val="nil"/>
              <w:bottom w:val="nil"/>
              <w:right w:val="nil"/>
            </w:tcBorders>
            <w:shd w:val="clear" w:color="000000" w:fill="FFFFFF"/>
            <w:noWrap/>
            <w:vAlign w:val="bottom"/>
          </w:tcPr>
          <w:p w14:paraId="00CAEEA7" w14:textId="15677E4B" w:rsidR="0099102B" w:rsidRPr="003B2A3E" w:rsidRDefault="0099102B" w:rsidP="003942DF">
            <w:pPr>
              <w:pStyle w:val="NoSpacing"/>
            </w:pPr>
            <w:r w:rsidRPr="00B03228">
              <w:rPr>
                <w:color w:val="000000"/>
              </w:rPr>
              <w:t>(2,3)</w:t>
            </w:r>
          </w:p>
        </w:tc>
        <w:tc>
          <w:tcPr>
            <w:tcW w:w="178" w:type="pct"/>
            <w:tcBorders>
              <w:top w:val="nil"/>
              <w:left w:val="nil"/>
              <w:bottom w:val="nil"/>
              <w:right w:val="nil"/>
            </w:tcBorders>
            <w:shd w:val="clear" w:color="000000" w:fill="FFFFFF"/>
            <w:noWrap/>
            <w:vAlign w:val="bottom"/>
          </w:tcPr>
          <w:p w14:paraId="043224E9" w14:textId="3E64C722" w:rsidR="0099102B" w:rsidRPr="00C9580D" w:rsidRDefault="0099102B" w:rsidP="003942DF">
            <w:pPr>
              <w:pStyle w:val="NoSpacing"/>
              <w:jc w:val="center"/>
            </w:pPr>
            <w:r w:rsidRPr="00E70A49">
              <w:rPr>
                <w:i/>
              </w:rPr>
              <w:t>0.08</w:t>
            </w:r>
          </w:p>
        </w:tc>
      </w:tr>
      <w:tr w:rsidR="0099102B" w:rsidRPr="00F24A76" w14:paraId="30EA511E" w14:textId="77777777" w:rsidTr="003942DF">
        <w:trPr>
          <w:trHeight w:val="18"/>
        </w:trPr>
        <w:tc>
          <w:tcPr>
            <w:tcW w:w="1281" w:type="pct"/>
            <w:tcBorders>
              <w:top w:val="nil"/>
              <w:left w:val="nil"/>
              <w:bottom w:val="nil"/>
              <w:right w:val="nil"/>
            </w:tcBorders>
            <w:shd w:val="clear" w:color="000000" w:fill="FFFFFF"/>
            <w:noWrap/>
            <w:vAlign w:val="bottom"/>
          </w:tcPr>
          <w:p w14:paraId="3614ECDD" w14:textId="77777777" w:rsidR="0099102B" w:rsidRPr="00F24A76" w:rsidRDefault="0099102B" w:rsidP="003942DF">
            <w:pPr>
              <w:pStyle w:val="NoSpacing"/>
              <w:rPr>
                <w:b/>
              </w:rPr>
            </w:pPr>
          </w:p>
        </w:tc>
        <w:tc>
          <w:tcPr>
            <w:tcW w:w="69" w:type="pct"/>
            <w:tcBorders>
              <w:top w:val="nil"/>
              <w:left w:val="nil"/>
              <w:bottom w:val="nil"/>
              <w:right w:val="nil"/>
            </w:tcBorders>
            <w:shd w:val="clear" w:color="000000" w:fill="FFFFFF"/>
            <w:noWrap/>
            <w:vAlign w:val="bottom"/>
          </w:tcPr>
          <w:p w14:paraId="5BCFB579"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4A71BEF8" w14:textId="77777777" w:rsidR="0099102B" w:rsidRPr="00F24A76" w:rsidRDefault="0099102B" w:rsidP="003942DF">
            <w:pPr>
              <w:pStyle w:val="NoSpacing"/>
              <w:jc w:val="right"/>
            </w:pPr>
          </w:p>
        </w:tc>
        <w:tc>
          <w:tcPr>
            <w:tcW w:w="315" w:type="pct"/>
            <w:tcBorders>
              <w:top w:val="nil"/>
              <w:left w:val="nil"/>
              <w:bottom w:val="nil"/>
              <w:right w:val="nil"/>
            </w:tcBorders>
            <w:shd w:val="clear" w:color="000000" w:fill="FFFFFF"/>
            <w:noWrap/>
            <w:vAlign w:val="bottom"/>
          </w:tcPr>
          <w:p w14:paraId="08B80C09" w14:textId="77777777" w:rsidR="0099102B" w:rsidRPr="00F24A76" w:rsidRDefault="0099102B" w:rsidP="003942DF">
            <w:pPr>
              <w:pStyle w:val="NoSpacing"/>
            </w:pPr>
          </w:p>
        </w:tc>
        <w:tc>
          <w:tcPr>
            <w:tcW w:w="181" w:type="pct"/>
            <w:tcBorders>
              <w:top w:val="nil"/>
              <w:left w:val="nil"/>
              <w:bottom w:val="nil"/>
              <w:right w:val="nil"/>
            </w:tcBorders>
            <w:shd w:val="clear" w:color="000000" w:fill="FFFFFF"/>
            <w:noWrap/>
            <w:vAlign w:val="bottom"/>
          </w:tcPr>
          <w:p w14:paraId="17B263E1"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31AE6177" w14:textId="77777777" w:rsidR="0099102B" w:rsidRPr="00F24A76" w:rsidRDefault="0099102B" w:rsidP="003942DF">
            <w:pPr>
              <w:pStyle w:val="NoSpacing"/>
            </w:pPr>
          </w:p>
        </w:tc>
        <w:tc>
          <w:tcPr>
            <w:tcW w:w="219" w:type="pct"/>
            <w:tcBorders>
              <w:top w:val="nil"/>
              <w:left w:val="nil"/>
              <w:bottom w:val="nil"/>
              <w:right w:val="nil"/>
            </w:tcBorders>
            <w:shd w:val="clear" w:color="000000" w:fill="FFFFFF"/>
            <w:noWrap/>
            <w:vAlign w:val="bottom"/>
          </w:tcPr>
          <w:p w14:paraId="09DDEAF3" w14:textId="77777777" w:rsidR="0099102B" w:rsidRPr="00F24A76" w:rsidRDefault="0099102B" w:rsidP="003942DF">
            <w:pPr>
              <w:pStyle w:val="NoSpacing"/>
              <w:jc w:val="center"/>
              <w:rPr>
                <w:i/>
              </w:rPr>
            </w:pPr>
          </w:p>
        </w:tc>
        <w:tc>
          <w:tcPr>
            <w:tcW w:w="184" w:type="pct"/>
            <w:tcBorders>
              <w:top w:val="nil"/>
              <w:left w:val="nil"/>
              <w:bottom w:val="nil"/>
              <w:right w:val="nil"/>
            </w:tcBorders>
            <w:shd w:val="clear" w:color="000000" w:fill="FFFFFF"/>
            <w:noWrap/>
            <w:vAlign w:val="bottom"/>
          </w:tcPr>
          <w:p w14:paraId="218B2227" w14:textId="77777777" w:rsidR="0099102B" w:rsidRPr="00F24A76" w:rsidRDefault="0099102B" w:rsidP="003942DF">
            <w:pPr>
              <w:pStyle w:val="NoSpacing"/>
              <w:jc w:val="right"/>
            </w:pPr>
          </w:p>
        </w:tc>
        <w:tc>
          <w:tcPr>
            <w:tcW w:w="315" w:type="pct"/>
            <w:tcBorders>
              <w:top w:val="nil"/>
              <w:left w:val="nil"/>
              <w:bottom w:val="nil"/>
              <w:right w:val="nil"/>
            </w:tcBorders>
            <w:shd w:val="clear" w:color="000000" w:fill="FFFFFF"/>
            <w:noWrap/>
            <w:vAlign w:val="bottom"/>
          </w:tcPr>
          <w:p w14:paraId="71A9FCA5" w14:textId="77777777" w:rsidR="0099102B" w:rsidRPr="00F24A76" w:rsidRDefault="0099102B" w:rsidP="003942DF">
            <w:pPr>
              <w:pStyle w:val="NoSpacing"/>
            </w:pPr>
          </w:p>
        </w:tc>
        <w:tc>
          <w:tcPr>
            <w:tcW w:w="181" w:type="pct"/>
            <w:tcBorders>
              <w:top w:val="nil"/>
              <w:left w:val="nil"/>
              <w:bottom w:val="nil"/>
              <w:right w:val="nil"/>
            </w:tcBorders>
            <w:shd w:val="clear" w:color="000000" w:fill="FFFFFF"/>
            <w:noWrap/>
            <w:vAlign w:val="bottom"/>
          </w:tcPr>
          <w:p w14:paraId="214E34EA"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5050A8EF" w14:textId="77777777" w:rsidR="0099102B" w:rsidRPr="00F24A76" w:rsidRDefault="0099102B" w:rsidP="003942DF">
            <w:pPr>
              <w:pStyle w:val="NoSpacing"/>
            </w:pPr>
          </w:p>
        </w:tc>
        <w:tc>
          <w:tcPr>
            <w:tcW w:w="272" w:type="pct"/>
            <w:tcBorders>
              <w:top w:val="nil"/>
              <w:left w:val="nil"/>
              <w:bottom w:val="nil"/>
              <w:right w:val="nil"/>
            </w:tcBorders>
            <w:shd w:val="clear" w:color="000000" w:fill="FFFFFF"/>
            <w:noWrap/>
            <w:vAlign w:val="bottom"/>
          </w:tcPr>
          <w:p w14:paraId="416DADF1" w14:textId="77777777" w:rsidR="0099102B" w:rsidRPr="00F24A76" w:rsidRDefault="0099102B" w:rsidP="003942DF">
            <w:pPr>
              <w:pStyle w:val="NoSpacing"/>
              <w:jc w:val="center"/>
              <w:rPr>
                <w:i/>
              </w:rPr>
            </w:pPr>
          </w:p>
        </w:tc>
        <w:tc>
          <w:tcPr>
            <w:tcW w:w="183" w:type="pct"/>
            <w:tcBorders>
              <w:top w:val="nil"/>
              <w:left w:val="nil"/>
              <w:bottom w:val="nil"/>
              <w:right w:val="nil"/>
            </w:tcBorders>
            <w:shd w:val="clear" w:color="000000" w:fill="FFFFFF"/>
            <w:noWrap/>
            <w:vAlign w:val="bottom"/>
          </w:tcPr>
          <w:p w14:paraId="27B6DD94"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2D5F473D" w14:textId="77777777" w:rsidR="0099102B" w:rsidRPr="00F24A76" w:rsidRDefault="0099102B" w:rsidP="003942DF">
            <w:pPr>
              <w:pStyle w:val="NoSpacing"/>
            </w:pPr>
          </w:p>
        </w:tc>
        <w:tc>
          <w:tcPr>
            <w:tcW w:w="182" w:type="pct"/>
            <w:tcBorders>
              <w:top w:val="nil"/>
              <w:left w:val="nil"/>
              <w:bottom w:val="nil"/>
              <w:right w:val="nil"/>
            </w:tcBorders>
            <w:shd w:val="clear" w:color="000000" w:fill="FFFFFF"/>
            <w:noWrap/>
            <w:vAlign w:val="bottom"/>
          </w:tcPr>
          <w:p w14:paraId="3B3CCC26"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2670913E" w14:textId="77777777" w:rsidR="0099102B" w:rsidRPr="00F24A76" w:rsidRDefault="0099102B" w:rsidP="003942DF">
            <w:pPr>
              <w:pStyle w:val="NoSpacing"/>
            </w:pPr>
          </w:p>
        </w:tc>
        <w:tc>
          <w:tcPr>
            <w:tcW w:w="178" w:type="pct"/>
            <w:tcBorders>
              <w:top w:val="nil"/>
              <w:left w:val="nil"/>
              <w:bottom w:val="nil"/>
              <w:right w:val="nil"/>
            </w:tcBorders>
            <w:shd w:val="clear" w:color="000000" w:fill="FFFFFF"/>
            <w:noWrap/>
            <w:vAlign w:val="bottom"/>
          </w:tcPr>
          <w:p w14:paraId="4780BD48" w14:textId="77777777" w:rsidR="0099102B" w:rsidRPr="00F24A76" w:rsidRDefault="0099102B" w:rsidP="003942DF">
            <w:pPr>
              <w:pStyle w:val="NoSpacing"/>
              <w:jc w:val="center"/>
              <w:rPr>
                <w:i/>
              </w:rPr>
            </w:pPr>
          </w:p>
        </w:tc>
      </w:tr>
      <w:tr w:rsidR="0099102B" w:rsidRPr="00F24A76" w14:paraId="5D6528F2" w14:textId="77777777" w:rsidTr="003942DF">
        <w:trPr>
          <w:trHeight w:val="18"/>
        </w:trPr>
        <w:tc>
          <w:tcPr>
            <w:tcW w:w="1281" w:type="pct"/>
            <w:tcBorders>
              <w:top w:val="nil"/>
              <w:left w:val="nil"/>
              <w:bottom w:val="nil"/>
              <w:right w:val="nil"/>
            </w:tcBorders>
            <w:shd w:val="clear" w:color="000000" w:fill="FFFFFF"/>
            <w:noWrap/>
            <w:vAlign w:val="bottom"/>
          </w:tcPr>
          <w:p w14:paraId="552A1A19" w14:textId="54DCDEFF" w:rsidR="0099102B" w:rsidRPr="00F24A76" w:rsidRDefault="0099102B" w:rsidP="003942DF">
            <w:pPr>
              <w:pStyle w:val="NoSpacing"/>
            </w:pPr>
            <w:r w:rsidRPr="00F24A76">
              <w:rPr>
                <w:b/>
              </w:rPr>
              <w:t xml:space="preserve">Diameter </w:t>
            </w:r>
            <w:r w:rsidRPr="00F24A76">
              <w:t>(mm)</w:t>
            </w:r>
          </w:p>
        </w:tc>
        <w:tc>
          <w:tcPr>
            <w:tcW w:w="69" w:type="pct"/>
            <w:tcBorders>
              <w:top w:val="nil"/>
              <w:left w:val="nil"/>
              <w:bottom w:val="nil"/>
              <w:right w:val="nil"/>
            </w:tcBorders>
            <w:shd w:val="clear" w:color="000000" w:fill="FFFFFF"/>
            <w:noWrap/>
            <w:vAlign w:val="bottom"/>
          </w:tcPr>
          <w:p w14:paraId="4B381F27"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430FEE7D" w14:textId="77777777" w:rsidR="0099102B" w:rsidRPr="00F24A76" w:rsidRDefault="0099102B" w:rsidP="003942DF">
            <w:pPr>
              <w:pStyle w:val="NoSpacing"/>
              <w:jc w:val="right"/>
            </w:pPr>
          </w:p>
        </w:tc>
        <w:tc>
          <w:tcPr>
            <w:tcW w:w="315" w:type="pct"/>
            <w:tcBorders>
              <w:top w:val="nil"/>
              <w:left w:val="nil"/>
              <w:bottom w:val="nil"/>
              <w:right w:val="nil"/>
            </w:tcBorders>
            <w:shd w:val="clear" w:color="000000" w:fill="FFFFFF"/>
            <w:noWrap/>
            <w:vAlign w:val="bottom"/>
          </w:tcPr>
          <w:p w14:paraId="553D0AA6" w14:textId="77777777" w:rsidR="0099102B" w:rsidRPr="00F24A76" w:rsidRDefault="0099102B" w:rsidP="003942DF">
            <w:pPr>
              <w:pStyle w:val="NoSpacing"/>
            </w:pPr>
          </w:p>
        </w:tc>
        <w:tc>
          <w:tcPr>
            <w:tcW w:w="181" w:type="pct"/>
            <w:tcBorders>
              <w:top w:val="nil"/>
              <w:left w:val="nil"/>
              <w:bottom w:val="nil"/>
              <w:right w:val="nil"/>
            </w:tcBorders>
            <w:shd w:val="clear" w:color="000000" w:fill="FFFFFF"/>
            <w:noWrap/>
            <w:vAlign w:val="bottom"/>
          </w:tcPr>
          <w:p w14:paraId="21CE68F5"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069D5301" w14:textId="77777777" w:rsidR="0099102B" w:rsidRPr="00F24A76" w:rsidRDefault="0099102B" w:rsidP="003942DF">
            <w:pPr>
              <w:pStyle w:val="NoSpacing"/>
            </w:pPr>
          </w:p>
        </w:tc>
        <w:tc>
          <w:tcPr>
            <w:tcW w:w="219" w:type="pct"/>
            <w:tcBorders>
              <w:top w:val="nil"/>
              <w:left w:val="nil"/>
              <w:bottom w:val="nil"/>
              <w:right w:val="nil"/>
            </w:tcBorders>
            <w:shd w:val="clear" w:color="000000" w:fill="FFFFFF"/>
            <w:noWrap/>
            <w:vAlign w:val="bottom"/>
          </w:tcPr>
          <w:p w14:paraId="5C85F23A" w14:textId="77777777" w:rsidR="0099102B" w:rsidRPr="00F24A76" w:rsidRDefault="0099102B" w:rsidP="003942DF">
            <w:pPr>
              <w:pStyle w:val="NoSpacing"/>
              <w:jc w:val="center"/>
              <w:rPr>
                <w:i/>
              </w:rPr>
            </w:pPr>
          </w:p>
        </w:tc>
        <w:tc>
          <w:tcPr>
            <w:tcW w:w="184" w:type="pct"/>
            <w:tcBorders>
              <w:top w:val="nil"/>
              <w:left w:val="nil"/>
              <w:bottom w:val="nil"/>
              <w:right w:val="nil"/>
            </w:tcBorders>
            <w:shd w:val="clear" w:color="000000" w:fill="FFFFFF"/>
            <w:noWrap/>
            <w:vAlign w:val="bottom"/>
          </w:tcPr>
          <w:p w14:paraId="19AA8300" w14:textId="77777777" w:rsidR="0099102B" w:rsidRPr="00F24A76" w:rsidRDefault="0099102B" w:rsidP="003942DF">
            <w:pPr>
              <w:pStyle w:val="NoSpacing"/>
              <w:jc w:val="right"/>
            </w:pPr>
          </w:p>
        </w:tc>
        <w:tc>
          <w:tcPr>
            <w:tcW w:w="315" w:type="pct"/>
            <w:tcBorders>
              <w:top w:val="nil"/>
              <w:left w:val="nil"/>
              <w:bottom w:val="nil"/>
              <w:right w:val="nil"/>
            </w:tcBorders>
            <w:shd w:val="clear" w:color="000000" w:fill="FFFFFF"/>
            <w:noWrap/>
            <w:vAlign w:val="bottom"/>
          </w:tcPr>
          <w:p w14:paraId="3D704801" w14:textId="77777777" w:rsidR="0099102B" w:rsidRPr="00F24A76" w:rsidRDefault="0099102B" w:rsidP="003942DF">
            <w:pPr>
              <w:pStyle w:val="NoSpacing"/>
            </w:pPr>
          </w:p>
        </w:tc>
        <w:tc>
          <w:tcPr>
            <w:tcW w:w="181" w:type="pct"/>
            <w:tcBorders>
              <w:top w:val="nil"/>
              <w:left w:val="nil"/>
              <w:bottom w:val="nil"/>
              <w:right w:val="nil"/>
            </w:tcBorders>
            <w:shd w:val="clear" w:color="000000" w:fill="FFFFFF"/>
            <w:noWrap/>
            <w:vAlign w:val="bottom"/>
          </w:tcPr>
          <w:p w14:paraId="17872043"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35ED7246" w14:textId="77777777" w:rsidR="0099102B" w:rsidRPr="00F24A76" w:rsidRDefault="0099102B" w:rsidP="003942DF">
            <w:pPr>
              <w:pStyle w:val="NoSpacing"/>
            </w:pPr>
          </w:p>
        </w:tc>
        <w:tc>
          <w:tcPr>
            <w:tcW w:w="272" w:type="pct"/>
            <w:tcBorders>
              <w:top w:val="nil"/>
              <w:left w:val="nil"/>
              <w:bottom w:val="nil"/>
              <w:right w:val="nil"/>
            </w:tcBorders>
            <w:shd w:val="clear" w:color="000000" w:fill="FFFFFF"/>
            <w:noWrap/>
            <w:vAlign w:val="bottom"/>
          </w:tcPr>
          <w:p w14:paraId="7145A94A" w14:textId="77777777" w:rsidR="0099102B" w:rsidRPr="00F24A76" w:rsidRDefault="0099102B" w:rsidP="003942DF">
            <w:pPr>
              <w:pStyle w:val="NoSpacing"/>
              <w:jc w:val="center"/>
              <w:rPr>
                <w:i/>
              </w:rPr>
            </w:pPr>
          </w:p>
        </w:tc>
        <w:tc>
          <w:tcPr>
            <w:tcW w:w="183" w:type="pct"/>
            <w:tcBorders>
              <w:top w:val="nil"/>
              <w:left w:val="nil"/>
              <w:bottom w:val="nil"/>
              <w:right w:val="nil"/>
            </w:tcBorders>
            <w:shd w:val="clear" w:color="000000" w:fill="FFFFFF"/>
            <w:noWrap/>
            <w:vAlign w:val="bottom"/>
          </w:tcPr>
          <w:p w14:paraId="187C6F20"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78BFE02F" w14:textId="77777777" w:rsidR="0099102B" w:rsidRPr="00F24A76" w:rsidRDefault="0099102B" w:rsidP="003942DF">
            <w:pPr>
              <w:pStyle w:val="NoSpacing"/>
            </w:pPr>
          </w:p>
        </w:tc>
        <w:tc>
          <w:tcPr>
            <w:tcW w:w="182" w:type="pct"/>
            <w:tcBorders>
              <w:top w:val="nil"/>
              <w:left w:val="nil"/>
              <w:bottom w:val="nil"/>
              <w:right w:val="nil"/>
            </w:tcBorders>
            <w:shd w:val="clear" w:color="000000" w:fill="FFFFFF"/>
            <w:noWrap/>
            <w:vAlign w:val="bottom"/>
          </w:tcPr>
          <w:p w14:paraId="740868CD" w14:textId="77777777" w:rsidR="0099102B" w:rsidRPr="00F24A76" w:rsidRDefault="0099102B" w:rsidP="003942DF">
            <w:pPr>
              <w:pStyle w:val="NoSpacing"/>
              <w:jc w:val="right"/>
            </w:pPr>
          </w:p>
        </w:tc>
        <w:tc>
          <w:tcPr>
            <w:tcW w:w="314" w:type="pct"/>
            <w:tcBorders>
              <w:top w:val="nil"/>
              <w:left w:val="nil"/>
              <w:bottom w:val="nil"/>
              <w:right w:val="nil"/>
            </w:tcBorders>
            <w:shd w:val="clear" w:color="000000" w:fill="FFFFFF"/>
            <w:noWrap/>
            <w:vAlign w:val="bottom"/>
          </w:tcPr>
          <w:p w14:paraId="01A978E3" w14:textId="77777777" w:rsidR="0099102B" w:rsidRPr="00F24A76" w:rsidRDefault="0099102B" w:rsidP="003942DF">
            <w:pPr>
              <w:pStyle w:val="NoSpacing"/>
            </w:pPr>
          </w:p>
        </w:tc>
        <w:tc>
          <w:tcPr>
            <w:tcW w:w="178" w:type="pct"/>
            <w:tcBorders>
              <w:top w:val="nil"/>
              <w:left w:val="nil"/>
              <w:bottom w:val="nil"/>
              <w:right w:val="nil"/>
            </w:tcBorders>
            <w:shd w:val="clear" w:color="000000" w:fill="FFFFFF"/>
            <w:noWrap/>
            <w:vAlign w:val="bottom"/>
          </w:tcPr>
          <w:p w14:paraId="5D8F4C0B" w14:textId="77777777" w:rsidR="0099102B" w:rsidRPr="00F24A76" w:rsidRDefault="0099102B" w:rsidP="003942DF">
            <w:pPr>
              <w:pStyle w:val="NoSpacing"/>
              <w:jc w:val="center"/>
              <w:rPr>
                <w:i/>
              </w:rPr>
            </w:pPr>
          </w:p>
        </w:tc>
      </w:tr>
      <w:tr w:rsidR="0099102B" w:rsidRPr="00F24A76" w14:paraId="65620536" w14:textId="77777777" w:rsidTr="003942DF">
        <w:trPr>
          <w:trHeight w:val="18"/>
        </w:trPr>
        <w:tc>
          <w:tcPr>
            <w:tcW w:w="1281" w:type="pct"/>
            <w:tcBorders>
              <w:top w:val="nil"/>
              <w:left w:val="nil"/>
              <w:bottom w:val="nil"/>
              <w:right w:val="nil"/>
            </w:tcBorders>
            <w:shd w:val="clear" w:color="000000" w:fill="FFFFFF"/>
            <w:noWrap/>
            <w:vAlign w:val="bottom"/>
          </w:tcPr>
          <w:p w14:paraId="0CE0C740" w14:textId="3863BBDF" w:rsidR="0099102B" w:rsidRPr="00F24A76" w:rsidRDefault="0099102B" w:rsidP="003942DF">
            <w:pPr>
              <w:pStyle w:val="NoSpacing"/>
            </w:pPr>
            <w:r w:rsidRPr="00F24A76">
              <w:t>Ascending</w:t>
            </w:r>
          </w:p>
        </w:tc>
        <w:tc>
          <w:tcPr>
            <w:tcW w:w="69" w:type="pct"/>
            <w:tcBorders>
              <w:top w:val="nil"/>
              <w:left w:val="nil"/>
              <w:bottom w:val="nil"/>
              <w:right w:val="nil"/>
            </w:tcBorders>
            <w:shd w:val="clear" w:color="000000" w:fill="FFFFFF"/>
            <w:noWrap/>
            <w:vAlign w:val="bottom"/>
          </w:tcPr>
          <w:p w14:paraId="264894FA"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49881389" w14:textId="652B2EAE" w:rsidR="0099102B" w:rsidRPr="00F24A76" w:rsidRDefault="0099102B" w:rsidP="003942DF">
            <w:pPr>
              <w:pStyle w:val="NoSpacing"/>
              <w:jc w:val="right"/>
            </w:pPr>
            <w:r w:rsidRPr="00F24A76">
              <w:t>28</w:t>
            </w:r>
          </w:p>
        </w:tc>
        <w:tc>
          <w:tcPr>
            <w:tcW w:w="315" w:type="pct"/>
            <w:tcBorders>
              <w:top w:val="nil"/>
              <w:left w:val="nil"/>
              <w:bottom w:val="nil"/>
              <w:right w:val="nil"/>
            </w:tcBorders>
            <w:shd w:val="clear" w:color="000000" w:fill="FFFFFF"/>
            <w:noWrap/>
            <w:vAlign w:val="bottom"/>
          </w:tcPr>
          <w:p w14:paraId="04624B03" w14:textId="44AAACCA" w:rsidR="0099102B" w:rsidRPr="00F24A76" w:rsidRDefault="0099102B" w:rsidP="003942DF">
            <w:pPr>
              <w:pStyle w:val="NoSpacing"/>
            </w:pPr>
            <w:r w:rsidRPr="00F24A76">
              <w:t>±4</w:t>
            </w:r>
          </w:p>
        </w:tc>
        <w:tc>
          <w:tcPr>
            <w:tcW w:w="181" w:type="pct"/>
            <w:tcBorders>
              <w:top w:val="nil"/>
              <w:left w:val="nil"/>
              <w:bottom w:val="nil"/>
              <w:right w:val="nil"/>
            </w:tcBorders>
            <w:shd w:val="clear" w:color="000000" w:fill="FFFFFF"/>
            <w:noWrap/>
            <w:vAlign w:val="bottom"/>
          </w:tcPr>
          <w:p w14:paraId="49E45634" w14:textId="62B3AA95" w:rsidR="0099102B" w:rsidRPr="00F24A76" w:rsidRDefault="0099102B" w:rsidP="003942DF">
            <w:pPr>
              <w:pStyle w:val="NoSpacing"/>
              <w:jc w:val="right"/>
            </w:pPr>
            <w:r w:rsidRPr="00F24A76">
              <w:t>28</w:t>
            </w:r>
          </w:p>
        </w:tc>
        <w:tc>
          <w:tcPr>
            <w:tcW w:w="314" w:type="pct"/>
            <w:tcBorders>
              <w:top w:val="nil"/>
              <w:left w:val="nil"/>
              <w:bottom w:val="nil"/>
              <w:right w:val="nil"/>
            </w:tcBorders>
            <w:shd w:val="clear" w:color="000000" w:fill="FFFFFF"/>
            <w:noWrap/>
            <w:vAlign w:val="bottom"/>
          </w:tcPr>
          <w:p w14:paraId="57CBF7DC" w14:textId="21A3F0DF" w:rsidR="0099102B" w:rsidRPr="00F24A76" w:rsidRDefault="0099102B" w:rsidP="003942DF">
            <w:pPr>
              <w:pStyle w:val="NoSpacing"/>
            </w:pPr>
            <w:r w:rsidRPr="00F24A76">
              <w:t>±4</w:t>
            </w:r>
          </w:p>
        </w:tc>
        <w:tc>
          <w:tcPr>
            <w:tcW w:w="219" w:type="pct"/>
            <w:tcBorders>
              <w:top w:val="nil"/>
              <w:left w:val="nil"/>
              <w:bottom w:val="nil"/>
              <w:right w:val="nil"/>
            </w:tcBorders>
            <w:shd w:val="clear" w:color="000000" w:fill="FFFFFF"/>
            <w:noWrap/>
            <w:vAlign w:val="bottom"/>
          </w:tcPr>
          <w:p w14:paraId="46F08D23" w14:textId="1D01C0E2" w:rsidR="0099102B" w:rsidRPr="00F24A76" w:rsidRDefault="0099102B"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tcPr>
          <w:p w14:paraId="156345DE" w14:textId="550B0548" w:rsidR="0099102B" w:rsidRPr="00F24A76" w:rsidRDefault="0099102B" w:rsidP="003942DF">
            <w:pPr>
              <w:pStyle w:val="NoSpacing"/>
              <w:jc w:val="right"/>
            </w:pPr>
            <w:r w:rsidRPr="00F24A76">
              <w:t>30</w:t>
            </w:r>
          </w:p>
        </w:tc>
        <w:tc>
          <w:tcPr>
            <w:tcW w:w="315" w:type="pct"/>
            <w:tcBorders>
              <w:top w:val="nil"/>
              <w:left w:val="nil"/>
              <w:bottom w:val="nil"/>
              <w:right w:val="nil"/>
            </w:tcBorders>
            <w:shd w:val="clear" w:color="000000" w:fill="FFFFFF"/>
            <w:noWrap/>
            <w:vAlign w:val="bottom"/>
          </w:tcPr>
          <w:p w14:paraId="1C7C1A6F" w14:textId="22D66DE1" w:rsidR="0099102B" w:rsidRPr="00F24A76" w:rsidRDefault="0099102B" w:rsidP="003942DF">
            <w:pPr>
              <w:pStyle w:val="NoSpacing"/>
            </w:pPr>
            <w:r w:rsidRPr="00F24A76">
              <w:t>±4</w:t>
            </w:r>
          </w:p>
        </w:tc>
        <w:tc>
          <w:tcPr>
            <w:tcW w:w="181" w:type="pct"/>
            <w:tcBorders>
              <w:top w:val="nil"/>
              <w:left w:val="nil"/>
              <w:bottom w:val="nil"/>
              <w:right w:val="nil"/>
            </w:tcBorders>
            <w:shd w:val="clear" w:color="000000" w:fill="FFFFFF"/>
            <w:noWrap/>
            <w:vAlign w:val="bottom"/>
          </w:tcPr>
          <w:p w14:paraId="600EE46C" w14:textId="17421899" w:rsidR="0099102B" w:rsidRPr="00F24A76" w:rsidRDefault="0099102B" w:rsidP="003942DF">
            <w:pPr>
              <w:pStyle w:val="NoSpacing"/>
              <w:jc w:val="right"/>
            </w:pPr>
            <w:r w:rsidRPr="00F24A76">
              <w:t>30</w:t>
            </w:r>
          </w:p>
        </w:tc>
        <w:tc>
          <w:tcPr>
            <w:tcW w:w="314" w:type="pct"/>
            <w:tcBorders>
              <w:top w:val="nil"/>
              <w:left w:val="nil"/>
              <w:bottom w:val="nil"/>
              <w:right w:val="nil"/>
            </w:tcBorders>
            <w:shd w:val="clear" w:color="000000" w:fill="FFFFFF"/>
            <w:noWrap/>
            <w:vAlign w:val="bottom"/>
          </w:tcPr>
          <w:p w14:paraId="365DE3BE" w14:textId="5DB66079" w:rsidR="0099102B" w:rsidRPr="00F24A76" w:rsidRDefault="0099102B" w:rsidP="003942DF">
            <w:pPr>
              <w:pStyle w:val="NoSpacing"/>
            </w:pPr>
            <w:r w:rsidRPr="00F24A76">
              <w:t>±4</w:t>
            </w:r>
          </w:p>
        </w:tc>
        <w:tc>
          <w:tcPr>
            <w:tcW w:w="272" w:type="pct"/>
            <w:tcBorders>
              <w:top w:val="nil"/>
              <w:left w:val="nil"/>
              <w:bottom w:val="nil"/>
              <w:right w:val="nil"/>
            </w:tcBorders>
            <w:shd w:val="clear" w:color="000000" w:fill="FFFFFF"/>
            <w:noWrap/>
            <w:vAlign w:val="bottom"/>
          </w:tcPr>
          <w:p w14:paraId="4AF6C810" w14:textId="63DB08FF" w:rsidR="0099102B" w:rsidRPr="00F24A76" w:rsidRDefault="0099102B"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7865F80F" w14:textId="6C2C7FD3" w:rsidR="0099102B" w:rsidRPr="00F24A76" w:rsidRDefault="0099102B" w:rsidP="003942DF">
            <w:pPr>
              <w:pStyle w:val="NoSpacing"/>
              <w:jc w:val="right"/>
            </w:pPr>
            <w:r w:rsidRPr="00F24A76">
              <w:t>26</w:t>
            </w:r>
          </w:p>
        </w:tc>
        <w:tc>
          <w:tcPr>
            <w:tcW w:w="314" w:type="pct"/>
            <w:tcBorders>
              <w:top w:val="nil"/>
              <w:left w:val="nil"/>
              <w:bottom w:val="nil"/>
              <w:right w:val="nil"/>
            </w:tcBorders>
            <w:shd w:val="clear" w:color="000000" w:fill="FFFFFF"/>
            <w:noWrap/>
            <w:vAlign w:val="bottom"/>
          </w:tcPr>
          <w:p w14:paraId="7AEA4704" w14:textId="0230B4F9" w:rsidR="0099102B" w:rsidRPr="00F24A76" w:rsidRDefault="0099102B" w:rsidP="003942DF">
            <w:pPr>
              <w:pStyle w:val="NoSpacing"/>
            </w:pPr>
            <w:r w:rsidRPr="00F24A76">
              <w:t>±3</w:t>
            </w:r>
          </w:p>
        </w:tc>
        <w:tc>
          <w:tcPr>
            <w:tcW w:w="182" w:type="pct"/>
            <w:tcBorders>
              <w:top w:val="nil"/>
              <w:left w:val="nil"/>
              <w:bottom w:val="nil"/>
              <w:right w:val="nil"/>
            </w:tcBorders>
            <w:shd w:val="clear" w:color="000000" w:fill="FFFFFF"/>
            <w:noWrap/>
            <w:vAlign w:val="bottom"/>
          </w:tcPr>
          <w:p w14:paraId="08B35021" w14:textId="219B568D" w:rsidR="0099102B" w:rsidRPr="00F24A76" w:rsidRDefault="0099102B" w:rsidP="003942DF">
            <w:pPr>
              <w:pStyle w:val="NoSpacing"/>
              <w:jc w:val="right"/>
            </w:pPr>
            <w:r w:rsidRPr="00F24A76">
              <w:t>26</w:t>
            </w:r>
          </w:p>
        </w:tc>
        <w:tc>
          <w:tcPr>
            <w:tcW w:w="314" w:type="pct"/>
            <w:tcBorders>
              <w:top w:val="nil"/>
              <w:left w:val="nil"/>
              <w:bottom w:val="nil"/>
              <w:right w:val="nil"/>
            </w:tcBorders>
            <w:shd w:val="clear" w:color="000000" w:fill="FFFFFF"/>
            <w:noWrap/>
            <w:vAlign w:val="bottom"/>
          </w:tcPr>
          <w:p w14:paraId="6215B636" w14:textId="5F542B80" w:rsidR="0099102B" w:rsidRPr="00F24A76" w:rsidRDefault="0099102B" w:rsidP="003942DF">
            <w:pPr>
              <w:pStyle w:val="NoSpacing"/>
            </w:pPr>
            <w:r w:rsidRPr="00F24A76">
              <w:t>±3</w:t>
            </w:r>
          </w:p>
        </w:tc>
        <w:tc>
          <w:tcPr>
            <w:tcW w:w="178" w:type="pct"/>
            <w:tcBorders>
              <w:top w:val="nil"/>
              <w:left w:val="nil"/>
              <w:bottom w:val="nil"/>
              <w:right w:val="nil"/>
            </w:tcBorders>
            <w:shd w:val="clear" w:color="000000" w:fill="FFFFFF"/>
            <w:noWrap/>
            <w:vAlign w:val="bottom"/>
          </w:tcPr>
          <w:p w14:paraId="75FC269B" w14:textId="3690C3CC" w:rsidR="0099102B" w:rsidRPr="00F24A76" w:rsidRDefault="0099102B" w:rsidP="003942DF">
            <w:pPr>
              <w:pStyle w:val="NoSpacing"/>
              <w:jc w:val="center"/>
              <w:rPr>
                <w:i/>
              </w:rPr>
            </w:pPr>
            <w:r>
              <w:rPr>
                <w:i/>
              </w:rPr>
              <w:t>-</w:t>
            </w:r>
          </w:p>
        </w:tc>
      </w:tr>
      <w:tr w:rsidR="0099102B" w:rsidRPr="00F24A76" w14:paraId="63BEA72D" w14:textId="77777777" w:rsidTr="003942DF">
        <w:trPr>
          <w:trHeight w:val="18"/>
        </w:trPr>
        <w:tc>
          <w:tcPr>
            <w:tcW w:w="1281" w:type="pct"/>
            <w:tcBorders>
              <w:top w:val="nil"/>
              <w:left w:val="nil"/>
              <w:bottom w:val="nil"/>
              <w:right w:val="nil"/>
            </w:tcBorders>
            <w:shd w:val="clear" w:color="000000" w:fill="FFFFFF"/>
            <w:noWrap/>
            <w:vAlign w:val="bottom"/>
          </w:tcPr>
          <w:p w14:paraId="7C6EE106" w14:textId="4BAFC486" w:rsidR="0099102B" w:rsidRPr="00F24A76" w:rsidRDefault="0099102B" w:rsidP="003942DF">
            <w:pPr>
              <w:pStyle w:val="NoSpacing"/>
            </w:pPr>
            <w:r w:rsidRPr="00F24A76">
              <w:t>Proximal Descending</w:t>
            </w:r>
          </w:p>
        </w:tc>
        <w:tc>
          <w:tcPr>
            <w:tcW w:w="69" w:type="pct"/>
            <w:tcBorders>
              <w:top w:val="nil"/>
              <w:left w:val="nil"/>
              <w:bottom w:val="nil"/>
              <w:right w:val="nil"/>
            </w:tcBorders>
            <w:shd w:val="clear" w:color="000000" w:fill="FFFFFF"/>
            <w:noWrap/>
            <w:vAlign w:val="bottom"/>
          </w:tcPr>
          <w:p w14:paraId="44BB9F69"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6CDF5F46" w14:textId="311320A6" w:rsidR="0099102B" w:rsidRPr="00F24A76" w:rsidRDefault="0099102B" w:rsidP="003942DF">
            <w:pPr>
              <w:pStyle w:val="NoSpacing"/>
              <w:jc w:val="right"/>
            </w:pPr>
            <w:r w:rsidRPr="00F24A76">
              <w:t>21</w:t>
            </w:r>
          </w:p>
        </w:tc>
        <w:tc>
          <w:tcPr>
            <w:tcW w:w="315" w:type="pct"/>
            <w:tcBorders>
              <w:top w:val="nil"/>
              <w:left w:val="nil"/>
              <w:bottom w:val="nil"/>
              <w:right w:val="nil"/>
            </w:tcBorders>
            <w:shd w:val="clear" w:color="000000" w:fill="FFFFFF"/>
            <w:noWrap/>
            <w:vAlign w:val="bottom"/>
          </w:tcPr>
          <w:p w14:paraId="5057025B" w14:textId="45D83D39" w:rsidR="0099102B" w:rsidRPr="00F24A76" w:rsidRDefault="0099102B" w:rsidP="003942DF">
            <w:pPr>
              <w:pStyle w:val="NoSpacing"/>
            </w:pPr>
            <w:r w:rsidRPr="00F24A76">
              <w:t>±3</w:t>
            </w:r>
          </w:p>
        </w:tc>
        <w:tc>
          <w:tcPr>
            <w:tcW w:w="181" w:type="pct"/>
            <w:tcBorders>
              <w:top w:val="nil"/>
              <w:left w:val="nil"/>
              <w:bottom w:val="nil"/>
              <w:right w:val="nil"/>
            </w:tcBorders>
            <w:shd w:val="clear" w:color="000000" w:fill="FFFFFF"/>
            <w:noWrap/>
            <w:vAlign w:val="bottom"/>
          </w:tcPr>
          <w:p w14:paraId="350235B3" w14:textId="13B18109" w:rsidR="0099102B" w:rsidRPr="00F24A76" w:rsidRDefault="0099102B" w:rsidP="003942DF">
            <w:pPr>
              <w:pStyle w:val="NoSpacing"/>
              <w:jc w:val="right"/>
            </w:pPr>
            <w:r w:rsidRPr="00F24A76">
              <w:t>20</w:t>
            </w:r>
          </w:p>
        </w:tc>
        <w:tc>
          <w:tcPr>
            <w:tcW w:w="314" w:type="pct"/>
            <w:tcBorders>
              <w:top w:val="nil"/>
              <w:left w:val="nil"/>
              <w:bottom w:val="nil"/>
              <w:right w:val="nil"/>
            </w:tcBorders>
            <w:shd w:val="clear" w:color="000000" w:fill="FFFFFF"/>
            <w:noWrap/>
            <w:vAlign w:val="bottom"/>
          </w:tcPr>
          <w:p w14:paraId="30D2E94C" w14:textId="1BAFFB22" w:rsidR="0099102B" w:rsidRPr="00F24A76" w:rsidRDefault="0099102B" w:rsidP="003942DF">
            <w:pPr>
              <w:pStyle w:val="NoSpacing"/>
            </w:pPr>
            <w:r w:rsidRPr="00F24A76">
              <w:t>±3</w:t>
            </w:r>
          </w:p>
        </w:tc>
        <w:tc>
          <w:tcPr>
            <w:tcW w:w="219" w:type="pct"/>
            <w:tcBorders>
              <w:top w:val="nil"/>
              <w:left w:val="nil"/>
              <w:bottom w:val="nil"/>
              <w:right w:val="nil"/>
            </w:tcBorders>
            <w:shd w:val="clear" w:color="000000" w:fill="FFFFFF"/>
            <w:noWrap/>
            <w:vAlign w:val="bottom"/>
          </w:tcPr>
          <w:p w14:paraId="264CD736" w14:textId="363D663B" w:rsidR="0099102B" w:rsidRPr="00F24A76" w:rsidRDefault="0099102B" w:rsidP="003942DF">
            <w:pPr>
              <w:pStyle w:val="NoSpacing"/>
              <w:jc w:val="center"/>
              <w:rPr>
                <w:i/>
              </w:rPr>
            </w:pPr>
            <w:r w:rsidRPr="00F24A76">
              <w:rPr>
                <w:i/>
              </w:rPr>
              <w:t>0.</w:t>
            </w:r>
            <w:r w:rsidRPr="002221EB">
              <w:rPr>
                <w:i/>
              </w:rPr>
              <w:t>10</w:t>
            </w:r>
          </w:p>
        </w:tc>
        <w:tc>
          <w:tcPr>
            <w:tcW w:w="184" w:type="pct"/>
            <w:tcBorders>
              <w:top w:val="nil"/>
              <w:left w:val="nil"/>
              <w:bottom w:val="nil"/>
              <w:right w:val="nil"/>
            </w:tcBorders>
            <w:shd w:val="clear" w:color="000000" w:fill="FFFFFF"/>
            <w:noWrap/>
            <w:vAlign w:val="bottom"/>
          </w:tcPr>
          <w:p w14:paraId="6CE8FAD8" w14:textId="02D60D7A" w:rsidR="0099102B" w:rsidRPr="00F24A76" w:rsidRDefault="0099102B" w:rsidP="003942DF">
            <w:pPr>
              <w:pStyle w:val="NoSpacing"/>
              <w:jc w:val="right"/>
            </w:pPr>
            <w:r w:rsidRPr="00F24A76">
              <w:t>21</w:t>
            </w:r>
          </w:p>
        </w:tc>
        <w:tc>
          <w:tcPr>
            <w:tcW w:w="315" w:type="pct"/>
            <w:tcBorders>
              <w:top w:val="nil"/>
              <w:left w:val="nil"/>
              <w:bottom w:val="nil"/>
              <w:right w:val="nil"/>
            </w:tcBorders>
            <w:shd w:val="clear" w:color="000000" w:fill="FFFFFF"/>
            <w:noWrap/>
            <w:vAlign w:val="bottom"/>
          </w:tcPr>
          <w:p w14:paraId="40EC3491" w14:textId="68CFB35F" w:rsidR="0099102B" w:rsidRPr="00F24A76" w:rsidRDefault="0099102B" w:rsidP="003942DF">
            <w:pPr>
              <w:pStyle w:val="NoSpacing"/>
            </w:pPr>
            <w:r w:rsidRPr="00F24A76">
              <w:t>±3</w:t>
            </w:r>
          </w:p>
        </w:tc>
        <w:tc>
          <w:tcPr>
            <w:tcW w:w="181" w:type="pct"/>
            <w:tcBorders>
              <w:top w:val="nil"/>
              <w:left w:val="nil"/>
              <w:bottom w:val="nil"/>
              <w:right w:val="nil"/>
            </w:tcBorders>
            <w:shd w:val="clear" w:color="000000" w:fill="FFFFFF"/>
            <w:noWrap/>
            <w:vAlign w:val="bottom"/>
          </w:tcPr>
          <w:p w14:paraId="40A98182" w14:textId="03212A3F" w:rsidR="0099102B" w:rsidRPr="00F24A76" w:rsidRDefault="0099102B" w:rsidP="003942DF">
            <w:pPr>
              <w:pStyle w:val="NoSpacing"/>
              <w:jc w:val="right"/>
            </w:pPr>
            <w:r w:rsidRPr="00F24A76">
              <w:t>21</w:t>
            </w:r>
          </w:p>
        </w:tc>
        <w:tc>
          <w:tcPr>
            <w:tcW w:w="314" w:type="pct"/>
            <w:tcBorders>
              <w:top w:val="nil"/>
              <w:left w:val="nil"/>
              <w:bottom w:val="nil"/>
              <w:right w:val="nil"/>
            </w:tcBorders>
            <w:shd w:val="clear" w:color="000000" w:fill="FFFFFF"/>
            <w:noWrap/>
            <w:vAlign w:val="bottom"/>
          </w:tcPr>
          <w:p w14:paraId="41DA221B" w14:textId="2A5E5821" w:rsidR="0099102B" w:rsidRPr="00F24A76" w:rsidRDefault="0099102B" w:rsidP="003942DF">
            <w:pPr>
              <w:pStyle w:val="NoSpacing"/>
            </w:pPr>
            <w:r w:rsidRPr="00F24A76">
              <w:t>±3</w:t>
            </w:r>
          </w:p>
        </w:tc>
        <w:tc>
          <w:tcPr>
            <w:tcW w:w="272" w:type="pct"/>
            <w:tcBorders>
              <w:top w:val="nil"/>
              <w:left w:val="nil"/>
              <w:bottom w:val="nil"/>
              <w:right w:val="nil"/>
            </w:tcBorders>
            <w:shd w:val="clear" w:color="000000" w:fill="FFFFFF"/>
            <w:noWrap/>
            <w:vAlign w:val="bottom"/>
          </w:tcPr>
          <w:p w14:paraId="685B4364" w14:textId="26CA5C87" w:rsidR="0099102B" w:rsidRPr="00F24A76" w:rsidRDefault="0099102B"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10354E83" w14:textId="23A614AC" w:rsidR="0099102B" w:rsidRPr="00F24A76" w:rsidRDefault="0099102B" w:rsidP="003942DF">
            <w:pPr>
              <w:pStyle w:val="NoSpacing"/>
              <w:jc w:val="right"/>
            </w:pPr>
            <w:r w:rsidRPr="00F24A76">
              <w:t>20</w:t>
            </w:r>
          </w:p>
        </w:tc>
        <w:tc>
          <w:tcPr>
            <w:tcW w:w="314" w:type="pct"/>
            <w:tcBorders>
              <w:top w:val="nil"/>
              <w:left w:val="nil"/>
              <w:bottom w:val="nil"/>
              <w:right w:val="nil"/>
            </w:tcBorders>
            <w:shd w:val="clear" w:color="000000" w:fill="FFFFFF"/>
            <w:noWrap/>
            <w:vAlign w:val="bottom"/>
          </w:tcPr>
          <w:p w14:paraId="6811C2BE" w14:textId="3573D531" w:rsidR="0099102B" w:rsidRPr="00F24A76" w:rsidRDefault="0099102B" w:rsidP="003942DF">
            <w:pPr>
              <w:pStyle w:val="NoSpacing"/>
            </w:pPr>
            <w:r w:rsidRPr="00F24A76">
              <w:t>±3</w:t>
            </w:r>
          </w:p>
        </w:tc>
        <w:tc>
          <w:tcPr>
            <w:tcW w:w="182" w:type="pct"/>
            <w:tcBorders>
              <w:top w:val="nil"/>
              <w:left w:val="nil"/>
              <w:bottom w:val="nil"/>
              <w:right w:val="nil"/>
            </w:tcBorders>
            <w:shd w:val="clear" w:color="000000" w:fill="FFFFFF"/>
            <w:noWrap/>
            <w:vAlign w:val="bottom"/>
          </w:tcPr>
          <w:p w14:paraId="0C68D3FC" w14:textId="37C67E56" w:rsidR="0099102B" w:rsidRPr="00F24A76" w:rsidRDefault="0099102B" w:rsidP="003942DF">
            <w:pPr>
              <w:pStyle w:val="NoSpacing"/>
              <w:jc w:val="right"/>
            </w:pPr>
            <w:r w:rsidRPr="00F24A76">
              <w:t>19</w:t>
            </w:r>
          </w:p>
        </w:tc>
        <w:tc>
          <w:tcPr>
            <w:tcW w:w="314" w:type="pct"/>
            <w:tcBorders>
              <w:top w:val="nil"/>
              <w:left w:val="nil"/>
              <w:bottom w:val="nil"/>
              <w:right w:val="nil"/>
            </w:tcBorders>
            <w:shd w:val="clear" w:color="000000" w:fill="FFFFFF"/>
            <w:noWrap/>
            <w:vAlign w:val="bottom"/>
          </w:tcPr>
          <w:p w14:paraId="2C991FAC" w14:textId="54E9724C" w:rsidR="0099102B" w:rsidRPr="00F24A76" w:rsidRDefault="0099102B" w:rsidP="003942DF">
            <w:pPr>
              <w:pStyle w:val="NoSpacing"/>
            </w:pPr>
            <w:r w:rsidRPr="00F24A76">
              <w:t>±3</w:t>
            </w:r>
          </w:p>
        </w:tc>
        <w:tc>
          <w:tcPr>
            <w:tcW w:w="178" w:type="pct"/>
            <w:tcBorders>
              <w:top w:val="nil"/>
              <w:left w:val="nil"/>
              <w:bottom w:val="nil"/>
              <w:right w:val="nil"/>
            </w:tcBorders>
            <w:shd w:val="clear" w:color="000000" w:fill="FFFFFF"/>
            <w:noWrap/>
            <w:vAlign w:val="bottom"/>
          </w:tcPr>
          <w:p w14:paraId="0960DB03" w14:textId="1E6B2D9E" w:rsidR="0099102B" w:rsidRPr="00F24A76" w:rsidRDefault="0099102B" w:rsidP="003942DF">
            <w:pPr>
              <w:pStyle w:val="NoSpacing"/>
              <w:jc w:val="center"/>
              <w:rPr>
                <w:i/>
              </w:rPr>
            </w:pPr>
            <w:r w:rsidRPr="00F24A76">
              <w:rPr>
                <w:i/>
              </w:rPr>
              <w:t>0.04</w:t>
            </w:r>
          </w:p>
        </w:tc>
      </w:tr>
      <w:tr w:rsidR="0099102B" w:rsidRPr="00F24A76" w14:paraId="4907375D" w14:textId="77777777" w:rsidTr="003942DF">
        <w:trPr>
          <w:trHeight w:val="18"/>
        </w:trPr>
        <w:tc>
          <w:tcPr>
            <w:tcW w:w="1281" w:type="pct"/>
            <w:tcBorders>
              <w:top w:val="nil"/>
              <w:left w:val="nil"/>
              <w:bottom w:val="nil"/>
              <w:right w:val="nil"/>
            </w:tcBorders>
            <w:shd w:val="clear" w:color="000000" w:fill="FFFFFF"/>
            <w:noWrap/>
            <w:vAlign w:val="bottom"/>
          </w:tcPr>
          <w:p w14:paraId="2420662E" w14:textId="1F0151DB" w:rsidR="0099102B" w:rsidRPr="00F24A76" w:rsidRDefault="0099102B" w:rsidP="003942DF">
            <w:pPr>
              <w:pStyle w:val="NoSpacing"/>
            </w:pPr>
            <w:r w:rsidRPr="00F24A76">
              <w:t>Diaphragmatic descending</w:t>
            </w:r>
          </w:p>
        </w:tc>
        <w:tc>
          <w:tcPr>
            <w:tcW w:w="69" w:type="pct"/>
            <w:tcBorders>
              <w:top w:val="nil"/>
              <w:left w:val="nil"/>
              <w:bottom w:val="nil"/>
              <w:right w:val="nil"/>
            </w:tcBorders>
            <w:shd w:val="clear" w:color="000000" w:fill="FFFFFF"/>
            <w:noWrap/>
            <w:vAlign w:val="bottom"/>
          </w:tcPr>
          <w:p w14:paraId="09FCBDB8" w14:textId="77777777" w:rsidR="0099102B" w:rsidRPr="00F24A76" w:rsidRDefault="0099102B" w:rsidP="003942DF">
            <w:pPr>
              <w:pStyle w:val="NoSpacing"/>
            </w:pPr>
          </w:p>
        </w:tc>
        <w:tc>
          <w:tcPr>
            <w:tcW w:w="184" w:type="pct"/>
            <w:tcBorders>
              <w:top w:val="nil"/>
              <w:left w:val="nil"/>
              <w:bottom w:val="nil"/>
              <w:right w:val="nil"/>
            </w:tcBorders>
            <w:shd w:val="clear" w:color="000000" w:fill="FFFFFF"/>
            <w:noWrap/>
            <w:vAlign w:val="bottom"/>
          </w:tcPr>
          <w:p w14:paraId="4006E880" w14:textId="10AE0598" w:rsidR="0099102B" w:rsidRPr="00F24A76" w:rsidRDefault="0099102B" w:rsidP="003942DF">
            <w:pPr>
              <w:pStyle w:val="NoSpacing"/>
              <w:jc w:val="right"/>
            </w:pPr>
            <w:r w:rsidRPr="00F24A76">
              <w:t>17</w:t>
            </w:r>
          </w:p>
        </w:tc>
        <w:tc>
          <w:tcPr>
            <w:tcW w:w="315" w:type="pct"/>
            <w:tcBorders>
              <w:top w:val="nil"/>
              <w:left w:val="nil"/>
              <w:bottom w:val="nil"/>
              <w:right w:val="nil"/>
            </w:tcBorders>
            <w:shd w:val="clear" w:color="000000" w:fill="FFFFFF"/>
            <w:noWrap/>
            <w:vAlign w:val="bottom"/>
          </w:tcPr>
          <w:p w14:paraId="64125A3A" w14:textId="7F19532F" w:rsidR="0099102B" w:rsidRPr="00F24A76" w:rsidRDefault="0099102B" w:rsidP="003942DF">
            <w:pPr>
              <w:pStyle w:val="NoSpacing"/>
            </w:pPr>
            <w:r w:rsidRPr="00F24A76">
              <w:t>±2</w:t>
            </w:r>
          </w:p>
        </w:tc>
        <w:tc>
          <w:tcPr>
            <w:tcW w:w="181" w:type="pct"/>
            <w:tcBorders>
              <w:top w:val="nil"/>
              <w:left w:val="nil"/>
              <w:bottom w:val="nil"/>
              <w:right w:val="nil"/>
            </w:tcBorders>
            <w:shd w:val="clear" w:color="000000" w:fill="FFFFFF"/>
            <w:noWrap/>
            <w:vAlign w:val="bottom"/>
          </w:tcPr>
          <w:p w14:paraId="2F1C5A35" w14:textId="09993068" w:rsidR="0099102B" w:rsidRPr="00F24A76" w:rsidRDefault="0099102B" w:rsidP="003942DF">
            <w:pPr>
              <w:pStyle w:val="NoSpacing"/>
              <w:jc w:val="right"/>
            </w:pPr>
            <w:r w:rsidRPr="00F24A76">
              <w:t>17</w:t>
            </w:r>
          </w:p>
        </w:tc>
        <w:tc>
          <w:tcPr>
            <w:tcW w:w="314" w:type="pct"/>
            <w:tcBorders>
              <w:top w:val="nil"/>
              <w:left w:val="nil"/>
              <w:bottom w:val="nil"/>
              <w:right w:val="nil"/>
            </w:tcBorders>
            <w:shd w:val="clear" w:color="000000" w:fill="FFFFFF"/>
            <w:noWrap/>
            <w:vAlign w:val="bottom"/>
          </w:tcPr>
          <w:p w14:paraId="6DBD75BF" w14:textId="54E2C2D9" w:rsidR="0099102B" w:rsidRPr="00F24A76" w:rsidRDefault="0099102B" w:rsidP="003942DF">
            <w:pPr>
              <w:pStyle w:val="NoSpacing"/>
            </w:pPr>
            <w:r w:rsidRPr="00F24A76">
              <w:t>±3</w:t>
            </w:r>
          </w:p>
        </w:tc>
        <w:tc>
          <w:tcPr>
            <w:tcW w:w="219" w:type="pct"/>
            <w:tcBorders>
              <w:top w:val="nil"/>
              <w:left w:val="nil"/>
              <w:bottom w:val="nil"/>
              <w:right w:val="nil"/>
            </w:tcBorders>
            <w:shd w:val="clear" w:color="000000" w:fill="FFFFFF"/>
            <w:noWrap/>
            <w:vAlign w:val="bottom"/>
          </w:tcPr>
          <w:p w14:paraId="185B2011" w14:textId="2DCA7D3A" w:rsidR="0099102B" w:rsidRPr="00F24A76" w:rsidRDefault="0099102B" w:rsidP="003942DF">
            <w:pPr>
              <w:pStyle w:val="NoSpacing"/>
              <w:jc w:val="center"/>
              <w:rPr>
                <w:i/>
              </w:rPr>
            </w:pPr>
            <w:r>
              <w:rPr>
                <w:i/>
              </w:rPr>
              <w:t>-</w:t>
            </w:r>
          </w:p>
        </w:tc>
        <w:tc>
          <w:tcPr>
            <w:tcW w:w="184" w:type="pct"/>
            <w:tcBorders>
              <w:top w:val="nil"/>
              <w:left w:val="nil"/>
              <w:bottom w:val="nil"/>
              <w:right w:val="nil"/>
            </w:tcBorders>
            <w:shd w:val="clear" w:color="000000" w:fill="FFFFFF"/>
            <w:noWrap/>
            <w:vAlign w:val="bottom"/>
          </w:tcPr>
          <w:p w14:paraId="7AE9F36E" w14:textId="0410ADB4" w:rsidR="0099102B" w:rsidRPr="00F24A76" w:rsidRDefault="0099102B" w:rsidP="003942DF">
            <w:pPr>
              <w:pStyle w:val="NoSpacing"/>
              <w:jc w:val="right"/>
            </w:pPr>
            <w:r w:rsidRPr="00F24A76">
              <w:t>18</w:t>
            </w:r>
          </w:p>
        </w:tc>
        <w:tc>
          <w:tcPr>
            <w:tcW w:w="315" w:type="pct"/>
            <w:tcBorders>
              <w:top w:val="nil"/>
              <w:left w:val="nil"/>
              <w:bottom w:val="nil"/>
              <w:right w:val="nil"/>
            </w:tcBorders>
            <w:shd w:val="clear" w:color="000000" w:fill="FFFFFF"/>
            <w:noWrap/>
            <w:vAlign w:val="bottom"/>
          </w:tcPr>
          <w:p w14:paraId="7C2CB932" w14:textId="0EE483D9" w:rsidR="0099102B" w:rsidRPr="00F24A76" w:rsidRDefault="0099102B" w:rsidP="003942DF">
            <w:pPr>
              <w:pStyle w:val="NoSpacing"/>
            </w:pPr>
            <w:r w:rsidRPr="00F24A76">
              <w:t>±2</w:t>
            </w:r>
          </w:p>
        </w:tc>
        <w:tc>
          <w:tcPr>
            <w:tcW w:w="181" w:type="pct"/>
            <w:tcBorders>
              <w:top w:val="nil"/>
              <w:left w:val="nil"/>
              <w:bottom w:val="nil"/>
              <w:right w:val="nil"/>
            </w:tcBorders>
            <w:shd w:val="clear" w:color="000000" w:fill="FFFFFF"/>
            <w:noWrap/>
            <w:vAlign w:val="bottom"/>
          </w:tcPr>
          <w:p w14:paraId="5AC9A547" w14:textId="6FA2CACF" w:rsidR="0099102B" w:rsidRPr="00F24A76" w:rsidRDefault="0099102B" w:rsidP="003942DF">
            <w:pPr>
              <w:pStyle w:val="NoSpacing"/>
              <w:jc w:val="right"/>
            </w:pPr>
            <w:r w:rsidRPr="00F24A76">
              <w:t>18</w:t>
            </w:r>
          </w:p>
        </w:tc>
        <w:tc>
          <w:tcPr>
            <w:tcW w:w="314" w:type="pct"/>
            <w:tcBorders>
              <w:top w:val="nil"/>
              <w:left w:val="nil"/>
              <w:bottom w:val="nil"/>
              <w:right w:val="nil"/>
            </w:tcBorders>
            <w:shd w:val="clear" w:color="000000" w:fill="FFFFFF"/>
            <w:noWrap/>
            <w:vAlign w:val="bottom"/>
          </w:tcPr>
          <w:p w14:paraId="04D68736" w14:textId="534B6321" w:rsidR="0099102B" w:rsidRPr="00F24A76" w:rsidRDefault="0099102B" w:rsidP="003942DF">
            <w:pPr>
              <w:pStyle w:val="NoSpacing"/>
            </w:pPr>
            <w:r w:rsidRPr="00F24A76">
              <w:t>±3</w:t>
            </w:r>
          </w:p>
        </w:tc>
        <w:tc>
          <w:tcPr>
            <w:tcW w:w="272" w:type="pct"/>
            <w:tcBorders>
              <w:top w:val="nil"/>
              <w:left w:val="nil"/>
              <w:bottom w:val="nil"/>
              <w:right w:val="nil"/>
            </w:tcBorders>
            <w:shd w:val="clear" w:color="000000" w:fill="FFFFFF"/>
            <w:noWrap/>
            <w:vAlign w:val="bottom"/>
          </w:tcPr>
          <w:p w14:paraId="350DE41B" w14:textId="591F67A4" w:rsidR="0099102B" w:rsidRPr="00F24A76" w:rsidRDefault="0099102B" w:rsidP="003942DF">
            <w:pPr>
              <w:pStyle w:val="NoSpacing"/>
              <w:jc w:val="center"/>
              <w:rPr>
                <w:i/>
              </w:rPr>
            </w:pPr>
            <w:r>
              <w:rPr>
                <w:i/>
              </w:rPr>
              <w:t>-</w:t>
            </w:r>
          </w:p>
        </w:tc>
        <w:tc>
          <w:tcPr>
            <w:tcW w:w="183" w:type="pct"/>
            <w:tcBorders>
              <w:top w:val="nil"/>
              <w:left w:val="nil"/>
              <w:bottom w:val="nil"/>
              <w:right w:val="nil"/>
            </w:tcBorders>
            <w:shd w:val="clear" w:color="000000" w:fill="FFFFFF"/>
            <w:noWrap/>
            <w:vAlign w:val="bottom"/>
          </w:tcPr>
          <w:p w14:paraId="70F4B034" w14:textId="0290F3B9" w:rsidR="0099102B" w:rsidRPr="00F24A76" w:rsidRDefault="0099102B" w:rsidP="003942DF">
            <w:pPr>
              <w:pStyle w:val="NoSpacing"/>
              <w:jc w:val="right"/>
            </w:pPr>
            <w:r w:rsidRPr="00F24A76">
              <w:t>16</w:t>
            </w:r>
          </w:p>
        </w:tc>
        <w:tc>
          <w:tcPr>
            <w:tcW w:w="314" w:type="pct"/>
            <w:tcBorders>
              <w:top w:val="nil"/>
              <w:left w:val="nil"/>
              <w:bottom w:val="nil"/>
              <w:right w:val="nil"/>
            </w:tcBorders>
            <w:shd w:val="clear" w:color="000000" w:fill="FFFFFF"/>
            <w:noWrap/>
            <w:vAlign w:val="bottom"/>
          </w:tcPr>
          <w:p w14:paraId="7618B745" w14:textId="0DE2B0D7" w:rsidR="0099102B" w:rsidRPr="00F24A76" w:rsidRDefault="0099102B" w:rsidP="003942DF">
            <w:pPr>
              <w:pStyle w:val="NoSpacing"/>
            </w:pPr>
            <w:r w:rsidRPr="00F24A76">
              <w:t>±2</w:t>
            </w:r>
          </w:p>
        </w:tc>
        <w:tc>
          <w:tcPr>
            <w:tcW w:w="182" w:type="pct"/>
            <w:tcBorders>
              <w:top w:val="nil"/>
              <w:left w:val="nil"/>
              <w:bottom w:val="nil"/>
              <w:right w:val="nil"/>
            </w:tcBorders>
            <w:shd w:val="clear" w:color="000000" w:fill="FFFFFF"/>
            <w:noWrap/>
            <w:vAlign w:val="bottom"/>
          </w:tcPr>
          <w:p w14:paraId="2D3BBFFD" w14:textId="4CA6D72A" w:rsidR="0099102B" w:rsidRPr="00F24A76" w:rsidRDefault="0099102B" w:rsidP="003942DF">
            <w:pPr>
              <w:pStyle w:val="NoSpacing"/>
              <w:jc w:val="right"/>
            </w:pPr>
            <w:r w:rsidRPr="00F24A76">
              <w:t>16</w:t>
            </w:r>
          </w:p>
        </w:tc>
        <w:tc>
          <w:tcPr>
            <w:tcW w:w="314" w:type="pct"/>
            <w:tcBorders>
              <w:top w:val="nil"/>
              <w:left w:val="nil"/>
              <w:bottom w:val="nil"/>
              <w:right w:val="nil"/>
            </w:tcBorders>
            <w:shd w:val="clear" w:color="000000" w:fill="FFFFFF"/>
            <w:noWrap/>
            <w:vAlign w:val="bottom"/>
          </w:tcPr>
          <w:p w14:paraId="6841125E" w14:textId="3799336F" w:rsidR="0099102B" w:rsidRPr="00F24A76" w:rsidRDefault="0099102B" w:rsidP="003942DF">
            <w:pPr>
              <w:pStyle w:val="NoSpacing"/>
            </w:pPr>
            <w:r w:rsidRPr="00F24A76">
              <w:t>±2</w:t>
            </w:r>
          </w:p>
        </w:tc>
        <w:tc>
          <w:tcPr>
            <w:tcW w:w="178" w:type="pct"/>
            <w:tcBorders>
              <w:top w:val="nil"/>
              <w:left w:val="nil"/>
              <w:bottom w:val="nil"/>
              <w:right w:val="nil"/>
            </w:tcBorders>
            <w:shd w:val="clear" w:color="000000" w:fill="FFFFFF"/>
            <w:noWrap/>
            <w:vAlign w:val="bottom"/>
          </w:tcPr>
          <w:p w14:paraId="236A889A" w14:textId="76BC0D3D" w:rsidR="0099102B" w:rsidRPr="00F24A76" w:rsidRDefault="0099102B" w:rsidP="003942DF">
            <w:pPr>
              <w:pStyle w:val="NoSpacing"/>
              <w:jc w:val="center"/>
              <w:rPr>
                <w:i/>
              </w:rPr>
            </w:pPr>
            <w:r>
              <w:rPr>
                <w:i/>
              </w:rPr>
              <w:t>-</w:t>
            </w:r>
          </w:p>
        </w:tc>
      </w:tr>
    </w:tbl>
    <w:p w14:paraId="1CE61873" w14:textId="4B9F02A0" w:rsidR="00C532F3" w:rsidRPr="003728B2" w:rsidRDefault="00766BE1" w:rsidP="00407C3A">
      <w:pPr>
        <w:pStyle w:val="Caption"/>
        <w:spacing w:line="240" w:lineRule="auto"/>
      </w:pPr>
      <w:bookmarkStart w:id="6" w:name="_Ref533754759"/>
      <w:r w:rsidRPr="00D93162">
        <w:rPr>
          <w:b/>
          <w:sz w:val="24"/>
          <w:szCs w:val="24"/>
        </w:rPr>
        <w:t xml:space="preserve">Table </w:t>
      </w:r>
      <w:r w:rsidRPr="00D93162">
        <w:rPr>
          <w:b/>
          <w:sz w:val="24"/>
          <w:szCs w:val="24"/>
        </w:rPr>
        <w:fldChar w:fldCharType="begin"/>
      </w:r>
      <w:r w:rsidRPr="00D93162">
        <w:rPr>
          <w:b/>
          <w:sz w:val="24"/>
          <w:szCs w:val="24"/>
        </w:rPr>
        <w:instrText xml:space="preserve"> SEQ Table \* ARABIC </w:instrText>
      </w:r>
      <w:r w:rsidRPr="00D93162">
        <w:rPr>
          <w:b/>
          <w:sz w:val="24"/>
          <w:szCs w:val="24"/>
        </w:rPr>
        <w:fldChar w:fldCharType="separate"/>
      </w:r>
      <w:r w:rsidR="00523BD5" w:rsidRPr="00D93162">
        <w:rPr>
          <w:b/>
          <w:noProof/>
          <w:sz w:val="24"/>
          <w:szCs w:val="24"/>
        </w:rPr>
        <w:t>2</w:t>
      </w:r>
      <w:r w:rsidRPr="00D93162">
        <w:rPr>
          <w:b/>
          <w:sz w:val="24"/>
          <w:szCs w:val="24"/>
        </w:rPr>
        <w:fldChar w:fldCharType="end"/>
      </w:r>
      <w:bookmarkEnd w:id="6"/>
      <w:r w:rsidRPr="00D93162">
        <w:rPr>
          <w:b/>
          <w:sz w:val="24"/>
          <w:szCs w:val="24"/>
        </w:rPr>
        <w:t xml:space="preserve"> </w:t>
      </w:r>
      <w:r w:rsidR="00462F0B" w:rsidRPr="00D93162">
        <w:rPr>
          <w:b/>
          <w:sz w:val="24"/>
          <w:szCs w:val="24"/>
        </w:rPr>
        <w:t xml:space="preserve">Aortic stiffness before and after exercise training, stratified by older (&gt;37 years) and younger </w:t>
      </w:r>
      <w:r w:rsidR="00462F0B" w:rsidRPr="00D93162">
        <w:rPr>
          <w:rFonts w:eastAsia="Times New Roman"/>
          <w:b/>
          <w:color w:val="000000"/>
          <w:sz w:val="24"/>
          <w:szCs w:val="24"/>
        </w:rPr>
        <w:t>(≤37 years)</w:t>
      </w:r>
      <w:r w:rsidR="00462F0B" w:rsidRPr="00D93162">
        <w:rPr>
          <w:b/>
          <w:sz w:val="24"/>
          <w:szCs w:val="24"/>
        </w:rPr>
        <w:t xml:space="preserve"> participants.</w:t>
      </w:r>
      <w:r w:rsidR="00645932" w:rsidRPr="00D93162">
        <w:rPr>
          <w:b/>
          <w:sz w:val="24"/>
          <w:szCs w:val="24"/>
        </w:rPr>
        <w:t xml:space="preserve"> </w:t>
      </w:r>
      <w:r w:rsidR="00645932" w:rsidRPr="00D93162">
        <w:rPr>
          <w:sz w:val="24"/>
          <w:szCs w:val="24"/>
        </w:rPr>
        <w:t>Data are mean (±standard deviation) or median (inter-quartile range).</w:t>
      </w:r>
      <w:r w:rsidR="00DD79A9">
        <w:rPr>
          <w:sz w:val="24"/>
          <w:szCs w:val="24"/>
        </w:rPr>
        <w:t xml:space="preserve"> Only p values which are significant at 0.10 false discovery rate are reported. </w:t>
      </w:r>
      <w:r w:rsidR="00DD79A9" w:rsidRPr="00F65232">
        <w:rPr>
          <w:i/>
          <w:sz w:val="24"/>
          <w:szCs w:val="24"/>
        </w:rPr>
        <w:t>Abbreviations: Z</w:t>
      </w:r>
      <w:r w:rsidR="00DD79A9" w:rsidRPr="00F65232">
        <w:rPr>
          <w:i/>
          <w:sz w:val="24"/>
          <w:szCs w:val="24"/>
          <w:vertAlign w:val="subscript"/>
        </w:rPr>
        <w:t>c</w:t>
      </w:r>
      <w:r w:rsidR="00DD79A9" w:rsidRPr="00F65232">
        <w:rPr>
          <w:i/>
          <w:sz w:val="24"/>
          <w:szCs w:val="24"/>
        </w:rPr>
        <w:t>=Characteristic impedance.</w:t>
      </w:r>
    </w:p>
    <w:sectPr w:rsidR="00C532F3" w:rsidRPr="003728B2" w:rsidSect="00407C3A">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6A1B" w14:textId="77777777" w:rsidR="0011030D" w:rsidRDefault="0011030D" w:rsidP="00C26576">
      <w:r>
        <w:separator/>
      </w:r>
    </w:p>
  </w:endnote>
  <w:endnote w:type="continuationSeparator" w:id="0">
    <w:p w14:paraId="75B8D242" w14:textId="77777777" w:rsidR="0011030D" w:rsidRDefault="0011030D" w:rsidP="00C2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greek">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4934" w14:textId="77777777" w:rsidR="00F65232" w:rsidRDefault="00F65232" w:rsidP="00FE02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F2630" w14:textId="77777777" w:rsidR="00F65232" w:rsidRDefault="00F6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4A67" w14:textId="02BBD935" w:rsidR="00F65232" w:rsidRDefault="00F65232" w:rsidP="00FE02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9D7">
      <w:rPr>
        <w:rStyle w:val="PageNumber"/>
        <w:noProof/>
      </w:rPr>
      <w:t>4</w:t>
    </w:r>
    <w:r>
      <w:rPr>
        <w:rStyle w:val="PageNumber"/>
      </w:rPr>
      <w:fldChar w:fldCharType="end"/>
    </w:r>
  </w:p>
  <w:p w14:paraId="79764688" w14:textId="09AF817F" w:rsidR="00F65232" w:rsidRPr="00C26576" w:rsidRDefault="00F65232">
    <w:pPr>
      <w:pStyle w:val="Footer"/>
      <w:rPr>
        <w:lang w:val="en-GB"/>
      </w:rPr>
    </w:pP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3FD3" w14:textId="77777777" w:rsidR="0011030D" w:rsidRDefault="0011030D" w:rsidP="00C26576">
      <w:r>
        <w:separator/>
      </w:r>
    </w:p>
  </w:footnote>
  <w:footnote w:type="continuationSeparator" w:id="0">
    <w:p w14:paraId="0FA7F131" w14:textId="77777777" w:rsidR="0011030D" w:rsidRDefault="0011030D" w:rsidP="00C2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90E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6412"/>
    <w:multiLevelType w:val="hybridMultilevel"/>
    <w:tmpl w:val="BCCEB9EA"/>
    <w:lvl w:ilvl="0" w:tplc="1388B33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15756"/>
    <w:multiLevelType w:val="hybridMultilevel"/>
    <w:tmpl w:val="0788253E"/>
    <w:lvl w:ilvl="0" w:tplc="9EEEA7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7E1E"/>
    <w:multiLevelType w:val="hybridMultilevel"/>
    <w:tmpl w:val="F0F0ACA0"/>
    <w:lvl w:ilvl="0" w:tplc="1388B3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32D7"/>
    <w:multiLevelType w:val="hybridMultilevel"/>
    <w:tmpl w:val="1D48B32A"/>
    <w:lvl w:ilvl="0" w:tplc="E77C2800">
      <w:start w:val="1"/>
      <w:numFmt w:val="bullet"/>
      <w:lvlText w:val="•"/>
      <w:lvlJc w:val="left"/>
      <w:pPr>
        <w:tabs>
          <w:tab w:val="num" w:pos="720"/>
        </w:tabs>
        <w:ind w:left="720" w:hanging="360"/>
      </w:pPr>
      <w:rPr>
        <w:rFonts w:ascii="Arial" w:hAnsi="Arial" w:hint="default"/>
      </w:rPr>
    </w:lvl>
    <w:lvl w:ilvl="1" w:tplc="CE08A4A6" w:tentative="1">
      <w:start w:val="1"/>
      <w:numFmt w:val="bullet"/>
      <w:lvlText w:val="•"/>
      <w:lvlJc w:val="left"/>
      <w:pPr>
        <w:tabs>
          <w:tab w:val="num" w:pos="1440"/>
        </w:tabs>
        <w:ind w:left="1440" w:hanging="360"/>
      </w:pPr>
      <w:rPr>
        <w:rFonts w:ascii="Arial" w:hAnsi="Arial" w:hint="default"/>
      </w:rPr>
    </w:lvl>
    <w:lvl w:ilvl="2" w:tplc="1F28BDA0" w:tentative="1">
      <w:start w:val="1"/>
      <w:numFmt w:val="bullet"/>
      <w:lvlText w:val="•"/>
      <w:lvlJc w:val="left"/>
      <w:pPr>
        <w:tabs>
          <w:tab w:val="num" w:pos="2160"/>
        </w:tabs>
        <w:ind w:left="2160" w:hanging="360"/>
      </w:pPr>
      <w:rPr>
        <w:rFonts w:ascii="Arial" w:hAnsi="Arial" w:hint="default"/>
      </w:rPr>
    </w:lvl>
    <w:lvl w:ilvl="3" w:tplc="270A0A92" w:tentative="1">
      <w:start w:val="1"/>
      <w:numFmt w:val="bullet"/>
      <w:lvlText w:val="•"/>
      <w:lvlJc w:val="left"/>
      <w:pPr>
        <w:tabs>
          <w:tab w:val="num" w:pos="2880"/>
        </w:tabs>
        <w:ind w:left="2880" w:hanging="360"/>
      </w:pPr>
      <w:rPr>
        <w:rFonts w:ascii="Arial" w:hAnsi="Arial" w:hint="default"/>
      </w:rPr>
    </w:lvl>
    <w:lvl w:ilvl="4" w:tplc="F350D814" w:tentative="1">
      <w:start w:val="1"/>
      <w:numFmt w:val="bullet"/>
      <w:lvlText w:val="•"/>
      <w:lvlJc w:val="left"/>
      <w:pPr>
        <w:tabs>
          <w:tab w:val="num" w:pos="3600"/>
        </w:tabs>
        <w:ind w:left="3600" w:hanging="360"/>
      </w:pPr>
      <w:rPr>
        <w:rFonts w:ascii="Arial" w:hAnsi="Arial" w:hint="default"/>
      </w:rPr>
    </w:lvl>
    <w:lvl w:ilvl="5" w:tplc="1F9A9E90" w:tentative="1">
      <w:start w:val="1"/>
      <w:numFmt w:val="bullet"/>
      <w:lvlText w:val="•"/>
      <w:lvlJc w:val="left"/>
      <w:pPr>
        <w:tabs>
          <w:tab w:val="num" w:pos="4320"/>
        </w:tabs>
        <w:ind w:left="4320" w:hanging="360"/>
      </w:pPr>
      <w:rPr>
        <w:rFonts w:ascii="Arial" w:hAnsi="Arial" w:hint="default"/>
      </w:rPr>
    </w:lvl>
    <w:lvl w:ilvl="6" w:tplc="8DAA28D0" w:tentative="1">
      <w:start w:val="1"/>
      <w:numFmt w:val="bullet"/>
      <w:lvlText w:val="•"/>
      <w:lvlJc w:val="left"/>
      <w:pPr>
        <w:tabs>
          <w:tab w:val="num" w:pos="5040"/>
        </w:tabs>
        <w:ind w:left="5040" w:hanging="360"/>
      </w:pPr>
      <w:rPr>
        <w:rFonts w:ascii="Arial" w:hAnsi="Arial" w:hint="default"/>
      </w:rPr>
    </w:lvl>
    <w:lvl w:ilvl="7" w:tplc="022493AA" w:tentative="1">
      <w:start w:val="1"/>
      <w:numFmt w:val="bullet"/>
      <w:lvlText w:val="•"/>
      <w:lvlJc w:val="left"/>
      <w:pPr>
        <w:tabs>
          <w:tab w:val="num" w:pos="5760"/>
        </w:tabs>
        <w:ind w:left="5760" w:hanging="360"/>
      </w:pPr>
      <w:rPr>
        <w:rFonts w:ascii="Arial" w:hAnsi="Arial" w:hint="default"/>
      </w:rPr>
    </w:lvl>
    <w:lvl w:ilvl="8" w:tplc="668EC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FF0441"/>
    <w:multiLevelType w:val="hybridMultilevel"/>
    <w:tmpl w:val="0ABE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C0BDD"/>
    <w:multiLevelType w:val="hybridMultilevel"/>
    <w:tmpl w:val="792E4064"/>
    <w:lvl w:ilvl="0" w:tplc="921473FE">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56CC3"/>
    <w:multiLevelType w:val="hybridMultilevel"/>
    <w:tmpl w:val="A9A0F57E"/>
    <w:lvl w:ilvl="0" w:tplc="8146E114">
      <w:start w:val="1"/>
      <w:numFmt w:val="bullet"/>
      <w:lvlText w:val="•"/>
      <w:lvlJc w:val="left"/>
      <w:pPr>
        <w:tabs>
          <w:tab w:val="num" w:pos="720"/>
        </w:tabs>
        <w:ind w:left="720" w:hanging="360"/>
      </w:pPr>
      <w:rPr>
        <w:rFonts w:ascii="Arial" w:hAnsi="Arial" w:hint="default"/>
      </w:rPr>
    </w:lvl>
    <w:lvl w:ilvl="1" w:tplc="61AEDA78">
      <w:numFmt w:val="bullet"/>
      <w:lvlText w:val="•"/>
      <w:lvlJc w:val="left"/>
      <w:pPr>
        <w:tabs>
          <w:tab w:val="num" w:pos="1440"/>
        </w:tabs>
        <w:ind w:left="1440" w:hanging="360"/>
      </w:pPr>
      <w:rPr>
        <w:rFonts w:ascii="Arial" w:hAnsi="Arial" w:hint="default"/>
      </w:rPr>
    </w:lvl>
    <w:lvl w:ilvl="2" w:tplc="CC544F38" w:tentative="1">
      <w:start w:val="1"/>
      <w:numFmt w:val="bullet"/>
      <w:lvlText w:val="•"/>
      <w:lvlJc w:val="left"/>
      <w:pPr>
        <w:tabs>
          <w:tab w:val="num" w:pos="2160"/>
        </w:tabs>
        <w:ind w:left="2160" w:hanging="360"/>
      </w:pPr>
      <w:rPr>
        <w:rFonts w:ascii="Arial" w:hAnsi="Arial" w:hint="default"/>
      </w:rPr>
    </w:lvl>
    <w:lvl w:ilvl="3" w:tplc="A796AF1A" w:tentative="1">
      <w:start w:val="1"/>
      <w:numFmt w:val="bullet"/>
      <w:lvlText w:val="•"/>
      <w:lvlJc w:val="left"/>
      <w:pPr>
        <w:tabs>
          <w:tab w:val="num" w:pos="2880"/>
        </w:tabs>
        <w:ind w:left="2880" w:hanging="360"/>
      </w:pPr>
      <w:rPr>
        <w:rFonts w:ascii="Arial" w:hAnsi="Arial" w:hint="default"/>
      </w:rPr>
    </w:lvl>
    <w:lvl w:ilvl="4" w:tplc="EDDA8272" w:tentative="1">
      <w:start w:val="1"/>
      <w:numFmt w:val="bullet"/>
      <w:lvlText w:val="•"/>
      <w:lvlJc w:val="left"/>
      <w:pPr>
        <w:tabs>
          <w:tab w:val="num" w:pos="3600"/>
        </w:tabs>
        <w:ind w:left="3600" w:hanging="360"/>
      </w:pPr>
      <w:rPr>
        <w:rFonts w:ascii="Arial" w:hAnsi="Arial" w:hint="default"/>
      </w:rPr>
    </w:lvl>
    <w:lvl w:ilvl="5" w:tplc="E06C1D62" w:tentative="1">
      <w:start w:val="1"/>
      <w:numFmt w:val="bullet"/>
      <w:lvlText w:val="•"/>
      <w:lvlJc w:val="left"/>
      <w:pPr>
        <w:tabs>
          <w:tab w:val="num" w:pos="4320"/>
        </w:tabs>
        <w:ind w:left="4320" w:hanging="360"/>
      </w:pPr>
      <w:rPr>
        <w:rFonts w:ascii="Arial" w:hAnsi="Arial" w:hint="default"/>
      </w:rPr>
    </w:lvl>
    <w:lvl w:ilvl="6" w:tplc="B7A02854" w:tentative="1">
      <w:start w:val="1"/>
      <w:numFmt w:val="bullet"/>
      <w:lvlText w:val="•"/>
      <w:lvlJc w:val="left"/>
      <w:pPr>
        <w:tabs>
          <w:tab w:val="num" w:pos="5040"/>
        </w:tabs>
        <w:ind w:left="5040" w:hanging="360"/>
      </w:pPr>
      <w:rPr>
        <w:rFonts w:ascii="Arial" w:hAnsi="Arial" w:hint="default"/>
      </w:rPr>
    </w:lvl>
    <w:lvl w:ilvl="7" w:tplc="9676A784" w:tentative="1">
      <w:start w:val="1"/>
      <w:numFmt w:val="bullet"/>
      <w:lvlText w:val="•"/>
      <w:lvlJc w:val="left"/>
      <w:pPr>
        <w:tabs>
          <w:tab w:val="num" w:pos="5760"/>
        </w:tabs>
        <w:ind w:left="5760" w:hanging="360"/>
      </w:pPr>
      <w:rPr>
        <w:rFonts w:ascii="Arial" w:hAnsi="Arial" w:hint="default"/>
      </w:rPr>
    </w:lvl>
    <w:lvl w:ilvl="8" w:tplc="2646BD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E94D90"/>
    <w:multiLevelType w:val="hybridMultilevel"/>
    <w:tmpl w:val="F31E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97496"/>
    <w:multiLevelType w:val="hybridMultilevel"/>
    <w:tmpl w:val="9074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F1537"/>
    <w:multiLevelType w:val="hybridMultilevel"/>
    <w:tmpl w:val="9074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3C15"/>
    <w:multiLevelType w:val="hybridMultilevel"/>
    <w:tmpl w:val="45624EC4"/>
    <w:lvl w:ilvl="0" w:tplc="3036E57E">
      <w:start w:val="1"/>
      <w:numFmt w:val="decimal"/>
      <w:lvlText w:val="%1."/>
      <w:lvlJc w:val="left"/>
      <w:pPr>
        <w:tabs>
          <w:tab w:val="num" w:pos="720"/>
        </w:tabs>
        <w:ind w:left="720" w:hanging="360"/>
      </w:pPr>
    </w:lvl>
    <w:lvl w:ilvl="1" w:tplc="B74A4B4E" w:tentative="1">
      <w:start w:val="1"/>
      <w:numFmt w:val="decimal"/>
      <w:lvlText w:val="%2."/>
      <w:lvlJc w:val="left"/>
      <w:pPr>
        <w:tabs>
          <w:tab w:val="num" w:pos="1440"/>
        </w:tabs>
        <w:ind w:left="1440" w:hanging="360"/>
      </w:pPr>
    </w:lvl>
    <w:lvl w:ilvl="2" w:tplc="6BCCF5D2" w:tentative="1">
      <w:start w:val="1"/>
      <w:numFmt w:val="decimal"/>
      <w:lvlText w:val="%3."/>
      <w:lvlJc w:val="left"/>
      <w:pPr>
        <w:tabs>
          <w:tab w:val="num" w:pos="2160"/>
        </w:tabs>
        <w:ind w:left="2160" w:hanging="360"/>
      </w:pPr>
    </w:lvl>
    <w:lvl w:ilvl="3" w:tplc="1B3AC736" w:tentative="1">
      <w:start w:val="1"/>
      <w:numFmt w:val="decimal"/>
      <w:lvlText w:val="%4."/>
      <w:lvlJc w:val="left"/>
      <w:pPr>
        <w:tabs>
          <w:tab w:val="num" w:pos="2880"/>
        </w:tabs>
        <w:ind w:left="2880" w:hanging="360"/>
      </w:pPr>
    </w:lvl>
    <w:lvl w:ilvl="4" w:tplc="E0F6C73A" w:tentative="1">
      <w:start w:val="1"/>
      <w:numFmt w:val="decimal"/>
      <w:lvlText w:val="%5."/>
      <w:lvlJc w:val="left"/>
      <w:pPr>
        <w:tabs>
          <w:tab w:val="num" w:pos="3600"/>
        </w:tabs>
        <w:ind w:left="3600" w:hanging="360"/>
      </w:pPr>
    </w:lvl>
    <w:lvl w:ilvl="5" w:tplc="AAFE41DE" w:tentative="1">
      <w:start w:val="1"/>
      <w:numFmt w:val="decimal"/>
      <w:lvlText w:val="%6."/>
      <w:lvlJc w:val="left"/>
      <w:pPr>
        <w:tabs>
          <w:tab w:val="num" w:pos="4320"/>
        </w:tabs>
        <w:ind w:left="4320" w:hanging="360"/>
      </w:pPr>
    </w:lvl>
    <w:lvl w:ilvl="6" w:tplc="4218EA3E" w:tentative="1">
      <w:start w:val="1"/>
      <w:numFmt w:val="decimal"/>
      <w:lvlText w:val="%7."/>
      <w:lvlJc w:val="left"/>
      <w:pPr>
        <w:tabs>
          <w:tab w:val="num" w:pos="5040"/>
        </w:tabs>
        <w:ind w:left="5040" w:hanging="360"/>
      </w:pPr>
    </w:lvl>
    <w:lvl w:ilvl="7" w:tplc="F31C1AA2" w:tentative="1">
      <w:start w:val="1"/>
      <w:numFmt w:val="decimal"/>
      <w:lvlText w:val="%8."/>
      <w:lvlJc w:val="left"/>
      <w:pPr>
        <w:tabs>
          <w:tab w:val="num" w:pos="5760"/>
        </w:tabs>
        <w:ind w:left="5760" w:hanging="360"/>
      </w:pPr>
    </w:lvl>
    <w:lvl w:ilvl="8" w:tplc="1A7C7728" w:tentative="1">
      <w:start w:val="1"/>
      <w:numFmt w:val="decimal"/>
      <w:lvlText w:val="%9."/>
      <w:lvlJc w:val="left"/>
      <w:pPr>
        <w:tabs>
          <w:tab w:val="num" w:pos="6480"/>
        </w:tabs>
        <w:ind w:left="6480" w:hanging="360"/>
      </w:pPr>
    </w:lvl>
  </w:abstractNum>
  <w:abstractNum w:abstractNumId="12" w15:restartNumberingAfterBreak="0">
    <w:nsid w:val="479F7043"/>
    <w:multiLevelType w:val="hybridMultilevel"/>
    <w:tmpl w:val="81CC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4207C"/>
    <w:multiLevelType w:val="hybridMultilevel"/>
    <w:tmpl w:val="57FE05C4"/>
    <w:lvl w:ilvl="0" w:tplc="CA72292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95D60"/>
    <w:multiLevelType w:val="hybridMultilevel"/>
    <w:tmpl w:val="2578B98C"/>
    <w:lvl w:ilvl="0" w:tplc="8B2EF6E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25B08"/>
    <w:multiLevelType w:val="hybridMultilevel"/>
    <w:tmpl w:val="67188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D263B"/>
    <w:multiLevelType w:val="hybridMultilevel"/>
    <w:tmpl w:val="2668AD08"/>
    <w:lvl w:ilvl="0" w:tplc="44EA3BC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83D93"/>
    <w:multiLevelType w:val="hybridMultilevel"/>
    <w:tmpl w:val="D144DA28"/>
    <w:lvl w:ilvl="0" w:tplc="C8DC4628">
      <w:start w:val="1"/>
      <w:numFmt w:val="bullet"/>
      <w:lvlText w:val="•"/>
      <w:lvlJc w:val="left"/>
      <w:pPr>
        <w:tabs>
          <w:tab w:val="num" w:pos="720"/>
        </w:tabs>
        <w:ind w:left="720" w:hanging="360"/>
      </w:pPr>
      <w:rPr>
        <w:rFonts w:ascii="Arial" w:hAnsi="Arial" w:hint="default"/>
      </w:rPr>
    </w:lvl>
    <w:lvl w:ilvl="1" w:tplc="DE38B83E" w:tentative="1">
      <w:start w:val="1"/>
      <w:numFmt w:val="bullet"/>
      <w:lvlText w:val="•"/>
      <w:lvlJc w:val="left"/>
      <w:pPr>
        <w:tabs>
          <w:tab w:val="num" w:pos="1440"/>
        </w:tabs>
        <w:ind w:left="1440" w:hanging="360"/>
      </w:pPr>
      <w:rPr>
        <w:rFonts w:ascii="Arial" w:hAnsi="Arial" w:hint="default"/>
      </w:rPr>
    </w:lvl>
    <w:lvl w:ilvl="2" w:tplc="9BE05E72" w:tentative="1">
      <w:start w:val="1"/>
      <w:numFmt w:val="bullet"/>
      <w:lvlText w:val="•"/>
      <w:lvlJc w:val="left"/>
      <w:pPr>
        <w:tabs>
          <w:tab w:val="num" w:pos="2160"/>
        </w:tabs>
        <w:ind w:left="2160" w:hanging="360"/>
      </w:pPr>
      <w:rPr>
        <w:rFonts w:ascii="Arial" w:hAnsi="Arial" w:hint="default"/>
      </w:rPr>
    </w:lvl>
    <w:lvl w:ilvl="3" w:tplc="8E5E5304" w:tentative="1">
      <w:start w:val="1"/>
      <w:numFmt w:val="bullet"/>
      <w:lvlText w:val="•"/>
      <w:lvlJc w:val="left"/>
      <w:pPr>
        <w:tabs>
          <w:tab w:val="num" w:pos="2880"/>
        </w:tabs>
        <w:ind w:left="2880" w:hanging="360"/>
      </w:pPr>
      <w:rPr>
        <w:rFonts w:ascii="Arial" w:hAnsi="Arial" w:hint="default"/>
      </w:rPr>
    </w:lvl>
    <w:lvl w:ilvl="4" w:tplc="1B063068" w:tentative="1">
      <w:start w:val="1"/>
      <w:numFmt w:val="bullet"/>
      <w:lvlText w:val="•"/>
      <w:lvlJc w:val="left"/>
      <w:pPr>
        <w:tabs>
          <w:tab w:val="num" w:pos="3600"/>
        </w:tabs>
        <w:ind w:left="3600" w:hanging="360"/>
      </w:pPr>
      <w:rPr>
        <w:rFonts w:ascii="Arial" w:hAnsi="Arial" w:hint="default"/>
      </w:rPr>
    </w:lvl>
    <w:lvl w:ilvl="5" w:tplc="57A02BAC" w:tentative="1">
      <w:start w:val="1"/>
      <w:numFmt w:val="bullet"/>
      <w:lvlText w:val="•"/>
      <w:lvlJc w:val="left"/>
      <w:pPr>
        <w:tabs>
          <w:tab w:val="num" w:pos="4320"/>
        </w:tabs>
        <w:ind w:left="4320" w:hanging="360"/>
      </w:pPr>
      <w:rPr>
        <w:rFonts w:ascii="Arial" w:hAnsi="Arial" w:hint="default"/>
      </w:rPr>
    </w:lvl>
    <w:lvl w:ilvl="6" w:tplc="BCDE195E" w:tentative="1">
      <w:start w:val="1"/>
      <w:numFmt w:val="bullet"/>
      <w:lvlText w:val="•"/>
      <w:lvlJc w:val="left"/>
      <w:pPr>
        <w:tabs>
          <w:tab w:val="num" w:pos="5040"/>
        </w:tabs>
        <w:ind w:left="5040" w:hanging="360"/>
      </w:pPr>
      <w:rPr>
        <w:rFonts w:ascii="Arial" w:hAnsi="Arial" w:hint="default"/>
      </w:rPr>
    </w:lvl>
    <w:lvl w:ilvl="7" w:tplc="9BE077CA" w:tentative="1">
      <w:start w:val="1"/>
      <w:numFmt w:val="bullet"/>
      <w:lvlText w:val="•"/>
      <w:lvlJc w:val="left"/>
      <w:pPr>
        <w:tabs>
          <w:tab w:val="num" w:pos="5760"/>
        </w:tabs>
        <w:ind w:left="5760" w:hanging="360"/>
      </w:pPr>
      <w:rPr>
        <w:rFonts w:ascii="Arial" w:hAnsi="Arial" w:hint="default"/>
      </w:rPr>
    </w:lvl>
    <w:lvl w:ilvl="8" w:tplc="07689D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873EA1"/>
    <w:multiLevelType w:val="hybridMultilevel"/>
    <w:tmpl w:val="347E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F6E42"/>
    <w:multiLevelType w:val="multilevel"/>
    <w:tmpl w:val="61545A2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969CB"/>
    <w:multiLevelType w:val="hybridMultilevel"/>
    <w:tmpl w:val="B324E13C"/>
    <w:lvl w:ilvl="0" w:tplc="B5FCFEBA">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34D35"/>
    <w:multiLevelType w:val="hybridMultilevel"/>
    <w:tmpl w:val="467A487E"/>
    <w:lvl w:ilvl="0" w:tplc="8BC81B1C">
      <w:start w:val="1"/>
      <w:numFmt w:val="bullet"/>
      <w:lvlText w:val="•"/>
      <w:lvlJc w:val="left"/>
      <w:pPr>
        <w:tabs>
          <w:tab w:val="num" w:pos="720"/>
        </w:tabs>
        <w:ind w:left="720" w:hanging="360"/>
      </w:pPr>
      <w:rPr>
        <w:rFonts w:ascii="Arial" w:hAnsi="Arial" w:hint="default"/>
      </w:rPr>
    </w:lvl>
    <w:lvl w:ilvl="1" w:tplc="7AF6D55E">
      <w:numFmt w:val="bullet"/>
      <w:lvlText w:val="•"/>
      <w:lvlJc w:val="left"/>
      <w:pPr>
        <w:tabs>
          <w:tab w:val="num" w:pos="1440"/>
        </w:tabs>
        <w:ind w:left="1440" w:hanging="360"/>
      </w:pPr>
      <w:rPr>
        <w:rFonts w:ascii="Arial" w:hAnsi="Arial" w:hint="default"/>
      </w:rPr>
    </w:lvl>
    <w:lvl w:ilvl="2" w:tplc="12AE0EC8" w:tentative="1">
      <w:start w:val="1"/>
      <w:numFmt w:val="bullet"/>
      <w:lvlText w:val="•"/>
      <w:lvlJc w:val="left"/>
      <w:pPr>
        <w:tabs>
          <w:tab w:val="num" w:pos="2160"/>
        </w:tabs>
        <w:ind w:left="2160" w:hanging="360"/>
      </w:pPr>
      <w:rPr>
        <w:rFonts w:ascii="Arial" w:hAnsi="Arial" w:hint="default"/>
      </w:rPr>
    </w:lvl>
    <w:lvl w:ilvl="3" w:tplc="78C21D50" w:tentative="1">
      <w:start w:val="1"/>
      <w:numFmt w:val="bullet"/>
      <w:lvlText w:val="•"/>
      <w:lvlJc w:val="left"/>
      <w:pPr>
        <w:tabs>
          <w:tab w:val="num" w:pos="2880"/>
        </w:tabs>
        <w:ind w:left="2880" w:hanging="360"/>
      </w:pPr>
      <w:rPr>
        <w:rFonts w:ascii="Arial" w:hAnsi="Arial" w:hint="default"/>
      </w:rPr>
    </w:lvl>
    <w:lvl w:ilvl="4" w:tplc="F75C4232" w:tentative="1">
      <w:start w:val="1"/>
      <w:numFmt w:val="bullet"/>
      <w:lvlText w:val="•"/>
      <w:lvlJc w:val="left"/>
      <w:pPr>
        <w:tabs>
          <w:tab w:val="num" w:pos="3600"/>
        </w:tabs>
        <w:ind w:left="3600" w:hanging="360"/>
      </w:pPr>
      <w:rPr>
        <w:rFonts w:ascii="Arial" w:hAnsi="Arial" w:hint="default"/>
      </w:rPr>
    </w:lvl>
    <w:lvl w:ilvl="5" w:tplc="09E4A932" w:tentative="1">
      <w:start w:val="1"/>
      <w:numFmt w:val="bullet"/>
      <w:lvlText w:val="•"/>
      <w:lvlJc w:val="left"/>
      <w:pPr>
        <w:tabs>
          <w:tab w:val="num" w:pos="4320"/>
        </w:tabs>
        <w:ind w:left="4320" w:hanging="360"/>
      </w:pPr>
      <w:rPr>
        <w:rFonts w:ascii="Arial" w:hAnsi="Arial" w:hint="default"/>
      </w:rPr>
    </w:lvl>
    <w:lvl w:ilvl="6" w:tplc="6B10C262" w:tentative="1">
      <w:start w:val="1"/>
      <w:numFmt w:val="bullet"/>
      <w:lvlText w:val="•"/>
      <w:lvlJc w:val="left"/>
      <w:pPr>
        <w:tabs>
          <w:tab w:val="num" w:pos="5040"/>
        </w:tabs>
        <w:ind w:left="5040" w:hanging="360"/>
      </w:pPr>
      <w:rPr>
        <w:rFonts w:ascii="Arial" w:hAnsi="Arial" w:hint="default"/>
      </w:rPr>
    </w:lvl>
    <w:lvl w:ilvl="7" w:tplc="D93AFD4A" w:tentative="1">
      <w:start w:val="1"/>
      <w:numFmt w:val="bullet"/>
      <w:lvlText w:val="•"/>
      <w:lvlJc w:val="left"/>
      <w:pPr>
        <w:tabs>
          <w:tab w:val="num" w:pos="5760"/>
        </w:tabs>
        <w:ind w:left="5760" w:hanging="360"/>
      </w:pPr>
      <w:rPr>
        <w:rFonts w:ascii="Arial" w:hAnsi="Arial" w:hint="default"/>
      </w:rPr>
    </w:lvl>
    <w:lvl w:ilvl="8" w:tplc="BF5CD3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684F7D"/>
    <w:multiLevelType w:val="hybridMultilevel"/>
    <w:tmpl w:val="7AD0E048"/>
    <w:lvl w:ilvl="0" w:tplc="C5C8FCB8">
      <w:start w:val="1"/>
      <w:numFmt w:val="bullet"/>
      <w:lvlText w:val="•"/>
      <w:lvlJc w:val="left"/>
      <w:pPr>
        <w:tabs>
          <w:tab w:val="num" w:pos="720"/>
        </w:tabs>
        <w:ind w:left="720" w:hanging="360"/>
      </w:pPr>
      <w:rPr>
        <w:rFonts w:ascii="Arial" w:hAnsi="Arial" w:hint="default"/>
      </w:rPr>
    </w:lvl>
    <w:lvl w:ilvl="1" w:tplc="D606285A" w:tentative="1">
      <w:start w:val="1"/>
      <w:numFmt w:val="bullet"/>
      <w:lvlText w:val="•"/>
      <w:lvlJc w:val="left"/>
      <w:pPr>
        <w:tabs>
          <w:tab w:val="num" w:pos="1440"/>
        </w:tabs>
        <w:ind w:left="1440" w:hanging="360"/>
      </w:pPr>
      <w:rPr>
        <w:rFonts w:ascii="Arial" w:hAnsi="Arial" w:hint="default"/>
      </w:rPr>
    </w:lvl>
    <w:lvl w:ilvl="2" w:tplc="7B0048A6" w:tentative="1">
      <w:start w:val="1"/>
      <w:numFmt w:val="bullet"/>
      <w:lvlText w:val="•"/>
      <w:lvlJc w:val="left"/>
      <w:pPr>
        <w:tabs>
          <w:tab w:val="num" w:pos="2160"/>
        </w:tabs>
        <w:ind w:left="2160" w:hanging="360"/>
      </w:pPr>
      <w:rPr>
        <w:rFonts w:ascii="Arial" w:hAnsi="Arial" w:hint="default"/>
      </w:rPr>
    </w:lvl>
    <w:lvl w:ilvl="3" w:tplc="6FCEB434" w:tentative="1">
      <w:start w:val="1"/>
      <w:numFmt w:val="bullet"/>
      <w:lvlText w:val="•"/>
      <w:lvlJc w:val="left"/>
      <w:pPr>
        <w:tabs>
          <w:tab w:val="num" w:pos="2880"/>
        </w:tabs>
        <w:ind w:left="2880" w:hanging="360"/>
      </w:pPr>
      <w:rPr>
        <w:rFonts w:ascii="Arial" w:hAnsi="Arial" w:hint="default"/>
      </w:rPr>
    </w:lvl>
    <w:lvl w:ilvl="4" w:tplc="E5C68050" w:tentative="1">
      <w:start w:val="1"/>
      <w:numFmt w:val="bullet"/>
      <w:lvlText w:val="•"/>
      <w:lvlJc w:val="left"/>
      <w:pPr>
        <w:tabs>
          <w:tab w:val="num" w:pos="3600"/>
        </w:tabs>
        <w:ind w:left="3600" w:hanging="360"/>
      </w:pPr>
      <w:rPr>
        <w:rFonts w:ascii="Arial" w:hAnsi="Arial" w:hint="default"/>
      </w:rPr>
    </w:lvl>
    <w:lvl w:ilvl="5" w:tplc="F43082B0" w:tentative="1">
      <w:start w:val="1"/>
      <w:numFmt w:val="bullet"/>
      <w:lvlText w:val="•"/>
      <w:lvlJc w:val="left"/>
      <w:pPr>
        <w:tabs>
          <w:tab w:val="num" w:pos="4320"/>
        </w:tabs>
        <w:ind w:left="4320" w:hanging="360"/>
      </w:pPr>
      <w:rPr>
        <w:rFonts w:ascii="Arial" w:hAnsi="Arial" w:hint="default"/>
      </w:rPr>
    </w:lvl>
    <w:lvl w:ilvl="6" w:tplc="1AB88048" w:tentative="1">
      <w:start w:val="1"/>
      <w:numFmt w:val="bullet"/>
      <w:lvlText w:val="•"/>
      <w:lvlJc w:val="left"/>
      <w:pPr>
        <w:tabs>
          <w:tab w:val="num" w:pos="5040"/>
        </w:tabs>
        <w:ind w:left="5040" w:hanging="360"/>
      </w:pPr>
      <w:rPr>
        <w:rFonts w:ascii="Arial" w:hAnsi="Arial" w:hint="default"/>
      </w:rPr>
    </w:lvl>
    <w:lvl w:ilvl="7" w:tplc="E1344BCE" w:tentative="1">
      <w:start w:val="1"/>
      <w:numFmt w:val="bullet"/>
      <w:lvlText w:val="•"/>
      <w:lvlJc w:val="left"/>
      <w:pPr>
        <w:tabs>
          <w:tab w:val="num" w:pos="5760"/>
        </w:tabs>
        <w:ind w:left="5760" w:hanging="360"/>
      </w:pPr>
      <w:rPr>
        <w:rFonts w:ascii="Arial" w:hAnsi="Arial" w:hint="default"/>
      </w:rPr>
    </w:lvl>
    <w:lvl w:ilvl="8" w:tplc="6AB40E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9D523F"/>
    <w:multiLevelType w:val="hybridMultilevel"/>
    <w:tmpl w:val="78B08D22"/>
    <w:lvl w:ilvl="0" w:tplc="C06096F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num>
  <w:num w:numId="2">
    <w:abstractNumId w:val="8"/>
  </w:num>
  <w:num w:numId="3">
    <w:abstractNumId w:val="5"/>
  </w:num>
  <w:num w:numId="4">
    <w:abstractNumId w:val="20"/>
  </w:num>
  <w:num w:numId="5">
    <w:abstractNumId w:val="6"/>
  </w:num>
  <w:num w:numId="6">
    <w:abstractNumId w:val="7"/>
  </w:num>
  <w:num w:numId="7">
    <w:abstractNumId w:val="21"/>
  </w:num>
  <w:num w:numId="8">
    <w:abstractNumId w:val="17"/>
  </w:num>
  <w:num w:numId="9">
    <w:abstractNumId w:val="4"/>
  </w:num>
  <w:num w:numId="10">
    <w:abstractNumId w:val="22"/>
  </w:num>
  <w:num w:numId="11">
    <w:abstractNumId w:val="2"/>
  </w:num>
  <w:num w:numId="12">
    <w:abstractNumId w:val="13"/>
  </w:num>
  <w:num w:numId="13">
    <w:abstractNumId w:val="3"/>
  </w:num>
  <w:num w:numId="14">
    <w:abstractNumId w:val="1"/>
  </w:num>
  <w:num w:numId="15">
    <w:abstractNumId w:val="0"/>
  </w:num>
  <w:num w:numId="16">
    <w:abstractNumId w:val="10"/>
  </w:num>
  <w:num w:numId="17">
    <w:abstractNumId w:val="9"/>
  </w:num>
  <w:num w:numId="18">
    <w:abstractNumId w:val="14"/>
  </w:num>
  <w:num w:numId="19">
    <w:abstractNumId w:val="16"/>
  </w:num>
  <w:num w:numId="20">
    <w:abstractNumId w:val="12"/>
  </w:num>
  <w:num w:numId="21">
    <w:abstractNumId w:val="18"/>
  </w:num>
  <w:num w:numId="22">
    <w:abstractNumId w:val="2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46"/>
    <w:rsid w:val="000001AD"/>
    <w:rsid w:val="00001841"/>
    <w:rsid w:val="0000219C"/>
    <w:rsid w:val="00002709"/>
    <w:rsid w:val="0000424A"/>
    <w:rsid w:val="00004364"/>
    <w:rsid w:val="00004472"/>
    <w:rsid w:val="000054A6"/>
    <w:rsid w:val="0000577E"/>
    <w:rsid w:val="00006142"/>
    <w:rsid w:val="00007730"/>
    <w:rsid w:val="000077CA"/>
    <w:rsid w:val="000105E0"/>
    <w:rsid w:val="00011E92"/>
    <w:rsid w:val="00012C5A"/>
    <w:rsid w:val="00013024"/>
    <w:rsid w:val="00013146"/>
    <w:rsid w:val="000135A6"/>
    <w:rsid w:val="000137B1"/>
    <w:rsid w:val="00013AD9"/>
    <w:rsid w:val="00013B68"/>
    <w:rsid w:val="000140DE"/>
    <w:rsid w:val="00014287"/>
    <w:rsid w:val="000142AE"/>
    <w:rsid w:val="0001506F"/>
    <w:rsid w:val="00015928"/>
    <w:rsid w:val="0001644F"/>
    <w:rsid w:val="00016A9B"/>
    <w:rsid w:val="00016CBD"/>
    <w:rsid w:val="00016FC7"/>
    <w:rsid w:val="000176D8"/>
    <w:rsid w:val="0002061F"/>
    <w:rsid w:val="0002077B"/>
    <w:rsid w:val="00020BA4"/>
    <w:rsid w:val="0002179F"/>
    <w:rsid w:val="00022053"/>
    <w:rsid w:val="000220F8"/>
    <w:rsid w:val="0002251A"/>
    <w:rsid w:val="00022774"/>
    <w:rsid w:val="000227FF"/>
    <w:rsid w:val="000236D0"/>
    <w:rsid w:val="000255E2"/>
    <w:rsid w:val="00025AE1"/>
    <w:rsid w:val="00025C3C"/>
    <w:rsid w:val="00025E72"/>
    <w:rsid w:val="0002602D"/>
    <w:rsid w:val="000260F4"/>
    <w:rsid w:val="0002680E"/>
    <w:rsid w:val="000275E1"/>
    <w:rsid w:val="00031305"/>
    <w:rsid w:val="000318D4"/>
    <w:rsid w:val="00031E32"/>
    <w:rsid w:val="0003227C"/>
    <w:rsid w:val="00032729"/>
    <w:rsid w:val="0003278B"/>
    <w:rsid w:val="000327EC"/>
    <w:rsid w:val="00032F26"/>
    <w:rsid w:val="00033169"/>
    <w:rsid w:val="000331B9"/>
    <w:rsid w:val="0003323A"/>
    <w:rsid w:val="000341E3"/>
    <w:rsid w:val="0003438C"/>
    <w:rsid w:val="000357E6"/>
    <w:rsid w:val="0003596C"/>
    <w:rsid w:val="00036297"/>
    <w:rsid w:val="0003631D"/>
    <w:rsid w:val="0003743F"/>
    <w:rsid w:val="0004095C"/>
    <w:rsid w:val="00041095"/>
    <w:rsid w:val="00041DB4"/>
    <w:rsid w:val="00041DCB"/>
    <w:rsid w:val="000420A2"/>
    <w:rsid w:val="000429B6"/>
    <w:rsid w:val="00042BF8"/>
    <w:rsid w:val="00043522"/>
    <w:rsid w:val="000436F9"/>
    <w:rsid w:val="00044967"/>
    <w:rsid w:val="00044995"/>
    <w:rsid w:val="000452ED"/>
    <w:rsid w:val="00046CD0"/>
    <w:rsid w:val="000478D3"/>
    <w:rsid w:val="00050285"/>
    <w:rsid w:val="00050C14"/>
    <w:rsid w:val="00051575"/>
    <w:rsid w:val="000515F7"/>
    <w:rsid w:val="00051C79"/>
    <w:rsid w:val="00052254"/>
    <w:rsid w:val="00052420"/>
    <w:rsid w:val="000526C8"/>
    <w:rsid w:val="000546B0"/>
    <w:rsid w:val="00054A5E"/>
    <w:rsid w:val="00054DBA"/>
    <w:rsid w:val="000550CF"/>
    <w:rsid w:val="00055666"/>
    <w:rsid w:val="0005589B"/>
    <w:rsid w:val="00056238"/>
    <w:rsid w:val="00056C20"/>
    <w:rsid w:val="00056EA2"/>
    <w:rsid w:val="00056F42"/>
    <w:rsid w:val="00056F78"/>
    <w:rsid w:val="00057DA0"/>
    <w:rsid w:val="000600CF"/>
    <w:rsid w:val="00060545"/>
    <w:rsid w:val="000616D0"/>
    <w:rsid w:val="000618A2"/>
    <w:rsid w:val="00061C50"/>
    <w:rsid w:val="00062190"/>
    <w:rsid w:val="00062787"/>
    <w:rsid w:val="00062B00"/>
    <w:rsid w:val="00063380"/>
    <w:rsid w:val="00063520"/>
    <w:rsid w:val="000637DF"/>
    <w:rsid w:val="000639A7"/>
    <w:rsid w:val="00063C5F"/>
    <w:rsid w:val="0006435E"/>
    <w:rsid w:val="000648B7"/>
    <w:rsid w:val="00064AD6"/>
    <w:rsid w:val="0006510A"/>
    <w:rsid w:val="0006511E"/>
    <w:rsid w:val="00066604"/>
    <w:rsid w:val="0006671B"/>
    <w:rsid w:val="00066BC4"/>
    <w:rsid w:val="00067075"/>
    <w:rsid w:val="000670C3"/>
    <w:rsid w:val="000670CA"/>
    <w:rsid w:val="00067842"/>
    <w:rsid w:val="00067F05"/>
    <w:rsid w:val="00067F68"/>
    <w:rsid w:val="000702BD"/>
    <w:rsid w:val="00070742"/>
    <w:rsid w:val="000707C9"/>
    <w:rsid w:val="00070D02"/>
    <w:rsid w:val="00072450"/>
    <w:rsid w:val="00073483"/>
    <w:rsid w:val="00073A46"/>
    <w:rsid w:val="00075506"/>
    <w:rsid w:val="00075A97"/>
    <w:rsid w:val="00075AE9"/>
    <w:rsid w:val="00076488"/>
    <w:rsid w:val="00076F02"/>
    <w:rsid w:val="000802EB"/>
    <w:rsid w:val="00080407"/>
    <w:rsid w:val="00080832"/>
    <w:rsid w:val="00080D13"/>
    <w:rsid w:val="000810CE"/>
    <w:rsid w:val="00082319"/>
    <w:rsid w:val="00082755"/>
    <w:rsid w:val="0008326A"/>
    <w:rsid w:val="0008493F"/>
    <w:rsid w:val="0008507A"/>
    <w:rsid w:val="0008603E"/>
    <w:rsid w:val="0008627A"/>
    <w:rsid w:val="000862CB"/>
    <w:rsid w:val="00086C86"/>
    <w:rsid w:val="00087960"/>
    <w:rsid w:val="00091D1D"/>
    <w:rsid w:val="00091E80"/>
    <w:rsid w:val="00093067"/>
    <w:rsid w:val="00093205"/>
    <w:rsid w:val="00093823"/>
    <w:rsid w:val="00093B45"/>
    <w:rsid w:val="00093CF1"/>
    <w:rsid w:val="00094C4E"/>
    <w:rsid w:val="00095117"/>
    <w:rsid w:val="0009542D"/>
    <w:rsid w:val="0009561E"/>
    <w:rsid w:val="00095798"/>
    <w:rsid w:val="00095B2E"/>
    <w:rsid w:val="00095D29"/>
    <w:rsid w:val="00096B9A"/>
    <w:rsid w:val="00096C3E"/>
    <w:rsid w:val="000970C4"/>
    <w:rsid w:val="000A003A"/>
    <w:rsid w:val="000A0257"/>
    <w:rsid w:val="000A156F"/>
    <w:rsid w:val="000A246D"/>
    <w:rsid w:val="000A26EC"/>
    <w:rsid w:val="000A2C5C"/>
    <w:rsid w:val="000A2E1B"/>
    <w:rsid w:val="000A2F11"/>
    <w:rsid w:val="000A300E"/>
    <w:rsid w:val="000A36C1"/>
    <w:rsid w:val="000A406E"/>
    <w:rsid w:val="000A43A4"/>
    <w:rsid w:val="000A5132"/>
    <w:rsid w:val="000A525D"/>
    <w:rsid w:val="000A56F8"/>
    <w:rsid w:val="000A59EC"/>
    <w:rsid w:val="000A5FBC"/>
    <w:rsid w:val="000A6295"/>
    <w:rsid w:val="000A72AE"/>
    <w:rsid w:val="000A7F48"/>
    <w:rsid w:val="000B0188"/>
    <w:rsid w:val="000B061C"/>
    <w:rsid w:val="000B087D"/>
    <w:rsid w:val="000B0BC2"/>
    <w:rsid w:val="000B0FD2"/>
    <w:rsid w:val="000B12AD"/>
    <w:rsid w:val="000B174C"/>
    <w:rsid w:val="000B2105"/>
    <w:rsid w:val="000B2349"/>
    <w:rsid w:val="000B23D8"/>
    <w:rsid w:val="000B3196"/>
    <w:rsid w:val="000B32ED"/>
    <w:rsid w:val="000B47B6"/>
    <w:rsid w:val="000B4CEC"/>
    <w:rsid w:val="000B5695"/>
    <w:rsid w:val="000B5E78"/>
    <w:rsid w:val="000B69C2"/>
    <w:rsid w:val="000B7863"/>
    <w:rsid w:val="000B7BFA"/>
    <w:rsid w:val="000C0569"/>
    <w:rsid w:val="000C0FA1"/>
    <w:rsid w:val="000C2278"/>
    <w:rsid w:val="000C3161"/>
    <w:rsid w:val="000C4A7A"/>
    <w:rsid w:val="000C5AD8"/>
    <w:rsid w:val="000C5B0A"/>
    <w:rsid w:val="000C7C42"/>
    <w:rsid w:val="000C7EAB"/>
    <w:rsid w:val="000D06F1"/>
    <w:rsid w:val="000D0C0C"/>
    <w:rsid w:val="000D132E"/>
    <w:rsid w:val="000D16E6"/>
    <w:rsid w:val="000D1888"/>
    <w:rsid w:val="000D21F3"/>
    <w:rsid w:val="000D2BA9"/>
    <w:rsid w:val="000D2D2B"/>
    <w:rsid w:val="000D345B"/>
    <w:rsid w:val="000D3CB9"/>
    <w:rsid w:val="000D3D00"/>
    <w:rsid w:val="000D3D95"/>
    <w:rsid w:val="000D6A41"/>
    <w:rsid w:val="000D6C35"/>
    <w:rsid w:val="000D7D72"/>
    <w:rsid w:val="000D7E35"/>
    <w:rsid w:val="000E0A4E"/>
    <w:rsid w:val="000E0DF2"/>
    <w:rsid w:val="000E10F9"/>
    <w:rsid w:val="000E11A6"/>
    <w:rsid w:val="000E1DF2"/>
    <w:rsid w:val="000E273E"/>
    <w:rsid w:val="000E33ED"/>
    <w:rsid w:val="000E3C68"/>
    <w:rsid w:val="000E3E24"/>
    <w:rsid w:val="000E4078"/>
    <w:rsid w:val="000E44A1"/>
    <w:rsid w:val="000E4F8B"/>
    <w:rsid w:val="000E5A48"/>
    <w:rsid w:val="000E6C53"/>
    <w:rsid w:val="000E735E"/>
    <w:rsid w:val="000F0228"/>
    <w:rsid w:val="000F0417"/>
    <w:rsid w:val="000F0C64"/>
    <w:rsid w:val="000F1B56"/>
    <w:rsid w:val="000F1D17"/>
    <w:rsid w:val="000F2797"/>
    <w:rsid w:val="000F2C9D"/>
    <w:rsid w:val="000F32AD"/>
    <w:rsid w:val="000F36A3"/>
    <w:rsid w:val="000F37D9"/>
    <w:rsid w:val="000F3E9F"/>
    <w:rsid w:val="000F4948"/>
    <w:rsid w:val="000F4A12"/>
    <w:rsid w:val="000F543C"/>
    <w:rsid w:val="000F5518"/>
    <w:rsid w:val="000F5C81"/>
    <w:rsid w:val="000F600E"/>
    <w:rsid w:val="000F7083"/>
    <w:rsid w:val="000F7282"/>
    <w:rsid w:val="000F77B1"/>
    <w:rsid w:val="000F77ED"/>
    <w:rsid w:val="000F797B"/>
    <w:rsid w:val="000F7F5D"/>
    <w:rsid w:val="00100388"/>
    <w:rsid w:val="001003C2"/>
    <w:rsid w:val="0010169C"/>
    <w:rsid w:val="00101BCA"/>
    <w:rsid w:val="00101CE9"/>
    <w:rsid w:val="001026A2"/>
    <w:rsid w:val="00102E51"/>
    <w:rsid w:val="00105090"/>
    <w:rsid w:val="00105447"/>
    <w:rsid w:val="00105A8E"/>
    <w:rsid w:val="00105C12"/>
    <w:rsid w:val="0010665E"/>
    <w:rsid w:val="00107A1D"/>
    <w:rsid w:val="0011030D"/>
    <w:rsid w:val="00110369"/>
    <w:rsid w:val="001104C4"/>
    <w:rsid w:val="00110D5C"/>
    <w:rsid w:val="0011133D"/>
    <w:rsid w:val="001115C6"/>
    <w:rsid w:val="001117A4"/>
    <w:rsid w:val="00111887"/>
    <w:rsid w:val="00111B75"/>
    <w:rsid w:val="00112014"/>
    <w:rsid w:val="00112034"/>
    <w:rsid w:val="00112581"/>
    <w:rsid w:val="00112986"/>
    <w:rsid w:val="0011360D"/>
    <w:rsid w:val="0011404A"/>
    <w:rsid w:val="00114683"/>
    <w:rsid w:val="0011472B"/>
    <w:rsid w:val="0011554A"/>
    <w:rsid w:val="00115C5C"/>
    <w:rsid w:val="00116345"/>
    <w:rsid w:val="00117824"/>
    <w:rsid w:val="00117B1D"/>
    <w:rsid w:val="00117BE8"/>
    <w:rsid w:val="00120124"/>
    <w:rsid w:val="0012062F"/>
    <w:rsid w:val="00120CE0"/>
    <w:rsid w:val="00122A13"/>
    <w:rsid w:val="00122DC8"/>
    <w:rsid w:val="00123FB0"/>
    <w:rsid w:val="00124070"/>
    <w:rsid w:val="00124628"/>
    <w:rsid w:val="00125592"/>
    <w:rsid w:val="001256A0"/>
    <w:rsid w:val="0012631A"/>
    <w:rsid w:val="001266E2"/>
    <w:rsid w:val="0012757E"/>
    <w:rsid w:val="00127E5E"/>
    <w:rsid w:val="001308A6"/>
    <w:rsid w:val="00130F19"/>
    <w:rsid w:val="001314C6"/>
    <w:rsid w:val="00131F00"/>
    <w:rsid w:val="001320FD"/>
    <w:rsid w:val="00133BB8"/>
    <w:rsid w:val="00134206"/>
    <w:rsid w:val="00134C7B"/>
    <w:rsid w:val="0013580C"/>
    <w:rsid w:val="00135E67"/>
    <w:rsid w:val="00136629"/>
    <w:rsid w:val="00136C87"/>
    <w:rsid w:val="001375DC"/>
    <w:rsid w:val="00137BFF"/>
    <w:rsid w:val="00137D37"/>
    <w:rsid w:val="00140206"/>
    <w:rsid w:val="00140497"/>
    <w:rsid w:val="001414E4"/>
    <w:rsid w:val="00141DCE"/>
    <w:rsid w:val="00142E08"/>
    <w:rsid w:val="00143035"/>
    <w:rsid w:val="001430C1"/>
    <w:rsid w:val="0014364E"/>
    <w:rsid w:val="001437DC"/>
    <w:rsid w:val="001438D6"/>
    <w:rsid w:val="001446A1"/>
    <w:rsid w:val="00144FB6"/>
    <w:rsid w:val="00146B62"/>
    <w:rsid w:val="00146C28"/>
    <w:rsid w:val="00147115"/>
    <w:rsid w:val="001474CB"/>
    <w:rsid w:val="00147AFE"/>
    <w:rsid w:val="0015122B"/>
    <w:rsid w:val="00151507"/>
    <w:rsid w:val="0015186D"/>
    <w:rsid w:val="00151EFC"/>
    <w:rsid w:val="00152199"/>
    <w:rsid w:val="0015240C"/>
    <w:rsid w:val="001524E3"/>
    <w:rsid w:val="00152560"/>
    <w:rsid w:val="0015263A"/>
    <w:rsid w:val="00154A87"/>
    <w:rsid w:val="00154D1C"/>
    <w:rsid w:val="00154E9D"/>
    <w:rsid w:val="00154EB6"/>
    <w:rsid w:val="001556A5"/>
    <w:rsid w:val="00155719"/>
    <w:rsid w:val="00155D1D"/>
    <w:rsid w:val="00156B0A"/>
    <w:rsid w:val="00156CA2"/>
    <w:rsid w:val="0015772F"/>
    <w:rsid w:val="001578C1"/>
    <w:rsid w:val="00160075"/>
    <w:rsid w:val="0016186F"/>
    <w:rsid w:val="00161C3D"/>
    <w:rsid w:val="00161EF9"/>
    <w:rsid w:val="001621E7"/>
    <w:rsid w:val="00162C46"/>
    <w:rsid w:val="00162C4D"/>
    <w:rsid w:val="00162E0C"/>
    <w:rsid w:val="001633A2"/>
    <w:rsid w:val="0016454E"/>
    <w:rsid w:val="00165062"/>
    <w:rsid w:val="001655A4"/>
    <w:rsid w:val="001660AC"/>
    <w:rsid w:val="001667A2"/>
    <w:rsid w:val="00166843"/>
    <w:rsid w:val="0016747A"/>
    <w:rsid w:val="00167970"/>
    <w:rsid w:val="00170258"/>
    <w:rsid w:val="001706C5"/>
    <w:rsid w:val="001719A8"/>
    <w:rsid w:val="00173030"/>
    <w:rsid w:val="00173945"/>
    <w:rsid w:val="00173CB5"/>
    <w:rsid w:val="00174470"/>
    <w:rsid w:val="00174ECE"/>
    <w:rsid w:val="00175A82"/>
    <w:rsid w:val="00175F62"/>
    <w:rsid w:val="00176782"/>
    <w:rsid w:val="00176805"/>
    <w:rsid w:val="00176AFA"/>
    <w:rsid w:val="001773EB"/>
    <w:rsid w:val="00180BCB"/>
    <w:rsid w:val="00181109"/>
    <w:rsid w:val="00181480"/>
    <w:rsid w:val="0018184F"/>
    <w:rsid w:val="00181BF7"/>
    <w:rsid w:val="00182677"/>
    <w:rsid w:val="00182CC5"/>
    <w:rsid w:val="001830F7"/>
    <w:rsid w:val="00183390"/>
    <w:rsid w:val="00184503"/>
    <w:rsid w:val="001848C8"/>
    <w:rsid w:val="00184F53"/>
    <w:rsid w:val="001856F6"/>
    <w:rsid w:val="00185F48"/>
    <w:rsid w:val="00185FE0"/>
    <w:rsid w:val="00186143"/>
    <w:rsid w:val="0018718B"/>
    <w:rsid w:val="001877F1"/>
    <w:rsid w:val="00187A12"/>
    <w:rsid w:val="001902CD"/>
    <w:rsid w:val="0019045E"/>
    <w:rsid w:val="00190469"/>
    <w:rsid w:val="00190670"/>
    <w:rsid w:val="00192603"/>
    <w:rsid w:val="00192E4B"/>
    <w:rsid w:val="0019301C"/>
    <w:rsid w:val="001934D2"/>
    <w:rsid w:val="00193EFF"/>
    <w:rsid w:val="0019403E"/>
    <w:rsid w:val="001945DF"/>
    <w:rsid w:val="00194783"/>
    <w:rsid w:val="00194D38"/>
    <w:rsid w:val="00194DD5"/>
    <w:rsid w:val="00194FC9"/>
    <w:rsid w:val="00196586"/>
    <w:rsid w:val="00197347"/>
    <w:rsid w:val="001A0D55"/>
    <w:rsid w:val="001A1265"/>
    <w:rsid w:val="001A1897"/>
    <w:rsid w:val="001A1EB0"/>
    <w:rsid w:val="001A2E70"/>
    <w:rsid w:val="001A301A"/>
    <w:rsid w:val="001A3093"/>
    <w:rsid w:val="001A34EA"/>
    <w:rsid w:val="001A377C"/>
    <w:rsid w:val="001A5782"/>
    <w:rsid w:val="001A6104"/>
    <w:rsid w:val="001A6661"/>
    <w:rsid w:val="001A72BA"/>
    <w:rsid w:val="001B0765"/>
    <w:rsid w:val="001B0862"/>
    <w:rsid w:val="001B1138"/>
    <w:rsid w:val="001B13FF"/>
    <w:rsid w:val="001B194D"/>
    <w:rsid w:val="001B1EDC"/>
    <w:rsid w:val="001B2AFF"/>
    <w:rsid w:val="001B2E5B"/>
    <w:rsid w:val="001B31AB"/>
    <w:rsid w:val="001B3A0D"/>
    <w:rsid w:val="001B3C3C"/>
    <w:rsid w:val="001B421B"/>
    <w:rsid w:val="001B430A"/>
    <w:rsid w:val="001B5293"/>
    <w:rsid w:val="001B58A9"/>
    <w:rsid w:val="001B5AC4"/>
    <w:rsid w:val="001B5FE2"/>
    <w:rsid w:val="001B6136"/>
    <w:rsid w:val="001B63B2"/>
    <w:rsid w:val="001B67C0"/>
    <w:rsid w:val="001B7D0F"/>
    <w:rsid w:val="001C087D"/>
    <w:rsid w:val="001C0C52"/>
    <w:rsid w:val="001C1A63"/>
    <w:rsid w:val="001C1C8B"/>
    <w:rsid w:val="001C2480"/>
    <w:rsid w:val="001C2745"/>
    <w:rsid w:val="001C37BA"/>
    <w:rsid w:val="001C3977"/>
    <w:rsid w:val="001C39E7"/>
    <w:rsid w:val="001C45C8"/>
    <w:rsid w:val="001C4C96"/>
    <w:rsid w:val="001C52C9"/>
    <w:rsid w:val="001C565B"/>
    <w:rsid w:val="001C5FD8"/>
    <w:rsid w:val="001C6033"/>
    <w:rsid w:val="001C61CD"/>
    <w:rsid w:val="001C663D"/>
    <w:rsid w:val="001C69E6"/>
    <w:rsid w:val="001C7041"/>
    <w:rsid w:val="001D058D"/>
    <w:rsid w:val="001D0AA5"/>
    <w:rsid w:val="001D1045"/>
    <w:rsid w:val="001D29BF"/>
    <w:rsid w:val="001D3E88"/>
    <w:rsid w:val="001D3EBE"/>
    <w:rsid w:val="001D3FA6"/>
    <w:rsid w:val="001D402F"/>
    <w:rsid w:val="001D472C"/>
    <w:rsid w:val="001D48C1"/>
    <w:rsid w:val="001D4BB7"/>
    <w:rsid w:val="001D5143"/>
    <w:rsid w:val="001D66EC"/>
    <w:rsid w:val="001D709D"/>
    <w:rsid w:val="001E1050"/>
    <w:rsid w:val="001E1DFA"/>
    <w:rsid w:val="001E1EF6"/>
    <w:rsid w:val="001E23E2"/>
    <w:rsid w:val="001E2DDF"/>
    <w:rsid w:val="001E2F02"/>
    <w:rsid w:val="001E323D"/>
    <w:rsid w:val="001E447E"/>
    <w:rsid w:val="001E4557"/>
    <w:rsid w:val="001E49BD"/>
    <w:rsid w:val="001E4F5C"/>
    <w:rsid w:val="001E52B0"/>
    <w:rsid w:val="001E5588"/>
    <w:rsid w:val="001E623F"/>
    <w:rsid w:val="001E6D1F"/>
    <w:rsid w:val="001E6ED8"/>
    <w:rsid w:val="001E71F7"/>
    <w:rsid w:val="001E755F"/>
    <w:rsid w:val="001E7E48"/>
    <w:rsid w:val="001F01D7"/>
    <w:rsid w:val="001F0796"/>
    <w:rsid w:val="001F17F1"/>
    <w:rsid w:val="001F1F54"/>
    <w:rsid w:val="001F2186"/>
    <w:rsid w:val="001F2A1B"/>
    <w:rsid w:val="001F30CD"/>
    <w:rsid w:val="001F37A7"/>
    <w:rsid w:val="001F3C0F"/>
    <w:rsid w:val="001F44FF"/>
    <w:rsid w:val="001F45A0"/>
    <w:rsid w:val="001F486F"/>
    <w:rsid w:val="001F4A7D"/>
    <w:rsid w:val="001F4D13"/>
    <w:rsid w:val="001F5110"/>
    <w:rsid w:val="001F5A77"/>
    <w:rsid w:val="001F5C4D"/>
    <w:rsid w:val="001F62A7"/>
    <w:rsid w:val="001F6FDD"/>
    <w:rsid w:val="001F72F9"/>
    <w:rsid w:val="001F7603"/>
    <w:rsid w:val="001F7818"/>
    <w:rsid w:val="001F7A4A"/>
    <w:rsid w:val="00200C77"/>
    <w:rsid w:val="00200F0E"/>
    <w:rsid w:val="0020127C"/>
    <w:rsid w:val="002012D2"/>
    <w:rsid w:val="00201474"/>
    <w:rsid w:val="0020171F"/>
    <w:rsid w:val="002017F5"/>
    <w:rsid w:val="002020C9"/>
    <w:rsid w:val="002022F0"/>
    <w:rsid w:val="0020258A"/>
    <w:rsid w:val="00203025"/>
    <w:rsid w:val="0020489B"/>
    <w:rsid w:val="00204A86"/>
    <w:rsid w:val="00204C75"/>
    <w:rsid w:val="0020525E"/>
    <w:rsid w:val="00205382"/>
    <w:rsid w:val="00205896"/>
    <w:rsid w:val="00205C66"/>
    <w:rsid w:val="0020640A"/>
    <w:rsid w:val="00206733"/>
    <w:rsid w:val="002069FF"/>
    <w:rsid w:val="00207550"/>
    <w:rsid w:val="00207750"/>
    <w:rsid w:val="00210A31"/>
    <w:rsid w:val="002114A0"/>
    <w:rsid w:val="00212C3A"/>
    <w:rsid w:val="00212E2F"/>
    <w:rsid w:val="002139AA"/>
    <w:rsid w:val="002146DA"/>
    <w:rsid w:val="00214A18"/>
    <w:rsid w:val="00214B84"/>
    <w:rsid w:val="00215E78"/>
    <w:rsid w:val="00215EE3"/>
    <w:rsid w:val="00216524"/>
    <w:rsid w:val="0021659F"/>
    <w:rsid w:val="00217AD7"/>
    <w:rsid w:val="00221068"/>
    <w:rsid w:val="0022151D"/>
    <w:rsid w:val="0022214A"/>
    <w:rsid w:val="0022343F"/>
    <w:rsid w:val="0022362F"/>
    <w:rsid w:val="00223659"/>
    <w:rsid w:val="0022488C"/>
    <w:rsid w:val="0022499B"/>
    <w:rsid w:val="00224EFE"/>
    <w:rsid w:val="00225632"/>
    <w:rsid w:val="002269D2"/>
    <w:rsid w:val="00226BFA"/>
    <w:rsid w:val="0022745F"/>
    <w:rsid w:val="00227855"/>
    <w:rsid w:val="002301E9"/>
    <w:rsid w:val="0023043D"/>
    <w:rsid w:val="002308AA"/>
    <w:rsid w:val="00230971"/>
    <w:rsid w:val="00230F87"/>
    <w:rsid w:val="00231FAB"/>
    <w:rsid w:val="002320A2"/>
    <w:rsid w:val="0023287C"/>
    <w:rsid w:val="00232C2B"/>
    <w:rsid w:val="00232D70"/>
    <w:rsid w:val="002339C4"/>
    <w:rsid w:val="002339D7"/>
    <w:rsid w:val="00233B4F"/>
    <w:rsid w:val="0023466D"/>
    <w:rsid w:val="00234884"/>
    <w:rsid w:val="002348C5"/>
    <w:rsid w:val="00234918"/>
    <w:rsid w:val="00234DF4"/>
    <w:rsid w:val="002353CA"/>
    <w:rsid w:val="002356F7"/>
    <w:rsid w:val="00235875"/>
    <w:rsid w:val="00235C79"/>
    <w:rsid w:val="00235DE5"/>
    <w:rsid w:val="00236375"/>
    <w:rsid w:val="00236398"/>
    <w:rsid w:val="0023666B"/>
    <w:rsid w:val="00236730"/>
    <w:rsid w:val="0023686B"/>
    <w:rsid w:val="002368A5"/>
    <w:rsid w:val="00237B9D"/>
    <w:rsid w:val="00237C9E"/>
    <w:rsid w:val="00237D6B"/>
    <w:rsid w:val="00237EE6"/>
    <w:rsid w:val="00237F0B"/>
    <w:rsid w:val="002400C9"/>
    <w:rsid w:val="00240D50"/>
    <w:rsid w:val="00241502"/>
    <w:rsid w:val="00241553"/>
    <w:rsid w:val="00241708"/>
    <w:rsid w:val="002418B9"/>
    <w:rsid w:val="00241B9D"/>
    <w:rsid w:val="002425DA"/>
    <w:rsid w:val="00243CE9"/>
    <w:rsid w:val="00244488"/>
    <w:rsid w:val="0024480A"/>
    <w:rsid w:val="00244ABC"/>
    <w:rsid w:val="00244C9A"/>
    <w:rsid w:val="00244D07"/>
    <w:rsid w:val="002456AD"/>
    <w:rsid w:val="00245B64"/>
    <w:rsid w:val="002463F3"/>
    <w:rsid w:val="00247511"/>
    <w:rsid w:val="00247C39"/>
    <w:rsid w:val="00250303"/>
    <w:rsid w:val="002504A2"/>
    <w:rsid w:val="00250C89"/>
    <w:rsid w:val="00250DD7"/>
    <w:rsid w:val="002510A3"/>
    <w:rsid w:val="0025151E"/>
    <w:rsid w:val="00251742"/>
    <w:rsid w:val="00251C20"/>
    <w:rsid w:val="002522C4"/>
    <w:rsid w:val="00253328"/>
    <w:rsid w:val="0025466D"/>
    <w:rsid w:val="00254E52"/>
    <w:rsid w:val="00254F6B"/>
    <w:rsid w:val="00255B8F"/>
    <w:rsid w:val="00256723"/>
    <w:rsid w:val="002568E0"/>
    <w:rsid w:val="00256FBC"/>
    <w:rsid w:val="0025757A"/>
    <w:rsid w:val="00257AD6"/>
    <w:rsid w:val="002609F5"/>
    <w:rsid w:val="00261C09"/>
    <w:rsid w:val="0026305F"/>
    <w:rsid w:val="00263076"/>
    <w:rsid w:val="00264EF6"/>
    <w:rsid w:val="002654E7"/>
    <w:rsid w:val="00266612"/>
    <w:rsid w:val="00266682"/>
    <w:rsid w:val="0026723B"/>
    <w:rsid w:val="00267454"/>
    <w:rsid w:val="00267664"/>
    <w:rsid w:val="0026788F"/>
    <w:rsid w:val="00270A39"/>
    <w:rsid w:val="00271304"/>
    <w:rsid w:val="002716C9"/>
    <w:rsid w:val="00271ADF"/>
    <w:rsid w:val="0027220D"/>
    <w:rsid w:val="00272354"/>
    <w:rsid w:val="00272399"/>
    <w:rsid w:val="0027312B"/>
    <w:rsid w:val="00273D09"/>
    <w:rsid w:val="002748A7"/>
    <w:rsid w:val="0027707F"/>
    <w:rsid w:val="00277133"/>
    <w:rsid w:val="00280AB8"/>
    <w:rsid w:val="0028180F"/>
    <w:rsid w:val="00281C98"/>
    <w:rsid w:val="002820C8"/>
    <w:rsid w:val="00282C33"/>
    <w:rsid w:val="00283051"/>
    <w:rsid w:val="0028418D"/>
    <w:rsid w:val="00284D62"/>
    <w:rsid w:val="002855FD"/>
    <w:rsid w:val="00285628"/>
    <w:rsid w:val="00285A2E"/>
    <w:rsid w:val="00285D46"/>
    <w:rsid w:val="00285FF2"/>
    <w:rsid w:val="0028608F"/>
    <w:rsid w:val="00286310"/>
    <w:rsid w:val="0028744C"/>
    <w:rsid w:val="00287551"/>
    <w:rsid w:val="002876F2"/>
    <w:rsid w:val="00287910"/>
    <w:rsid w:val="00287C88"/>
    <w:rsid w:val="00287E6F"/>
    <w:rsid w:val="00290A86"/>
    <w:rsid w:val="00290B3C"/>
    <w:rsid w:val="00290D74"/>
    <w:rsid w:val="0029109A"/>
    <w:rsid w:val="002910AC"/>
    <w:rsid w:val="002926F5"/>
    <w:rsid w:val="002926F9"/>
    <w:rsid w:val="00292EB0"/>
    <w:rsid w:val="00293760"/>
    <w:rsid w:val="00293795"/>
    <w:rsid w:val="00293EF3"/>
    <w:rsid w:val="00293FF8"/>
    <w:rsid w:val="00294139"/>
    <w:rsid w:val="00294A06"/>
    <w:rsid w:val="0029553A"/>
    <w:rsid w:val="0029587B"/>
    <w:rsid w:val="00297291"/>
    <w:rsid w:val="00297389"/>
    <w:rsid w:val="00297901"/>
    <w:rsid w:val="00297993"/>
    <w:rsid w:val="002A0014"/>
    <w:rsid w:val="002A0163"/>
    <w:rsid w:val="002A0728"/>
    <w:rsid w:val="002A0A25"/>
    <w:rsid w:val="002A0D55"/>
    <w:rsid w:val="002A1C55"/>
    <w:rsid w:val="002A2304"/>
    <w:rsid w:val="002A23CB"/>
    <w:rsid w:val="002A2454"/>
    <w:rsid w:val="002A312C"/>
    <w:rsid w:val="002A3331"/>
    <w:rsid w:val="002A360D"/>
    <w:rsid w:val="002A3643"/>
    <w:rsid w:val="002A38AA"/>
    <w:rsid w:val="002A39E5"/>
    <w:rsid w:val="002A4CA2"/>
    <w:rsid w:val="002A4FD9"/>
    <w:rsid w:val="002A6257"/>
    <w:rsid w:val="002A6B64"/>
    <w:rsid w:val="002A70F7"/>
    <w:rsid w:val="002A77F7"/>
    <w:rsid w:val="002B00CC"/>
    <w:rsid w:val="002B0456"/>
    <w:rsid w:val="002B1020"/>
    <w:rsid w:val="002B1AC4"/>
    <w:rsid w:val="002B249F"/>
    <w:rsid w:val="002B2600"/>
    <w:rsid w:val="002B2F50"/>
    <w:rsid w:val="002B3143"/>
    <w:rsid w:val="002B3825"/>
    <w:rsid w:val="002B3A89"/>
    <w:rsid w:val="002B3C0A"/>
    <w:rsid w:val="002B42AA"/>
    <w:rsid w:val="002B4438"/>
    <w:rsid w:val="002B46A0"/>
    <w:rsid w:val="002B4E43"/>
    <w:rsid w:val="002B5ADA"/>
    <w:rsid w:val="002B601E"/>
    <w:rsid w:val="002B742A"/>
    <w:rsid w:val="002B744F"/>
    <w:rsid w:val="002B778A"/>
    <w:rsid w:val="002B7E5A"/>
    <w:rsid w:val="002B7F91"/>
    <w:rsid w:val="002C0AB3"/>
    <w:rsid w:val="002C0BE2"/>
    <w:rsid w:val="002C13A2"/>
    <w:rsid w:val="002C1A03"/>
    <w:rsid w:val="002C2658"/>
    <w:rsid w:val="002C27B7"/>
    <w:rsid w:val="002C280B"/>
    <w:rsid w:val="002C28B0"/>
    <w:rsid w:val="002C3495"/>
    <w:rsid w:val="002C34E5"/>
    <w:rsid w:val="002C37C1"/>
    <w:rsid w:val="002C3B32"/>
    <w:rsid w:val="002C4296"/>
    <w:rsid w:val="002C42C1"/>
    <w:rsid w:val="002C4FDA"/>
    <w:rsid w:val="002C50AA"/>
    <w:rsid w:val="002C5E84"/>
    <w:rsid w:val="002C6027"/>
    <w:rsid w:val="002C65DB"/>
    <w:rsid w:val="002C6733"/>
    <w:rsid w:val="002C67BA"/>
    <w:rsid w:val="002C711E"/>
    <w:rsid w:val="002C7653"/>
    <w:rsid w:val="002C7665"/>
    <w:rsid w:val="002D0CD2"/>
    <w:rsid w:val="002D166A"/>
    <w:rsid w:val="002D2A48"/>
    <w:rsid w:val="002D2A9E"/>
    <w:rsid w:val="002D2BBF"/>
    <w:rsid w:val="002D5188"/>
    <w:rsid w:val="002D5377"/>
    <w:rsid w:val="002D5E65"/>
    <w:rsid w:val="002D7C9E"/>
    <w:rsid w:val="002E03EC"/>
    <w:rsid w:val="002E0630"/>
    <w:rsid w:val="002E13D0"/>
    <w:rsid w:val="002E1410"/>
    <w:rsid w:val="002E1418"/>
    <w:rsid w:val="002E1949"/>
    <w:rsid w:val="002E22C8"/>
    <w:rsid w:val="002E2549"/>
    <w:rsid w:val="002E2C57"/>
    <w:rsid w:val="002E371A"/>
    <w:rsid w:val="002E3A21"/>
    <w:rsid w:val="002E51BA"/>
    <w:rsid w:val="002E5372"/>
    <w:rsid w:val="002E5844"/>
    <w:rsid w:val="002E622D"/>
    <w:rsid w:val="002E63EC"/>
    <w:rsid w:val="002E64A9"/>
    <w:rsid w:val="002E6670"/>
    <w:rsid w:val="002E6F0D"/>
    <w:rsid w:val="002E7575"/>
    <w:rsid w:val="002E758A"/>
    <w:rsid w:val="002F0D8A"/>
    <w:rsid w:val="002F13F0"/>
    <w:rsid w:val="002F1FC2"/>
    <w:rsid w:val="002F2078"/>
    <w:rsid w:val="002F329E"/>
    <w:rsid w:val="002F3515"/>
    <w:rsid w:val="002F3F87"/>
    <w:rsid w:val="002F45F7"/>
    <w:rsid w:val="002F5514"/>
    <w:rsid w:val="002F5F85"/>
    <w:rsid w:val="002F6445"/>
    <w:rsid w:val="002F6B08"/>
    <w:rsid w:val="002F6F4F"/>
    <w:rsid w:val="002F738B"/>
    <w:rsid w:val="002F7970"/>
    <w:rsid w:val="002F79AB"/>
    <w:rsid w:val="003016BD"/>
    <w:rsid w:val="00301AEF"/>
    <w:rsid w:val="0030224F"/>
    <w:rsid w:val="003022E5"/>
    <w:rsid w:val="0030296E"/>
    <w:rsid w:val="00303199"/>
    <w:rsid w:val="00304AB1"/>
    <w:rsid w:val="00306C92"/>
    <w:rsid w:val="00307DC1"/>
    <w:rsid w:val="00310A4A"/>
    <w:rsid w:val="003123D2"/>
    <w:rsid w:val="00312718"/>
    <w:rsid w:val="00312919"/>
    <w:rsid w:val="00312E3E"/>
    <w:rsid w:val="00313278"/>
    <w:rsid w:val="00314566"/>
    <w:rsid w:val="00314898"/>
    <w:rsid w:val="003149BC"/>
    <w:rsid w:val="00314EEC"/>
    <w:rsid w:val="00315DE0"/>
    <w:rsid w:val="00315DEF"/>
    <w:rsid w:val="00316238"/>
    <w:rsid w:val="00316D96"/>
    <w:rsid w:val="00316E04"/>
    <w:rsid w:val="00317BA2"/>
    <w:rsid w:val="00320622"/>
    <w:rsid w:val="003206DC"/>
    <w:rsid w:val="00322100"/>
    <w:rsid w:val="00322150"/>
    <w:rsid w:val="0032265C"/>
    <w:rsid w:val="003237FE"/>
    <w:rsid w:val="0032395F"/>
    <w:rsid w:val="00323CA5"/>
    <w:rsid w:val="003240E6"/>
    <w:rsid w:val="003259FB"/>
    <w:rsid w:val="00326E68"/>
    <w:rsid w:val="00327057"/>
    <w:rsid w:val="00327A3A"/>
    <w:rsid w:val="00327CC3"/>
    <w:rsid w:val="0033019C"/>
    <w:rsid w:val="003315CC"/>
    <w:rsid w:val="003333DA"/>
    <w:rsid w:val="00333735"/>
    <w:rsid w:val="00333C9B"/>
    <w:rsid w:val="00333E01"/>
    <w:rsid w:val="00334124"/>
    <w:rsid w:val="003348E7"/>
    <w:rsid w:val="00334C05"/>
    <w:rsid w:val="00335A0C"/>
    <w:rsid w:val="003361E9"/>
    <w:rsid w:val="003367A6"/>
    <w:rsid w:val="003371D6"/>
    <w:rsid w:val="003378C0"/>
    <w:rsid w:val="00337FBC"/>
    <w:rsid w:val="00340BBE"/>
    <w:rsid w:val="00341335"/>
    <w:rsid w:val="0034151E"/>
    <w:rsid w:val="00341A6B"/>
    <w:rsid w:val="00341B88"/>
    <w:rsid w:val="00342EA1"/>
    <w:rsid w:val="00343ADE"/>
    <w:rsid w:val="00343C28"/>
    <w:rsid w:val="00343D88"/>
    <w:rsid w:val="00343F60"/>
    <w:rsid w:val="003446FE"/>
    <w:rsid w:val="00344FE1"/>
    <w:rsid w:val="00345CF4"/>
    <w:rsid w:val="00346922"/>
    <w:rsid w:val="00346AA1"/>
    <w:rsid w:val="003471A2"/>
    <w:rsid w:val="00350072"/>
    <w:rsid w:val="0035045E"/>
    <w:rsid w:val="0035119F"/>
    <w:rsid w:val="00351209"/>
    <w:rsid w:val="00351AF8"/>
    <w:rsid w:val="00351DBA"/>
    <w:rsid w:val="003523C6"/>
    <w:rsid w:val="00352E00"/>
    <w:rsid w:val="00354473"/>
    <w:rsid w:val="003549F0"/>
    <w:rsid w:val="00355E6F"/>
    <w:rsid w:val="00356304"/>
    <w:rsid w:val="003565A7"/>
    <w:rsid w:val="00356824"/>
    <w:rsid w:val="00356AFD"/>
    <w:rsid w:val="00357123"/>
    <w:rsid w:val="003607C4"/>
    <w:rsid w:val="00360B83"/>
    <w:rsid w:val="00361F53"/>
    <w:rsid w:val="00363234"/>
    <w:rsid w:val="00363FED"/>
    <w:rsid w:val="00364C50"/>
    <w:rsid w:val="003651C8"/>
    <w:rsid w:val="0036528E"/>
    <w:rsid w:val="0036564D"/>
    <w:rsid w:val="00365B35"/>
    <w:rsid w:val="0036619B"/>
    <w:rsid w:val="003667DB"/>
    <w:rsid w:val="00366C5C"/>
    <w:rsid w:val="0036772D"/>
    <w:rsid w:val="003677C9"/>
    <w:rsid w:val="00370116"/>
    <w:rsid w:val="00370293"/>
    <w:rsid w:val="00371843"/>
    <w:rsid w:val="00371CD6"/>
    <w:rsid w:val="00371D2D"/>
    <w:rsid w:val="003725A6"/>
    <w:rsid w:val="003728B2"/>
    <w:rsid w:val="00372E38"/>
    <w:rsid w:val="00373C2A"/>
    <w:rsid w:val="00373E2D"/>
    <w:rsid w:val="00373E9B"/>
    <w:rsid w:val="00373FAC"/>
    <w:rsid w:val="00373FF6"/>
    <w:rsid w:val="00374849"/>
    <w:rsid w:val="003749D7"/>
    <w:rsid w:val="00375607"/>
    <w:rsid w:val="00375825"/>
    <w:rsid w:val="00376DCF"/>
    <w:rsid w:val="0037725A"/>
    <w:rsid w:val="00377B04"/>
    <w:rsid w:val="00377EC4"/>
    <w:rsid w:val="003803C0"/>
    <w:rsid w:val="003807D1"/>
    <w:rsid w:val="003808AB"/>
    <w:rsid w:val="00381183"/>
    <w:rsid w:val="00381B1A"/>
    <w:rsid w:val="003828F2"/>
    <w:rsid w:val="00384623"/>
    <w:rsid w:val="00384908"/>
    <w:rsid w:val="003853D0"/>
    <w:rsid w:val="00386571"/>
    <w:rsid w:val="00387564"/>
    <w:rsid w:val="003875C8"/>
    <w:rsid w:val="00387804"/>
    <w:rsid w:val="00390E27"/>
    <w:rsid w:val="003910F8"/>
    <w:rsid w:val="00391D13"/>
    <w:rsid w:val="003923D3"/>
    <w:rsid w:val="003924DB"/>
    <w:rsid w:val="003933A6"/>
    <w:rsid w:val="003933AE"/>
    <w:rsid w:val="003937AB"/>
    <w:rsid w:val="003938B9"/>
    <w:rsid w:val="00393907"/>
    <w:rsid w:val="0039428B"/>
    <w:rsid w:val="003942DF"/>
    <w:rsid w:val="003964C6"/>
    <w:rsid w:val="003964D7"/>
    <w:rsid w:val="00396702"/>
    <w:rsid w:val="00396BDA"/>
    <w:rsid w:val="00397638"/>
    <w:rsid w:val="003978A6"/>
    <w:rsid w:val="00397B53"/>
    <w:rsid w:val="003A066C"/>
    <w:rsid w:val="003A0FBC"/>
    <w:rsid w:val="003A119C"/>
    <w:rsid w:val="003A1EDB"/>
    <w:rsid w:val="003A350E"/>
    <w:rsid w:val="003A503B"/>
    <w:rsid w:val="003A5105"/>
    <w:rsid w:val="003A5280"/>
    <w:rsid w:val="003A5593"/>
    <w:rsid w:val="003A568C"/>
    <w:rsid w:val="003A5C04"/>
    <w:rsid w:val="003A61C1"/>
    <w:rsid w:val="003A7BB3"/>
    <w:rsid w:val="003B02C1"/>
    <w:rsid w:val="003B1111"/>
    <w:rsid w:val="003B20AC"/>
    <w:rsid w:val="003B2305"/>
    <w:rsid w:val="003B23BC"/>
    <w:rsid w:val="003B2687"/>
    <w:rsid w:val="003B2A3E"/>
    <w:rsid w:val="003B2E36"/>
    <w:rsid w:val="003B32F2"/>
    <w:rsid w:val="003B39CC"/>
    <w:rsid w:val="003B49B9"/>
    <w:rsid w:val="003B5497"/>
    <w:rsid w:val="003B63BA"/>
    <w:rsid w:val="003B6B3C"/>
    <w:rsid w:val="003B6B4F"/>
    <w:rsid w:val="003B7945"/>
    <w:rsid w:val="003B7A5A"/>
    <w:rsid w:val="003B7DC5"/>
    <w:rsid w:val="003B7EA9"/>
    <w:rsid w:val="003C08B7"/>
    <w:rsid w:val="003C0B34"/>
    <w:rsid w:val="003C1286"/>
    <w:rsid w:val="003C181A"/>
    <w:rsid w:val="003C186E"/>
    <w:rsid w:val="003C270A"/>
    <w:rsid w:val="003C35D1"/>
    <w:rsid w:val="003C3C64"/>
    <w:rsid w:val="003C3DAE"/>
    <w:rsid w:val="003C3DB2"/>
    <w:rsid w:val="003C4DF9"/>
    <w:rsid w:val="003C5CA5"/>
    <w:rsid w:val="003C5E5C"/>
    <w:rsid w:val="003C642A"/>
    <w:rsid w:val="003C68E7"/>
    <w:rsid w:val="003C6E96"/>
    <w:rsid w:val="003C7557"/>
    <w:rsid w:val="003C7BCA"/>
    <w:rsid w:val="003D0D55"/>
    <w:rsid w:val="003D0E16"/>
    <w:rsid w:val="003D1403"/>
    <w:rsid w:val="003D2D92"/>
    <w:rsid w:val="003D318F"/>
    <w:rsid w:val="003D3B74"/>
    <w:rsid w:val="003D45C1"/>
    <w:rsid w:val="003D4A84"/>
    <w:rsid w:val="003D4FC5"/>
    <w:rsid w:val="003D5046"/>
    <w:rsid w:val="003D579B"/>
    <w:rsid w:val="003D5FB1"/>
    <w:rsid w:val="003D7534"/>
    <w:rsid w:val="003D7AD6"/>
    <w:rsid w:val="003E1AEF"/>
    <w:rsid w:val="003E1D2A"/>
    <w:rsid w:val="003E1DD4"/>
    <w:rsid w:val="003E29CB"/>
    <w:rsid w:val="003E2A31"/>
    <w:rsid w:val="003E3919"/>
    <w:rsid w:val="003E3BC8"/>
    <w:rsid w:val="003E420B"/>
    <w:rsid w:val="003E492D"/>
    <w:rsid w:val="003E51AF"/>
    <w:rsid w:val="003E578F"/>
    <w:rsid w:val="003E5F0A"/>
    <w:rsid w:val="003E626A"/>
    <w:rsid w:val="003E6839"/>
    <w:rsid w:val="003E69AE"/>
    <w:rsid w:val="003E6D2A"/>
    <w:rsid w:val="003E6DE8"/>
    <w:rsid w:val="003E6E14"/>
    <w:rsid w:val="003E6FCD"/>
    <w:rsid w:val="003F02A3"/>
    <w:rsid w:val="003F209A"/>
    <w:rsid w:val="003F232A"/>
    <w:rsid w:val="003F3DBF"/>
    <w:rsid w:val="003F4037"/>
    <w:rsid w:val="003F4199"/>
    <w:rsid w:val="003F49DF"/>
    <w:rsid w:val="003F4C39"/>
    <w:rsid w:val="003F4E32"/>
    <w:rsid w:val="003F4ED2"/>
    <w:rsid w:val="003F5023"/>
    <w:rsid w:val="003F516D"/>
    <w:rsid w:val="003F539B"/>
    <w:rsid w:val="003F540D"/>
    <w:rsid w:val="003F5547"/>
    <w:rsid w:val="003F5A49"/>
    <w:rsid w:val="003F6E00"/>
    <w:rsid w:val="003F7BF4"/>
    <w:rsid w:val="0040018C"/>
    <w:rsid w:val="00400349"/>
    <w:rsid w:val="004003A0"/>
    <w:rsid w:val="0040109B"/>
    <w:rsid w:val="004010F1"/>
    <w:rsid w:val="00401373"/>
    <w:rsid w:val="00401434"/>
    <w:rsid w:val="00402480"/>
    <w:rsid w:val="00402AEE"/>
    <w:rsid w:val="00402EB8"/>
    <w:rsid w:val="00403905"/>
    <w:rsid w:val="00404BB6"/>
    <w:rsid w:val="004056E6"/>
    <w:rsid w:val="00406683"/>
    <w:rsid w:val="00406EFD"/>
    <w:rsid w:val="0040756A"/>
    <w:rsid w:val="00407999"/>
    <w:rsid w:val="00407AD6"/>
    <w:rsid w:val="00407C3A"/>
    <w:rsid w:val="00410B6C"/>
    <w:rsid w:val="00411E9A"/>
    <w:rsid w:val="00412760"/>
    <w:rsid w:val="0041306D"/>
    <w:rsid w:val="00413C96"/>
    <w:rsid w:val="00413FE0"/>
    <w:rsid w:val="0041409D"/>
    <w:rsid w:val="00414DEA"/>
    <w:rsid w:val="00414E61"/>
    <w:rsid w:val="00414E71"/>
    <w:rsid w:val="00414FA7"/>
    <w:rsid w:val="00415B71"/>
    <w:rsid w:val="00417672"/>
    <w:rsid w:val="0041787D"/>
    <w:rsid w:val="00417A45"/>
    <w:rsid w:val="00417C68"/>
    <w:rsid w:val="00417D0E"/>
    <w:rsid w:val="00420479"/>
    <w:rsid w:val="004204A3"/>
    <w:rsid w:val="00420B52"/>
    <w:rsid w:val="00421656"/>
    <w:rsid w:val="004223DD"/>
    <w:rsid w:val="00423BAB"/>
    <w:rsid w:val="00423CF3"/>
    <w:rsid w:val="0042542F"/>
    <w:rsid w:val="00425FAB"/>
    <w:rsid w:val="00426F79"/>
    <w:rsid w:val="004271D1"/>
    <w:rsid w:val="004273AA"/>
    <w:rsid w:val="00427F77"/>
    <w:rsid w:val="00430661"/>
    <w:rsid w:val="00430AE6"/>
    <w:rsid w:val="00430CDB"/>
    <w:rsid w:val="004326BC"/>
    <w:rsid w:val="004327EF"/>
    <w:rsid w:val="0043298B"/>
    <w:rsid w:val="0043334D"/>
    <w:rsid w:val="004333F2"/>
    <w:rsid w:val="00433661"/>
    <w:rsid w:val="00434641"/>
    <w:rsid w:val="0043468A"/>
    <w:rsid w:val="0043487C"/>
    <w:rsid w:val="00434BB4"/>
    <w:rsid w:val="00435C84"/>
    <w:rsid w:val="00435DF4"/>
    <w:rsid w:val="0043729F"/>
    <w:rsid w:val="0043733F"/>
    <w:rsid w:val="00437933"/>
    <w:rsid w:val="0044027B"/>
    <w:rsid w:val="00440644"/>
    <w:rsid w:val="00440F65"/>
    <w:rsid w:val="0044190A"/>
    <w:rsid w:val="00441DCD"/>
    <w:rsid w:val="00442935"/>
    <w:rsid w:val="00442A82"/>
    <w:rsid w:val="00443390"/>
    <w:rsid w:val="00443499"/>
    <w:rsid w:val="00443BFB"/>
    <w:rsid w:val="00443DDD"/>
    <w:rsid w:val="004442A3"/>
    <w:rsid w:val="00444506"/>
    <w:rsid w:val="0044489A"/>
    <w:rsid w:val="00444E12"/>
    <w:rsid w:val="00444F0F"/>
    <w:rsid w:val="00445C56"/>
    <w:rsid w:val="004460A1"/>
    <w:rsid w:val="0044638C"/>
    <w:rsid w:val="00446EB7"/>
    <w:rsid w:val="00446EDD"/>
    <w:rsid w:val="00447C66"/>
    <w:rsid w:val="00450769"/>
    <w:rsid w:val="00450A9C"/>
    <w:rsid w:val="00450D5A"/>
    <w:rsid w:val="00450F98"/>
    <w:rsid w:val="004518A1"/>
    <w:rsid w:val="004527BA"/>
    <w:rsid w:val="00452F55"/>
    <w:rsid w:val="00453104"/>
    <w:rsid w:val="00453867"/>
    <w:rsid w:val="00453BA0"/>
    <w:rsid w:val="00453C4A"/>
    <w:rsid w:val="00453F4C"/>
    <w:rsid w:val="00454AAB"/>
    <w:rsid w:val="00455886"/>
    <w:rsid w:val="0045637A"/>
    <w:rsid w:val="004564AB"/>
    <w:rsid w:val="0045739F"/>
    <w:rsid w:val="00457427"/>
    <w:rsid w:val="004574D2"/>
    <w:rsid w:val="00457585"/>
    <w:rsid w:val="0045789C"/>
    <w:rsid w:val="004600E0"/>
    <w:rsid w:val="00460119"/>
    <w:rsid w:val="00461846"/>
    <w:rsid w:val="00461C60"/>
    <w:rsid w:val="00462501"/>
    <w:rsid w:val="00462556"/>
    <w:rsid w:val="00462DBB"/>
    <w:rsid w:val="00462F0B"/>
    <w:rsid w:val="004636B6"/>
    <w:rsid w:val="00463999"/>
    <w:rsid w:val="00466653"/>
    <w:rsid w:val="00466899"/>
    <w:rsid w:val="00467879"/>
    <w:rsid w:val="00467F4C"/>
    <w:rsid w:val="004704BC"/>
    <w:rsid w:val="00470ABA"/>
    <w:rsid w:val="00471788"/>
    <w:rsid w:val="00471807"/>
    <w:rsid w:val="00472011"/>
    <w:rsid w:val="004733F3"/>
    <w:rsid w:val="00474FE1"/>
    <w:rsid w:val="00475303"/>
    <w:rsid w:val="00475731"/>
    <w:rsid w:val="004761C9"/>
    <w:rsid w:val="00477755"/>
    <w:rsid w:val="00477890"/>
    <w:rsid w:val="00477B30"/>
    <w:rsid w:val="00477C23"/>
    <w:rsid w:val="00477EE9"/>
    <w:rsid w:val="004812CF"/>
    <w:rsid w:val="00481FDC"/>
    <w:rsid w:val="00481FEA"/>
    <w:rsid w:val="004824FD"/>
    <w:rsid w:val="00482806"/>
    <w:rsid w:val="00482A6C"/>
    <w:rsid w:val="00482D33"/>
    <w:rsid w:val="00483C68"/>
    <w:rsid w:val="00483FA5"/>
    <w:rsid w:val="00484A5B"/>
    <w:rsid w:val="00484ED0"/>
    <w:rsid w:val="0048511D"/>
    <w:rsid w:val="004854F2"/>
    <w:rsid w:val="00485B7A"/>
    <w:rsid w:val="0048641F"/>
    <w:rsid w:val="00486D56"/>
    <w:rsid w:val="00486F05"/>
    <w:rsid w:val="00487047"/>
    <w:rsid w:val="00487223"/>
    <w:rsid w:val="004873F4"/>
    <w:rsid w:val="004878CF"/>
    <w:rsid w:val="00487C7F"/>
    <w:rsid w:val="00487F1F"/>
    <w:rsid w:val="00490529"/>
    <w:rsid w:val="004906DC"/>
    <w:rsid w:val="00490D67"/>
    <w:rsid w:val="004914A3"/>
    <w:rsid w:val="004915BC"/>
    <w:rsid w:val="00492E89"/>
    <w:rsid w:val="004938FA"/>
    <w:rsid w:val="00493A43"/>
    <w:rsid w:val="00493B50"/>
    <w:rsid w:val="004940AC"/>
    <w:rsid w:val="00494CC7"/>
    <w:rsid w:val="00495B58"/>
    <w:rsid w:val="00495F3F"/>
    <w:rsid w:val="004968EE"/>
    <w:rsid w:val="00497157"/>
    <w:rsid w:val="0049723D"/>
    <w:rsid w:val="00497419"/>
    <w:rsid w:val="00497BE1"/>
    <w:rsid w:val="004A0082"/>
    <w:rsid w:val="004A0834"/>
    <w:rsid w:val="004A09BF"/>
    <w:rsid w:val="004A0A19"/>
    <w:rsid w:val="004A0EBD"/>
    <w:rsid w:val="004A14C1"/>
    <w:rsid w:val="004A1B8A"/>
    <w:rsid w:val="004A361A"/>
    <w:rsid w:val="004A3A4F"/>
    <w:rsid w:val="004A47A7"/>
    <w:rsid w:val="004A47FB"/>
    <w:rsid w:val="004A57D6"/>
    <w:rsid w:val="004A5A4F"/>
    <w:rsid w:val="004A62DA"/>
    <w:rsid w:val="004A6D9E"/>
    <w:rsid w:val="004A735F"/>
    <w:rsid w:val="004B0213"/>
    <w:rsid w:val="004B034B"/>
    <w:rsid w:val="004B042F"/>
    <w:rsid w:val="004B0532"/>
    <w:rsid w:val="004B0930"/>
    <w:rsid w:val="004B0C98"/>
    <w:rsid w:val="004B121B"/>
    <w:rsid w:val="004B14BF"/>
    <w:rsid w:val="004B1792"/>
    <w:rsid w:val="004B1852"/>
    <w:rsid w:val="004B1E5A"/>
    <w:rsid w:val="004B23CA"/>
    <w:rsid w:val="004B2D26"/>
    <w:rsid w:val="004B2FBD"/>
    <w:rsid w:val="004B385B"/>
    <w:rsid w:val="004B3A7D"/>
    <w:rsid w:val="004B4705"/>
    <w:rsid w:val="004B4C9B"/>
    <w:rsid w:val="004B510F"/>
    <w:rsid w:val="004B5416"/>
    <w:rsid w:val="004B5CC5"/>
    <w:rsid w:val="004B6877"/>
    <w:rsid w:val="004B6C29"/>
    <w:rsid w:val="004B712A"/>
    <w:rsid w:val="004B759C"/>
    <w:rsid w:val="004B7790"/>
    <w:rsid w:val="004B7810"/>
    <w:rsid w:val="004C00CE"/>
    <w:rsid w:val="004C027F"/>
    <w:rsid w:val="004C03AE"/>
    <w:rsid w:val="004C03F7"/>
    <w:rsid w:val="004C0684"/>
    <w:rsid w:val="004C079C"/>
    <w:rsid w:val="004C1409"/>
    <w:rsid w:val="004C1647"/>
    <w:rsid w:val="004C2184"/>
    <w:rsid w:val="004C2366"/>
    <w:rsid w:val="004C34A3"/>
    <w:rsid w:val="004C3854"/>
    <w:rsid w:val="004C4469"/>
    <w:rsid w:val="004C47CE"/>
    <w:rsid w:val="004C5CB9"/>
    <w:rsid w:val="004C6B32"/>
    <w:rsid w:val="004D03A8"/>
    <w:rsid w:val="004D2098"/>
    <w:rsid w:val="004D25E8"/>
    <w:rsid w:val="004D2688"/>
    <w:rsid w:val="004D4AE0"/>
    <w:rsid w:val="004D5288"/>
    <w:rsid w:val="004D5AAD"/>
    <w:rsid w:val="004D747E"/>
    <w:rsid w:val="004D7A79"/>
    <w:rsid w:val="004D7AD6"/>
    <w:rsid w:val="004D7D85"/>
    <w:rsid w:val="004E0328"/>
    <w:rsid w:val="004E0420"/>
    <w:rsid w:val="004E0566"/>
    <w:rsid w:val="004E09C4"/>
    <w:rsid w:val="004E1C40"/>
    <w:rsid w:val="004E1E81"/>
    <w:rsid w:val="004E2158"/>
    <w:rsid w:val="004E24C5"/>
    <w:rsid w:val="004E2D30"/>
    <w:rsid w:val="004E31F5"/>
    <w:rsid w:val="004E3678"/>
    <w:rsid w:val="004E3D8F"/>
    <w:rsid w:val="004E51A7"/>
    <w:rsid w:val="004E5713"/>
    <w:rsid w:val="004E5740"/>
    <w:rsid w:val="004E576C"/>
    <w:rsid w:val="004E5ED8"/>
    <w:rsid w:val="004E6653"/>
    <w:rsid w:val="004E6721"/>
    <w:rsid w:val="004E6FB5"/>
    <w:rsid w:val="004E706F"/>
    <w:rsid w:val="004E7A6C"/>
    <w:rsid w:val="004F0BE0"/>
    <w:rsid w:val="004F0D46"/>
    <w:rsid w:val="004F14D6"/>
    <w:rsid w:val="004F1DB4"/>
    <w:rsid w:val="004F1F89"/>
    <w:rsid w:val="004F2E2A"/>
    <w:rsid w:val="004F34C5"/>
    <w:rsid w:val="004F36C5"/>
    <w:rsid w:val="004F572A"/>
    <w:rsid w:val="004F59B5"/>
    <w:rsid w:val="004F5DF4"/>
    <w:rsid w:val="004F5E2D"/>
    <w:rsid w:val="004F6099"/>
    <w:rsid w:val="004F6115"/>
    <w:rsid w:val="004F6258"/>
    <w:rsid w:val="004F634C"/>
    <w:rsid w:val="004F6CA1"/>
    <w:rsid w:val="004F6EA4"/>
    <w:rsid w:val="004F7206"/>
    <w:rsid w:val="004F7994"/>
    <w:rsid w:val="004F7CE8"/>
    <w:rsid w:val="005000FF"/>
    <w:rsid w:val="005001CA"/>
    <w:rsid w:val="0050088D"/>
    <w:rsid w:val="005009E0"/>
    <w:rsid w:val="005012FC"/>
    <w:rsid w:val="00501448"/>
    <w:rsid w:val="00501601"/>
    <w:rsid w:val="0050250C"/>
    <w:rsid w:val="00503026"/>
    <w:rsid w:val="00503976"/>
    <w:rsid w:val="00504389"/>
    <w:rsid w:val="00504B02"/>
    <w:rsid w:val="005057CE"/>
    <w:rsid w:val="00505E44"/>
    <w:rsid w:val="00506677"/>
    <w:rsid w:val="0050667C"/>
    <w:rsid w:val="00507332"/>
    <w:rsid w:val="005106E2"/>
    <w:rsid w:val="0051091B"/>
    <w:rsid w:val="005113E3"/>
    <w:rsid w:val="005118C5"/>
    <w:rsid w:val="00511C36"/>
    <w:rsid w:val="00511CDA"/>
    <w:rsid w:val="00512C3A"/>
    <w:rsid w:val="00512D51"/>
    <w:rsid w:val="00512F44"/>
    <w:rsid w:val="00512FE1"/>
    <w:rsid w:val="00513394"/>
    <w:rsid w:val="005137DF"/>
    <w:rsid w:val="00514006"/>
    <w:rsid w:val="0051407E"/>
    <w:rsid w:val="00514719"/>
    <w:rsid w:val="00514950"/>
    <w:rsid w:val="0051531D"/>
    <w:rsid w:val="00515971"/>
    <w:rsid w:val="00515CE6"/>
    <w:rsid w:val="00515DEA"/>
    <w:rsid w:val="00515E02"/>
    <w:rsid w:val="00516A03"/>
    <w:rsid w:val="00516FA1"/>
    <w:rsid w:val="00516FEF"/>
    <w:rsid w:val="00517573"/>
    <w:rsid w:val="005201D5"/>
    <w:rsid w:val="00520249"/>
    <w:rsid w:val="00521118"/>
    <w:rsid w:val="00521A28"/>
    <w:rsid w:val="00521B4D"/>
    <w:rsid w:val="00522369"/>
    <w:rsid w:val="005223E6"/>
    <w:rsid w:val="005227BD"/>
    <w:rsid w:val="00522E0A"/>
    <w:rsid w:val="0052359E"/>
    <w:rsid w:val="00523BD5"/>
    <w:rsid w:val="005244D1"/>
    <w:rsid w:val="00524606"/>
    <w:rsid w:val="00525003"/>
    <w:rsid w:val="00525569"/>
    <w:rsid w:val="005256B2"/>
    <w:rsid w:val="00525B29"/>
    <w:rsid w:val="005268AA"/>
    <w:rsid w:val="00526EE4"/>
    <w:rsid w:val="005273F4"/>
    <w:rsid w:val="005274CF"/>
    <w:rsid w:val="005304EC"/>
    <w:rsid w:val="00530C98"/>
    <w:rsid w:val="00531504"/>
    <w:rsid w:val="00531A9D"/>
    <w:rsid w:val="00532374"/>
    <w:rsid w:val="00532FC2"/>
    <w:rsid w:val="00533088"/>
    <w:rsid w:val="00533189"/>
    <w:rsid w:val="00534682"/>
    <w:rsid w:val="005349DD"/>
    <w:rsid w:val="00535738"/>
    <w:rsid w:val="00535C25"/>
    <w:rsid w:val="00535E11"/>
    <w:rsid w:val="00536A1B"/>
    <w:rsid w:val="0053779C"/>
    <w:rsid w:val="00537B61"/>
    <w:rsid w:val="00537D36"/>
    <w:rsid w:val="00537FAA"/>
    <w:rsid w:val="005406C6"/>
    <w:rsid w:val="005406D8"/>
    <w:rsid w:val="00541982"/>
    <w:rsid w:val="00541986"/>
    <w:rsid w:val="00542312"/>
    <w:rsid w:val="00542798"/>
    <w:rsid w:val="00543D4E"/>
    <w:rsid w:val="00544D3A"/>
    <w:rsid w:val="005454DD"/>
    <w:rsid w:val="00545B0E"/>
    <w:rsid w:val="00545CF1"/>
    <w:rsid w:val="005501D0"/>
    <w:rsid w:val="00550BA4"/>
    <w:rsid w:val="00552207"/>
    <w:rsid w:val="00552D07"/>
    <w:rsid w:val="00552F4F"/>
    <w:rsid w:val="00553606"/>
    <w:rsid w:val="0055360A"/>
    <w:rsid w:val="005537DB"/>
    <w:rsid w:val="00553F0B"/>
    <w:rsid w:val="005548E3"/>
    <w:rsid w:val="00554C71"/>
    <w:rsid w:val="00554D93"/>
    <w:rsid w:val="00555326"/>
    <w:rsid w:val="005557B4"/>
    <w:rsid w:val="005557EF"/>
    <w:rsid w:val="00556072"/>
    <w:rsid w:val="00556558"/>
    <w:rsid w:val="00556C81"/>
    <w:rsid w:val="005570E6"/>
    <w:rsid w:val="00560126"/>
    <w:rsid w:val="00560C6E"/>
    <w:rsid w:val="00560FEF"/>
    <w:rsid w:val="00561191"/>
    <w:rsid w:val="005612E9"/>
    <w:rsid w:val="00561573"/>
    <w:rsid w:val="005627A4"/>
    <w:rsid w:val="00562F81"/>
    <w:rsid w:val="0056447B"/>
    <w:rsid w:val="0056471A"/>
    <w:rsid w:val="00564CFB"/>
    <w:rsid w:val="00565847"/>
    <w:rsid w:val="00566418"/>
    <w:rsid w:val="0056674B"/>
    <w:rsid w:val="00566DBE"/>
    <w:rsid w:val="00567D7D"/>
    <w:rsid w:val="005708AC"/>
    <w:rsid w:val="00572174"/>
    <w:rsid w:val="0057272A"/>
    <w:rsid w:val="00572C67"/>
    <w:rsid w:val="00572F1B"/>
    <w:rsid w:val="00573B82"/>
    <w:rsid w:val="00573E81"/>
    <w:rsid w:val="00574514"/>
    <w:rsid w:val="00574ACA"/>
    <w:rsid w:val="00575054"/>
    <w:rsid w:val="00576C73"/>
    <w:rsid w:val="00577112"/>
    <w:rsid w:val="00580122"/>
    <w:rsid w:val="00580756"/>
    <w:rsid w:val="00581423"/>
    <w:rsid w:val="0058144A"/>
    <w:rsid w:val="0058247C"/>
    <w:rsid w:val="0058285E"/>
    <w:rsid w:val="00582B58"/>
    <w:rsid w:val="00583A7C"/>
    <w:rsid w:val="00585E8A"/>
    <w:rsid w:val="00586B95"/>
    <w:rsid w:val="005873BD"/>
    <w:rsid w:val="00587676"/>
    <w:rsid w:val="005902C8"/>
    <w:rsid w:val="00590364"/>
    <w:rsid w:val="00590515"/>
    <w:rsid w:val="005905BF"/>
    <w:rsid w:val="00590CAB"/>
    <w:rsid w:val="00590E60"/>
    <w:rsid w:val="00591BEE"/>
    <w:rsid w:val="00591EB6"/>
    <w:rsid w:val="00592EA4"/>
    <w:rsid w:val="00594828"/>
    <w:rsid w:val="00594BB6"/>
    <w:rsid w:val="00594C54"/>
    <w:rsid w:val="00594F61"/>
    <w:rsid w:val="00595AE2"/>
    <w:rsid w:val="00596771"/>
    <w:rsid w:val="005967FC"/>
    <w:rsid w:val="005978EC"/>
    <w:rsid w:val="00597EC7"/>
    <w:rsid w:val="005A028A"/>
    <w:rsid w:val="005A0358"/>
    <w:rsid w:val="005A08CE"/>
    <w:rsid w:val="005A15FC"/>
    <w:rsid w:val="005A16D2"/>
    <w:rsid w:val="005A3320"/>
    <w:rsid w:val="005A3742"/>
    <w:rsid w:val="005A3948"/>
    <w:rsid w:val="005A43A7"/>
    <w:rsid w:val="005A4D53"/>
    <w:rsid w:val="005A5D42"/>
    <w:rsid w:val="005A61E8"/>
    <w:rsid w:val="005A68EF"/>
    <w:rsid w:val="005A7457"/>
    <w:rsid w:val="005B00D9"/>
    <w:rsid w:val="005B0532"/>
    <w:rsid w:val="005B05A4"/>
    <w:rsid w:val="005B11F6"/>
    <w:rsid w:val="005B1258"/>
    <w:rsid w:val="005B1787"/>
    <w:rsid w:val="005B1A08"/>
    <w:rsid w:val="005B1B75"/>
    <w:rsid w:val="005B2DB9"/>
    <w:rsid w:val="005B38F9"/>
    <w:rsid w:val="005B40AC"/>
    <w:rsid w:val="005B550F"/>
    <w:rsid w:val="005B5AAB"/>
    <w:rsid w:val="005B5BB8"/>
    <w:rsid w:val="005B5EB2"/>
    <w:rsid w:val="005B6DA5"/>
    <w:rsid w:val="005B748C"/>
    <w:rsid w:val="005B7978"/>
    <w:rsid w:val="005B7B57"/>
    <w:rsid w:val="005C03CF"/>
    <w:rsid w:val="005C0577"/>
    <w:rsid w:val="005C08A4"/>
    <w:rsid w:val="005C2441"/>
    <w:rsid w:val="005C2743"/>
    <w:rsid w:val="005C3502"/>
    <w:rsid w:val="005C35F4"/>
    <w:rsid w:val="005C3C9D"/>
    <w:rsid w:val="005C419C"/>
    <w:rsid w:val="005C5245"/>
    <w:rsid w:val="005C54CE"/>
    <w:rsid w:val="005C5C6D"/>
    <w:rsid w:val="005C6187"/>
    <w:rsid w:val="005C7617"/>
    <w:rsid w:val="005C7DDC"/>
    <w:rsid w:val="005D022D"/>
    <w:rsid w:val="005D0394"/>
    <w:rsid w:val="005D12C3"/>
    <w:rsid w:val="005D1887"/>
    <w:rsid w:val="005D208F"/>
    <w:rsid w:val="005D22D9"/>
    <w:rsid w:val="005D2FC3"/>
    <w:rsid w:val="005D3B16"/>
    <w:rsid w:val="005D3EE4"/>
    <w:rsid w:val="005D4570"/>
    <w:rsid w:val="005D4861"/>
    <w:rsid w:val="005D49BF"/>
    <w:rsid w:val="005D4A2B"/>
    <w:rsid w:val="005D4EDF"/>
    <w:rsid w:val="005D574C"/>
    <w:rsid w:val="005D59FA"/>
    <w:rsid w:val="005D6606"/>
    <w:rsid w:val="005D680A"/>
    <w:rsid w:val="005D6979"/>
    <w:rsid w:val="005D712C"/>
    <w:rsid w:val="005D78AF"/>
    <w:rsid w:val="005E0D31"/>
    <w:rsid w:val="005E2FF7"/>
    <w:rsid w:val="005E344B"/>
    <w:rsid w:val="005E49DE"/>
    <w:rsid w:val="005E53E9"/>
    <w:rsid w:val="005E5DD9"/>
    <w:rsid w:val="005E77D0"/>
    <w:rsid w:val="005F032D"/>
    <w:rsid w:val="005F06E1"/>
    <w:rsid w:val="005F11D1"/>
    <w:rsid w:val="005F147E"/>
    <w:rsid w:val="005F18FF"/>
    <w:rsid w:val="005F21EF"/>
    <w:rsid w:val="005F3761"/>
    <w:rsid w:val="005F48B1"/>
    <w:rsid w:val="005F4942"/>
    <w:rsid w:val="005F4B74"/>
    <w:rsid w:val="005F4CD5"/>
    <w:rsid w:val="005F4FD9"/>
    <w:rsid w:val="005F53F6"/>
    <w:rsid w:val="005F7FBB"/>
    <w:rsid w:val="006007DF"/>
    <w:rsid w:val="00600B74"/>
    <w:rsid w:val="00601230"/>
    <w:rsid w:val="00601384"/>
    <w:rsid w:val="006016A6"/>
    <w:rsid w:val="006017FF"/>
    <w:rsid w:val="00601868"/>
    <w:rsid w:val="006024BD"/>
    <w:rsid w:val="00602AA7"/>
    <w:rsid w:val="00602D03"/>
    <w:rsid w:val="00604678"/>
    <w:rsid w:val="006046EA"/>
    <w:rsid w:val="006046F9"/>
    <w:rsid w:val="006048F9"/>
    <w:rsid w:val="006056C9"/>
    <w:rsid w:val="0060661A"/>
    <w:rsid w:val="006067A1"/>
    <w:rsid w:val="0060698F"/>
    <w:rsid w:val="00606C90"/>
    <w:rsid w:val="00607D9A"/>
    <w:rsid w:val="00610643"/>
    <w:rsid w:val="0061090E"/>
    <w:rsid w:val="00610CEC"/>
    <w:rsid w:val="0061161F"/>
    <w:rsid w:val="0061188E"/>
    <w:rsid w:val="00611F47"/>
    <w:rsid w:val="00612718"/>
    <w:rsid w:val="00613148"/>
    <w:rsid w:val="006131E6"/>
    <w:rsid w:val="006134F8"/>
    <w:rsid w:val="00613845"/>
    <w:rsid w:val="00613901"/>
    <w:rsid w:val="00613E98"/>
    <w:rsid w:val="00614507"/>
    <w:rsid w:val="00614A98"/>
    <w:rsid w:val="00614D7D"/>
    <w:rsid w:val="00615157"/>
    <w:rsid w:val="00615590"/>
    <w:rsid w:val="00616014"/>
    <w:rsid w:val="006160D9"/>
    <w:rsid w:val="006160E7"/>
    <w:rsid w:val="0061640D"/>
    <w:rsid w:val="00616834"/>
    <w:rsid w:val="00616868"/>
    <w:rsid w:val="006169B3"/>
    <w:rsid w:val="00617129"/>
    <w:rsid w:val="006179DF"/>
    <w:rsid w:val="006206DB"/>
    <w:rsid w:val="0062145D"/>
    <w:rsid w:val="0062170A"/>
    <w:rsid w:val="00621733"/>
    <w:rsid w:val="006220AB"/>
    <w:rsid w:val="006222A0"/>
    <w:rsid w:val="00622373"/>
    <w:rsid w:val="006223DE"/>
    <w:rsid w:val="006224F3"/>
    <w:rsid w:val="0062274E"/>
    <w:rsid w:val="00622927"/>
    <w:rsid w:val="00623340"/>
    <w:rsid w:val="00623EF1"/>
    <w:rsid w:val="00624126"/>
    <w:rsid w:val="006255FD"/>
    <w:rsid w:val="006256EA"/>
    <w:rsid w:val="00625EF3"/>
    <w:rsid w:val="00631154"/>
    <w:rsid w:val="006318CF"/>
    <w:rsid w:val="00631A10"/>
    <w:rsid w:val="00631D7E"/>
    <w:rsid w:val="00631DF4"/>
    <w:rsid w:val="00631EE8"/>
    <w:rsid w:val="00632369"/>
    <w:rsid w:val="00633542"/>
    <w:rsid w:val="00633D37"/>
    <w:rsid w:val="00633D98"/>
    <w:rsid w:val="00634064"/>
    <w:rsid w:val="00634D4D"/>
    <w:rsid w:val="006359FC"/>
    <w:rsid w:val="006362AE"/>
    <w:rsid w:val="00636579"/>
    <w:rsid w:val="00637B06"/>
    <w:rsid w:val="0064037E"/>
    <w:rsid w:val="00640C37"/>
    <w:rsid w:val="006414AD"/>
    <w:rsid w:val="00642767"/>
    <w:rsid w:val="00642E4A"/>
    <w:rsid w:val="006431F4"/>
    <w:rsid w:val="00643977"/>
    <w:rsid w:val="00643FEB"/>
    <w:rsid w:val="0064436B"/>
    <w:rsid w:val="00644D9F"/>
    <w:rsid w:val="00644F48"/>
    <w:rsid w:val="0064501C"/>
    <w:rsid w:val="0064544A"/>
    <w:rsid w:val="00645932"/>
    <w:rsid w:val="00646B1C"/>
    <w:rsid w:val="00650728"/>
    <w:rsid w:val="006512FA"/>
    <w:rsid w:val="00652434"/>
    <w:rsid w:val="006525B3"/>
    <w:rsid w:val="006525FF"/>
    <w:rsid w:val="00652C0E"/>
    <w:rsid w:val="006536C6"/>
    <w:rsid w:val="006537DD"/>
    <w:rsid w:val="006539F4"/>
    <w:rsid w:val="00654413"/>
    <w:rsid w:val="00654C90"/>
    <w:rsid w:val="00655695"/>
    <w:rsid w:val="00655C4F"/>
    <w:rsid w:val="006561A6"/>
    <w:rsid w:val="00657A4D"/>
    <w:rsid w:val="00657EEA"/>
    <w:rsid w:val="00660343"/>
    <w:rsid w:val="0066096A"/>
    <w:rsid w:val="00661DEE"/>
    <w:rsid w:val="00662232"/>
    <w:rsid w:val="00662709"/>
    <w:rsid w:val="00662C4E"/>
    <w:rsid w:val="00662D0D"/>
    <w:rsid w:val="006630DE"/>
    <w:rsid w:val="00663D2B"/>
    <w:rsid w:val="0066467C"/>
    <w:rsid w:val="00664E63"/>
    <w:rsid w:val="006654C9"/>
    <w:rsid w:val="00665D64"/>
    <w:rsid w:val="00665E0C"/>
    <w:rsid w:val="0066694E"/>
    <w:rsid w:val="00667261"/>
    <w:rsid w:val="006673DF"/>
    <w:rsid w:val="00667532"/>
    <w:rsid w:val="00670DAE"/>
    <w:rsid w:val="00672583"/>
    <w:rsid w:val="00672B74"/>
    <w:rsid w:val="00672ED0"/>
    <w:rsid w:val="006736A2"/>
    <w:rsid w:val="00673837"/>
    <w:rsid w:val="006739D0"/>
    <w:rsid w:val="006752A6"/>
    <w:rsid w:val="00676288"/>
    <w:rsid w:val="0067633E"/>
    <w:rsid w:val="0067726B"/>
    <w:rsid w:val="00677379"/>
    <w:rsid w:val="006776F0"/>
    <w:rsid w:val="00680098"/>
    <w:rsid w:val="006804EA"/>
    <w:rsid w:val="00680870"/>
    <w:rsid w:val="00680B28"/>
    <w:rsid w:val="00680FA3"/>
    <w:rsid w:val="006824F3"/>
    <w:rsid w:val="00682A6E"/>
    <w:rsid w:val="00685007"/>
    <w:rsid w:val="0068595B"/>
    <w:rsid w:val="006860AA"/>
    <w:rsid w:val="00686409"/>
    <w:rsid w:val="00686CC5"/>
    <w:rsid w:val="006872B2"/>
    <w:rsid w:val="0069022E"/>
    <w:rsid w:val="00690738"/>
    <w:rsid w:val="00691401"/>
    <w:rsid w:val="006916E4"/>
    <w:rsid w:val="0069171D"/>
    <w:rsid w:val="00691C4C"/>
    <w:rsid w:val="00691EE6"/>
    <w:rsid w:val="006920B4"/>
    <w:rsid w:val="00692193"/>
    <w:rsid w:val="00692A49"/>
    <w:rsid w:val="00692C9E"/>
    <w:rsid w:val="006930C8"/>
    <w:rsid w:val="006930E9"/>
    <w:rsid w:val="00693830"/>
    <w:rsid w:val="0069515B"/>
    <w:rsid w:val="006959FE"/>
    <w:rsid w:val="006970F4"/>
    <w:rsid w:val="006978D0"/>
    <w:rsid w:val="00697B33"/>
    <w:rsid w:val="00697EC8"/>
    <w:rsid w:val="00697ECC"/>
    <w:rsid w:val="006A168F"/>
    <w:rsid w:val="006A178A"/>
    <w:rsid w:val="006A1A60"/>
    <w:rsid w:val="006A208E"/>
    <w:rsid w:val="006A2206"/>
    <w:rsid w:val="006A28B7"/>
    <w:rsid w:val="006A357D"/>
    <w:rsid w:val="006A3A27"/>
    <w:rsid w:val="006A3AB6"/>
    <w:rsid w:val="006A3C6D"/>
    <w:rsid w:val="006A3E17"/>
    <w:rsid w:val="006A48B4"/>
    <w:rsid w:val="006A4B14"/>
    <w:rsid w:val="006A4EB1"/>
    <w:rsid w:val="006A4F00"/>
    <w:rsid w:val="006A54D2"/>
    <w:rsid w:val="006A59CB"/>
    <w:rsid w:val="006A59DA"/>
    <w:rsid w:val="006A5AE5"/>
    <w:rsid w:val="006A65C2"/>
    <w:rsid w:val="006A6E3B"/>
    <w:rsid w:val="006B0103"/>
    <w:rsid w:val="006B081B"/>
    <w:rsid w:val="006B112D"/>
    <w:rsid w:val="006B18A9"/>
    <w:rsid w:val="006B1CFF"/>
    <w:rsid w:val="006B20B2"/>
    <w:rsid w:val="006B256C"/>
    <w:rsid w:val="006B2641"/>
    <w:rsid w:val="006B2D86"/>
    <w:rsid w:val="006B3233"/>
    <w:rsid w:val="006B3941"/>
    <w:rsid w:val="006B3B65"/>
    <w:rsid w:val="006B4015"/>
    <w:rsid w:val="006B46D0"/>
    <w:rsid w:val="006B4E73"/>
    <w:rsid w:val="006B5210"/>
    <w:rsid w:val="006B561A"/>
    <w:rsid w:val="006B56E3"/>
    <w:rsid w:val="006B6903"/>
    <w:rsid w:val="006B7679"/>
    <w:rsid w:val="006B7A4C"/>
    <w:rsid w:val="006C021C"/>
    <w:rsid w:val="006C1D9B"/>
    <w:rsid w:val="006C1EC1"/>
    <w:rsid w:val="006C2033"/>
    <w:rsid w:val="006C2658"/>
    <w:rsid w:val="006C27EB"/>
    <w:rsid w:val="006C34C5"/>
    <w:rsid w:val="006C36DA"/>
    <w:rsid w:val="006C3826"/>
    <w:rsid w:val="006C3924"/>
    <w:rsid w:val="006C3DBC"/>
    <w:rsid w:val="006C40AF"/>
    <w:rsid w:val="006C4B43"/>
    <w:rsid w:val="006C58AF"/>
    <w:rsid w:val="006C5B9B"/>
    <w:rsid w:val="006C60B0"/>
    <w:rsid w:val="006C619D"/>
    <w:rsid w:val="006C7B1B"/>
    <w:rsid w:val="006D02F5"/>
    <w:rsid w:val="006D118E"/>
    <w:rsid w:val="006D1309"/>
    <w:rsid w:val="006D3489"/>
    <w:rsid w:val="006D3692"/>
    <w:rsid w:val="006D41C7"/>
    <w:rsid w:val="006D495A"/>
    <w:rsid w:val="006D4A83"/>
    <w:rsid w:val="006D4B1C"/>
    <w:rsid w:val="006D4DBD"/>
    <w:rsid w:val="006D5BBA"/>
    <w:rsid w:val="006D604F"/>
    <w:rsid w:val="006D63AE"/>
    <w:rsid w:val="006D6661"/>
    <w:rsid w:val="006D7548"/>
    <w:rsid w:val="006E0114"/>
    <w:rsid w:val="006E26B4"/>
    <w:rsid w:val="006E3765"/>
    <w:rsid w:val="006E3B22"/>
    <w:rsid w:val="006E4B01"/>
    <w:rsid w:val="006E55DD"/>
    <w:rsid w:val="006E5968"/>
    <w:rsid w:val="006E64CC"/>
    <w:rsid w:val="006E6538"/>
    <w:rsid w:val="006E6A75"/>
    <w:rsid w:val="006E7735"/>
    <w:rsid w:val="006E7A3C"/>
    <w:rsid w:val="006E7B04"/>
    <w:rsid w:val="006F0582"/>
    <w:rsid w:val="006F059C"/>
    <w:rsid w:val="006F069D"/>
    <w:rsid w:val="006F090E"/>
    <w:rsid w:val="006F2067"/>
    <w:rsid w:val="006F2C98"/>
    <w:rsid w:val="006F31DC"/>
    <w:rsid w:val="006F3A28"/>
    <w:rsid w:val="006F4606"/>
    <w:rsid w:val="006F5256"/>
    <w:rsid w:val="006F5C49"/>
    <w:rsid w:val="006F623B"/>
    <w:rsid w:val="006F63DA"/>
    <w:rsid w:val="006F67C8"/>
    <w:rsid w:val="006F6B17"/>
    <w:rsid w:val="006F6D3C"/>
    <w:rsid w:val="006F6FCB"/>
    <w:rsid w:val="006F7532"/>
    <w:rsid w:val="006F7C0D"/>
    <w:rsid w:val="0070087B"/>
    <w:rsid w:val="00700A8C"/>
    <w:rsid w:val="00700BA7"/>
    <w:rsid w:val="007019B6"/>
    <w:rsid w:val="00701DC7"/>
    <w:rsid w:val="00702129"/>
    <w:rsid w:val="007022E2"/>
    <w:rsid w:val="00702651"/>
    <w:rsid w:val="007027DF"/>
    <w:rsid w:val="00702A56"/>
    <w:rsid w:val="00703BBE"/>
    <w:rsid w:val="00703C42"/>
    <w:rsid w:val="00704996"/>
    <w:rsid w:val="00704A5B"/>
    <w:rsid w:val="00704FEC"/>
    <w:rsid w:val="0070533E"/>
    <w:rsid w:val="0070572B"/>
    <w:rsid w:val="00705955"/>
    <w:rsid w:val="00705ADF"/>
    <w:rsid w:val="00706831"/>
    <w:rsid w:val="00706B96"/>
    <w:rsid w:val="0070712F"/>
    <w:rsid w:val="007074BD"/>
    <w:rsid w:val="00707C22"/>
    <w:rsid w:val="007106F1"/>
    <w:rsid w:val="00711138"/>
    <w:rsid w:val="00711855"/>
    <w:rsid w:val="007119A7"/>
    <w:rsid w:val="007123C5"/>
    <w:rsid w:val="007131A8"/>
    <w:rsid w:val="007132C0"/>
    <w:rsid w:val="00713325"/>
    <w:rsid w:val="00713CDA"/>
    <w:rsid w:val="007141A1"/>
    <w:rsid w:val="0071423A"/>
    <w:rsid w:val="007143C3"/>
    <w:rsid w:val="00714A24"/>
    <w:rsid w:val="00714CCB"/>
    <w:rsid w:val="007151D5"/>
    <w:rsid w:val="00715C06"/>
    <w:rsid w:val="00716655"/>
    <w:rsid w:val="007166C7"/>
    <w:rsid w:val="00717467"/>
    <w:rsid w:val="00721CD1"/>
    <w:rsid w:val="00722FCC"/>
    <w:rsid w:val="00723251"/>
    <w:rsid w:val="007237E3"/>
    <w:rsid w:val="00723EBF"/>
    <w:rsid w:val="00723F8D"/>
    <w:rsid w:val="0072445B"/>
    <w:rsid w:val="00724912"/>
    <w:rsid w:val="00724BBE"/>
    <w:rsid w:val="00724E7D"/>
    <w:rsid w:val="0072577F"/>
    <w:rsid w:val="00725AE6"/>
    <w:rsid w:val="00725DB1"/>
    <w:rsid w:val="00725E78"/>
    <w:rsid w:val="00726065"/>
    <w:rsid w:val="00726B80"/>
    <w:rsid w:val="007274F8"/>
    <w:rsid w:val="007305D6"/>
    <w:rsid w:val="007319B2"/>
    <w:rsid w:val="00731A73"/>
    <w:rsid w:val="00731FC3"/>
    <w:rsid w:val="00732C22"/>
    <w:rsid w:val="00732CC4"/>
    <w:rsid w:val="0073336A"/>
    <w:rsid w:val="0073349B"/>
    <w:rsid w:val="00733E8C"/>
    <w:rsid w:val="00734170"/>
    <w:rsid w:val="00734832"/>
    <w:rsid w:val="00734DDE"/>
    <w:rsid w:val="0073531D"/>
    <w:rsid w:val="007357B3"/>
    <w:rsid w:val="007360A0"/>
    <w:rsid w:val="007362BB"/>
    <w:rsid w:val="0073653B"/>
    <w:rsid w:val="007367B6"/>
    <w:rsid w:val="007367D9"/>
    <w:rsid w:val="00737FE4"/>
    <w:rsid w:val="007412E2"/>
    <w:rsid w:val="00741669"/>
    <w:rsid w:val="0074191D"/>
    <w:rsid w:val="0074231B"/>
    <w:rsid w:val="00742ECD"/>
    <w:rsid w:val="00743B3A"/>
    <w:rsid w:val="00743CDF"/>
    <w:rsid w:val="00743ECE"/>
    <w:rsid w:val="0074424F"/>
    <w:rsid w:val="007442CC"/>
    <w:rsid w:val="00744451"/>
    <w:rsid w:val="007449E8"/>
    <w:rsid w:val="00744D1F"/>
    <w:rsid w:val="007454D3"/>
    <w:rsid w:val="00746304"/>
    <w:rsid w:val="00746A18"/>
    <w:rsid w:val="00746C10"/>
    <w:rsid w:val="00746ED2"/>
    <w:rsid w:val="00746FC2"/>
    <w:rsid w:val="00747140"/>
    <w:rsid w:val="00747419"/>
    <w:rsid w:val="007502AE"/>
    <w:rsid w:val="00750301"/>
    <w:rsid w:val="00750B64"/>
    <w:rsid w:val="00750DD4"/>
    <w:rsid w:val="00751272"/>
    <w:rsid w:val="00752420"/>
    <w:rsid w:val="00752BD7"/>
    <w:rsid w:val="00753110"/>
    <w:rsid w:val="007537C5"/>
    <w:rsid w:val="00753A16"/>
    <w:rsid w:val="00753D1A"/>
    <w:rsid w:val="00754371"/>
    <w:rsid w:val="007544F7"/>
    <w:rsid w:val="0075523F"/>
    <w:rsid w:val="0075532E"/>
    <w:rsid w:val="00755553"/>
    <w:rsid w:val="00755C1F"/>
    <w:rsid w:val="00755F8A"/>
    <w:rsid w:val="00756FAD"/>
    <w:rsid w:val="00757294"/>
    <w:rsid w:val="0075747A"/>
    <w:rsid w:val="007575C7"/>
    <w:rsid w:val="00757C8F"/>
    <w:rsid w:val="007603A4"/>
    <w:rsid w:val="0076125F"/>
    <w:rsid w:val="00761463"/>
    <w:rsid w:val="007623FB"/>
    <w:rsid w:val="00762E1F"/>
    <w:rsid w:val="00763101"/>
    <w:rsid w:val="00763136"/>
    <w:rsid w:val="0076400C"/>
    <w:rsid w:val="007652F5"/>
    <w:rsid w:val="00765D6D"/>
    <w:rsid w:val="00766BE1"/>
    <w:rsid w:val="00766E6F"/>
    <w:rsid w:val="007670E7"/>
    <w:rsid w:val="007677D6"/>
    <w:rsid w:val="007679EE"/>
    <w:rsid w:val="00767A43"/>
    <w:rsid w:val="00767B01"/>
    <w:rsid w:val="00767EE3"/>
    <w:rsid w:val="007703A5"/>
    <w:rsid w:val="00770BA7"/>
    <w:rsid w:val="00770DC2"/>
    <w:rsid w:val="00771351"/>
    <w:rsid w:val="00772724"/>
    <w:rsid w:val="0077330B"/>
    <w:rsid w:val="007738B2"/>
    <w:rsid w:val="00773B4D"/>
    <w:rsid w:val="0077401A"/>
    <w:rsid w:val="0077451C"/>
    <w:rsid w:val="00774A10"/>
    <w:rsid w:val="00775164"/>
    <w:rsid w:val="0077585C"/>
    <w:rsid w:val="00775BF4"/>
    <w:rsid w:val="00776780"/>
    <w:rsid w:val="00776AAB"/>
    <w:rsid w:val="00777749"/>
    <w:rsid w:val="00777B2F"/>
    <w:rsid w:val="00777C43"/>
    <w:rsid w:val="00780D55"/>
    <w:rsid w:val="00781262"/>
    <w:rsid w:val="00782A0A"/>
    <w:rsid w:val="00782ED3"/>
    <w:rsid w:val="0078378B"/>
    <w:rsid w:val="007838C4"/>
    <w:rsid w:val="00783EDA"/>
    <w:rsid w:val="00784718"/>
    <w:rsid w:val="007848C3"/>
    <w:rsid w:val="00785106"/>
    <w:rsid w:val="00785C65"/>
    <w:rsid w:val="007860D3"/>
    <w:rsid w:val="00786299"/>
    <w:rsid w:val="00786AAC"/>
    <w:rsid w:val="00786F83"/>
    <w:rsid w:val="0078772A"/>
    <w:rsid w:val="00787EF0"/>
    <w:rsid w:val="00790C98"/>
    <w:rsid w:val="00790F5A"/>
    <w:rsid w:val="00791E39"/>
    <w:rsid w:val="00794173"/>
    <w:rsid w:val="00794769"/>
    <w:rsid w:val="00795321"/>
    <w:rsid w:val="007959AA"/>
    <w:rsid w:val="00796747"/>
    <w:rsid w:val="00796854"/>
    <w:rsid w:val="00797163"/>
    <w:rsid w:val="0079743E"/>
    <w:rsid w:val="007975F4"/>
    <w:rsid w:val="0079769C"/>
    <w:rsid w:val="0079786E"/>
    <w:rsid w:val="00797E42"/>
    <w:rsid w:val="007A0533"/>
    <w:rsid w:val="007A254A"/>
    <w:rsid w:val="007A285D"/>
    <w:rsid w:val="007A3017"/>
    <w:rsid w:val="007A381C"/>
    <w:rsid w:val="007A3BC8"/>
    <w:rsid w:val="007A45B5"/>
    <w:rsid w:val="007A4BB1"/>
    <w:rsid w:val="007A5570"/>
    <w:rsid w:val="007A5844"/>
    <w:rsid w:val="007A5BAA"/>
    <w:rsid w:val="007A6166"/>
    <w:rsid w:val="007A61A0"/>
    <w:rsid w:val="007A6597"/>
    <w:rsid w:val="007A6893"/>
    <w:rsid w:val="007A6E08"/>
    <w:rsid w:val="007A6F8B"/>
    <w:rsid w:val="007A7155"/>
    <w:rsid w:val="007A73C4"/>
    <w:rsid w:val="007A78DC"/>
    <w:rsid w:val="007A7D02"/>
    <w:rsid w:val="007A7FD1"/>
    <w:rsid w:val="007B0B93"/>
    <w:rsid w:val="007B1C67"/>
    <w:rsid w:val="007B25E5"/>
    <w:rsid w:val="007B286B"/>
    <w:rsid w:val="007B2CC3"/>
    <w:rsid w:val="007B30CE"/>
    <w:rsid w:val="007B4996"/>
    <w:rsid w:val="007B4B87"/>
    <w:rsid w:val="007B57C5"/>
    <w:rsid w:val="007B65EA"/>
    <w:rsid w:val="007B6714"/>
    <w:rsid w:val="007B6CC8"/>
    <w:rsid w:val="007B72A1"/>
    <w:rsid w:val="007B7A67"/>
    <w:rsid w:val="007B7D48"/>
    <w:rsid w:val="007C018D"/>
    <w:rsid w:val="007C037B"/>
    <w:rsid w:val="007C119F"/>
    <w:rsid w:val="007C2311"/>
    <w:rsid w:val="007C2748"/>
    <w:rsid w:val="007C299C"/>
    <w:rsid w:val="007C3036"/>
    <w:rsid w:val="007C3076"/>
    <w:rsid w:val="007C31C7"/>
    <w:rsid w:val="007C3788"/>
    <w:rsid w:val="007C424B"/>
    <w:rsid w:val="007C4464"/>
    <w:rsid w:val="007C49F8"/>
    <w:rsid w:val="007C4AE0"/>
    <w:rsid w:val="007C50D2"/>
    <w:rsid w:val="007C512A"/>
    <w:rsid w:val="007C5278"/>
    <w:rsid w:val="007C6789"/>
    <w:rsid w:val="007D0EE5"/>
    <w:rsid w:val="007D1597"/>
    <w:rsid w:val="007D1E76"/>
    <w:rsid w:val="007D22B4"/>
    <w:rsid w:val="007D249E"/>
    <w:rsid w:val="007D2D39"/>
    <w:rsid w:val="007D2D53"/>
    <w:rsid w:val="007D3476"/>
    <w:rsid w:val="007D3B8E"/>
    <w:rsid w:val="007D4771"/>
    <w:rsid w:val="007D4823"/>
    <w:rsid w:val="007D4881"/>
    <w:rsid w:val="007D5199"/>
    <w:rsid w:val="007D51A8"/>
    <w:rsid w:val="007D5BE7"/>
    <w:rsid w:val="007D5CB4"/>
    <w:rsid w:val="007D6A5A"/>
    <w:rsid w:val="007D74F0"/>
    <w:rsid w:val="007D78B5"/>
    <w:rsid w:val="007D7AA8"/>
    <w:rsid w:val="007D7CAA"/>
    <w:rsid w:val="007D7EFB"/>
    <w:rsid w:val="007E0113"/>
    <w:rsid w:val="007E12A7"/>
    <w:rsid w:val="007E1CA2"/>
    <w:rsid w:val="007E2824"/>
    <w:rsid w:val="007E2D90"/>
    <w:rsid w:val="007E34FC"/>
    <w:rsid w:val="007E38C5"/>
    <w:rsid w:val="007E3AA7"/>
    <w:rsid w:val="007E3B63"/>
    <w:rsid w:val="007E3BF5"/>
    <w:rsid w:val="007E3C6E"/>
    <w:rsid w:val="007E3CAD"/>
    <w:rsid w:val="007E4A16"/>
    <w:rsid w:val="007E5468"/>
    <w:rsid w:val="007E5CD2"/>
    <w:rsid w:val="007E6628"/>
    <w:rsid w:val="007E666A"/>
    <w:rsid w:val="007E6DE7"/>
    <w:rsid w:val="007E7113"/>
    <w:rsid w:val="007F065A"/>
    <w:rsid w:val="007F070E"/>
    <w:rsid w:val="007F0795"/>
    <w:rsid w:val="007F2172"/>
    <w:rsid w:val="007F223B"/>
    <w:rsid w:val="007F253B"/>
    <w:rsid w:val="007F2570"/>
    <w:rsid w:val="007F26F0"/>
    <w:rsid w:val="007F29C6"/>
    <w:rsid w:val="007F43F1"/>
    <w:rsid w:val="007F4A85"/>
    <w:rsid w:val="007F4DED"/>
    <w:rsid w:val="007F4F7B"/>
    <w:rsid w:val="007F526C"/>
    <w:rsid w:val="007F58E9"/>
    <w:rsid w:val="007F79D0"/>
    <w:rsid w:val="008009CA"/>
    <w:rsid w:val="00802B9D"/>
    <w:rsid w:val="00803439"/>
    <w:rsid w:val="008037ED"/>
    <w:rsid w:val="00804380"/>
    <w:rsid w:val="00804989"/>
    <w:rsid w:val="00804C3A"/>
    <w:rsid w:val="00804F45"/>
    <w:rsid w:val="00805001"/>
    <w:rsid w:val="00805372"/>
    <w:rsid w:val="008059AD"/>
    <w:rsid w:val="00805FEE"/>
    <w:rsid w:val="00806149"/>
    <w:rsid w:val="008063C9"/>
    <w:rsid w:val="00806A46"/>
    <w:rsid w:val="008070BA"/>
    <w:rsid w:val="0080798B"/>
    <w:rsid w:val="00807E43"/>
    <w:rsid w:val="00807E5D"/>
    <w:rsid w:val="00810146"/>
    <w:rsid w:val="008103B1"/>
    <w:rsid w:val="00810B37"/>
    <w:rsid w:val="008122E5"/>
    <w:rsid w:val="00812367"/>
    <w:rsid w:val="00812C47"/>
    <w:rsid w:val="008138CB"/>
    <w:rsid w:val="0081399C"/>
    <w:rsid w:val="00813FD4"/>
    <w:rsid w:val="0081471C"/>
    <w:rsid w:val="00815355"/>
    <w:rsid w:val="00815427"/>
    <w:rsid w:val="008155C9"/>
    <w:rsid w:val="008159A5"/>
    <w:rsid w:val="00816CE7"/>
    <w:rsid w:val="00820382"/>
    <w:rsid w:val="00820975"/>
    <w:rsid w:val="0082102C"/>
    <w:rsid w:val="008213C5"/>
    <w:rsid w:val="00821511"/>
    <w:rsid w:val="00821628"/>
    <w:rsid w:val="00821842"/>
    <w:rsid w:val="00821C63"/>
    <w:rsid w:val="00821D64"/>
    <w:rsid w:val="0082204B"/>
    <w:rsid w:val="0082207A"/>
    <w:rsid w:val="0082229F"/>
    <w:rsid w:val="008227DE"/>
    <w:rsid w:val="00822A90"/>
    <w:rsid w:val="00822B18"/>
    <w:rsid w:val="008233FC"/>
    <w:rsid w:val="00823A91"/>
    <w:rsid w:val="00823E70"/>
    <w:rsid w:val="0082502A"/>
    <w:rsid w:val="00825670"/>
    <w:rsid w:val="00825EC7"/>
    <w:rsid w:val="00826B58"/>
    <w:rsid w:val="00827181"/>
    <w:rsid w:val="0082743E"/>
    <w:rsid w:val="008277D4"/>
    <w:rsid w:val="00827EEF"/>
    <w:rsid w:val="00827F83"/>
    <w:rsid w:val="00830046"/>
    <w:rsid w:val="00830899"/>
    <w:rsid w:val="00830ACB"/>
    <w:rsid w:val="00830C3F"/>
    <w:rsid w:val="00830EF7"/>
    <w:rsid w:val="00831436"/>
    <w:rsid w:val="0083160D"/>
    <w:rsid w:val="00831CC2"/>
    <w:rsid w:val="00831D95"/>
    <w:rsid w:val="00832975"/>
    <w:rsid w:val="00832CE7"/>
    <w:rsid w:val="00834A65"/>
    <w:rsid w:val="00834E0C"/>
    <w:rsid w:val="008350EF"/>
    <w:rsid w:val="00835331"/>
    <w:rsid w:val="0083571B"/>
    <w:rsid w:val="00835987"/>
    <w:rsid w:val="008368AA"/>
    <w:rsid w:val="00836C44"/>
    <w:rsid w:val="00840290"/>
    <w:rsid w:val="008414AA"/>
    <w:rsid w:val="00841951"/>
    <w:rsid w:val="0084344B"/>
    <w:rsid w:val="0084348C"/>
    <w:rsid w:val="008448F9"/>
    <w:rsid w:val="00845543"/>
    <w:rsid w:val="00845DF9"/>
    <w:rsid w:val="00846A03"/>
    <w:rsid w:val="00846FBD"/>
    <w:rsid w:val="008470C0"/>
    <w:rsid w:val="00847A86"/>
    <w:rsid w:val="00847D99"/>
    <w:rsid w:val="00850664"/>
    <w:rsid w:val="008506DD"/>
    <w:rsid w:val="008509D7"/>
    <w:rsid w:val="00850E66"/>
    <w:rsid w:val="00851284"/>
    <w:rsid w:val="00851379"/>
    <w:rsid w:val="00851A84"/>
    <w:rsid w:val="00851B2B"/>
    <w:rsid w:val="00851BEC"/>
    <w:rsid w:val="00851FC1"/>
    <w:rsid w:val="008531C9"/>
    <w:rsid w:val="0085455F"/>
    <w:rsid w:val="00854770"/>
    <w:rsid w:val="008547E2"/>
    <w:rsid w:val="00854DBF"/>
    <w:rsid w:val="0085520F"/>
    <w:rsid w:val="00855E74"/>
    <w:rsid w:val="008575F7"/>
    <w:rsid w:val="00857949"/>
    <w:rsid w:val="00857D03"/>
    <w:rsid w:val="008602D7"/>
    <w:rsid w:val="008603A7"/>
    <w:rsid w:val="00860758"/>
    <w:rsid w:val="00860873"/>
    <w:rsid w:val="008609CB"/>
    <w:rsid w:val="00860E3C"/>
    <w:rsid w:val="00860F34"/>
    <w:rsid w:val="00862294"/>
    <w:rsid w:val="00862780"/>
    <w:rsid w:val="00862874"/>
    <w:rsid w:val="00862CA0"/>
    <w:rsid w:val="00862D8F"/>
    <w:rsid w:val="00862E68"/>
    <w:rsid w:val="0086302D"/>
    <w:rsid w:val="00863536"/>
    <w:rsid w:val="00863578"/>
    <w:rsid w:val="00863623"/>
    <w:rsid w:val="00863626"/>
    <w:rsid w:val="008648FE"/>
    <w:rsid w:val="00865B07"/>
    <w:rsid w:val="00865D69"/>
    <w:rsid w:val="00866282"/>
    <w:rsid w:val="008669E4"/>
    <w:rsid w:val="00866A10"/>
    <w:rsid w:val="00867239"/>
    <w:rsid w:val="00867861"/>
    <w:rsid w:val="0086798B"/>
    <w:rsid w:val="00867FDA"/>
    <w:rsid w:val="008708AB"/>
    <w:rsid w:val="0087097D"/>
    <w:rsid w:val="00870B2E"/>
    <w:rsid w:val="008715CA"/>
    <w:rsid w:val="00871A76"/>
    <w:rsid w:val="00871E62"/>
    <w:rsid w:val="00872280"/>
    <w:rsid w:val="00872731"/>
    <w:rsid w:val="008728D0"/>
    <w:rsid w:val="00872F01"/>
    <w:rsid w:val="00873027"/>
    <w:rsid w:val="0087427E"/>
    <w:rsid w:val="00874D5C"/>
    <w:rsid w:val="00874FB0"/>
    <w:rsid w:val="008753F2"/>
    <w:rsid w:val="00876314"/>
    <w:rsid w:val="00876664"/>
    <w:rsid w:val="0087667A"/>
    <w:rsid w:val="00876714"/>
    <w:rsid w:val="00877196"/>
    <w:rsid w:val="00877218"/>
    <w:rsid w:val="008772ED"/>
    <w:rsid w:val="00877594"/>
    <w:rsid w:val="00880727"/>
    <w:rsid w:val="0088094D"/>
    <w:rsid w:val="008820D4"/>
    <w:rsid w:val="00882E15"/>
    <w:rsid w:val="00882E22"/>
    <w:rsid w:val="00883246"/>
    <w:rsid w:val="008837C9"/>
    <w:rsid w:val="00883FDA"/>
    <w:rsid w:val="00884112"/>
    <w:rsid w:val="00884DF2"/>
    <w:rsid w:val="0088542A"/>
    <w:rsid w:val="008854DA"/>
    <w:rsid w:val="0088620C"/>
    <w:rsid w:val="00886561"/>
    <w:rsid w:val="008867BC"/>
    <w:rsid w:val="00886A90"/>
    <w:rsid w:val="00890307"/>
    <w:rsid w:val="00890437"/>
    <w:rsid w:val="008907E4"/>
    <w:rsid w:val="008908DE"/>
    <w:rsid w:val="0089145E"/>
    <w:rsid w:val="008916C7"/>
    <w:rsid w:val="00891A50"/>
    <w:rsid w:val="00891AC5"/>
    <w:rsid w:val="00891BE2"/>
    <w:rsid w:val="008923A9"/>
    <w:rsid w:val="0089274D"/>
    <w:rsid w:val="00892AEE"/>
    <w:rsid w:val="00892C47"/>
    <w:rsid w:val="00893192"/>
    <w:rsid w:val="00893BEC"/>
    <w:rsid w:val="0089441C"/>
    <w:rsid w:val="00894D0B"/>
    <w:rsid w:val="00894D6D"/>
    <w:rsid w:val="00895173"/>
    <w:rsid w:val="00895BBD"/>
    <w:rsid w:val="00895C2D"/>
    <w:rsid w:val="00895FEA"/>
    <w:rsid w:val="00896B33"/>
    <w:rsid w:val="00896BE6"/>
    <w:rsid w:val="00896DB3"/>
    <w:rsid w:val="00897A0A"/>
    <w:rsid w:val="00897A0E"/>
    <w:rsid w:val="008A09A0"/>
    <w:rsid w:val="008A137B"/>
    <w:rsid w:val="008A1BCF"/>
    <w:rsid w:val="008A23EB"/>
    <w:rsid w:val="008A290D"/>
    <w:rsid w:val="008A2A39"/>
    <w:rsid w:val="008A2AA9"/>
    <w:rsid w:val="008A2B17"/>
    <w:rsid w:val="008A2EA1"/>
    <w:rsid w:val="008A331F"/>
    <w:rsid w:val="008A33D8"/>
    <w:rsid w:val="008A3B5A"/>
    <w:rsid w:val="008A4BE2"/>
    <w:rsid w:val="008A5058"/>
    <w:rsid w:val="008A54E9"/>
    <w:rsid w:val="008A5913"/>
    <w:rsid w:val="008A5A89"/>
    <w:rsid w:val="008A5DE5"/>
    <w:rsid w:val="008A5E7F"/>
    <w:rsid w:val="008A6153"/>
    <w:rsid w:val="008A6AAF"/>
    <w:rsid w:val="008A6EA9"/>
    <w:rsid w:val="008A7151"/>
    <w:rsid w:val="008A7B1A"/>
    <w:rsid w:val="008B057F"/>
    <w:rsid w:val="008B0E24"/>
    <w:rsid w:val="008B10D3"/>
    <w:rsid w:val="008B1682"/>
    <w:rsid w:val="008B19BE"/>
    <w:rsid w:val="008B22A5"/>
    <w:rsid w:val="008B26A1"/>
    <w:rsid w:val="008B2DE0"/>
    <w:rsid w:val="008B34F3"/>
    <w:rsid w:val="008B3806"/>
    <w:rsid w:val="008B3CE6"/>
    <w:rsid w:val="008B3F56"/>
    <w:rsid w:val="008B5AC7"/>
    <w:rsid w:val="008B5FEB"/>
    <w:rsid w:val="008B659B"/>
    <w:rsid w:val="008B6676"/>
    <w:rsid w:val="008B6BD4"/>
    <w:rsid w:val="008B741F"/>
    <w:rsid w:val="008B7577"/>
    <w:rsid w:val="008C0423"/>
    <w:rsid w:val="008C0592"/>
    <w:rsid w:val="008C07C5"/>
    <w:rsid w:val="008C0AFF"/>
    <w:rsid w:val="008C152D"/>
    <w:rsid w:val="008C2DBB"/>
    <w:rsid w:val="008C348C"/>
    <w:rsid w:val="008C4083"/>
    <w:rsid w:val="008C44AE"/>
    <w:rsid w:val="008C49A8"/>
    <w:rsid w:val="008C4A77"/>
    <w:rsid w:val="008C4DD5"/>
    <w:rsid w:val="008C4F71"/>
    <w:rsid w:val="008C5961"/>
    <w:rsid w:val="008C5D9F"/>
    <w:rsid w:val="008C6FFB"/>
    <w:rsid w:val="008C7188"/>
    <w:rsid w:val="008D049F"/>
    <w:rsid w:val="008D1204"/>
    <w:rsid w:val="008D2D3D"/>
    <w:rsid w:val="008D2E17"/>
    <w:rsid w:val="008D3078"/>
    <w:rsid w:val="008D3E69"/>
    <w:rsid w:val="008D4046"/>
    <w:rsid w:val="008D4618"/>
    <w:rsid w:val="008D5027"/>
    <w:rsid w:val="008D5570"/>
    <w:rsid w:val="008D579A"/>
    <w:rsid w:val="008D5A5F"/>
    <w:rsid w:val="008D60DA"/>
    <w:rsid w:val="008D6535"/>
    <w:rsid w:val="008D66A5"/>
    <w:rsid w:val="008D6959"/>
    <w:rsid w:val="008D76D4"/>
    <w:rsid w:val="008E07C8"/>
    <w:rsid w:val="008E0957"/>
    <w:rsid w:val="008E0CC5"/>
    <w:rsid w:val="008E1380"/>
    <w:rsid w:val="008E1F2D"/>
    <w:rsid w:val="008E2B16"/>
    <w:rsid w:val="008E3DFB"/>
    <w:rsid w:val="008E4133"/>
    <w:rsid w:val="008E53BF"/>
    <w:rsid w:val="008E5922"/>
    <w:rsid w:val="008E6304"/>
    <w:rsid w:val="008E6B67"/>
    <w:rsid w:val="008E6F0F"/>
    <w:rsid w:val="008E7864"/>
    <w:rsid w:val="008F02D5"/>
    <w:rsid w:val="008F02E3"/>
    <w:rsid w:val="008F0461"/>
    <w:rsid w:val="008F07EB"/>
    <w:rsid w:val="008F12EF"/>
    <w:rsid w:val="008F166A"/>
    <w:rsid w:val="008F2BA7"/>
    <w:rsid w:val="008F2ECB"/>
    <w:rsid w:val="008F3C15"/>
    <w:rsid w:val="008F4732"/>
    <w:rsid w:val="008F4A12"/>
    <w:rsid w:val="008F5513"/>
    <w:rsid w:val="008F5AB0"/>
    <w:rsid w:val="008F6258"/>
    <w:rsid w:val="008F678F"/>
    <w:rsid w:val="008F68FE"/>
    <w:rsid w:val="008F705D"/>
    <w:rsid w:val="008F72E3"/>
    <w:rsid w:val="008F74B5"/>
    <w:rsid w:val="008F7F92"/>
    <w:rsid w:val="009000BF"/>
    <w:rsid w:val="009004B0"/>
    <w:rsid w:val="00900A9E"/>
    <w:rsid w:val="00900B40"/>
    <w:rsid w:val="0090124A"/>
    <w:rsid w:val="0090130B"/>
    <w:rsid w:val="009014FE"/>
    <w:rsid w:val="00901A75"/>
    <w:rsid w:val="00902E09"/>
    <w:rsid w:val="0090310C"/>
    <w:rsid w:val="00903F20"/>
    <w:rsid w:val="00904B35"/>
    <w:rsid w:val="00906009"/>
    <w:rsid w:val="0090623F"/>
    <w:rsid w:val="009069D5"/>
    <w:rsid w:val="00906BDB"/>
    <w:rsid w:val="00910137"/>
    <w:rsid w:val="0091033A"/>
    <w:rsid w:val="00910B2B"/>
    <w:rsid w:val="00910D4F"/>
    <w:rsid w:val="009113BC"/>
    <w:rsid w:val="0091205B"/>
    <w:rsid w:val="009122F0"/>
    <w:rsid w:val="00912A13"/>
    <w:rsid w:val="0091363F"/>
    <w:rsid w:val="0091378E"/>
    <w:rsid w:val="00913975"/>
    <w:rsid w:val="00913B64"/>
    <w:rsid w:val="009144EE"/>
    <w:rsid w:val="009147DD"/>
    <w:rsid w:val="009148F6"/>
    <w:rsid w:val="0091584D"/>
    <w:rsid w:val="00916E42"/>
    <w:rsid w:val="00916EF4"/>
    <w:rsid w:val="0091784C"/>
    <w:rsid w:val="009201CC"/>
    <w:rsid w:val="0092020F"/>
    <w:rsid w:val="009209C7"/>
    <w:rsid w:val="00920C08"/>
    <w:rsid w:val="009213E5"/>
    <w:rsid w:val="00921FA8"/>
    <w:rsid w:val="00922823"/>
    <w:rsid w:val="009228D6"/>
    <w:rsid w:val="00922C6B"/>
    <w:rsid w:val="00924281"/>
    <w:rsid w:val="00924F30"/>
    <w:rsid w:val="009254B4"/>
    <w:rsid w:val="00926E32"/>
    <w:rsid w:val="00927268"/>
    <w:rsid w:val="00927397"/>
    <w:rsid w:val="00931500"/>
    <w:rsid w:val="009319FE"/>
    <w:rsid w:val="00931D2D"/>
    <w:rsid w:val="00932BC4"/>
    <w:rsid w:val="0093314B"/>
    <w:rsid w:val="009344B6"/>
    <w:rsid w:val="009346F2"/>
    <w:rsid w:val="00934F05"/>
    <w:rsid w:val="00935330"/>
    <w:rsid w:val="0093547F"/>
    <w:rsid w:val="009358E9"/>
    <w:rsid w:val="00935D09"/>
    <w:rsid w:val="009361EB"/>
    <w:rsid w:val="0093714F"/>
    <w:rsid w:val="00937674"/>
    <w:rsid w:val="0093771F"/>
    <w:rsid w:val="00937A5F"/>
    <w:rsid w:val="0094044C"/>
    <w:rsid w:val="00941636"/>
    <w:rsid w:val="00941AC4"/>
    <w:rsid w:val="00941E7D"/>
    <w:rsid w:val="00942321"/>
    <w:rsid w:val="00942491"/>
    <w:rsid w:val="00942CEB"/>
    <w:rsid w:val="00943B32"/>
    <w:rsid w:val="00943BEF"/>
    <w:rsid w:val="009442C8"/>
    <w:rsid w:val="009445A9"/>
    <w:rsid w:val="009449EC"/>
    <w:rsid w:val="00944E29"/>
    <w:rsid w:val="009457DE"/>
    <w:rsid w:val="00946766"/>
    <w:rsid w:val="00947883"/>
    <w:rsid w:val="00947988"/>
    <w:rsid w:val="00947F9F"/>
    <w:rsid w:val="00950209"/>
    <w:rsid w:val="0095063F"/>
    <w:rsid w:val="00950B90"/>
    <w:rsid w:val="00953AB6"/>
    <w:rsid w:val="00953F78"/>
    <w:rsid w:val="00955535"/>
    <w:rsid w:val="00955ED7"/>
    <w:rsid w:val="00957078"/>
    <w:rsid w:val="00957303"/>
    <w:rsid w:val="0095730E"/>
    <w:rsid w:val="00957E4C"/>
    <w:rsid w:val="00957FB9"/>
    <w:rsid w:val="00960833"/>
    <w:rsid w:val="00960AA3"/>
    <w:rsid w:val="00960C18"/>
    <w:rsid w:val="00960E02"/>
    <w:rsid w:val="00961FDD"/>
    <w:rsid w:val="0096244E"/>
    <w:rsid w:val="00962550"/>
    <w:rsid w:val="00962FF0"/>
    <w:rsid w:val="0096390D"/>
    <w:rsid w:val="009642FF"/>
    <w:rsid w:val="00964A01"/>
    <w:rsid w:val="00965688"/>
    <w:rsid w:val="00965D42"/>
    <w:rsid w:val="0096658D"/>
    <w:rsid w:val="00966AF9"/>
    <w:rsid w:val="00966C49"/>
    <w:rsid w:val="00967008"/>
    <w:rsid w:val="0096784E"/>
    <w:rsid w:val="00967A8B"/>
    <w:rsid w:val="00970FA5"/>
    <w:rsid w:val="0097124C"/>
    <w:rsid w:val="009721CA"/>
    <w:rsid w:val="00972AC4"/>
    <w:rsid w:val="0097375E"/>
    <w:rsid w:val="009742F4"/>
    <w:rsid w:val="009747DC"/>
    <w:rsid w:val="00974CCC"/>
    <w:rsid w:val="00975875"/>
    <w:rsid w:val="00976225"/>
    <w:rsid w:val="0097626D"/>
    <w:rsid w:val="00976568"/>
    <w:rsid w:val="00977205"/>
    <w:rsid w:val="00977297"/>
    <w:rsid w:val="0097751C"/>
    <w:rsid w:val="00980516"/>
    <w:rsid w:val="00980816"/>
    <w:rsid w:val="00980E74"/>
    <w:rsid w:val="0098111C"/>
    <w:rsid w:val="0098121F"/>
    <w:rsid w:val="009828CC"/>
    <w:rsid w:val="00982F01"/>
    <w:rsid w:val="0098331C"/>
    <w:rsid w:val="00984233"/>
    <w:rsid w:val="0098455B"/>
    <w:rsid w:val="009858F8"/>
    <w:rsid w:val="00985C2B"/>
    <w:rsid w:val="009865B2"/>
    <w:rsid w:val="00986DE1"/>
    <w:rsid w:val="009873EC"/>
    <w:rsid w:val="00990FEC"/>
    <w:rsid w:val="0099102B"/>
    <w:rsid w:val="00991AF3"/>
    <w:rsid w:val="0099202E"/>
    <w:rsid w:val="009940DB"/>
    <w:rsid w:val="00995093"/>
    <w:rsid w:val="00995F32"/>
    <w:rsid w:val="009965E9"/>
    <w:rsid w:val="00997B99"/>
    <w:rsid w:val="009A0D8A"/>
    <w:rsid w:val="009A0D9D"/>
    <w:rsid w:val="009A1014"/>
    <w:rsid w:val="009A1C72"/>
    <w:rsid w:val="009A1F58"/>
    <w:rsid w:val="009A2141"/>
    <w:rsid w:val="009A3133"/>
    <w:rsid w:val="009A3314"/>
    <w:rsid w:val="009A35A7"/>
    <w:rsid w:val="009A3792"/>
    <w:rsid w:val="009A41BF"/>
    <w:rsid w:val="009A51D8"/>
    <w:rsid w:val="009A628D"/>
    <w:rsid w:val="009A69E0"/>
    <w:rsid w:val="009A703C"/>
    <w:rsid w:val="009B06EC"/>
    <w:rsid w:val="009B19CA"/>
    <w:rsid w:val="009B2A25"/>
    <w:rsid w:val="009B2A99"/>
    <w:rsid w:val="009B2AEC"/>
    <w:rsid w:val="009B2CDB"/>
    <w:rsid w:val="009B3277"/>
    <w:rsid w:val="009B3595"/>
    <w:rsid w:val="009B3FA2"/>
    <w:rsid w:val="009B456D"/>
    <w:rsid w:val="009B6508"/>
    <w:rsid w:val="009C03A3"/>
    <w:rsid w:val="009C0689"/>
    <w:rsid w:val="009C148E"/>
    <w:rsid w:val="009C1931"/>
    <w:rsid w:val="009C1AF6"/>
    <w:rsid w:val="009C1FDF"/>
    <w:rsid w:val="009C281B"/>
    <w:rsid w:val="009C3AC1"/>
    <w:rsid w:val="009C3D06"/>
    <w:rsid w:val="009C4223"/>
    <w:rsid w:val="009C47BE"/>
    <w:rsid w:val="009C5E93"/>
    <w:rsid w:val="009C5FAE"/>
    <w:rsid w:val="009C6176"/>
    <w:rsid w:val="009C6813"/>
    <w:rsid w:val="009C68D1"/>
    <w:rsid w:val="009C69E3"/>
    <w:rsid w:val="009C6B3C"/>
    <w:rsid w:val="009C7811"/>
    <w:rsid w:val="009D026D"/>
    <w:rsid w:val="009D0A76"/>
    <w:rsid w:val="009D0FF2"/>
    <w:rsid w:val="009D11BB"/>
    <w:rsid w:val="009D142A"/>
    <w:rsid w:val="009D220D"/>
    <w:rsid w:val="009D2DB4"/>
    <w:rsid w:val="009D2EF6"/>
    <w:rsid w:val="009D37E4"/>
    <w:rsid w:val="009D4305"/>
    <w:rsid w:val="009D44F3"/>
    <w:rsid w:val="009D6163"/>
    <w:rsid w:val="009D6711"/>
    <w:rsid w:val="009D6C2C"/>
    <w:rsid w:val="009D72C0"/>
    <w:rsid w:val="009D7A36"/>
    <w:rsid w:val="009D7C24"/>
    <w:rsid w:val="009D7D6E"/>
    <w:rsid w:val="009E0140"/>
    <w:rsid w:val="009E148A"/>
    <w:rsid w:val="009E1795"/>
    <w:rsid w:val="009E189B"/>
    <w:rsid w:val="009E1B96"/>
    <w:rsid w:val="009E1D28"/>
    <w:rsid w:val="009E21A3"/>
    <w:rsid w:val="009E2692"/>
    <w:rsid w:val="009E2B40"/>
    <w:rsid w:val="009E3798"/>
    <w:rsid w:val="009E592A"/>
    <w:rsid w:val="009E5B4B"/>
    <w:rsid w:val="009E5F74"/>
    <w:rsid w:val="009E63AA"/>
    <w:rsid w:val="009E658B"/>
    <w:rsid w:val="009E6B4B"/>
    <w:rsid w:val="009E73BC"/>
    <w:rsid w:val="009F06C3"/>
    <w:rsid w:val="009F0D1F"/>
    <w:rsid w:val="009F0F45"/>
    <w:rsid w:val="009F11D4"/>
    <w:rsid w:val="009F32FE"/>
    <w:rsid w:val="009F398B"/>
    <w:rsid w:val="009F49F5"/>
    <w:rsid w:val="009F56F3"/>
    <w:rsid w:val="009F5D58"/>
    <w:rsid w:val="009F5D6D"/>
    <w:rsid w:val="009F6731"/>
    <w:rsid w:val="009F6E6C"/>
    <w:rsid w:val="009F77B2"/>
    <w:rsid w:val="009F7939"/>
    <w:rsid w:val="00A006DE"/>
    <w:rsid w:val="00A012A1"/>
    <w:rsid w:val="00A01478"/>
    <w:rsid w:val="00A015E6"/>
    <w:rsid w:val="00A0185D"/>
    <w:rsid w:val="00A0270A"/>
    <w:rsid w:val="00A0289F"/>
    <w:rsid w:val="00A02939"/>
    <w:rsid w:val="00A02B28"/>
    <w:rsid w:val="00A03479"/>
    <w:rsid w:val="00A049C8"/>
    <w:rsid w:val="00A04A4A"/>
    <w:rsid w:val="00A053FA"/>
    <w:rsid w:val="00A056B0"/>
    <w:rsid w:val="00A05AD0"/>
    <w:rsid w:val="00A079E4"/>
    <w:rsid w:val="00A07A39"/>
    <w:rsid w:val="00A10667"/>
    <w:rsid w:val="00A10BFD"/>
    <w:rsid w:val="00A11070"/>
    <w:rsid w:val="00A129EF"/>
    <w:rsid w:val="00A14216"/>
    <w:rsid w:val="00A144E2"/>
    <w:rsid w:val="00A148BB"/>
    <w:rsid w:val="00A14E62"/>
    <w:rsid w:val="00A1519A"/>
    <w:rsid w:val="00A15C4F"/>
    <w:rsid w:val="00A16DA8"/>
    <w:rsid w:val="00A17509"/>
    <w:rsid w:val="00A178F2"/>
    <w:rsid w:val="00A20051"/>
    <w:rsid w:val="00A2020D"/>
    <w:rsid w:val="00A20B87"/>
    <w:rsid w:val="00A20F33"/>
    <w:rsid w:val="00A21490"/>
    <w:rsid w:val="00A218D2"/>
    <w:rsid w:val="00A235B5"/>
    <w:rsid w:val="00A235EF"/>
    <w:rsid w:val="00A23A6E"/>
    <w:rsid w:val="00A2437E"/>
    <w:rsid w:val="00A2475F"/>
    <w:rsid w:val="00A24D36"/>
    <w:rsid w:val="00A257C6"/>
    <w:rsid w:val="00A25972"/>
    <w:rsid w:val="00A25E68"/>
    <w:rsid w:val="00A262CA"/>
    <w:rsid w:val="00A263B6"/>
    <w:rsid w:val="00A268E1"/>
    <w:rsid w:val="00A27164"/>
    <w:rsid w:val="00A272E9"/>
    <w:rsid w:val="00A27475"/>
    <w:rsid w:val="00A27C80"/>
    <w:rsid w:val="00A30905"/>
    <w:rsid w:val="00A30947"/>
    <w:rsid w:val="00A3328C"/>
    <w:rsid w:val="00A34FB4"/>
    <w:rsid w:val="00A353B4"/>
    <w:rsid w:val="00A35540"/>
    <w:rsid w:val="00A360FD"/>
    <w:rsid w:val="00A3626D"/>
    <w:rsid w:val="00A364F7"/>
    <w:rsid w:val="00A36665"/>
    <w:rsid w:val="00A36CAA"/>
    <w:rsid w:val="00A36F91"/>
    <w:rsid w:val="00A37546"/>
    <w:rsid w:val="00A37BB9"/>
    <w:rsid w:val="00A37E1E"/>
    <w:rsid w:val="00A400F4"/>
    <w:rsid w:val="00A402DC"/>
    <w:rsid w:val="00A408ED"/>
    <w:rsid w:val="00A40A7F"/>
    <w:rsid w:val="00A40EAF"/>
    <w:rsid w:val="00A410D4"/>
    <w:rsid w:val="00A416EA"/>
    <w:rsid w:val="00A41BFA"/>
    <w:rsid w:val="00A41C43"/>
    <w:rsid w:val="00A437A5"/>
    <w:rsid w:val="00A437B2"/>
    <w:rsid w:val="00A43C36"/>
    <w:rsid w:val="00A43E38"/>
    <w:rsid w:val="00A44016"/>
    <w:rsid w:val="00A44C92"/>
    <w:rsid w:val="00A44CC8"/>
    <w:rsid w:val="00A455C2"/>
    <w:rsid w:val="00A45B82"/>
    <w:rsid w:val="00A45FCA"/>
    <w:rsid w:val="00A475EC"/>
    <w:rsid w:val="00A5066B"/>
    <w:rsid w:val="00A50987"/>
    <w:rsid w:val="00A5242F"/>
    <w:rsid w:val="00A528DB"/>
    <w:rsid w:val="00A53024"/>
    <w:rsid w:val="00A53EE4"/>
    <w:rsid w:val="00A540D0"/>
    <w:rsid w:val="00A5418E"/>
    <w:rsid w:val="00A545ED"/>
    <w:rsid w:val="00A547CC"/>
    <w:rsid w:val="00A54E2C"/>
    <w:rsid w:val="00A54EA5"/>
    <w:rsid w:val="00A55645"/>
    <w:rsid w:val="00A55FE0"/>
    <w:rsid w:val="00A56025"/>
    <w:rsid w:val="00A561A3"/>
    <w:rsid w:val="00A56363"/>
    <w:rsid w:val="00A56380"/>
    <w:rsid w:val="00A56391"/>
    <w:rsid w:val="00A57479"/>
    <w:rsid w:val="00A57860"/>
    <w:rsid w:val="00A578A3"/>
    <w:rsid w:val="00A57A14"/>
    <w:rsid w:val="00A607FB"/>
    <w:rsid w:val="00A60D94"/>
    <w:rsid w:val="00A62429"/>
    <w:rsid w:val="00A629CE"/>
    <w:rsid w:val="00A62ABD"/>
    <w:rsid w:val="00A62B88"/>
    <w:rsid w:val="00A62FE8"/>
    <w:rsid w:val="00A63063"/>
    <w:rsid w:val="00A6423A"/>
    <w:rsid w:val="00A64DCB"/>
    <w:rsid w:val="00A650D2"/>
    <w:rsid w:val="00A654D3"/>
    <w:rsid w:val="00A66E0B"/>
    <w:rsid w:val="00A670FB"/>
    <w:rsid w:val="00A67975"/>
    <w:rsid w:val="00A7105F"/>
    <w:rsid w:val="00A710EF"/>
    <w:rsid w:val="00A71C1B"/>
    <w:rsid w:val="00A724E8"/>
    <w:rsid w:val="00A72A99"/>
    <w:rsid w:val="00A72DA1"/>
    <w:rsid w:val="00A73112"/>
    <w:rsid w:val="00A73822"/>
    <w:rsid w:val="00A73D27"/>
    <w:rsid w:val="00A73E2C"/>
    <w:rsid w:val="00A7521C"/>
    <w:rsid w:val="00A75BB2"/>
    <w:rsid w:val="00A75D96"/>
    <w:rsid w:val="00A7620C"/>
    <w:rsid w:val="00A7638A"/>
    <w:rsid w:val="00A779F1"/>
    <w:rsid w:val="00A77FB9"/>
    <w:rsid w:val="00A80669"/>
    <w:rsid w:val="00A8105F"/>
    <w:rsid w:val="00A81D2F"/>
    <w:rsid w:val="00A8283F"/>
    <w:rsid w:val="00A82883"/>
    <w:rsid w:val="00A82A78"/>
    <w:rsid w:val="00A83296"/>
    <w:rsid w:val="00A83388"/>
    <w:rsid w:val="00A83707"/>
    <w:rsid w:val="00A83CF0"/>
    <w:rsid w:val="00A843B6"/>
    <w:rsid w:val="00A84C7B"/>
    <w:rsid w:val="00A851C9"/>
    <w:rsid w:val="00A8540D"/>
    <w:rsid w:val="00A8589D"/>
    <w:rsid w:val="00A85CB0"/>
    <w:rsid w:val="00A86171"/>
    <w:rsid w:val="00A862F0"/>
    <w:rsid w:val="00A86996"/>
    <w:rsid w:val="00A86D55"/>
    <w:rsid w:val="00A87545"/>
    <w:rsid w:val="00A8780B"/>
    <w:rsid w:val="00A87E7E"/>
    <w:rsid w:val="00A90ACB"/>
    <w:rsid w:val="00A91917"/>
    <w:rsid w:val="00A919F4"/>
    <w:rsid w:val="00A92327"/>
    <w:rsid w:val="00A9298B"/>
    <w:rsid w:val="00A9340A"/>
    <w:rsid w:val="00A939C0"/>
    <w:rsid w:val="00A94F0D"/>
    <w:rsid w:val="00A95E13"/>
    <w:rsid w:val="00A96295"/>
    <w:rsid w:val="00AA03E9"/>
    <w:rsid w:val="00AA0795"/>
    <w:rsid w:val="00AA0A37"/>
    <w:rsid w:val="00AA1A3D"/>
    <w:rsid w:val="00AA27F0"/>
    <w:rsid w:val="00AA28A3"/>
    <w:rsid w:val="00AA38E6"/>
    <w:rsid w:val="00AA4C42"/>
    <w:rsid w:val="00AA5604"/>
    <w:rsid w:val="00AA6BA1"/>
    <w:rsid w:val="00AA7CDA"/>
    <w:rsid w:val="00AA7E63"/>
    <w:rsid w:val="00AB066C"/>
    <w:rsid w:val="00AB11A5"/>
    <w:rsid w:val="00AB1206"/>
    <w:rsid w:val="00AB1551"/>
    <w:rsid w:val="00AB353D"/>
    <w:rsid w:val="00AB3E75"/>
    <w:rsid w:val="00AB4AE1"/>
    <w:rsid w:val="00AB4B97"/>
    <w:rsid w:val="00AB4E68"/>
    <w:rsid w:val="00AB518E"/>
    <w:rsid w:val="00AB53F6"/>
    <w:rsid w:val="00AB55CB"/>
    <w:rsid w:val="00AB59B2"/>
    <w:rsid w:val="00AB6CEE"/>
    <w:rsid w:val="00AB77B0"/>
    <w:rsid w:val="00AB7D60"/>
    <w:rsid w:val="00AC0877"/>
    <w:rsid w:val="00AC09B4"/>
    <w:rsid w:val="00AC163D"/>
    <w:rsid w:val="00AC19FE"/>
    <w:rsid w:val="00AC236E"/>
    <w:rsid w:val="00AC2E52"/>
    <w:rsid w:val="00AC4188"/>
    <w:rsid w:val="00AC450E"/>
    <w:rsid w:val="00AC4766"/>
    <w:rsid w:val="00AC487C"/>
    <w:rsid w:val="00AC4A9F"/>
    <w:rsid w:val="00AC4BDC"/>
    <w:rsid w:val="00AC4CBA"/>
    <w:rsid w:val="00AC6B50"/>
    <w:rsid w:val="00AC7317"/>
    <w:rsid w:val="00AC735A"/>
    <w:rsid w:val="00AC74FB"/>
    <w:rsid w:val="00AD0482"/>
    <w:rsid w:val="00AD060D"/>
    <w:rsid w:val="00AD10DB"/>
    <w:rsid w:val="00AD1238"/>
    <w:rsid w:val="00AD1FFB"/>
    <w:rsid w:val="00AD35A2"/>
    <w:rsid w:val="00AD3FCB"/>
    <w:rsid w:val="00AD4A48"/>
    <w:rsid w:val="00AD4AE7"/>
    <w:rsid w:val="00AD520A"/>
    <w:rsid w:val="00AD52BB"/>
    <w:rsid w:val="00AD5473"/>
    <w:rsid w:val="00AD6549"/>
    <w:rsid w:val="00AD685B"/>
    <w:rsid w:val="00AD6AF6"/>
    <w:rsid w:val="00AD750C"/>
    <w:rsid w:val="00AE089F"/>
    <w:rsid w:val="00AE0CA2"/>
    <w:rsid w:val="00AE0D96"/>
    <w:rsid w:val="00AE1093"/>
    <w:rsid w:val="00AE15BB"/>
    <w:rsid w:val="00AE1755"/>
    <w:rsid w:val="00AE1904"/>
    <w:rsid w:val="00AE1C21"/>
    <w:rsid w:val="00AE22D9"/>
    <w:rsid w:val="00AE22E4"/>
    <w:rsid w:val="00AE36F5"/>
    <w:rsid w:val="00AE3B93"/>
    <w:rsid w:val="00AE46F1"/>
    <w:rsid w:val="00AE48BD"/>
    <w:rsid w:val="00AE554D"/>
    <w:rsid w:val="00AE56AC"/>
    <w:rsid w:val="00AE72EB"/>
    <w:rsid w:val="00AE75E2"/>
    <w:rsid w:val="00AE7825"/>
    <w:rsid w:val="00AF0B44"/>
    <w:rsid w:val="00AF0D38"/>
    <w:rsid w:val="00AF11B0"/>
    <w:rsid w:val="00AF12D7"/>
    <w:rsid w:val="00AF18E7"/>
    <w:rsid w:val="00AF1BBC"/>
    <w:rsid w:val="00AF1DC4"/>
    <w:rsid w:val="00AF1DCF"/>
    <w:rsid w:val="00AF2752"/>
    <w:rsid w:val="00AF2AA8"/>
    <w:rsid w:val="00AF2C8F"/>
    <w:rsid w:val="00AF2FB3"/>
    <w:rsid w:val="00AF38B4"/>
    <w:rsid w:val="00AF3B90"/>
    <w:rsid w:val="00AF3FB9"/>
    <w:rsid w:val="00AF4285"/>
    <w:rsid w:val="00AF4379"/>
    <w:rsid w:val="00AF4E1F"/>
    <w:rsid w:val="00AF51C4"/>
    <w:rsid w:val="00AF5214"/>
    <w:rsid w:val="00AF5848"/>
    <w:rsid w:val="00AF5FBA"/>
    <w:rsid w:val="00AF603F"/>
    <w:rsid w:val="00AF61A0"/>
    <w:rsid w:val="00AF6343"/>
    <w:rsid w:val="00AF6438"/>
    <w:rsid w:val="00AF7615"/>
    <w:rsid w:val="00AF7B4A"/>
    <w:rsid w:val="00AF7C3E"/>
    <w:rsid w:val="00B000E2"/>
    <w:rsid w:val="00B0104D"/>
    <w:rsid w:val="00B012B7"/>
    <w:rsid w:val="00B02421"/>
    <w:rsid w:val="00B027FD"/>
    <w:rsid w:val="00B0342D"/>
    <w:rsid w:val="00B0382E"/>
    <w:rsid w:val="00B0383D"/>
    <w:rsid w:val="00B03F7A"/>
    <w:rsid w:val="00B0440D"/>
    <w:rsid w:val="00B047FD"/>
    <w:rsid w:val="00B05038"/>
    <w:rsid w:val="00B06ABB"/>
    <w:rsid w:val="00B06F25"/>
    <w:rsid w:val="00B06F9A"/>
    <w:rsid w:val="00B0741F"/>
    <w:rsid w:val="00B07E2C"/>
    <w:rsid w:val="00B103E0"/>
    <w:rsid w:val="00B11736"/>
    <w:rsid w:val="00B12916"/>
    <w:rsid w:val="00B13A2B"/>
    <w:rsid w:val="00B13B56"/>
    <w:rsid w:val="00B13CC3"/>
    <w:rsid w:val="00B13CF0"/>
    <w:rsid w:val="00B14332"/>
    <w:rsid w:val="00B1435A"/>
    <w:rsid w:val="00B1477D"/>
    <w:rsid w:val="00B15051"/>
    <w:rsid w:val="00B15492"/>
    <w:rsid w:val="00B15732"/>
    <w:rsid w:val="00B1603F"/>
    <w:rsid w:val="00B16965"/>
    <w:rsid w:val="00B16C12"/>
    <w:rsid w:val="00B17404"/>
    <w:rsid w:val="00B17929"/>
    <w:rsid w:val="00B17D0D"/>
    <w:rsid w:val="00B207D1"/>
    <w:rsid w:val="00B2121C"/>
    <w:rsid w:val="00B2213E"/>
    <w:rsid w:val="00B2220B"/>
    <w:rsid w:val="00B22456"/>
    <w:rsid w:val="00B23C43"/>
    <w:rsid w:val="00B2503B"/>
    <w:rsid w:val="00B2526C"/>
    <w:rsid w:val="00B25758"/>
    <w:rsid w:val="00B258E0"/>
    <w:rsid w:val="00B25CB9"/>
    <w:rsid w:val="00B265F8"/>
    <w:rsid w:val="00B2667D"/>
    <w:rsid w:val="00B26682"/>
    <w:rsid w:val="00B26B3E"/>
    <w:rsid w:val="00B272EB"/>
    <w:rsid w:val="00B27CA5"/>
    <w:rsid w:val="00B27EE0"/>
    <w:rsid w:val="00B3070A"/>
    <w:rsid w:val="00B3141A"/>
    <w:rsid w:val="00B3273F"/>
    <w:rsid w:val="00B328E6"/>
    <w:rsid w:val="00B33B6D"/>
    <w:rsid w:val="00B34229"/>
    <w:rsid w:val="00B34962"/>
    <w:rsid w:val="00B34AFE"/>
    <w:rsid w:val="00B350D2"/>
    <w:rsid w:val="00B3539C"/>
    <w:rsid w:val="00B358B4"/>
    <w:rsid w:val="00B36B1B"/>
    <w:rsid w:val="00B40A23"/>
    <w:rsid w:val="00B41071"/>
    <w:rsid w:val="00B4125E"/>
    <w:rsid w:val="00B41515"/>
    <w:rsid w:val="00B426E4"/>
    <w:rsid w:val="00B42713"/>
    <w:rsid w:val="00B434F0"/>
    <w:rsid w:val="00B434F6"/>
    <w:rsid w:val="00B43BA4"/>
    <w:rsid w:val="00B43D2E"/>
    <w:rsid w:val="00B44BAD"/>
    <w:rsid w:val="00B44CDC"/>
    <w:rsid w:val="00B44FF3"/>
    <w:rsid w:val="00B45CFD"/>
    <w:rsid w:val="00B46C1F"/>
    <w:rsid w:val="00B47081"/>
    <w:rsid w:val="00B47769"/>
    <w:rsid w:val="00B47E13"/>
    <w:rsid w:val="00B50663"/>
    <w:rsid w:val="00B50868"/>
    <w:rsid w:val="00B5087E"/>
    <w:rsid w:val="00B5093A"/>
    <w:rsid w:val="00B50D33"/>
    <w:rsid w:val="00B50EE6"/>
    <w:rsid w:val="00B515F5"/>
    <w:rsid w:val="00B51D69"/>
    <w:rsid w:val="00B523E2"/>
    <w:rsid w:val="00B525C8"/>
    <w:rsid w:val="00B5309D"/>
    <w:rsid w:val="00B53A46"/>
    <w:rsid w:val="00B53FB1"/>
    <w:rsid w:val="00B54059"/>
    <w:rsid w:val="00B5453A"/>
    <w:rsid w:val="00B54C20"/>
    <w:rsid w:val="00B55F15"/>
    <w:rsid w:val="00B56327"/>
    <w:rsid w:val="00B5650E"/>
    <w:rsid w:val="00B5679C"/>
    <w:rsid w:val="00B568EA"/>
    <w:rsid w:val="00B57444"/>
    <w:rsid w:val="00B577EB"/>
    <w:rsid w:val="00B57B49"/>
    <w:rsid w:val="00B57E3C"/>
    <w:rsid w:val="00B60449"/>
    <w:rsid w:val="00B61654"/>
    <w:rsid w:val="00B61CB1"/>
    <w:rsid w:val="00B61EE7"/>
    <w:rsid w:val="00B6201D"/>
    <w:rsid w:val="00B6267D"/>
    <w:rsid w:val="00B62F6F"/>
    <w:rsid w:val="00B62FDB"/>
    <w:rsid w:val="00B63070"/>
    <w:rsid w:val="00B63691"/>
    <w:rsid w:val="00B6389C"/>
    <w:rsid w:val="00B63B99"/>
    <w:rsid w:val="00B64836"/>
    <w:rsid w:val="00B65245"/>
    <w:rsid w:val="00B65A8B"/>
    <w:rsid w:val="00B663B2"/>
    <w:rsid w:val="00B66F59"/>
    <w:rsid w:val="00B6757A"/>
    <w:rsid w:val="00B7019F"/>
    <w:rsid w:val="00B70A54"/>
    <w:rsid w:val="00B7110C"/>
    <w:rsid w:val="00B7155E"/>
    <w:rsid w:val="00B715D2"/>
    <w:rsid w:val="00B72773"/>
    <w:rsid w:val="00B72C5F"/>
    <w:rsid w:val="00B7317E"/>
    <w:rsid w:val="00B73C2D"/>
    <w:rsid w:val="00B742DF"/>
    <w:rsid w:val="00B74A97"/>
    <w:rsid w:val="00B757E5"/>
    <w:rsid w:val="00B7590E"/>
    <w:rsid w:val="00B76016"/>
    <w:rsid w:val="00B764AA"/>
    <w:rsid w:val="00B776E4"/>
    <w:rsid w:val="00B77933"/>
    <w:rsid w:val="00B77A7D"/>
    <w:rsid w:val="00B80230"/>
    <w:rsid w:val="00B8081C"/>
    <w:rsid w:val="00B80DD0"/>
    <w:rsid w:val="00B81E33"/>
    <w:rsid w:val="00B81E5F"/>
    <w:rsid w:val="00B81EA9"/>
    <w:rsid w:val="00B81FA3"/>
    <w:rsid w:val="00B82CAA"/>
    <w:rsid w:val="00B82E7B"/>
    <w:rsid w:val="00B83F18"/>
    <w:rsid w:val="00B84235"/>
    <w:rsid w:val="00B843EF"/>
    <w:rsid w:val="00B84473"/>
    <w:rsid w:val="00B84CBB"/>
    <w:rsid w:val="00B8526C"/>
    <w:rsid w:val="00B85D99"/>
    <w:rsid w:val="00B865D7"/>
    <w:rsid w:val="00B86A9C"/>
    <w:rsid w:val="00B86AFF"/>
    <w:rsid w:val="00B86D41"/>
    <w:rsid w:val="00B875E1"/>
    <w:rsid w:val="00B879D4"/>
    <w:rsid w:val="00B87EE6"/>
    <w:rsid w:val="00B902BE"/>
    <w:rsid w:val="00B90A0F"/>
    <w:rsid w:val="00B91484"/>
    <w:rsid w:val="00B9210A"/>
    <w:rsid w:val="00B927BE"/>
    <w:rsid w:val="00B92B31"/>
    <w:rsid w:val="00B93827"/>
    <w:rsid w:val="00B945BA"/>
    <w:rsid w:val="00B94A6D"/>
    <w:rsid w:val="00B9551F"/>
    <w:rsid w:val="00B95940"/>
    <w:rsid w:val="00B95C98"/>
    <w:rsid w:val="00B95FBE"/>
    <w:rsid w:val="00B967DE"/>
    <w:rsid w:val="00B96B02"/>
    <w:rsid w:val="00B97043"/>
    <w:rsid w:val="00B97AB9"/>
    <w:rsid w:val="00BA032A"/>
    <w:rsid w:val="00BA035C"/>
    <w:rsid w:val="00BA07A0"/>
    <w:rsid w:val="00BA0FCB"/>
    <w:rsid w:val="00BA1EA3"/>
    <w:rsid w:val="00BA3B92"/>
    <w:rsid w:val="00BA4CFE"/>
    <w:rsid w:val="00BA5037"/>
    <w:rsid w:val="00BA52E8"/>
    <w:rsid w:val="00BA58D0"/>
    <w:rsid w:val="00BA5A5B"/>
    <w:rsid w:val="00BA5A87"/>
    <w:rsid w:val="00BA6437"/>
    <w:rsid w:val="00BA6E20"/>
    <w:rsid w:val="00BA6FF2"/>
    <w:rsid w:val="00BA747B"/>
    <w:rsid w:val="00BB196D"/>
    <w:rsid w:val="00BB19F9"/>
    <w:rsid w:val="00BB2AB7"/>
    <w:rsid w:val="00BB2F42"/>
    <w:rsid w:val="00BB32FA"/>
    <w:rsid w:val="00BB36F3"/>
    <w:rsid w:val="00BB3842"/>
    <w:rsid w:val="00BB3FC5"/>
    <w:rsid w:val="00BB4172"/>
    <w:rsid w:val="00BB43E1"/>
    <w:rsid w:val="00BB4414"/>
    <w:rsid w:val="00BB471B"/>
    <w:rsid w:val="00BB4E8B"/>
    <w:rsid w:val="00BB5166"/>
    <w:rsid w:val="00BB7E19"/>
    <w:rsid w:val="00BB7FB3"/>
    <w:rsid w:val="00BC0025"/>
    <w:rsid w:val="00BC00F3"/>
    <w:rsid w:val="00BC1EA1"/>
    <w:rsid w:val="00BC20E7"/>
    <w:rsid w:val="00BC3A29"/>
    <w:rsid w:val="00BC4987"/>
    <w:rsid w:val="00BC5157"/>
    <w:rsid w:val="00BC52BB"/>
    <w:rsid w:val="00BC561A"/>
    <w:rsid w:val="00BC6652"/>
    <w:rsid w:val="00BC68EC"/>
    <w:rsid w:val="00BC6AAC"/>
    <w:rsid w:val="00BC73E4"/>
    <w:rsid w:val="00BC7CC5"/>
    <w:rsid w:val="00BD004B"/>
    <w:rsid w:val="00BD0B2F"/>
    <w:rsid w:val="00BD1A18"/>
    <w:rsid w:val="00BD2BFC"/>
    <w:rsid w:val="00BD2D07"/>
    <w:rsid w:val="00BD40EA"/>
    <w:rsid w:val="00BD5B8D"/>
    <w:rsid w:val="00BD5CDD"/>
    <w:rsid w:val="00BD6438"/>
    <w:rsid w:val="00BD67CA"/>
    <w:rsid w:val="00BD754C"/>
    <w:rsid w:val="00BE03CD"/>
    <w:rsid w:val="00BE0A69"/>
    <w:rsid w:val="00BE0E58"/>
    <w:rsid w:val="00BE2B2A"/>
    <w:rsid w:val="00BE3A7E"/>
    <w:rsid w:val="00BE3BD2"/>
    <w:rsid w:val="00BE424F"/>
    <w:rsid w:val="00BE4417"/>
    <w:rsid w:val="00BE4C66"/>
    <w:rsid w:val="00BE5B2D"/>
    <w:rsid w:val="00BE5D54"/>
    <w:rsid w:val="00BE6283"/>
    <w:rsid w:val="00BE792B"/>
    <w:rsid w:val="00BE7DA5"/>
    <w:rsid w:val="00BF0E3F"/>
    <w:rsid w:val="00BF1277"/>
    <w:rsid w:val="00BF1AA5"/>
    <w:rsid w:val="00BF2201"/>
    <w:rsid w:val="00BF3CFB"/>
    <w:rsid w:val="00BF4316"/>
    <w:rsid w:val="00BF44D5"/>
    <w:rsid w:val="00BF48D8"/>
    <w:rsid w:val="00BF4AA8"/>
    <w:rsid w:val="00BF4D9F"/>
    <w:rsid w:val="00BF5397"/>
    <w:rsid w:val="00BF6794"/>
    <w:rsid w:val="00BF68C4"/>
    <w:rsid w:val="00C0028D"/>
    <w:rsid w:val="00C008B7"/>
    <w:rsid w:val="00C016E4"/>
    <w:rsid w:val="00C02423"/>
    <w:rsid w:val="00C02B8C"/>
    <w:rsid w:val="00C04407"/>
    <w:rsid w:val="00C047C9"/>
    <w:rsid w:val="00C04DE9"/>
    <w:rsid w:val="00C04FF3"/>
    <w:rsid w:val="00C05C0E"/>
    <w:rsid w:val="00C061B1"/>
    <w:rsid w:val="00C061D5"/>
    <w:rsid w:val="00C06551"/>
    <w:rsid w:val="00C06730"/>
    <w:rsid w:val="00C06E60"/>
    <w:rsid w:val="00C07214"/>
    <w:rsid w:val="00C073A6"/>
    <w:rsid w:val="00C105FA"/>
    <w:rsid w:val="00C114AD"/>
    <w:rsid w:val="00C11AFC"/>
    <w:rsid w:val="00C121D0"/>
    <w:rsid w:val="00C1275C"/>
    <w:rsid w:val="00C12F17"/>
    <w:rsid w:val="00C13723"/>
    <w:rsid w:val="00C14919"/>
    <w:rsid w:val="00C1532D"/>
    <w:rsid w:val="00C154A8"/>
    <w:rsid w:val="00C15573"/>
    <w:rsid w:val="00C15BF3"/>
    <w:rsid w:val="00C166D1"/>
    <w:rsid w:val="00C178C5"/>
    <w:rsid w:val="00C17A74"/>
    <w:rsid w:val="00C17E79"/>
    <w:rsid w:val="00C17ECB"/>
    <w:rsid w:val="00C20009"/>
    <w:rsid w:val="00C20613"/>
    <w:rsid w:val="00C20857"/>
    <w:rsid w:val="00C2134D"/>
    <w:rsid w:val="00C21C14"/>
    <w:rsid w:val="00C23700"/>
    <w:rsid w:val="00C23EED"/>
    <w:rsid w:val="00C244C7"/>
    <w:rsid w:val="00C24EDC"/>
    <w:rsid w:val="00C251F9"/>
    <w:rsid w:val="00C257B7"/>
    <w:rsid w:val="00C25D41"/>
    <w:rsid w:val="00C26576"/>
    <w:rsid w:val="00C26B36"/>
    <w:rsid w:val="00C26D28"/>
    <w:rsid w:val="00C26E74"/>
    <w:rsid w:val="00C26F1A"/>
    <w:rsid w:val="00C270F9"/>
    <w:rsid w:val="00C27381"/>
    <w:rsid w:val="00C2762F"/>
    <w:rsid w:val="00C3079A"/>
    <w:rsid w:val="00C30EB0"/>
    <w:rsid w:val="00C326D9"/>
    <w:rsid w:val="00C338DB"/>
    <w:rsid w:val="00C342EE"/>
    <w:rsid w:val="00C345CD"/>
    <w:rsid w:val="00C34621"/>
    <w:rsid w:val="00C35DA2"/>
    <w:rsid w:val="00C361EA"/>
    <w:rsid w:val="00C368E8"/>
    <w:rsid w:val="00C379AE"/>
    <w:rsid w:val="00C4066D"/>
    <w:rsid w:val="00C40DE2"/>
    <w:rsid w:val="00C4135A"/>
    <w:rsid w:val="00C4191D"/>
    <w:rsid w:val="00C4204A"/>
    <w:rsid w:val="00C42BBB"/>
    <w:rsid w:val="00C43E13"/>
    <w:rsid w:val="00C44600"/>
    <w:rsid w:val="00C446E6"/>
    <w:rsid w:val="00C45509"/>
    <w:rsid w:val="00C463D1"/>
    <w:rsid w:val="00C46BF2"/>
    <w:rsid w:val="00C46C36"/>
    <w:rsid w:val="00C474D1"/>
    <w:rsid w:val="00C47C2F"/>
    <w:rsid w:val="00C5074A"/>
    <w:rsid w:val="00C50C76"/>
    <w:rsid w:val="00C51243"/>
    <w:rsid w:val="00C532F3"/>
    <w:rsid w:val="00C53325"/>
    <w:rsid w:val="00C5389B"/>
    <w:rsid w:val="00C53A2F"/>
    <w:rsid w:val="00C54751"/>
    <w:rsid w:val="00C54CCD"/>
    <w:rsid w:val="00C54FE8"/>
    <w:rsid w:val="00C5524D"/>
    <w:rsid w:val="00C552A4"/>
    <w:rsid w:val="00C55460"/>
    <w:rsid w:val="00C5587B"/>
    <w:rsid w:val="00C55E73"/>
    <w:rsid w:val="00C57070"/>
    <w:rsid w:val="00C57C6F"/>
    <w:rsid w:val="00C57ECE"/>
    <w:rsid w:val="00C604E4"/>
    <w:rsid w:val="00C6091F"/>
    <w:rsid w:val="00C60ACB"/>
    <w:rsid w:val="00C60E3B"/>
    <w:rsid w:val="00C60F21"/>
    <w:rsid w:val="00C61222"/>
    <w:rsid w:val="00C6186D"/>
    <w:rsid w:val="00C61A41"/>
    <w:rsid w:val="00C61E13"/>
    <w:rsid w:val="00C61FCB"/>
    <w:rsid w:val="00C625F5"/>
    <w:rsid w:val="00C6339D"/>
    <w:rsid w:val="00C63653"/>
    <w:rsid w:val="00C63A0C"/>
    <w:rsid w:val="00C63C61"/>
    <w:rsid w:val="00C648B5"/>
    <w:rsid w:val="00C65BCC"/>
    <w:rsid w:val="00C67016"/>
    <w:rsid w:val="00C671A2"/>
    <w:rsid w:val="00C675B4"/>
    <w:rsid w:val="00C67D6D"/>
    <w:rsid w:val="00C700D9"/>
    <w:rsid w:val="00C70614"/>
    <w:rsid w:val="00C70837"/>
    <w:rsid w:val="00C70C96"/>
    <w:rsid w:val="00C70E43"/>
    <w:rsid w:val="00C71234"/>
    <w:rsid w:val="00C71FB0"/>
    <w:rsid w:val="00C72164"/>
    <w:rsid w:val="00C73D9F"/>
    <w:rsid w:val="00C742E6"/>
    <w:rsid w:val="00C7501B"/>
    <w:rsid w:val="00C757AC"/>
    <w:rsid w:val="00C761AB"/>
    <w:rsid w:val="00C762DB"/>
    <w:rsid w:val="00C76B6A"/>
    <w:rsid w:val="00C7727D"/>
    <w:rsid w:val="00C77650"/>
    <w:rsid w:val="00C77E4A"/>
    <w:rsid w:val="00C80001"/>
    <w:rsid w:val="00C8034F"/>
    <w:rsid w:val="00C80685"/>
    <w:rsid w:val="00C80744"/>
    <w:rsid w:val="00C808E3"/>
    <w:rsid w:val="00C80A47"/>
    <w:rsid w:val="00C81961"/>
    <w:rsid w:val="00C823C7"/>
    <w:rsid w:val="00C832A9"/>
    <w:rsid w:val="00C83B13"/>
    <w:rsid w:val="00C83B19"/>
    <w:rsid w:val="00C84E25"/>
    <w:rsid w:val="00C876AB"/>
    <w:rsid w:val="00C90DA9"/>
    <w:rsid w:val="00C91539"/>
    <w:rsid w:val="00C91AF0"/>
    <w:rsid w:val="00C91F3B"/>
    <w:rsid w:val="00C9213C"/>
    <w:rsid w:val="00C925A7"/>
    <w:rsid w:val="00C93AF7"/>
    <w:rsid w:val="00C93B8B"/>
    <w:rsid w:val="00C9458F"/>
    <w:rsid w:val="00C949AC"/>
    <w:rsid w:val="00C94C37"/>
    <w:rsid w:val="00C94CBA"/>
    <w:rsid w:val="00C9580D"/>
    <w:rsid w:val="00C96305"/>
    <w:rsid w:val="00C967A9"/>
    <w:rsid w:val="00C968A2"/>
    <w:rsid w:val="00C96AC5"/>
    <w:rsid w:val="00C97008"/>
    <w:rsid w:val="00C9718B"/>
    <w:rsid w:val="00C97956"/>
    <w:rsid w:val="00C97B8C"/>
    <w:rsid w:val="00CA017F"/>
    <w:rsid w:val="00CA0714"/>
    <w:rsid w:val="00CA10E4"/>
    <w:rsid w:val="00CA1578"/>
    <w:rsid w:val="00CA19ED"/>
    <w:rsid w:val="00CA250C"/>
    <w:rsid w:val="00CA340D"/>
    <w:rsid w:val="00CA4454"/>
    <w:rsid w:val="00CA45AA"/>
    <w:rsid w:val="00CA4DA1"/>
    <w:rsid w:val="00CA5677"/>
    <w:rsid w:val="00CA5CAE"/>
    <w:rsid w:val="00CA5EEB"/>
    <w:rsid w:val="00CA60AB"/>
    <w:rsid w:val="00CA6266"/>
    <w:rsid w:val="00CA665C"/>
    <w:rsid w:val="00CA6834"/>
    <w:rsid w:val="00CA6EDC"/>
    <w:rsid w:val="00CA7259"/>
    <w:rsid w:val="00CA72F1"/>
    <w:rsid w:val="00CA7B80"/>
    <w:rsid w:val="00CB0227"/>
    <w:rsid w:val="00CB06FE"/>
    <w:rsid w:val="00CB187C"/>
    <w:rsid w:val="00CB1B7B"/>
    <w:rsid w:val="00CB1C47"/>
    <w:rsid w:val="00CB1EA6"/>
    <w:rsid w:val="00CB20AC"/>
    <w:rsid w:val="00CB23DD"/>
    <w:rsid w:val="00CB27B4"/>
    <w:rsid w:val="00CB4375"/>
    <w:rsid w:val="00CB4C1A"/>
    <w:rsid w:val="00CB511B"/>
    <w:rsid w:val="00CB54DB"/>
    <w:rsid w:val="00CB599C"/>
    <w:rsid w:val="00CB5E2A"/>
    <w:rsid w:val="00CB5F51"/>
    <w:rsid w:val="00CB73A9"/>
    <w:rsid w:val="00CB796E"/>
    <w:rsid w:val="00CC0274"/>
    <w:rsid w:val="00CC08C7"/>
    <w:rsid w:val="00CC193E"/>
    <w:rsid w:val="00CC1C3C"/>
    <w:rsid w:val="00CC1F1D"/>
    <w:rsid w:val="00CC2AC2"/>
    <w:rsid w:val="00CC2DE0"/>
    <w:rsid w:val="00CC3745"/>
    <w:rsid w:val="00CC404E"/>
    <w:rsid w:val="00CC4EC0"/>
    <w:rsid w:val="00CC5A35"/>
    <w:rsid w:val="00CC5AE5"/>
    <w:rsid w:val="00CC6075"/>
    <w:rsid w:val="00CC670F"/>
    <w:rsid w:val="00CC7624"/>
    <w:rsid w:val="00CC765D"/>
    <w:rsid w:val="00CC766A"/>
    <w:rsid w:val="00CC7F4B"/>
    <w:rsid w:val="00CD0BE8"/>
    <w:rsid w:val="00CD0D8D"/>
    <w:rsid w:val="00CD0DBE"/>
    <w:rsid w:val="00CD129F"/>
    <w:rsid w:val="00CD23DC"/>
    <w:rsid w:val="00CD2770"/>
    <w:rsid w:val="00CD2D43"/>
    <w:rsid w:val="00CD3E8C"/>
    <w:rsid w:val="00CD413C"/>
    <w:rsid w:val="00CD440D"/>
    <w:rsid w:val="00CD454E"/>
    <w:rsid w:val="00CD479F"/>
    <w:rsid w:val="00CD4A1E"/>
    <w:rsid w:val="00CD4BE2"/>
    <w:rsid w:val="00CD4D3E"/>
    <w:rsid w:val="00CD4E59"/>
    <w:rsid w:val="00CD51F2"/>
    <w:rsid w:val="00CD577B"/>
    <w:rsid w:val="00CD5838"/>
    <w:rsid w:val="00CD5993"/>
    <w:rsid w:val="00CD5A58"/>
    <w:rsid w:val="00CD73B9"/>
    <w:rsid w:val="00CD7A68"/>
    <w:rsid w:val="00CE0976"/>
    <w:rsid w:val="00CE0A75"/>
    <w:rsid w:val="00CE0D63"/>
    <w:rsid w:val="00CE18DC"/>
    <w:rsid w:val="00CE1EAE"/>
    <w:rsid w:val="00CE2245"/>
    <w:rsid w:val="00CE255D"/>
    <w:rsid w:val="00CE3184"/>
    <w:rsid w:val="00CE331E"/>
    <w:rsid w:val="00CE39D3"/>
    <w:rsid w:val="00CE3D98"/>
    <w:rsid w:val="00CE3E18"/>
    <w:rsid w:val="00CE5499"/>
    <w:rsid w:val="00CE5735"/>
    <w:rsid w:val="00CE5BFB"/>
    <w:rsid w:val="00CE5C13"/>
    <w:rsid w:val="00CE5E06"/>
    <w:rsid w:val="00CE60E6"/>
    <w:rsid w:val="00CE665B"/>
    <w:rsid w:val="00CE71CB"/>
    <w:rsid w:val="00CF004A"/>
    <w:rsid w:val="00CF018B"/>
    <w:rsid w:val="00CF053C"/>
    <w:rsid w:val="00CF0769"/>
    <w:rsid w:val="00CF0CC7"/>
    <w:rsid w:val="00CF0DA9"/>
    <w:rsid w:val="00CF1BD6"/>
    <w:rsid w:val="00CF3015"/>
    <w:rsid w:val="00CF3040"/>
    <w:rsid w:val="00CF3C08"/>
    <w:rsid w:val="00CF3D95"/>
    <w:rsid w:val="00CF3FE9"/>
    <w:rsid w:val="00CF4075"/>
    <w:rsid w:val="00CF41EA"/>
    <w:rsid w:val="00CF4811"/>
    <w:rsid w:val="00CF6109"/>
    <w:rsid w:val="00CF64A0"/>
    <w:rsid w:val="00CF6D10"/>
    <w:rsid w:val="00CF74AB"/>
    <w:rsid w:val="00CF7DB3"/>
    <w:rsid w:val="00CF7ED4"/>
    <w:rsid w:val="00D001A8"/>
    <w:rsid w:val="00D00703"/>
    <w:rsid w:val="00D00A01"/>
    <w:rsid w:val="00D00B11"/>
    <w:rsid w:val="00D00D1C"/>
    <w:rsid w:val="00D02D7D"/>
    <w:rsid w:val="00D03F22"/>
    <w:rsid w:val="00D04580"/>
    <w:rsid w:val="00D04604"/>
    <w:rsid w:val="00D05926"/>
    <w:rsid w:val="00D06122"/>
    <w:rsid w:val="00D067AC"/>
    <w:rsid w:val="00D0691A"/>
    <w:rsid w:val="00D072D9"/>
    <w:rsid w:val="00D07D19"/>
    <w:rsid w:val="00D102ED"/>
    <w:rsid w:val="00D104FD"/>
    <w:rsid w:val="00D10914"/>
    <w:rsid w:val="00D10D69"/>
    <w:rsid w:val="00D10DEA"/>
    <w:rsid w:val="00D1133C"/>
    <w:rsid w:val="00D11EE4"/>
    <w:rsid w:val="00D12C71"/>
    <w:rsid w:val="00D12EA2"/>
    <w:rsid w:val="00D1321B"/>
    <w:rsid w:val="00D137DF"/>
    <w:rsid w:val="00D14271"/>
    <w:rsid w:val="00D1429A"/>
    <w:rsid w:val="00D145AC"/>
    <w:rsid w:val="00D14BB8"/>
    <w:rsid w:val="00D15196"/>
    <w:rsid w:val="00D152CC"/>
    <w:rsid w:val="00D15625"/>
    <w:rsid w:val="00D157B8"/>
    <w:rsid w:val="00D15C9C"/>
    <w:rsid w:val="00D16000"/>
    <w:rsid w:val="00D16624"/>
    <w:rsid w:val="00D16649"/>
    <w:rsid w:val="00D16B13"/>
    <w:rsid w:val="00D1728A"/>
    <w:rsid w:val="00D17A9A"/>
    <w:rsid w:val="00D17DC8"/>
    <w:rsid w:val="00D2180E"/>
    <w:rsid w:val="00D21C42"/>
    <w:rsid w:val="00D21E23"/>
    <w:rsid w:val="00D2241F"/>
    <w:rsid w:val="00D224E9"/>
    <w:rsid w:val="00D228D7"/>
    <w:rsid w:val="00D230DB"/>
    <w:rsid w:val="00D2373E"/>
    <w:rsid w:val="00D23ACE"/>
    <w:rsid w:val="00D23C91"/>
    <w:rsid w:val="00D245F8"/>
    <w:rsid w:val="00D24A3C"/>
    <w:rsid w:val="00D24B22"/>
    <w:rsid w:val="00D25513"/>
    <w:rsid w:val="00D25D29"/>
    <w:rsid w:val="00D266D0"/>
    <w:rsid w:val="00D26AC7"/>
    <w:rsid w:val="00D2774F"/>
    <w:rsid w:val="00D31430"/>
    <w:rsid w:val="00D3173C"/>
    <w:rsid w:val="00D32159"/>
    <w:rsid w:val="00D32E49"/>
    <w:rsid w:val="00D33ADD"/>
    <w:rsid w:val="00D349A5"/>
    <w:rsid w:val="00D364E5"/>
    <w:rsid w:val="00D36BBF"/>
    <w:rsid w:val="00D378D7"/>
    <w:rsid w:val="00D40431"/>
    <w:rsid w:val="00D40BFD"/>
    <w:rsid w:val="00D41D30"/>
    <w:rsid w:val="00D4248E"/>
    <w:rsid w:val="00D42C2A"/>
    <w:rsid w:val="00D434EF"/>
    <w:rsid w:val="00D438FB"/>
    <w:rsid w:val="00D4405F"/>
    <w:rsid w:val="00D447C1"/>
    <w:rsid w:val="00D45414"/>
    <w:rsid w:val="00D45B84"/>
    <w:rsid w:val="00D45BB0"/>
    <w:rsid w:val="00D45F65"/>
    <w:rsid w:val="00D461D0"/>
    <w:rsid w:val="00D461F5"/>
    <w:rsid w:val="00D46768"/>
    <w:rsid w:val="00D474B3"/>
    <w:rsid w:val="00D47AC3"/>
    <w:rsid w:val="00D47DCE"/>
    <w:rsid w:val="00D50880"/>
    <w:rsid w:val="00D5240B"/>
    <w:rsid w:val="00D52D1F"/>
    <w:rsid w:val="00D5458E"/>
    <w:rsid w:val="00D548C4"/>
    <w:rsid w:val="00D5498E"/>
    <w:rsid w:val="00D553C3"/>
    <w:rsid w:val="00D55F14"/>
    <w:rsid w:val="00D56790"/>
    <w:rsid w:val="00D5701B"/>
    <w:rsid w:val="00D5713A"/>
    <w:rsid w:val="00D5716D"/>
    <w:rsid w:val="00D57C45"/>
    <w:rsid w:val="00D602F9"/>
    <w:rsid w:val="00D60422"/>
    <w:rsid w:val="00D604AC"/>
    <w:rsid w:val="00D60590"/>
    <w:rsid w:val="00D60BA3"/>
    <w:rsid w:val="00D6155C"/>
    <w:rsid w:val="00D61F42"/>
    <w:rsid w:val="00D631FD"/>
    <w:rsid w:val="00D63332"/>
    <w:rsid w:val="00D6367F"/>
    <w:rsid w:val="00D640A6"/>
    <w:rsid w:val="00D642F0"/>
    <w:rsid w:val="00D652FE"/>
    <w:rsid w:val="00D65B40"/>
    <w:rsid w:val="00D65CB3"/>
    <w:rsid w:val="00D6697E"/>
    <w:rsid w:val="00D67D61"/>
    <w:rsid w:val="00D706E6"/>
    <w:rsid w:val="00D70826"/>
    <w:rsid w:val="00D70FE8"/>
    <w:rsid w:val="00D7123B"/>
    <w:rsid w:val="00D712BF"/>
    <w:rsid w:val="00D716E5"/>
    <w:rsid w:val="00D71750"/>
    <w:rsid w:val="00D717A5"/>
    <w:rsid w:val="00D7193C"/>
    <w:rsid w:val="00D720B7"/>
    <w:rsid w:val="00D72536"/>
    <w:rsid w:val="00D728CE"/>
    <w:rsid w:val="00D73020"/>
    <w:rsid w:val="00D73B39"/>
    <w:rsid w:val="00D73E26"/>
    <w:rsid w:val="00D74109"/>
    <w:rsid w:val="00D746F7"/>
    <w:rsid w:val="00D74B57"/>
    <w:rsid w:val="00D74DEE"/>
    <w:rsid w:val="00D74F26"/>
    <w:rsid w:val="00D7566E"/>
    <w:rsid w:val="00D76352"/>
    <w:rsid w:val="00D7656D"/>
    <w:rsid w:val="00D765D4"/>
    <w:rsid w:val="00D766DB"/>
    <w:rsid w:val="00D76C51"/>
    <w:rsid w:val="00D77578"/>
    <w:rsid w:val="00D77CA9"/>
    <w:rsid w:val="00D8026D"/>
    <w:rsid w:val="00D8086B"/>
    <w:rsid w:val="00D8092B"/>
    <w:rsid w:val="00D81239"/>
    <w:rsid w:val="00D81302"/>
    <w:rsid w:val="00D81313"/>
    <w:rsid w:val="00D81623"/>
    <w:rsid w:val="00D8181D"/>
    <w:rsid w:val="00D81B75"/>
    <w:rsid w:val="00D825AA"/>
    <w:rsid w:val="00D827BF"/>
    <w:rsid w:val="00D82B25"/>
    <w:rsid w:val="00D832FE"/>
    <w:rsid w:val="00D84AC3"/>
    <w:rsid w:val="00D8516F"/>
    <w:rsid w:val="00D85337"/>
    <w:rsid w:val="00D8533A"/>
    <w:rsid w:val="00D854BA"/>
    <w:rsid w:val="00D86E89"/>
    <w:rsid w:val="00D870E2"/>
    <w:rsid w:val="00D8724D"/>
    <w:rsid w:val="00D9145E"/>
    <w:rsid w:val="00D9174E"/>
    <w:rsid w:val="00D91CE5"/>
    <w:rsid w:val="00D91EEF"/>
    <w:rsid w:val="00D920F9"/>
    <w:rsid w:val="00D92898"/>
    <w:rsid w:val="00D92CE4"/>
    <w:rsid w:val="00D93162"/>
    <w:rsid w:val="00D93499"/>
    <w:rsid w:val="00D93700"/>
    <w:rsid w:val="00D9376C"/>
    <w:rsid w:val="00D94AAA"/>
    <w:rsid w:val="00D94F8C"/>
    <w:rsid w:val="00D95033"/>
    <w:rsid w:val="00D95C5C"/>
    <w:rsid w:val="00D95E64"/>
    <w:rsid w:val="00D96692"/>
    <w:rsid w:val="00D96EE8"/>
    <w:rsid w:val="00D96F30"/>
    <w:rsid w:val="00D96FA5"/>
    <w:rsid w:val="00D97222"/>
    <w:rsid w:val="00D9736D"/>
    <w:rsid w:val="00D97825"/>
    <w:rsid w:val="00D97ED5"/>
    <w:rsid w:val="00D97F50"/>
    <w:rsid w:val="00DA00F9"/>
    <w:rsid w:val="00DA014F"/>
    <w:rsid w:val="00DA0714"/>
    <w:rsid w:val="00DA0909"/>
    <w:rsid w:val="00DA10FC"/>
    <w:rsid w:val="00DA1697"/>
    <w:rsid w:val="00DA18DD"/>
    <w:rsid w:val="00DA1B11"/>
    <w:rsid w:val="00DA2697"/>
    <w:rsid w:val="00DA325D"/>
    <w:rsid w:val="00DA329A"/>
    <w:rsid w:val="00DA36A1"/>
    <w:rsid w:val="00DA37EE"/>
    <w:rsid w:val="00DA3CEF"/>
    <w:rsid w:val="00DA4330"/>
    <w:rsid w:val="00DA5175"/>
    <w:rsid w:val="00DA54B2"/>
    <w:rsid w:val="00DA55C6"/>
    <w:rsid w:val="00DA6359"/>
    <w:rsid w:val="00DA74C7"/>
    <w:rsid w:val="00DA77F1"/>
    <w:rsid w:val="00DA7945"/>
    <w:rsid w:val="00DA7D4E"/>
    <w:rsid w:val="00DB032C"/>
    <w:rsid w:val="00DB032F"/>
    <w:rsid w:val="00DB0659"/>
    <w:rsid w:val="00DB0D4C"/>
    <w:rsid w:val="00DB0D83"/>
    <w:rsid w:val="00DB1C9C"/>
    <w:rsid w:val="00DB240D"/>
    <w:rsid w:val="00DB2579"/>
    <w:rsid w:val="00DB2C45"/>
    <w:rsid w:val="00DB2F60"/>
    <w:rsid w:val="00DB372D"/>
    <w:rsid w:val="00DB3FF1"/>
    <w:rsid w:val="00DB40F2"/>
    <w:rsid w:val="00DB4C29"/>
    <w:rsid w:val="00DB4FBB"/>
    <w:rsid w:val="00DB5068"/>
    <w:rsid w:val="00DB54C3"/>
    <w:rsid w:val="00DB5D92"/>
    <w:rsid w:val="00DB6A00"/>
    <w:rsid w:val="00DB7235"/>
    <w:rsid w:val="00DC0397"/>
    <w:rsid w:val="00DC063D"/>
    <w:rsid w:val="00DC0FBE"/>
    <w:rsid w:val="00DC1046"/>
    <w:rsid w:val="00DC1484"/>
    <w:rsid w:val="00DC1960"/>
    <w:rsid w:val="00DC1B3C"/>
    <w:rsid w:val="00DC263E"/>
    <w:rsid w:val="00DC3CD9"/>
    <w:rsid w:val="00DC3EEE"/>
    <w:rsid w:val="00DC44F0"/>
    <w:rsid w:val="00DC5481"/>
    <w:rsid w:val="00DC55BB"/>
    <w:rsid w:val="00DC55C9"/>
    <w:rsid w:val="00DC5B0B"/>
    <w:rsid w:val="00DC6718"/>
    <w:rsid w:val="00DC6ABB"/>
    <w:rsid w:val="00DC6CF0"/>
    <w:rsid w:val="00DC6E4A"/>
    <w:rsid w:val="00DC72FB"/>
    <w:rsid w:val="00DC75DB"/>
    <w:rsid w:val="00DC7CE5"/>
    <w:rsid w:val="00DD044F"/>
    <w:rsid w:val="00DD0D04"/>
    <w:rsid w:val="00DD1166"/>
    <w:rsid w:val="00DD1A77"/>
    <w:rsid w:val="00DD323A"/>
    <w:rsid w:val="00DD55E6"/>
    <w:rsid w:val="00DD561E"/>
    <w:rsid w:val="00DD58CB"/>
    <w:rsid w:val="00DD5DD4"/>
    <w:rsid w:val="00DD7027"/>
    <w:rsid w:val="00DD7796"/>
    <w:rsid w:val="00DD79A9"/>
    <w:rsid w:val="00DE0085"/>
    <w:rsid w:val="00DE04C2"/>
    <w:rsid w:val="00DE08F5"/>
    <w:rsid w:val="00DE0DB5"/>
    <w:rsid w:val="00DE0FF7"/>
    <w:rsid w:val="00DE10E1"/>
    <w:rsid w:val="00DE1586"/>
    <w:rsid w:val="00DE15EF"/>
    <w:rsid w:val="00DE21B6"/>
    <w:rsid w:val="00DE222E"/>
    <w:rsid w:val="00DE328A"/>
    <w:rsid w:val="00DE3798"/>
    <w:rsid w:val="00DE3C5F"/>
    <w:rsid w:val="00DE431A"/>
    <w:rsid w:val="00DE4DB9"/>
    <w:rsid w:val="00DE5049"/>
    <w:rsid w:val="00DE60C2"/>
    <w:rsid w:val="00DE6D8F"/>
    <w:rsid w:val="00DE790D"/>
    <w:rsid w:val="00DF03B7"/>
    <w:rsid w:val="00DF08AE"/>
    <w:rsid w:val="00DF08C6"/>
    <w:rsid w:val="00DF0FCE"/>
    <w:rsid w:val="00DF1129"/>
    <w:rsid w:val="00DF15E1"/>
    <w:rsid w:val="00DF2907"/>
    <w:rsid w:val="00DF29DE"/>
    <w:rsid w:val="00DF2F12"/>
    <w:rsid w:val="00DF3662"/>
    <w:rsid w:val="00DF3A2A"/>
    <w:rsid w:val="00DF4E00"/>
    <w:rsid w:val="00DF4FE4"/>
    <w:rsid w:val="00DF5237"/>
    <w:rsid w:val="00DF599F"/>
    <w:rsid w:val="00DF6009"/>
    <w:rsid w:val="00DF68C3"/>
    <w:rsid w:val="00DF7A3B"/>
    <w:rsid w:val="00DF7B6B"/>
    <w:rsid w:val="00E00934"/>
    <w:rsid w:val="00E01A3B"/>
    <w:rsid w:val="00E02095"/>
    <w:rsid w:val="00E0216D"/>
    <w:rsid w:val="00E0295E"/>
    <w:rsid w:val="00E030A6"/>
    <w:rsid w:val="00E03CD7"/>
    <w:rsid w:val="00E03D5D"/>
    <w:rsid w:val="00E04EB8"/>
    <w:rsid w:val="00E07328"/>
    <w:rsid w:val="00E07F5D"/>
    <w:rsid w:val="00E10D1C"/>
    <w:rsid w:val="00E11F22"/>
    <w:rsid w:val="00E12C51"/>
    <w:rsid w:val="00E13847"/>
    <w:rsid w:val="00E1399D"/>
    <w:rsid w:val="00E14912"/>
    <w:rsid w:val="00E14B63"/>
    <w:rsid w:val="00E150DB"/>
    <w:rsid w:val="00E151B0"/>
    <w:rsid w:val="00E161D7"/>
    <w:rsid w:val="00E16463"/>
    <w:rsid w:val="00E167D0"/>
    <w:rsid w:val="00E16F61"/>
    <w:rsid w:val="00E16FA7"/>
    <w:rsid w:val="00E172B7"/>
    <w:rsid w:val="00E1756F"/>
    <w:rsid w:val="00E176FE"/>
    <w:rsid w:val="00E17AEA"/>
    <w:rsid w:val="00E17D05"/>
    <w:rsid w:val="00E17D81"/>
    <w:rsid w:val="00E205ED"/>
    <w:rsid w:val="00E20A21"/>
    <w:rsid w:val="00E215B5"/>
    <w:rsid w:val="00E21923"/>
    <w:rsid w:val="00E21BC6"/>
    <w:rsid w:val="00E23608"/>
    <w:rsid w:val="00E23BE4"/>
    <w:rsid w:val="00E24792"/>
    <w:rsid w:val="00E248C8"/>
    <w:rsid w:val="00E24959"/>
    <w:rsid w:val="00E250A0"/>
    <w:rsid w:val="00E25220"/>
    <w:rsid w:val="00E25ADB"/>
    <w:rsid w:val="00E26477"/>
    <w:rsid w:val="00E300A9"/>
    <w:rsid w:val="00E30570"/>
    <w:rsid w:val="00E30B26"/>
    <w:rsid w:val="00E30CA7"/>
    <w:rsid w:val="00E3156C"/>
    <w:rsid w:val="00E3216E"/>
    <w:rsid w:val="00E327E5"/>
    <w:rsid w:val="00E33B64"/>
    <w:rsid w:val="00E340E7"/>
    <w:rsid w:val="00E341DF"/>
    <w:rsid w:val="00E3437D"/>
    <w:rsid w:val="00E34CA6"/>
    <w:rsid w:val="00E34DA1"/>
    <w:rsid w:val="00E34F5E"/>
    <w:rsid w:val="00E3533B"/>
    <w:rsid w:val="00E3571B"/>
    <w:rsid w:val="00E358D1"/>
    <w:rsid w:val="00E35D98"/>
    <w:rsid w:val="00E37058"/>
    <w:rsid w:val="00E3767A"/>
    <w:rsid w:val="00E377A2"/>
    <w:rsid w:val="00E4033A"/>
    <w:rsid w:val="00E403BC"/>
    <w:rsid w:val="00E405C9"/>
    <w:rsid w:val="00E406BD"/>
    <w:rsid w:val="00E408C3"/>
    <w:rsid w:val="00E414B0"/>
    <w:rsid w:val="00E41F7A"/>
    <w:rsid w:val="00E420AD"/>
    <w:rsid w:val="00E42D57"/>
    <w:rsid w:val="00E42F37"/>
    <w:rsid w:val="00E43459"/>
    <w:rsid w:val="00E441DE"/>
    <w:rsid w:val="00E44CF9"/>
    <w:rsid w:val="00E44DB7"/>
    <w:rsid w:val="00E453AF"/>
    <w:rsid w:val="00E45865"/>
    <w:rsid w:val="00E45A45"/>
    <w:rsid w:val="00E461B1"/>
    <w:rsid w:val="00E4637A"/>
    <w:rsid w:val="00E46403"/>
    <w:rsid w:val="00E4658E"/>
    <w:rsid w:val="00E46684"/>
    <w:rsid w:val="00E470E4"/>
    <w:rsid w:val="00E4718B"/>
    <w:rsid w:val="00E477FF"/>
    <w:rsid w:val="00E47F5E"/>
    <w:rsid w:val="00E50049"/>
    <w:rsid w:val="00E50C52"/>
    <w:rsid w:val="00E50DA7"/>
    <w:rsid w:val="00E51451"/>
    <w:rsid w:val="00E51B65"/>
    <w:rsid w:val="00E52437"/>
    <w:rsid w:val="00E52AD2"/>
    <w:rsid w:val="00E52C90"/>
    <w:rsid w:val="00E52EF2"/>
    <w:rsid w:val="00E52F57"/>
    <w:rsid w:val="00E53F32"/>
    <w:rsid w:val="00E54256"/>
    <w:rsid w:val="00E546DB"/>
    <w:rsid w:val="00E54EFB"/>
    <w:rsid w:val="00E54F3E"/>
    <w:rsid w:val="00E55128"/>
    <w:rsid w:val="00E55F7A"/>
    <w:rsid w:val="00E56054"/>
    <w:rsid w:val="00E56994"/>
    <w:rsid w:val="00E56A3A"/>
    <w:rsid w:val="00E5744A"/>
    <w:rsid w:val="00E57CCB"/>
    <w:rsid w:val="00E60467"/>
    <w:rsid w:val="00E614D4"/>
    <w:rsid w:val="00E6210E"/>
    <w:rsid w:val="00E626C2"/>
    <w:rsid w:val="00E627F5"/>
    <w:rsid w:val="00E62A1C"/>
    <w:rsid w:val="00E630C1"/>
    <w:rsid w:val="00E638CF"/>
    <w:rsid w:val="00E645BA"/>
    <w:rsid w:val="00E65090"/>
    <w:rsid w:val="00E6571D"/>
    <w:rsid w:val="00E669E2"/>
    <w:rsid w:val="00E67525"/>
    <w:rsid w:val="00E702BE"/>
    <w:rsid w:val="00E7067B"/>
    <w:rsid w:val="00E70E76"/>
    <w:rsid w:val="00E71125"/>
    <w:rsid w:val="00E71E86"/>
    <w:rsid w:val="00E71F2E"/>
    <w:rsid w:val="00E730F6"/>
    <w:rsid w:val="00E7349A"/>
    <w:rsid w:val="00E73842"/>
    <w:rsid w:val="00E73E07"/>
    <w:rsid w:val="00E73E4F"/>
    <w:rsid w:val="00E7403C"/>
    <w:rsid w:val="00E745BC"/>
    <w:rsid w:val="00E747C6"/>
    <w:rsid w:val="00E750A4"/>
    <w:rsid w:val="00E751C1"/>
    <w:rsid w:val="00E7576A"/>
    <w:rsid w:val="00E767EA"/>
    <w:rsid w:val="00E76E4A"/>
    <w:rsid w:val="00E76E8E"/>
    <w:rsid w:val="00E7724D"/>
    <w:rsid w:val="00E77420"/>
    <w:rsid w:val="00E776AA"/>
    <w:rsid w:val="00E77A6E"/>
    <w:rsid w:val="00E77D12"/>
    <w:rsid w:val="00E80244"/>
    <w:rsid w:val="00E809FA"/>
    <w:rsid w:val="00E8128B"/>
    <w:rsid w:val="00E819D4"/>
    <w:rsid w:val="00E81D0E"/>
    <w:rsid w:val="00E82415"/>
    <w:rsid w:val="00E8268A"/>
    <w:rsid w:val="00E83149"/>
    <w:rsid w:val="00E8328D"/>
    <w:rsid w:val="00E8368E"/>
    <w:rsid w:val="00E850E7"/>
    <w:rsid w:val="00E852D6"/>
    <w:rsid w:val="00E85559"/>
    <w:rsid w:val="00E8574D"/>
    <w:rsid w:val="00E85B09"/>
    <w:rsid w:val="00E87F61"/>
    <w:rsid w:val="00E9099C"/>
    <w:rsid w:val="00E91653"/>
    <w:rsid w:val="00E91E7C"/>
    <w:rsid w:val="00E92278"/>
    <w:rsid w:val="00E92906"/>
    <w:rsid w:val="00E92D59"/>
    <w:rsid w:val="00E941BB"/>
    <w:rsid w:val="00E945C0"/>
    <w:rsid w:val="00E94B2C"/>
    <w:rsid w:val="00E95081"/>
    <w:rsid w:val="00E95829"/>
    <w:rsid w:val="00E95DEF"/>
    <w:rsid w:val="00E966BB"/>
    <w:rsid w:val="00E96707"/>
    <w:rsid w:val="00E97B35"/>
    <w:rsid w:val="00EA017B"/>
    <w:rsid w:val="00EA0263"/>
    <w:rsid w:val="00EA06FB"/>
    <w:rsid w:val="00EA1218"/>
    <w:rsid w:val="00EA137A"/>
    <w:rsid w:val="00EA197A"/>
    <w:rsid w:val="00EA2302"/>
    <w:rsid w:val="00EA254F"/>
    <w:rsid w:val="00EA2831"/>
    <w:rsid w:val="00EA29D2"/>
    <w:rsid w:val="00EA2A37"/>
    <w:rsid w:val="00EA2CDD"/>
    <w:rsid w:val="00EA2F95"/>
    <w:rsid w:val="00EA47C7"/>
    <w:rsid w:val="00EA4954"/>
    <w:rsid w:val="00EA5EAA"/>
    <w:rsid w:val="00EA675C"/>
    <w:rsid w:val="00EA74B2"/>
    <w:rsid w:val="00EA7A81"/>
    <w:rsid w:val="00EA7CE3"/>
    <w:rsid w:val="00EB00EB"/>
    <w:rsid w:val="00EB0C86"/>
    <w:rsid w:val="00EB0D69"/>
    <w:rsid w:val="00EB1427"/>
    <w:rsid w:val="00EB1864"/>
    <w:rsid w:val="00EB1B69"/>
    <w:rsid w:val="00EB27EE"/>
    <w:rsid w:val="00EB2962"/>
    <w:rsid w:val="00EB34A0"/>
    <w:rsid w:val="00EB35EC"/>
    <w:rsid w:val="00EB37B4"/>
    <w:rsid w:val="00EB37DB"/>
    <w:rsid w:val="00EB3F4A"/>
    <w:rsid w:val="00EB4181"/>
    <w:rsid w:val="00EB4425"/>
    <w:rsid w:val="00EB4903"/>
    <w:rsid w:val="00EB4E58"/>
    <w:rsid w:val="00EB4F85"/>
    <w:rsid w:val="00EB4FA9"/>
    <w:rsid w:val="00EB565B"/>
    <w:rsid w:val="00EB71DA"/>
    <w:rsid w:val="00EC033E"/>
    <w:rsid w:val="00EC073D"/>
    <w:rsid w:val="00EC0971"/>
    <w:rsid w:val="00EC105B"/>
    <w:rsid w:val="00EC10A3"/>
    <w:rsid w:val="00EC1265"/>
    <w:rsid w:val="00EC1838"/>
    <w:rsid w:val="00EC1893"/>
    <w:rsid w:val="00EC1B9A"/>
    <w:rsid w:val="00EC1DC2"/>
    <w:rsid w:val="00EC2B02"/>
    <w:rsid w:val="00EC2B04"/>
    <w:rsid w:val="00EC2B2F"/>
    <w:rsid w:val="00EC2E28"/>
    <w:rsid w:val="00EC4128"/>
    <w:rsid w:val="00EC456A"/>
    <w:rsid w:val="00EC470B"/>
    <w:rsid w:val="00EC4A2E"/>
    <w:rsid w:val="00EC4C97"/>
    <w:rsid w:val="00EC4EAC"/>
    <w:rsid w:val="00EC563B"/>
    <w:rsid w:val="00EC5E22"/>
    <w:rsid w:val="00EC6B1F"/>
    <w:rsid w:val="00EC6E3C"/>
    <w:rsid w:val="00EC7D1F"/>
    <w:rsid w:val="00ED00EB"/>
    <w:rsid w:val="00ED12FB"/>
    <w:rsid w:val="00ED1952"/>
    <w:rsid w:val="00ED1B05"/>
    <w:rsid w:val="00ED2CE2"/>
    <w:rsid w:val="00ED30A2"/>
    <w:rsid w:val="00ED30DB"/>
    <w:rsid w:val="00ED3C7B"/>
    <w:rsid w:val="00ED4009"/>
    <w:rsid w:val="00ED4290"/>
    <w:rsid w:val="00ED4673"/>
    <w:rsid w:val="00ED4B28"/>
    <w:rsid w:val="00ED4C67"/>
    <w:rsid w:val="00ED5134"/>
    <w:rsid w:val="00ED707E"/>
    <w:rsid w:val="00ED7129"/>
    <w:rsid w:val="00ED775E"/>
    <w:rsid w:val="00ED7973"/>
    <w:rsid w:val="00EE1123"/>
    <w:rsid w:val="00EE28B0"/>
    <w:rsid w:val="00EE2CF0"/>
    <w:rsid w:val="00EE2FC2"/>
    <w:rsid w:val="00EE36CE"/>
    <w:rsid w:val="00EE3B5C"/>
    <w:rsid w:val="00EE46ED"/>
    <w:rsid w:val="00EE49A0"/>
    <w:rsid w:val="00EE4E7B"/>
    <w:rsid w:val="00EE59B6"/>
    <w:rsid w:val="00EE5CEC"/>
    <w:rsid w:val="00EE6416"/>
    <w:rsid w:val="00EE66DB"/>
    <w:rsid w:val="00EE6874"/>
    <w:rsid w:val="00EE6FDC"/>
    <w:rsid w:val="00EE73FA"/>
    <w:rsid w:val="00EE771F"/>
    <w:rsid w:val="00EE7DF6"/>
    <w:rsid w:val="00EF0980"/>
    <w:rsid w:val="00EF0FEC"/>
    <w:rsid w:val="00EF1887"/>
    <w:rsid w:val="00EF19C4"/>
    <w:rsid w:val="00EF1AC0"/>
    <w:rsid w:val="00EF1F31"/>
    <w:rsid w:val="00EF2D00"/>
    <w:rsid w:val="00EF2FB6"/>
    <w:rsid w:val="00EF3442"/>
    <w:rsid w:val="00EF401B"/>
    <w:rsid w:val="00EF4414"/>
    <w:rsid w:val="00EF48D5"/>
    <w:rsid w:val="00EF6360"/>
    <w:rsid w:val="00EF643A"/>
    <w:rsid w:val="00EF6B7D"/>
    <w:rsid w:val="00EF7A73"/>
    <w:rsid w:val="00EF7CC9"/>
    <w:rsid w:val="00F0050F"/>
    <w:rsid w:val="00F00E27"/>
    <w:rsid w:val="00F02DC4"/>
    <w:rsid w:val="00F03D2A"/>
    <w:rsid w:val="00F04202"/>
    <w:rsid w:val="00F049D6"/>
    <w:rsid w:val="00F04F0A"/>
    <w:rsid w:val="00F051C4"/>
    <w:rsid w:val="00F05B07"/>
    <w:rsid w:val="00F05FCE"/>
    <w:rsid w:val="00F06333"/>
    <w:rsid w:val="00F06449"/>
    <w:rsid w:val="00F06ABE"/>
    <w:rsid w:val="00F06D26"/>
    <w:rsid w:val="00F06F62"/>
    <w:rsid w:val="00F1021C"/>
    <w:rsid w:val="00F1084A"/>
    <w:rsid w:val="00F10F20"/>
    <w:rsid w:val="00F1179F"/>
    <w:rsid w:val="00F12344"/>
    <w:rsid w:val="00F12753"/>
    <w:rsid w:val="00F1282B"/>
    <w:rsid w:val="00F137E7"/>
    <w:rsid w:val="00F13B0C"/>
    <w:rsid w:val="00F14283"/>
    <w:rsid w:val="00F1445E"/>
    <w:rsid w:val="00F14785"/>
    <w:rsid w:val="00F149BA"/>
    <w:rsid w:val="00F14D7C"/>
    <w:rsid w:val="00F14E02"/>
    <w:rsid w:val="00F156AA"/>
    <w:rsid w:val="00F159F5"/>
    <w:rsid w:val="00F15CE4"/>
    <w:rsid w:val="00F16000"/>
    <w:rsid w:val="00F16397"/>
    <w:rsid w:val="00F167F8"/>
    <w:rsid w:val="00F16BD6"/>
    <w:rsid w:val="00F170F8"/>
    <w:rsid w:val="00F174B5"/>
    <w:rsid w:val="00F17519"/>
    <w:rsid w:val="00F17555"/>
    <w:rsid w:val="00F179AB"/>
    <w:rsid w:val="00F17BA6"/>
    <w:rsid w:val="00F204E6"/>
    <w:rsid w:val="00F2082A"/>
    <w:rsid w:val="00F209EF"/>
    <w:rsid w:val="00F20CA1"/>
    <w:rsid w:val="00F210D3"/>
    <w:rsid w:val="00F216A5"/>
    <w:rsid w:val="00F2279A"/>
    <w:rsid w:val="00F22B00"/>
    <w:rsid w:val="00F23CA7"/>
    <w:rsid w:val="00F24677"/>
    <w:rsid w:val="00F24808"/>
    <w:rsid w:val="00F24A76"/>
    <w:rsid w:val="00F25A5C"/>
    <w:rsid w:val="00F26615"/>
    <w:rsid w:val="00F26753"/>
    <w:rsid w:val="00F26A0E"/>
    <w:rsid w:val="00F26DB4"/>
    <w:rsid w:val="00F27103"/>
    <w:rsid w:val="00F278A5"/>
    <w:rsid w:val="00F27AC4"/>
    <w:rsid w:val="00F27BAC"/>
    <w:rsid w:val="00F30A1E"/>
    <w:rsid w:val="00F30AAB"/>
    <w:rsid w:val="00F30FBD"/>
    <w:rsid w:val="00F314B1"/>
    <w:rsid w:val="00F31677"/>
    <w:rsid w:val="00F31965"/>
    <w:rsid w:val="00F34623"/>
    <w:rsid w:val="00F346AD"/>
    <w:rsid w:val="00F34ADF"/>
    <w:rsid w:val="00F3575C"/>
    <w:rsid w:val="00F35F38"/>
    <w:rsid w:val="00F366DF"/>
    <w:rsid w:val="00F37017"/>
    <w:rsid w:val="00F37622"/>
    <w:rsid w:val="00F40211"/>
    <w:rsid w:val="00F4083E"/>
    <w:rsid w:val="00F41BA0"/>
    <w:rsid w:val="00F4223F"/>
    <w:rsid w:val="00F42445"/>
    <w:rsid w:val="00F43E36"/>
    <w:rsid w:val="00F44203"/>
    <w:rsid w:val="00F443A2"/>
    <w:rsid w:val="00F44D8D"/>
    <w:rsid w:val="00F45CF9"/>
    <w:rsid w:val="00F47A72"/>
    <w:rsid w:val="00F47DC5"/>
    <w:rsid w:val="00F50525"/>
    <w:rsid w:val="00F5069A"/>
    <w:rsid w:val="00F50BB3"/>
    <w:rsid w:val="00F50CB5"/>
    <w:rsid w:val="00F50EC7"/>
    <w:rsid w:val="00F5112E"/>
    <w:rsid w:val="00F52430"/>
    <w:rsid w:val="00F531EE"/>
    <w:rsid w:val="00F533AD"/>
    <w:rsid w:val="00F5359A"/>
    <w:rsid w:val="00F53D94"/>
    <w:rsid w:val="00F548CA"/>
    <w:rsid w:val="00F54C11"/>
    <w:rsid w:val="00F555A9"/>
    <w:rsid w:val="00F55986"/>
    <w:rsid w:val="00F5649D"/>
    <w:rsid w:val="00F57564"/>
    <w:rsid w:val="00F57DD2"/>
    <w:rsid w:val="00F60540"/>
    <w:rsid w:val="00F60C0E"/>
    <w:rsid w:val="00F644B5"/>
    <w:rsid w:val="00F645B9"/>
    <w:rsid w:val="00F64C4C"/>
    <w:rsid w:val="00F65232"/>
    <w:rsid w:val="00F65435"/>
    <w:rsid w:val="00F65E5E"/>
    <w:rsid w:val="00F66068"/>
    <w:rsid w:val="00F66BB1"/>
    <w:rsid w:val="00F70255"/>
    <w:rsid w:val="00F708D1"/>
    <w:rsid w:val="00F71658"/>
    <w:rsid w:val="00F71A90"/>
    <w:rsid w:val="00F71F12"/>
    <w:rsid w:val="00F72814"/>
    <w:rsid w:val="00F73029"/>
    <w:rsid w:val="00F732A5"/>
    <w:rsid w:val="00F73D57"/>
    <w:rsid w:val="00F7420C"/>
    <w:rsid w:val="00F759B4"/>
    <w:rsid w:val="00F765C3"/>
    <w:rsid w:val="00F76766"/>
    <w:rsid w:val="00F76D5F"/>
    <w:rsid w:val="00F77054"/>
    <w:rsid w:val="00F80505"/>
    <w:rsid w:val="00F80D29"/>
    <w:rsid w:val="00F80DB6"/>
    <w:rsid w:val="00F81B36"/>
    <w:rsid w:val="00F81D90"/>
    <w:rsid w:val="00F81F98"/>
    <w:rsid w:val="00F82264"/>
    <w:rsid w:val="00F827B3"/>
    <w:rsid w:val="00F82C07"/>
    <w:rsid w:val="00F836F7"/>
    <w:rsid w:val="00F83BBB"/>
    <w:rsid w:val="00F84088"/>
    <w:rsid w:val="00F84516"/>
    <w:rsid w:val="00F85457"/>
    <w:rsid w:val="00F857A3"/>
    <w:rsid w:val="00F85AEF"/>
    <w:rsid w:val="00F85F9A"/>
    <w:rsid w:val="00F8672F"/>
    <w:rsid w:val="00F867C5"/>
    <w:rsid w:val="00F877DD"/>
    <w:rsid w:val="00F87B0C"/>
    <w:rsid w:val="00F90339"/>
    <w:rsid w:val="00F9073A"/>
    <w:rsid w:val="00F91008"/>
    <w:rsid w:val="00F91499"/>
    <w:rsid w:val="00F917B7"/>
    <w:rsid w:val="00F91A45"/>
    <w:rsid w:val="00F91CE1"/>
    <w:rsid w:val="00F91EC8"/>
    <w:rsid w:val="00F9220C"/>
    <w:rsid w:val="00F929CD"/>
    <w:rsid w:val="00F93035"/>
    <w:rsid w:val="00F941CE"/>
    <w:rsid w:val="00F94CB0"/>
    <w:rsid w:val="00F9619C"/>
    <w:rsid w:val="00F97F74"/>
    <w:rsid w:val="00FA03F4"/>
    <w:rsid w:val="00FA0698"/>
    <w:rsid w:val="00FA1935"/>
    <w:rsid w:val="00FA264B"/>
    <w:rsid w:val="00FA272E"/>
    <w:rsid w:val="00FA2A29"/>
    <w:rsid w:val="00FA2AA7"/>
    <w:rsid w:val="00FA31BB"/>
    <w:rsid w:val="00FA3270"/>
    <w:rsid w:val="00FA3574"/>
    <w:rsid w:val="00FA49E5"/>
    <w:rsid w:val="00FA5AA1"/>
    <w:rsid w:val="00FA6CAC"/>
    <w:rsid w:val="00FA702A"/>
    <w:rsid w:val="00FA7259"/>
    <w:rsid w:val="00FA7302"/>
    <w:rsid w:val="00FA7941"/>
    <w:rsid w:val="00FA7BE9"/>
    <w:rsid w:val="00FB0CC1"/>
    <w:rsid w:val="00FB0DA4"/>
    <w:rsid w:val="00FB0FFD"/>
    <w:rsid w:val="00FB1220"/>
    <w:rsid w:val="00FB1827"/>
    <w:rsid w:val="00FB1C4C"/>
    <w:rsid w:val="00FB3019"/>
    <w:rsid w:val="00FB382C"/>
    <w:rsid w:val="00FB3846"/>
    <w:rsid w:val="00FB3D64"/>
    <w:rsid w:val="00FB4078"/>
    <w:rsid w:val="00FB6183"/>
    <w:rsid w:val="00FB7483"/>
    <w:rsid w:val="00FC0038"/>
    <w:rsid w:val="00FC094A"/>
    <w:rsid w:val="00FC4078"/>
    <w:rsid w:val="00FC55B7"/>
    <w:rsid w:val="00FC5697"/>
    <w:rsid w:val="00FC5941"/>
    <w:rsid w:val="00FC636D"/>
    <w:rsid w:val="00FC6E7D"/>
    <w:rsid w:val="00FC7942"/>
    <w:rsid w:val="00FC7EC4"/>
    <w:rsid w:val="00FD023E"/>
    <w:rsid w:val="00FD1194"/>
    <w:rsid w:val="00FD1A9D"/>
    <w:rsid w:val="00FD22C5"/>
    <w:rsid w:val="00FD2F98"/>
    <w:rsid w:val="00FD394D"/>
    <w:rsid w:val="00FD3B0F"/>
    <w:rsid w:val="00FD412C"/>
    <w:rsid w:val="00FD4EB1"/>
    <w:rsid w:val="00FD540F"/>
    <w:rsid w:val="00FD5D91"/>
    <w:rsid w:val="00FD6241"/>
    <w:rsid w:val="00FD66B1"/>
    <w:rsid w:val="00FD6AAD"/>
    <w:rsid w:val="00FD70BB"/>
    <w:rsid w:val="00FD70F3"/>
    <w:rsid w:val="00FD7BDC"/>
    <w:rsid w:val="00FD7D90"/>
    <w:rsid w:val="00FE00F2"/>
    <w:rsid w:val="00FE02E4"/>
    <w:rsid w:val="00FE0405"/>
    <w:rsid w:val="00FE0636"/>
    <w:rsid w:val="00FE0A48"/>
    <w:rsid w:val="00FE0B6C"/>
    <w:rsid w:val="00FE0F87"/>
    <w:rsid w:val="00FE201B"/>
    <w:rsid w:val="00FE23F5"/>
    <w:rsid w:val="00FE31FC"/>
    <w:rsid w:val="00FE32F0"/>
    <w:rsid w:val="00FE3373"/>
    <w:rsid w:val="00FE3F98"/>
    <w:rsid w:val="00FE441E"/>
    <w:rsid w:val="00FE48FD"/>
    <w:rsid w:val="00FE53BE"/>
    <w:rsid w:val="00FE7539"/>
    <w:rsid w:val="00FF091F"/>
    <w:rsid w:val="00FF1B25"/>
    <w:rsid w:val="00FF2C14"/>
    <w:rsid w:val="00FF315D"/>
    <w:rsid w:val="00FF3E18"/>
    <w:rsid w:val="00FF40DA"/>
    <w:rsid w:val="00FF4589"/>
    <w:rsid w:val="00FF4BB3"/>
    <w:rsid w:val="00FF4FAA"/>
    <w:rsid w:val="00FF518B"/>
    <w:rsid w:val="00FF555C"/>
    <w:rsid w:val="00FF5A34"/>
    <w:rsid w:val="00FF5F1E"/>
    <w:rsid w:val="00FF6906"/>
    <w:rsid w:val="00FF6CC9"/>
    <w:rsid w:val="00FF72B2"/>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DA6A"/>
  <w15:docId w15:val="{164F68DC-0FFB-475D-BA0A-87B775B0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7B8"/>
    <w:pPr>
      <w:spacing w:before="120" w:after="120" w:line="480" w:lineRule="auto"/>
    </w:pPr>
    <w:rPr>
      <w:rFonts w:ascii="Times New Roman" w:hAnsi="Times New Roman" w:cs="Times New Roman"/>
    </w:rPr>
  </w:style>
  <w:style w:type="paragraph" w:styleId="Heading1">
    <w:name w:val="heading 1"/>
    <w:basedOn w:val="Normal"/>
    <w:next w:val="Normal"/>
    <w:link w:val="Heading1Char"/>
    <w:uiPriority w:val="9"/>
    <w:qFormat/>
    <w:rsid w:val="00112581"/>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0D96"/>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30F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81"/>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AE0D9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E730F6"/>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B53A46"/>
    <w:pPr>
      <w:ind w:left="720"/>
      <w:contextualSpacing/>
    </w:pPr>
  </w:style>
  <w:style w:type="character" w:styleId="CommentReference">
    <w:name w:val="annotation reference"/>
    <w:basedOn w:val="DefaultParagraphFont"/>
    <w:uiPriority w:val="99"/>
    <w:semiHidden/>
    <w:unhideWhenUsed/>
    <w:rsid w:val="00B568EA"/>
    <w:rPr>
      <w:sz w:val="18"/>
      <w:szCs w:val="18"/>
    </w:rPr>
  </w:style>
  <w:style w:type="paragraph" w:styleId="Subtitle">
    <w:name w:val="Subtitle"/>
    <w:basedOn w:val="Normal"/>
    <w:next w:val="Normal"/>
    <w:link w:val="SubtitleChar"/>
    <w:uiPriority w:val="11"/>
    <w:qFormat/>
    <w:rsid w:val="00B568E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568EA"/>
    <w:rPr>
      <w:rFonts w:eastAsiaTheme="minorEastAsia"/>
      <w:color w:val="5A5A5A" w:themeColor="text1" w:themeTint="A5"/>
      <w:spacing w:val="15"/>
      <w:sz w:val="22"/>
      <w:szCs w:val="22"/>
    </w:rPr>
  </w:style>
  <w:style w:type="table" w:styleId="TableGrid">
    <w:name w:val="Table Grid"/>
    <w:basedOn w:val="TableNormal"/>
    <w:uiPriority w:val="39"/>
    <w:rsid w:val="006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32F3"/>
    <w:pPr>
      <w:spacing w:after="200"/>
    </w:pPr>
    <w:rPr>
      <w:iCs/>
      <w:sz w:val="18"/>
      <w:szCs w:val="18"/>
    </w:rPr>
  </w:style>
  <w:style w:type="paragraph" w:styleId="CommentText">
    <w:name w:val="annotation text"/>
    <w:basedOn w:val="Normal"/>
    <w:link w:val="CommentTextChar"/>
    <w:uiPriority w:val="99"/>
    <w:unhideWhenUsed/>
    <w:rsid w:val="00CF64A0"/>
  </w:style>
  <w:style w:type="character" w:customStyle="1" w:styleId="CommentTextChar">
    <w:name w:val="Comment Text Char"/>
    <w:basedOn w:val="DefaultParagraphFont"/>
    <w:link w:val="CommentText"/>
    <w:uiPriority w:val="99"/>
    <w:rsid w:val="00CF64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F64A0"/>
    <w:rPr>
      <w:b/>
      <w:bCs/>
      <w:sz w:val="20"/>
      <w:szCs w:val="20"/>
    </w:rPr>
  </w:style>
  <w:style w:type="character" w:customStyle="1" w:styleId="CommentSubjectChar">
    <w:name w:val="Comment Subject Char"/>
    <w:basedOn w:val="CommentTextChar"/>
    <w:link w:val="CommentSubject"/>
    <w:uiPriority w:val="99"/>
    <w:semiHidden/>
    <w:rsid w:val="00CF64A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F64A0"/>
    <w:rPr>
      <w:sz w:val="18"/>
      <w:szCs w:val="18"/>
    </w:rPr>
  </w:style>
  <w:style w:type="character" w:customStyle="1" w:styleId="BalloonTextChar">
    <w:name w:val="Balloon Text Char"/>
    <w:basedOn w:val="DefaultParagraphFont"/>
    <w:link w:val="BalloonText"/>
    <w:uiPriority w:val="99"/>
    <w:semiHidden/>
    <w:rsid w:val="00CF64A0"/>
    <w:rPr>
      <w:rFonts w:ascii="Times New Roman" w:hAnsi="Times New Roman" w:cs="Times New Roman"/>
      <w:sz w:val="18"/>
      <w:szCs w:val="18"/>
    </w:rPr>
  </w:style>
  <w:style w:type="character" w:styleId="PageNumber">
    <w:name w:val="page number"/>
    <w:basedOn w:val="DefaultParagraphFont"/>
    <w:unhideWhenUsed/>
    <w:rsid w:val="00CE5E06"/>
  </w:style>
  <w:style w:type="paragraph" w:styleId="Header">
    <w:name w:val="header"/>
    <w:basedOn w:val="Normal"/>
    <w:link w:val="HeaderChar"/>
    <w:uiPriority w:val="99"/>
    <w:unhideWhenUsed/>
    <w:rsid w:val="00C26576"/>
    <w:pPr>
      <w:tabs>
        <w:tab w:val="center" w:pos="4513"/>
        <w:tab w:val="right" w:pos="9026"/>
      </w:tabs>
      <w:spacing w:line="240" w:lineRule="auto"/>
    </w:pPr>
  </w:style>
  <w:style w:type="character" w:customStyle="1" w:styleId="HeaderChar">
    <w:name w:val="Header Char"/>
    <w:basedOn w:val="DefaultParagraphFont"/>
    <w:link w:val="Header"/>
    <w:uiPriority w:val="99"/>
    <w:rsid w:val="00C26576"/>
    <w:rPr>
      <w:rFonts w:ascii="Times New Roman" w:hAnsi="Times New Roman" w:cs="Times New Roman"/>
    </w:rPr>
  </w:style>
  <w:style w:type="paragraph" w:styleId="Footer">
    <w:name w:val="footer"/>
    <w:basedOn w:val="Normal"/>
    <w:link w:val="FooterChar"/>
    <w:uiPriority w:val="99"/>
    <w:unhideWhenUsed/>
    <w:rsid w:val="00C26576"/>
    <w:pPr>
      <w:tabs>
        <w:tab w:val="center" w:pos="4513"/>
        <w:tab w:val="right" w:pos="9026"/>
      </w:tabs>
      <w:spacing w:line="240" w:lineRule="auto"/>
    </w:pPr>
  </w:style>
  <w:style w:type="character" w:customStyle="1" w:styleId="FooterChar">
    <w:name w:val="Footer Char"/>
    <w:basedOn w:val="DefaultParagraphFont"/>
    <w:link w:val="Footer"/>
    <w:uiPriority w:val="99"/>
    <w:rsid w:val="00C26576"/>
    <w:rPr>
      <w:rFonts w:ascii="Times New Roman" w:hAnsi="Times New Roman" w:cs="Times New Roman"/>
    </w:rPr>
  </w:style>
  <w:style w:type="paragraph" w:styleId="DocumentMap">
    <w:name w:val="Document Map"/>
    <w:basedOn w:val="Normal"/>
    <w:link w:val="DocumentMapChar"/>
    <w:uiPriority w:val="99"/>
    <w:semiHidden/>
    <w:unhideWhenUsed/>
    <w:rsid w:val="001F62A7"/>
    <w:pPr>
      <w:spacing w:line="240" w:lineRule="auto"/>
    </w:pPr>
  </w:style>
  <w:style w:type="character" w:customStyle="1" w:styleId="DocumentMapChar">
    <w:name w:val="Document Map Char"/>
    <w:basedOn w:val="DefaultParagraphFont"/>
    <w:link w:val="DocumentMap"/>
    <w:uiPriority w:val="99"/>
    <w:semiHidden/>
    <w:rsid w:val="001F62A7"/>
    <w:rPr>
      <w:rFonts w:ascii="Times New Roman" w:hAnsi="Times New Roman" w:cs="Times New Roman"/>
    </w:rPr>
  </w:style>
  <w:style w:type="paragraph" w:styleId="NormalWeb">
    <w:name w:val="Normal (Web)"/>
    <w:basedOn w:val="Normal"/>
    <w:uiPriority w:val="99"/>
    <w:unhideWhenUsed/>
    <w:rsid w:val="00872731"/>
    <w:pPr>
      <w:spacing w:before="100" w:beforeAutospacing="1" w:after="100" w:afterAutospacing="1" w:line="240" w:lineRule="auto"/>
    </w:pPr>
  </w:style>
  <w:style w:type="character" w:styleId="Hyperlink">
    <w:name w:val="Hyperlink"/>
    <w:basedOn w:val="DefaultParagraphFont"/>
    <w:uiPriority w:val="99"/>
    <w:unhideWhenUsed/>
    <w:rsid w:val="00872731"/>
    <w:rPr>
      <w:color w:val="0563C1" w:themeColor="hyperlink"/>
      <w:u w:val="single"/>
    </w:rPr>
  </w:style>
  <w:style w:type="character" w:styleId="Strong">
    <w:name w:val="Strong"/>
    <w:basedOn w:val="DefaultParagraphFont"/>
    <w:uiPriority w:val="22"/>
    <w:qFormat/>
    <w:rsid w:val="005501D0"/>
    <w:rPr>
      <w:b/>
      <w:bCs/>
    </w:rPr>
  </w:style>
  <w:style w:type="character" w:styleId="PlaceholderText">
    <w:name w:val="Placeholder Text"/>
    <w:basedOn w:val="DefaultParagraphFont"/>
    <w:uiPriority w:val="99"/>
    <w:semiHidden/>
    <w:rsid w:val="009865B2"/>
    <w:rPr>
      <w:color w:val="808080"/>
    </w:rPr>
  </w:style>
  <w:style w:type="paragraph" w:styleId="Revision">
    <w:name w:val="Revision"/>
    <w:hidden/>
    <w:uiPriority w:val="99"/>
    <w:semiHidden/>
    <w:rsid w:val="005D49BF"/>
    <w:rPr>
      <w:rFonts w:ascii="Times New Roman" w:hAnsi="Times New Roman" w:cs="Times New Roman"/>
    </w:rPr>
  </w:style>
  <w:style w:type="paragraph" w:styleId="NoSpacing">
    <w:name w:val="No Spacing"/>
    <w:uiPriority w:val="1"/>
    <w:qFormat/>
    <w:rsid w:val="00374849"/>
    <w:rPr>
      <w:rFonts w:ascii="Times New Roman" w:hAnsi="Times New Roman" w:cs="Times New Roman"/>
      <w:color w:val="3F3F3F"/>
    </w:rPr>
  </w:style>
  <w:style w:type="character" w:styleId="HTMLCite">
    <w:name w:val="HTML Cite"/>
    <w:basedOn w:val="DefaultParagraphFont"/>
    <w:uiPriority w:val="99"/>
    <w:semiHidden/>
    <w:unhideWhenUsed/>
    <w:rsid w:val="00E205ED"/>
    <w:rPr>
      <w:i/>
      <w:iCs/>
    </w:rPr>
  </w:style>
  <w:style w:type="character" w:customStyle="1" w:styleId="cit">
    <w:name w:val="cit"/>
    <w:basedOn w:val="DefaultParagraphFont"/>
    <w:rsid w:val="00C80744"/>
  </w:style>
  <w:style w:type="character" w:customStyle="1" w:styleId="fm-vol-iss-date">
    <w:name w:val="fm-vol-iss-date"/>
    <w:basedOn w:val="DefaultParagraphFont"/>
    <w:rsid w:val="00C80744"/>
  </w:style>
  <w:style w:type="character" w:customStyle="1" w:styleId="doi">
    <w:name w:val="doi"/>
    <w:basedOn w:val="DefaultParagraphFont"/>
    <w:rsid w:val="00C80744"/>
  </w:style>
  <w:style w:type="character" w:styleId="FollowedHyperlink">
    <w:name w:val="FollowedHyperlink"/>
    <w:basedOn w:val="DefaultParagraphFont"/>
    <w:uiPriority w:val="99"/>
    <w:semiHidden/>
    <w:unhideWhenUsed/>
    <w:rsid w:val="004854F2"/>
    <w:rPr>
      <w:color w:val="954F72" w:themeColor="followedHyperlink"/>
      <w:u w:val="single"/>
    </w:rPr>
  </w:style>
  <w:style w:type="character" w:customStyle="1" w:styleId="apple-converted-space">
    <w:name w:val="apple-converted-space"/>
    <w:basedOn w:val="DefaultParagraphFont"/>
    <w:rsid w:val="0025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656">
      <w:bodyDiv w:val="1"/>
      <w:marLeft w:val="0"/>
      <w:marRight w:val="0"/>
      <w:marTop w:val="0"/>
      <w:marBottom w:val="0"/>
      <w:divBdr>
        <w:top w:val="none" w:sz="0" w:space="0" w:color="auto"/>
        <w:left w:val="none" w:sz="0" w:space="0" w:color="auto"/>
        <w:bottom w:val="none" w:sz="0" w:space="0" w:color="auto"/>
        <w:right w:val="none" w:sz="0" w:space="0" w:color="auto"/>
      </w:divBdr>
    </w:div>
    <w:div w:id="18747663">
      <w:bodyDiv w:val="1"/>
      <w:marLeft w:val="0"/>
      <w:marRight w:val="0"/>
      <w:marTop w:val="0"/>
      <w:marBottom w:val="0"/>
      <w:divBdr>
        <w:top w:val="none" w:sz="0" w:space="0" w:color="auto"/>
        <w:left w:val="none" w:sz="0" w:space="0" w:color="auto"/>
        <w:bottom w:val="none" w:sz="0" w:space="0" w:color="auto"/>
        <w:right w:val="none" w:sz="0" w:space="0" w:color="auto"/>
      </w:divBdr>
    </w:div>
    <w:div w:id="27873903">
      <w:bodyDiv w:val="1"/>
      <w:marLeft w:val="0"/>
      <w:marRight w:val="0"/>
      <w:marTop w:val="0"/>
      <w:marBottom w:val="0"/>
      <w:divBdr>
        <w:top w:val="none" w:sz="0" w:space="0" w:color="auto"/>
        <w:left w:val="none" w:sz="0" w:space="0" w:color="auto"/>
        <w:bottom w:val="none" w:sz="0" w:space="0" w:color="auto"/>
        <w:right w:val="none" w:sz="0" w:space="0" w:color="auto"/>
      </w:divBdr>
    </w:div>
    <w:div w:id="40329542">
      <w:bodyDiv w:val="1"/>
      <w:marLeft w:val="0"/>
      <w:marRight w:val="0"/>
      <w:marTop w:val="0"/>
      <w:marBottom w:val="0"/>
      <w:divBdr>
        <w:top w:val="none" w:sz="0" w:space="0" w:color="auto"/>
        <w:left w:val="none" w:sz="0" w:space="0" w:color="auto"/>
        <w:bottom w:val="none" w:sz="0" w:space="0" w:color="auto"/>
        <w:right w:val="none" w:sz="0" w:space="0" w:color="auto"/>
      </w:divBdr>
    </w:div>
    <w:div w:id="46145893">
      <w:bodyDiv w:val="1"/>
      <w:marLeft w:val="0"/>
      <w:marRight w:val="0"/>
      <w:marTop w:val="0"/>
      <w:marBottom w:val="0"/>
      <w:divBdr>
        <w:top w:val="none" w:sz="0" w:space="0" w:color="auto"/>
        <w:left w:val="none" w:sz="0" w:space="0" w:color="auto"/>
        <w:bottom w:val="none" w:sz="0" w:space="0" w:color="auto"/>
        <w:right w:val="none" w:sz="0" w:space="0" w:color="auto"/>
      </w:divBdr>
    </w:div>
    <w:div w:id="81996125">
      <w:bodyDiv w:val="1"/>
      <w:marLeft w:val="0"/>
      <w:marRight w:val="0"/>
      <w:marTop w:val="0"/>
      <w:marBottom w:val="0"/>
      <w:divBdr>
        <w:top w:val="none" w:sz="0" w:space="0" w:color="auto"/>
        <w:left w:val="none" w:sz="0" w:space="0" w:color="auto"/>
        <w:bottom w:val="none" w:sz="0" w:space="0" w:color="auto"/>
        <w:right w:val="none" w:sz="0" w:space="0" w:color="auto"/>
      </w:divBdr>
    </w:div>
    <w:div w:id="91096830">
      <w:bodyDiv w:val="1"/>
      <w:marLeft w:val="0"/>
      <w:marRight w:val="0"/>
      <w:marTop w:val="0"/>
      <w:marBottom w:val="0"/>
      <w:divBdr>
        <w:top w:val="none" w:sz="0" w:space="0" w:color="auto"/>
        <w:left w:val="none" w:sz="0" w:space="0" w:color="auto"/>
        <w:bottom w:val="none" w:sz="0" w:space="0" w:color="auto"/>
        <w:right w:val="none" w:sz="0" w:space="0" w:color="auto"/>
      </w:divBdr>
    </w:div>
    <w:div w:id="116989415">
      <w:bodyDiv w:val="1"/>
      <w:marLeft w:val="0"/>
      <w:marRight w:val="0"/>
      <w:marTop w:val="0"/>
      <w:marBottom w:val="0"/>
      <w:divBdr>
        <w:top w:val="none" w:sz="0" w:space="0" w:color="auto"/>
        <w:left w:val="none" w:sz="0" w:space="0" w:color="auto"/>
        <w:bottom w:val="none" w:sz="0" w:space="0" w:color="auto"/>
        <w:right w:val="none" w:sz="0" w:space="0" w:color="auto"/>
      </w:divBdr>
    </w:div>
    <w:div w:id="168181611">
      <w:bodyDiv w:val="1"/>
      <w:marLeft w:val="0"/>
      <w:marRight w:val="0"/>
      <w:marTop w:val="0"/>
      <w:marBottom w:val="0"/>
      <w:divBdr>
        <w:top w:val="none" w:sz="0" w:space="0" w:color="auto"/>
        <w:left w:val="none" w:sz="0" w:space="0" w:color="auto"/>
        <w:bottom w:val="none" w:sz="0" w:space="0" w:color="auto"/>
        <w:right w:val="none" w:sz="0" w:space="0" w:color="auto"/>
      </w:divBdr>
    </w:div>
    <w:div w:id="202140756">
      <w:bodyDiv w:val="1"/>
      <w:marLeft w:val="0"/>
      <w:marRight w:val="0"/>
      <w:marTop w:val="0"/>
      <w:marBottom w:val="0"/>
      <w:divBdr>
        <w:top w:val="none" w:sz="0" w:space="0" w:color="auto"/>
        <w:left w:val="none" w:sz="0" w:space="0" w:color="auto"/>
        <w:bottom w:val="none" w:sz="0" w:space="0" w:color="auto"/>
        <w:right w:val="none" w:sz="0" w:space="0" w:color="auto"/>
      </w:divBdr>
    </w:div>
    <w:div w:id="228467896">
      <w:bodyDiv w:val="1"/>
      <w:marLeft w:val="0"/>
      <w:marRight w:val="0"/>
      <w:marTop w:val="0"/>
      <w:marBottom w:val="0"/>
      <w:divBdr>
        <w:top w:val="none" w:sz="0" w:space="0" w:color="auto"/>
        <w:left w:val="none" w:sz="0" w:space="0" w:color="auto"/>
        <w:bottom w:val="none" w:sz="0" w:space="0" w:color="auto"/>
        <w:right w:val="none" w:sz="0" w:space="0" w:color="auto"/>
      </w:divBdr>
    </w:div>
    <w:div w:id="247857306">
      <w:bodyDiv w:val="1"/>
      <w:marLeft w:val="0"/>
      <w:marRight w:val="0"/>
      <w:marTop w:val="0"/>
      <w:marBottom w:val="0"/>
      <w:divBdr>
        <w:top w:val="none" w:sz="0" w:space="0" w:color="auto"/>
        <w:left w:val="none" w:sz="0" w:space="0" w:color="auto"/>
        <w:bottom w:val="none" w:sz="0" w:space="0" w:color="auto"/>
        <w:right w:val="none" w:sz="0" w:space="0" w:color="auto"/>
      </w:divBdr>
    </w:div>
    <w:div w:id="287667674">
      <w:bodyDiv w:val="1"/>
      <w:marLeft w:val="0"/>
      <w:marRight w:val="0"/>
      <w:marTop w:val="0"/>
      <w:marBottom w:val="0"/>
      <w:divBdr>
        <w:top w:val="none" w:sz="0" w:space="0" w:color="auto"/>
        <w:left w:val="none" w:sz="0" w:space="0" w:color="auto"/>
        <w:bottom w:val="none" w:sz="0" w:space="0" w:color="auto"/>
        <w:right w:val="none" w:sz="0" w:space="0" w:color="auto"/>
      </w:divBdr>
    </w:div>
    <w:div w:id="288974111">
      <w:bodyDiv w:val="1"/>
      <w:marLeft w:val="0"/>
      <w:marRight w:val="0"/>
      <w:marTop w:val="0"/>
      <w:marBottom w:val="0"/>
      <w:divBdr>
        <w:top w:val="none" w:sz="0" w:space="0" w:color="auto"/>
        <w:left w:val="none" w:sz="0" w:space="0" w:color="auto"/>
        <w:bottom w:val="none" w:sz="0" w:space="0" w:color="auto"/>
        <w:right w:val="none" w:sz="0" w:space="0" w:color="auto"/>
      </w:divBdr>
    </w:div>
    <w:div w:id="307049932">
      <w:bodyDiv w:val="1"/>
      <w:marLeft w:val="0"/>
      <w:marRight w:val="0"/>
      <w:marTop w:val="0"/>
      <w:marBottom w:val="0"/>
      <w:divBdr>
        <w:top w:val="none" w:sz="0" w:space="0" w:color="auto"/>
        <w:left w:val="none" w:sz="0" w:space="0" w:color="auto"/>
        <w:bottom w:val="none" w:sz="0" w:space="0" w:color="auto"/>
        <w:right w:val="none" w:sz="0" w:space="0" w:color="auto"/>
      </w:divBdr>
    </w:div>
    <w:div w:id="312149287">
      <w:bodyDiv w:val="1"/>
      <w:marLeft w:val="0"/>
      <w:marRight w:val="0"/>
      <w:marTop w:val="0"/>
      <w:marBottom w:val="0"/>
      <w:divBdr>
        <w:top w:val="none" w:sz="0" w:space="0" w:color="auto"/>
        <w:left w:val="none" w:sz="0" w:space="0" w:color="auto"/>
        <w:bottom w:val="none" w:sz="0" w:space="0" w:color="auto"/>
        <w:right w:val="none" w:sz="0" w:space="0" w:color="auto"/>
      </w:divBdr>
    </w:div>
    <w:div w:id="350760875">
      <w:bodyDiv w:val="1"/>
      <w:marLeft w:val="0"/>
      <w:marRight w:val="0"/>
      <w:marTop w:val="0"/>
      <w:marBottom w:val="0"/>
      <w:divBdr>
        <w:top w:val="none" w:sz="0" w:space="0" w:color="auto"/>
        <w:left w:val="none" w:sz="0" w:space="0" w:color="auto"/>
        <w:bottom w:val="none" w:sz="0" w:space="0" w:color="auto"/>
        <w:right w:val="none" w:sz="0" w:space="0" w:color="auto"/>
      </w:divBdr>
    </w:div>
    <w:div w:id="374158856">
      <w:bodyDiv w:val="1"/>
      <w:marLeft w:val="0"/>
      <w:marRight w:val="0"/>
      <w:marTop w:val="0"/>
      <w:marBottom w:val="0"/>
      <w:divBdr>
        <w:top w:val="none" w:sz="0" w:space="0" w:color="auto"/>
        <w:left w:val="none" w:sz="0" w:space="0" w:color="auto"/>
        <w:bottom w:val="none" w:sz="0" w:space="0" w:color="auto"/>
        <w:right w:val="none" w:sz="0" w:space="0" w:color="auto"/>
      </w:divBdr>
      <w:divsChild>
        <w:div w:id="1432319525">
          <w:marLeft w:val="0"/>
          <w:marRight w:val="0"/>
          <w:marTop w:val="0"/>
          <w:marBottom w:val="0"/>
          <w:divBdr>
            <w:top w:val="none" w:sz="0" w:space="0" w:color="auto"/>
            <w:left w:val="none" w:sz="0" w:space="0" w:color="auto"/>
            <w:bottom w:val="none" w:sz="0" w:space="0" w:color="auto"/>
            <w:right w:val="none" w:sz="0" w:space="0" w:color="auto"/>
          </w:divBdr>
          <w:divsChild>
            <w:div w:id="761074658">
              <w:marLeft w:val="0"/>
              <w:marRight w:val="0"/>
              <w:marTop w:val="0"/>
              <w:marBottom w:val="0"/>
              <w:divBdr>
                <w:top w:val="none" w:sz="0" w:space="0" w:color="auto"/>
                <w:left w:val="none" w:sz="0" w:space="0" w:color="auto"/>
                <w:bottom w:val="none" w:sz="0" w:space="0" w:color="auto"/>
                <w:right w:val="none" w:sz="0" w:space="0" w:color="auto"/>
              </w:divBdr>
              <w:divsChild>
                <w:div w:id="1254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5489">
      <w:bodyDiv w:val="1"/>
      <w:marLeft w:val="0"/>
      <w:marRight w:val="0"/>
      <w:marTop w:val="0"/>
      <w:marBottom w:val="0"/>
      <w:divBdr>
        <w:top w:val="none" w:sz="0" w:space="0" w:color="auto"/>
        <w:left w:val="none" w:sz="0" w:space="0" w:color="auto"/>
        <w:bottom w:val="none" w:sz="0" w:space="0" w:color="auto"/>
        <w:right w:val="none" w:sz="0" w:space="0" w:color="auto"/>
      </w:divBdr>
    </w:div>
    <w:div w:id="387383750">
      <w:bodyDiv w:val="1"/>
      <w:marLeft w:val="0"/>
      <w:marRight w:val="0"/>
      <w:marTop w:val="0"/>
      <w:marBottom w:val="0"/>
      <w:divBdr>
        <w:top w:val="none" w:sz="0" w:space="0" w:color="auto"/>
        <w:left w:val="none" w:sz="0" w:space="0" w:color="auto"/>
        <w:bottom w:val="none" w:sz="0" w:space="0" w:color="auto"/>
        <w:right w:val="none" w:sz="0" w:space="0" w:color="auto"/>
      </w:divBdr>
    </w:div>
    <w:div w:id="389547790">
      <w:bodyDiv w:val="1"/>
      <w:marLeft w:val="0"/>
      <w:marRight w:val="0"/>
      <w:marTop w:val="0"/>
      <w:marBottom w:val="0"/>
      <w:divBdr>
        <w:top w:val="none" w:sz="0" w:space="0" w:color="auto"/>
        <w:left w:val="none" w:sz="0" w:space="0" w:color="auto"/>
        <w:bottom w:val="none" w:sz="0" w:space="0" w:color="auto"/>
        <w:right w:val="none" w:sz="0" w:space="0" w:color="auto"/>
      </w:divBdr>
    </w:div>
    <w:div w:id="442651310">
      <w:bodyDiv w:val="1"/>
      <w:marLeft w:val="0"/>
      <w:marRight w:val="0"/>
      <w:marTop w:val="0"/>
      <w:marBottom w:val="0"/>
      <w:divBdr>
        <w:top w:val="none" w:sz="0" w:space="0" w:color="auto"/>
        <w:left w:val="none" w:sz="0" w:space="0" w:color="auto"/>
        <w:bottom w:val="none" w:sz="0" w:space="0" w:color="auto"/>
        <w:right w:val="none" w:sz="0" w:space="0" w:color="auto"/>
      </w:divBdr>
    </w:div>
    <w:div w:id="492720888">
      <w:bodyDiv w:val="1"/>
      <w:marLeft w:val="0"/>
      <w:marRight w:val="0"/>
      <w:marTop w:val="0"/>
      <w:marBottom w:val="0"/>
      <w:divBdr>
        <w:top w:val="none" w:sz="0" w:space="0" w:color="auto"/>
        <w:left w:val="none" w:sz="0" w:space="0" w:color="auto"/>
        <w:bottom w:val="none" w:sz="0" w:space="0" w:color="auto"/>
        <w:right w:val="none" w:sz="0" w:space="0" w:color="auto"/>
      </w:divBdr>
    </w:div>
    <w:div w:id="493687373">
      <w:bodyDiv w:val="1"/>
      <w:marLeft w:val="0"/>
      <w:marRight w:val="0"/>
      <w:marTop w:val="0"/>
      <w:marBottom w:val="0"/>
      <w:divBdr>
        <w:top w:val="none" w:sz="0" w:space="0" w:color="auto"/>
        <w:left w:val="none" w:sz="0" w:space="0" w:color="auto"/>
        <w:bottom w:val="none" w:sz="0" w:space="0" w:color="auto"/>
        <w:right w:val="none" w:sz="0" w:space="0" w:color="auto"/>
      </w:divBdr>
      <w:divsChild>
        <w:div w:id="540440615">
          <w:marLeft w:val="360"/>
          <w:marRight w:val="0"/>
          <w:marTop w:val="0"/>
          <w:marBottom w:val="0"/>
          <w:divBdr>
            <w:top w:val="none" w:sz="0" w:space="0" w:color="auto"/>
            <w:left w:val="none" w:sz="0" w:space="0" w:color="auto"/>
            <w:bottom w:val="none" w:sz="0" w:space="0" w:color="auto"/>
            <w:right w:val="none" w:sz="0" w:space="0" w:color="auto"/>
          </w:divBdr>
        </w:div>
      </w:divsChild>
    </w:div>
    <w:div w:id="521092766">
      <w:bodyDiv w:val="1"/>
      <w:marLeft w:val="0"/>
      <w:marRight w:val="0"/>
      <w:marTop w:val="0"/>
      <w:marBottom w:val="0"/>
      <w:divBdr>
        <w:top w:val="none" w:sz="0" w:space="0" w:color="auto"/>
        <w:left w:val="none" w:sz="0" w:space="0" w:color="auto"/>
        <w:bottom w:val="none" w:sz="0" w:space="0" w:color="auto"/>
        <w:right w:val="none" w:sz="0" w:space="0" w:color="auto"/>
      </w:divBdr>
    </w:div>
    <w:div w:id="537551646">
      <w:bodyDiv w:val="1"/>
      <w:marLeft w:val="0"/>
      <w:marRight w:val="0"/>
      <w:marTop w:val="0"/>
      <w:marBottom w:val="0"/>
      <w:divBdr>
        <w:top w:val="none" w:sz="0" w:space="0" w:color="auto"/>
        <w:left w:val="none" w:sz="0" w:space="0" w:color="auto"/>
        <w:bottom w:val="none" w:sz="0" w:space="0" w:color="auto"/>
        <w:right w:val="none" w:sz="0" w:space="0" w:color="auto"/>
      </w:divBdr>
    </w:div>
    <w:div w:id="547377659">
      <w:bodyDiv w:val="1"/>
      <w:marLeft w:val="0"/>
      <w:marRight w:val="0"/>
      <w:marTop w:val="0"/>
      <w:marBottom w:val="0"/>
      <w:divBdr>
        <w:top w:val="none" w:sz="0" w:space="0" w:color="auto"/>
        <w:left w:val="none" w:sz="0" w:space="0" w:color="auto"/>
        <w:bottom w:val="none" w:sz="0" w:space="0" w:color="auto"/>
        <w:right w:val="none" w:sz="0" w:space="0" w:color="auto"/>
      </w:divBdr>
    </w:div>
    <w:div w:id="579678489">
      <w:bodyDiv w:val="1"/>
      <w:marLeft w:val="0"/>
      <w:marRight w:val="0"/>
      <w:marTop w:val="0"/>
      <w:marBottom w:val="0"/>
      <w:divBdr>
        <w:top w:val="none" w:sz="0" w:space="0" w:color="auto"/>
        <w:left w:val="none" w:sz="0" w:space="0" w:color="auto"/>
        <w:bottom w:val="none" w:sz="0" w:space="0" w:color="auto"/>
        <w:right w:val="none" w:sz="0" w:space="0" w:color="auto"/>
      </w:divBdr>
      <w:divsChild>
        <w:div w:id="932586536">
          <w:marLeft w:val="547"/>
          <w:marRight w:val="0"/>
          <w:marTop w:val="96"/>
          <w:marBottom w:val="0"/>
          <w:divBdr>
            <w:top w:val="none" w:sz="0" w:space="0" w:color="auto"/>
            <w:left w:val="none" w:sz="0" w:space="0" w:color="auto"/>
            <w:bottom w:val="none" w:sz="0" w:space="0" w:color="auto"/>
            <w:right w:val="none" w:sz="0" w:space="0" w:color="auto"/>
          </w:divBdr>
        </w:div>
      </w:divsChild>
    </w:div>
    <w:div w:id="632561749">
      <w:bodyDiv w:val="1"/>
      <w:marLeft w:val="0"/>
      <w:marRight w:val="0"/>
      <w:marTop w:val="0"/>
      <w:marBottom w:val="0"/>
      <w:divBdr>
        <w:top w:val="none" w:sz="0" w:space="0" w:color="auto"/>
        <w:left w:val="none" w:sz="0" w:space="0" w:color="auto"/>
        <w:bottom w:val="none" w:sz="0" w:space="0" w:color="auto"/>
        <w:right w:val="none" w:sz="0" w:space="0" w:color="auto"/>
      </w:divBdr>
    </w:div>
    <w:div w:id="637804000">
      <w:bodyDiv w:val="1"/>
      <w:marLeft w:val="0"/>
      <w:marRight w:val="0"/>
      <w:marTop w:val="0"/>
      <w:marBottom w:val="0"/>
      <w:divBdr>
        <w:top w:val="none" w:sz="0" w:space="0" w:color="auto"/>
        <w:left w:val="none" w:sz="0" w:space="0" w:color="auto"/>
        <w:bottom w:val="none" w:sz="0" w:space="0" w:color="auto"/>
        <w:right w:val="none" w:sz="0" w:space="0" w:color="auto"/>
      </w:divBdr>
    </w:div>
    <w:div w:id="676159234">
      <w:bodyDiv w:val="1"/>
      <w:marLeft w:val="0"/>
      <w:marRight w:val="0"/>
      <w:marTop w:val="0"/>
      <w:marBottom w:val="0"/>
      <w:divBdr>
        <w:top w:val="none" w:sz="0" w:space="0" w:color="auto"/>
        <w:left w:val="none" w:sz="0" w:space="0" w:color="auto"/>
        <w:bottom w:val="none" w:sz="0" w:space="0" w:color="auto"/>
        <w:right w:val="none" w:sz="0" w:space="0" w:color="auto"/>
      </w:divBdr>
    </w:div>
    <w:div w:id="696589908">
      <w:bodyDiv w:val="1"/>
      <w:marLeft w:val="0"/>
      <w:marRight w:val="0"/>
      <w:marTop w:val="0"/>
      <w:marBottom w:val="0"/>
      <w:divBdr>
        <w:top w:val="none" w:sz="0" w:space="0" w:color="auto"/>
        <w:left w:val="none" w:sz="0" w:space="0" w:color="auto"/>
        <w:bottom w:val="none" w:sz="0" w:space="0" w:color="auto"/>
        <w:right w:val="none" w:sz="0" w:space="0" w:color="auto"/>
      </w:divBdr>
    </w:div>
    <w:div w:id="732461651">
      <w:bodyDiv w:val="1"/>
      <w:marLeft w:val="0"/>
      <w:marRight w:val="0"/>
      <w:marTop w:val="0"/>
      <w:marBottom w:val="0"/>
      <w:divBdr>
        <w:top w:val="none" w:sz="0" w:space="0" w:color="auto"/>
        <w:left w:val="none" w:sz="0" w:space="0" w:color="auto"/>
        <w:bottom w:val="none" w:sz="0" w:space="0" w:color="auto"/>
        <w:right w:val="none" w:sz="0" w:space="0" w:color="auto"/>
      </w:divBdr>
    </w:div>
    <w:div w:id="735009040">
      <w:bodyDiv w:val="1"/>
      <w:marLeft w:val="0"/>
      <w:marRight w:val="0"/>
      <w:marTop w:val="0"/>
      <w:marBottom w:val="0"/>
      <w:divBdr>
        <w:top w:val="none" w:sz="0" w:space="0" w:color="auto"/>
        <w:left w:val="none" w:sz="0" w:space="0" w:color="auto"/>
        <w:bottom w:val="none" w:sz="0" w:space="0" w:color="auto"/>
        <w:right w:val="none" w:sz="0" w:space="0" w:color="auto"/>
      </w:divBdr>
      <w:divsChild>
        <w:div w:id="389889730">
          <w:marLeft w:val="0"/>
          <w:marRight w:val="0"/>
          <w:marTop w:val="0"/>
          <w:marBottom w:val="0"/>
          <w:divBdr>
            <w:top w:val="none" w:sz="0" w:space="0" w:color="auto"/>
            <w:left w:val="none" w:sz="0" w:space="0" w:color="auto"/>
            <w:bottom w:val="none" w:sz="0" w:space="0" w:color="auto"/>
            <w:right w:val="none" w:sz="0" w:space="0" w:color="auto"/>
          </w:divBdr>
          <w:divsChild>
            <w:div w:id="2050374334">
              <w:marLeft w:val="0"/>
              <w:marRight w:val="0"/>
              <w:marTop w:val="0"/>
              <w:marBottom w:val="0"/>
              <w:divBdr>
                <w:top w:val="none" w:sz="0" w:space="0" w:color="auto"/>
                <w:left w:val="none" w:sz="0" w:space="0" w:color="auto"/>
                <w:bottom w:val="none" w:sz="0" w:space="0" w:color="auto"/>
                <w:right w:val="none" w:sz="0" w:space="0" w:color="auto"/>
              </w:divBdr>
              <w:divsChild>
                <w:div w:id="21090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9605">
      <w:bodyDiv w:val="1"/>
      <w:marLeft w:val="0"/>
      <w:marRight w:val="0"/>
      <w:marTop w:val="0"/>
      <w:marBottom w:val="0"/>
      <w:divBdr>
        <w:top w:val="none" w:sz="0" w:space="0" w:color="auto"/>
        <w:left w:val="none" w:sz="0" w:space="0" w:color="auto"/>
        <w:bottom w:val="none" w:sz="0" w:space="0" w:color="auto"/>
        <w:right w:val="none" w:sz="0" w:space="0" w:color="auto"/>
      </w:divBdr>
    </w:div>
    <w:div w:id="837311207">
      <w:bodyDiv w:val="1"/>
      <w:marLeft w:val="0"/>
      <w:marRight w:val="0"/>
      <w:marTop w:val="0"/>
      <w:marBottom w:val="0"/>
      <w:divBdr>
        <w:top w:val="none" w:sz="0" w:space="0" w:color="auto"/>
        <w:left w:val="none" w:sz="0" w:space="0" w:color="auto"/>
        <w:bottom w:val="none" w:sz="0" w:space="0" w:color="auto"/>
        <w:right w:val="none" w:sz="0" w:space="0" w:color="auto"/>
      </w:divBdr>
    </w:div>
    <w:div w:id="845094229">
      <w:bodyDiv w:val="1"/>
      <w:marLeft w:val="0"/>
      <w:marRight w:val="0"/>
      <w:marTop w:val="0"/>
      <w:marBottom w:val="0"/>
      <w:divBdr>
        <w:top w:val="none" w:sz="0" w:space="0" w:color="auto"/>
        <w:left w:val="none" w:sz="0" w:space="0" w:color="auto"/>
        <w:bottom w:val="none" w:sz="0" w:space="0" w:color="auto"/>
        <w:right w:val="none" w:sz="0" w:space="0" w:color="auto"/>
      </w:divBdr>
    </w:div>
    <w:div w:id="857084850">
      <w:bodyDiv w:val="1"/>
      <w:marLeft w:val="0"/>
      <w:marRight w:val="0"/>
      <w:marTop w:val="0"/>
      <w:marBottom w:val="0"/>
      <w:divBdr>
        <w:top w:val="none" w:sz="0" w:space="0" w:color="auto"/>
        <w:left w:val="none" w:sz="0" w:space="0" w:color="auto"/>
        <w:bottom w:val="none" w:sz="0" w:space="0" w:color="auto"/>
        <w:right w:val="none" w:sz="0" w:space="0" w:color="auto"/>
      </w:divBdr>
    </w:div>
    <w:div w:id="857426116">
      <w:bodyDiv w:val="1"/>
      <w:marLeft w:val="0"/>
      <w:marRight w:val="0"/>
      <w:marTop w:val="0"/>
      <w:marBottom w:val="0"/>
      <w:divBdr>
        <w:top w:val="none" w:sz="0" w:space="0" w:color="auto"/>
        <w:left w:val="none" w:sz="0" w:space="0" w:color="auto"/>
        <w:bottom w:val="none" w:sz="0" w:space="0" w:color="auto"/>
        <w:right w:val="none" w:sz="0" w:space="0" w:color="auto"/>
      </w:divBdr>
    </w:div>
    <w:div w:id="867720639">
      <w:bodyDiv w:val="1"/>
      <w:marLeft w:val="0"/>
      <w:marRight w:val="0"/>
      <w:marTop w:val="0"/>
      <w:marBottom w:val="0"/>
      <w:divBdr>
        <w:top w:val="none" w:sz="0" w:space="0" w:color="auto"/>
        <w:left w:val="none" w:sz="0" w:space="0" w:color="auto"/>
        <w:bottom w:val="none" w:sz="0" w:space="0" w:color="auto"/>
        <w:right w:val="none" w:sz="0" w:space="0" w:color="auto"/>
      </w:divBdr>
    </w:div>
    <w:div w:id="906957497">
      <w:bodyDiv w:val="1"/>
      <w:marLeft w:val="0"/>
      <w:marRight w:val="0"/>
      <w:marTop w:val="0"/>
      <w:marBottom w:val="0"/>
      <w:divBdr>
        <w:top w:val="none" w:sz="0" w:space="0" w:color="auto"/>
        <w:left w:val="none" w:sz="0" w:space="0" w:color="auto"/>
        <w:bottom w:val="none" w:sz="0" w:space="0" w:color="auto"/>
        <w:right w:val="none" w:sz="0" w:space="0" w:color="auto"/>
      </w:divBdr>
    </w:div>
    <w:div w:id="912659511">
      <w:bodyDiv w:val="1"/>
      <w:marLeft w:val="0"/>
      <w:marRight w:val="0"/>
      <w:marTop w:val="0"/>
      <w:marBottom w:val="0"/>
      <w:divBdr>
        <w:top w:val="none" w:sz="0" w:space="0" w:color="auto"/>
        <w:left w:val="none" w:sz="0" w:space="0" w:color="auto"/>
        <w:bottom w:val="none" w:sz="0" w:space="0" w:color="auto"/>
        <w:right w:val="none" w:sz="0" w:space="0" w:color="auto"/>
      </w:divBdr>
    </w:div>
    <w:div w:id="918903468">
      <w:bodyDiv w:val="1"/>
      <w:marLeft w:val="0"/>
      <w:marRight w:val="0"/>
      <w:marTop w:val="0"/>
      <w:marBottom w:val="0"/>
      <w:divBdr>
        <w:top w:val="none" w:sz="0" w:space="0" w:color="auto"/>
        <w:left w:val="none" w:sz="0" w:space="0" w:color="auto"/>
        <w:bottom w:val="none" w:sz="0" w:space="0" w:color="auto"/>
        <w:right w:val="none" w:sz="0" w:space="0" w:color="auto"/>
      </w:divBdr>
    </w:div>
    <w:div w:id="920060594">
      <w:bodyDiv w:val="1"/>
      <w:marLeft w:val="0"/>
      <w:marRight w:val="0"/>
      <w:marTop w:val="0"/>
      <w:marBottom w:val="0"/>
      <w:divBdr>
        <w:top w:val="none" w:sz="0" w:space="0" w:color="auto"/>
        <w:left w:val="none" w:sz="0" w:space="0" w:color="auto"/>
        <w:bottom w:val="none" w:sz="0" w:space="0" w:color="auto"/>
        <w:right w:val="none" w:sz="0" w:space="0" w:color="auto"/>
      </w:divBdr>
      <w:divsChild>
        <w:div w:id="1695571018">
          <w:marLeft w:val="0"/>
          <w:marRight w:val="0"/>
          <w:marTop w:val="0"/>
          <w:marBottom w:val="0"/>
          <w:divBdr>
            <w:top w:val="none" w:sz="0" w:space="0" w:color="auto"/>
            <w:left w:val="none" w:sz="0" w:space="0" w:color="auto"/>
            <w:bottom w:val="none" w:sz="0" w:space="0" w:color="auto"/>
            <w:right w:val="none" w:sz="0" w:space="0" w:color="auto"/>
          </w:divBdr>
          <w:divsChild>
            <w:div w:id="1069497404">
              <w:marLeft w:val="0"/>
              <w:marRight w:val="0"/>
              <w:marTop w:val="0"/>
              <w:marBottom w:val="0"/>
              <w:divBdr>
                <w:top w:val="none" w:sz="0" w:space="0" w:color="auto"/>
                <w:left w:val="none" w:sz="0" w:space="0" w:color="auto"/>
                <w:bottom w:val="none" w:sz="0" w:space="0" w:color="auto"/>
                <w:right w:val="none" w:sz="0" w:space="0" w:color="auto"/>
              </w:divBdr>
              <w:divsChild>
                <w:div w:id="2227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2756">
      <w:bodyDiv w:val="1"/>
      <w:marLeft w:val="0"/>
      <w:marRight w:val="0"/>
      <w:marTop w:val="0"/>
      <w:marBottom w:val="0"/>
      <w:divBdr>
        <w:top w:val="none" w:sz="0" w:space="0" w:color="auto"/>
        <w:left w:val="none" w:sz="0" w:space="0" w:color="auto"/>
        <w:bottom w:val="none" w:sz="0" w:space="0" w:color="auto"/>
        <w:right w:val="none" w:sz="0" w:space="0" w:color="auto"/>
      </w:divBdr>
    </w:div>
    <w:div w:id="1019310366">
      <w:bodyDiv w:val="1"/>
      <w:marLeft w:val="0"/>
      <w:marRight w:val="0"/>
      <w:marTop w:val="0"/>
      <w:marBottom w:val="0"/>
      <w:divBdr>
        <w:top w:val="none" w:sz="0" w:space="0" w:color="auto"/>
        <w:left w:val="none" w:sz="0" w:space="0" w:color="auto"/>
        <w:bottom w:val="none" w:sz="0" w:space="0" w:color="auto"/>
        <w:right w:val="none" w:sz="0" w:space="0" w:color="auto"/>
      </w:divBdr>
    </w:div>
    <w:div w:id="1022781856">
      <w:bodyDiv w:val="1"/>
      <w:marLeft w:val="0"/>
      <w:marRight w:val="0"/>
      <w:marTop w:val="0"/>
      <w:marBottom w:val="0"/>
      <w:divBdr>
        <w:top w:val="none" w:sz="0" w:space="0" w:color="auto"/>
        <w:left w:val="none" w:sz="0" w:space="0" w:color="auto"/>
        <w:bottom w:val="none" w:sz="0" w:space="0" w:color="auto"/>
        <w:right w:val="none" w:sz="0" w:space="0" w:color="auto"/>
      </w:divBdr>
    </w:div>
    <w:div w:id="1070662860">
      <w:bodyDiv w:val="1"/>
      <w:marLeft w:val="0"/>
      <w:marRight w:val="0"/>
      <w:marTop w:val="0"/>
      <w:marBottom w:val="0"/>
      <w:divBdr>
        <w:top w:val="none" w:sz="0" w:space="0" w:color="auto"/>
        <w:left w:val="none" w:sz="0" w:space="0" w:color="auto"/>
        <w:bottom w:val="none" w:sz="0" w:space="0" w:color="auto"/>
        <w:right w:val="none" w:sz="0" w:space="0" w:color="auto"/>
      </w:divBdr>
    </w:div>
    <w:div w:id="1082796146">
      <w:bodyDiv w:val="1"/>
      <w:marLeft w:val="0"/>
      <w:marRight w:val="0"/>
      <w:marTop w:val="0"/>
      <w:marBottom w:val="0"/>
      <w:divBdr>
        <w:top w:val="none" w:sz="0" w:space="0" w:color="auto"/>
        <w:left w:val="none" w:sz="0" w:space="0" w:color="auto"/>
        <w:bottom w:val="none" w:sz="0" w:space="0" w:color="auto"/>
        <w:right w:val="none" w:sz="0" w:space="0" w:color="auto"/>
      </w:divBdr>
    </w:div>
    <w:div w:id="1155492734">
      <w:bodyDiv w:val="1"/>
      <w:marLeft w:val="0"/>
      <w:marRight w:val="0"/>
      <w:marTop w:val="0"/>
      <w:marBottom w:val="0"/>
      <w:divBdr>
        <w:top w:val="none" w:sz="0" w:space="0" w:color="auto"/>
        <w:left w:val="none" w:sz="0" w:space="0" w:color="auto"/>
        <w:bottom w:val="none" w:sz="0" w:space="0" w:color="auto"/>
        <w:right w:val="none" w:sz="0" w:space="0" w:color="auto"/>
      </w:divBdr>
    </w:div>
    <w:div w:id="1158110526">
      <w:bodyDiv w:val="1"/>
      <w:marLeft w:val="0"/>
      <w:marRight w:val="0"/>
      <w:marTop w:val="0"/>
      <w:marBottom w:val="0"/>
      <w:divBdr>
        <w:top w:val="none" w:sz="0" w:space="0" w:color="auto"/>
        <w:left w:val="none" w:sz="0" w:space="0" w:color="auto"/>
        <w:bottom w:val="none" w:sz="0" w:space="0" w:color="auto"/>
        <w:right w:val="none" w:sz="0" w:space="0" w:color="auto"/>
      </w:divBdr>
      <w:divsChild>
        <w:div w:id="4984378">
          <w:marLeft w:val="0"/>
          <w:marRight w:val="0"/>
          <w:marTop w:val="0"/>
          <w:marBottom w:val="0"/>
          <w:divBdr>
            <w:top w:val="none" w:sz="0" w:space="0" w:color="auto"/>
            <w:left w:val="none" w:sz="0" w:space="0" w:color="auto"/>
            <w:bottom w:val="none" w:sz="0" w:space="0" w:color="auto"/>
            <w:right w:val="none" w:sz="0" w:space="0" w:color="auto"/>
          </w:divBdr>
          <w:divsChild>
            <w:div w:id="1681472803">
              <w:marLeft w:val="0"/>
              <w:marRight w:val="0"/>
              <w:marTop w:val="0"/>
              <w:marBottom w:val="0"/>
              <w:divBdr>
                <w:top w:val="none" w:sz="0" w:space="0" w:color="auto"/>
                <w:left w:val="none" w:sz="0" w:space="0" w:color="auto"/>
                <w:bottom w:val="none" w:sz="0" w:space="0" w:color="auto"/>
                <w:right w:val="none" w:sz="0" w:space="0" w:color="auto"/>
              </w:divBdr>
              <w:divsChild>
                <w:div w:id="1948805487">
                  <w:marLeft w:val="0"/>
                  <w:marRight w:val="0"/>
                  <w:marTop w:val="0"/>
                  <w:marBottom w:val="0"/>
                  <w:divBdr>
                    <w:top w:val="none" w:sz="0" w:space="0" w:color="auto"/>
                    <w:left w:val="none" w:sz="0" w:space="0" w:color="auto"/>
                    <w:bottom w:val="none" w:sz="0" w:space="0" w:color="auto"/>
                    <w:right w:val="none" w:sz="0" w:space="0" w:color="auto"/>
                  </w:divBdr>
                  <w:divsChild>
                    <w:div w:id="2121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3768">
      <w:bodyDiv w:val="1"/>
      <w:marLeft w:val="0"/>
      <w:marRight w:val="0"/>
      <w:marTop w:val="0"/>
      <w:marBottom w:val="0"/>
      <w:divBdr>
        <w:top w:val="none" w:sz="0" w:space="0" w:color="auto"/>
        <w:left w:val="none" w:sz="0" w:space="0" w:color="auto"/>
        <w:bottom w:val="none" w:sz="0" w:space="0" w:color="auto"/>
        <w:right w:val="none" w:sz="0" w:space="0" w:color="auto"/>
      </w:divBdr>
    </w:div>
    <w:div w:id="1188371535">
      <w:bodyDiv w:val="1"/>
      <w:marLeft w:val="0"/>
      <w:marRight w:val="0"/>
      <w:marTop w:val="0"/>
      <w:marBottom w:val="0"/>
      <w:divBdr>
        <w:top w:val="none" w:sz="0" w:space="0" w:color="auto"/>
        <w:left w:val="none" w:sz="0" w:space="0" w:color="auto"/>
        <w:bottom w:val="none" w:sz="0" w:space="0" w:color="auto"/>
        <w:right w:val="none" w:sz="0" w:space="0" w:color="auto"/>
      </w:divBdr>
    </w:div>
    <w:div w:id="1221747469">
      <w:bodyDiv w:val="1"/>
      <w:marLeft w:val="0"/>
      <w:marRight w:val="0"/>
      <w:marTop w:val="0"/>
      <w:marBottom w:val="0"/>
      <w:divBdr>
        <w:top w:val="none" w:sz="0" w:space="0" w:color="auto"/>
        <w:left w:val="none" w:sz="0" w:space="0" w:color="auto"/>
        <w:bottom w:val="none" w:sz="0" w:space="0" w:color="auto"/>
        <w:right w:val="none" w:sz="0" w:space="0" w:color="auto"/>
      </w:divBdr>
      <w:divsChild>
        <w:div w:id="313216090">
          <w:marLeft w:val="0"/>
          <w:marRight w:val="0"/>
          <w:marTop w:val="0"/>
          <w:marBottom w:val="0"/>
          <w:divBdr>
            <w:top w:val="none" w:sz="0" w:space="0" w:color="auto"/>
            <w:left w:val="none" w:sz="0" w:space="0" w:color="auto"/>
            <w:bottom w:val="none" w:sz="0" w:space="0" w:color="auto"/>
            <w:right w:val="none" w:sz="0" w:space="0" w:color="auto"/>
          </w:divBdr>
          <w:divsChild>
            <w:div w:id="1312637353">
              <w:marLeft w:val="0"/>
              <w:marRight w:val="0"/>
              <w:marTop w:val="0"/>
              <w:marBottom w:val="0"/>
              <w:divBdr>
                <w:top w:val="none" w:sz="0" w:space="0" w:color="auto"/>
                <w:left w:val="none" w:sz="0" w:space="0" w:color="auto"/>
                <w:bottom w:val="none" w:sz="0" w:space="0" w:color="auto"/>
                <w:right w:val="none" w:sz="0" w:space="0" w:color="auto"/>
              </w:divBdr>
              <w:divsChild>
                <w:div w:id="1197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7786">
      <w:bodyDiv w:val="1"/>
      <w:marLeft w:val="0"/>
      <w:marRight w:val="0"/>
      <w:marTop w:val="0"/>
      <w:marBottom w:val="0"/>
      <w:divBdr>
        <w:top w:val="none" w:sz="0" w:space="0" w:color="auto"/>
        <w:left w:val="none" w:sz="0" w:space="0" w:color="auto"/>
        <w:bottom w:val="none" w:sz="0" w:space="0" w:color="auto"/>
        <w:right w:val="none" w:sz="0" w:space="0" w:color="auto"/>
      </w:divBdr>
    </w:div>
    <w:div w:id="1282106826">
      <w:bodyDiv w:val="1"/>
      <w:marLeft w:val="0"/>
      <w:marRight w:val="0"/>
      <w:marTop w:val="0"/>
      <w:marBottom w:val="0"/>
      <w:divBdr>
        <w:top w:val="none" w:sz="0" w:space="0" w:color="auto"/>
        <w:left w:val="none" w:sz="0" w:space="0" w:color="auto"/>
        <w:bottom w:val="none" w:sz="0" w:space="0" w:color="auto"/>
        <w:right w:val="none" w:sz="0" w:space="0" w:color="auto"/>
      </w:divBdr>
      <w:divsChild>
        <w:div w:id="214777727">
          <w:marLeft w:val="547"/>
          <w:marRight w:val="0"/>
          <w:marTop w:val="96"/>
          <w:marBottom w:val="0"/>
          <w:divBdr>
            <w:top w:val="none" w:sz="0" w:space="0" w:color="auto"/>
            <w:left w:val="none" w:sz="0" w:space="0" w:color="auto"/>
            <w:bottom w:val="none" w:sz="0" w:space="0" w:color="auto"/>
            <w:right w:val="none" w:sz="0" w:space="0" w:color="auto"/>
          </w:divBdr>
        </w:div>
        <w:div w:id="243683401">
          <w:marLeft w:val="1166"/>
          <w:marRight w:val="0"/>
          <w:marTop w:val="86"/>
          <w:marBottom w:val="0"/>
          <w:divBdr>
            <w:top w:val="none" w:sz="0" w:space="0" w:color="auto"/>
            <w:left w:val="none" w:sz="0" w:space="0" w:color="auto"/>
            <w:bottom w:val="none" w:sz="0" w:space="0" w:color="auto"/>
            <w:right w:val="none" w:sz="0" w:space="0" w:color="auto"/>
          </w:divBdr>
        </w:div>
        <w:div w:id="491916574">
          <w:marLeft w:val="1166"/>
          <w:marRight w:val="0"/>
          <w:marTop w:val="86"/>
          <w:marBottom w:val="0"/>
          <w:divBdr>
            <w:top w:val="none" w:sz="0" w:space="0" w:color="auto"/>
            <w:left w:val="none" w:sz="0" w:space="0" w:color="auto"/>
            <w:bottom w:val="none" w:sz="0" w:space="0" w:color="auto"/>
            <w:right w:val="none" w:sz="0" w:space="0" w:color="auto"/>
          </w:divBdr>
        </w:div>
        <w:div w:id="776563948">
          <w:marLeft w:val="547"/>
          <w:marRight w:val="0"/>
          <w:marTop w:val="96"/>
          <w:marBottom w:val="0"/>
          <w:divBdr>
            <w:top w:val="none" w:sz="0" w:space="0" w:color="auto"/>
            <w:left w:val="none" w:sz="0" w:space="0" w:color="auto"/>
            <w:bottom w:val="none" w:sz="0" w:space="0" w:color="auto"/>
            <w:right w:val="none" w:sz="0" w:space="0" w:color="auto"/>
          </w:divBdr>
        </w:div>
        <w:div w:id="1075198902">
          <w:marLeft w:val="547"/>
          <w:marRight w:val="0"/>
          <w:marTop w:val="96"/>
          <w:marBottom w:val="0"/>
          <w:divBdr>
            <w:top w:val="none" w:sz="0" w:space="0" w:color="auto"/>
            <w:left w:val="none" w:sz="0" w:space="0" w:color="auto"/>
            <w:bottom w:val="none" w:sz="0" w:space="0" w:color="auto"/>
            <w:right w:val="none" w:sz="0" w:space="0" w:color="auto"/>
          </w:divBdr>
        </w:div>
      </w:divsChild>
    </w:div>
    <w:div w:id="1288779572">
      <w:bodyDiv w:val="1"/>
      <w:marLeft w:val="0"/>
      <w:marRight w:val="0"/>
      <w:marTop w:val="0"/>
      <w:marBottom w:val="0"/>
      <w:divBdr>
        <w:top w:val="none" w:sz="0" w:space="0" w:color="auto"/>
        <w:left w:val="none" w:sz="0" w:space="0" w:color="auto"/>
        <w:bottom w:val="none" w:sz="0" w:space="0" w:color="auto"/>
        <w:right w:val="none" w:sz="0" w:space="0" w:color="auto"/>
      </w:divBdr>
    </w:div>
    <w:div w:id="1292320342">
      <w:bodyDiv w:val="1"/>
      <w:marLeft w:val="0"/>
      <w:marRight w:val="0"/>
      <w:marTop w:val="0"/>
      <w:marBottom w:val="0"/>
      <w:divBdr>
        <w:top w:val="none" w:sz="0" w:space="0" w:color="auto"/>
        <w:left w:val="none" w:sz="0" w:space="0" w:color="auto"/>
        <w:bottom w:val="none" w:sz="0" w:space="0" w:color="auto"/>
        <w:right w:val="none" w:sz="0" w:space="0" w:color="auto"/>
      </w:divBdr>
    </w:div>
    <w:div w:id="1309170862">
      <w:bodyDiv w:val="1"/>
      <w:marLeft w:val="0"/>
      <w:marRight w:val="0"/>
      <w:marTop w:val="0"/>
      <w:marBottom w:val="0"/>
      <w:divBdr>
        <w:top w:val="none" w:sz="0" w:space="0" w:color="auto"/>
        <w:left w:val="none" w:sz="0" w:space="0" w:color="auto"/>
        <w:bottom w:val="none" w:sz="0" w:space="0" w:color="auto"/>
        <w:right w:val="none" w:sz="0" w:space="0" w:color="auto"/>
      </w:divBdr>
    </w:div>
    <w:div w:id="1316645029">
      <w:bodyDiv w:val="1"/>
      <w:marLeft w:val="0"/>
      <w:marRight w:val="0"/>
      <w:marTop w:val="0"/>
      <w:marBottom w:val="0"/>
      <w:divBdr>
        <w:top w:val="none" w:sz="0" w:space="0" w:color="auto"/>
        <w:left w:val="none" w:sz="0" w:space="0" w:color="auto"/>
        <w:bottom w:val="none" w:sz="0" w:space="0" w:color="auto"/>
        <w:right w:val="none" w:sz="0" w:space="0" w:color="auto"/>
      </w:divBdr>
    </w:div>
    <w:div w:id="1321347684">
      <w:bodyDiv w:val="1"/>
      <w:marLeft w:val="0"/>
      <w:marRight w:val="0"/>
      <w:marTop w:val="0"/>
      <w:marBottom w:val="0"/>
      <w:divBdr>
        <w:top w:val="none" w:sz="0" w:space="0" w:color="auto"/>
        <w:left w:val="none" w:sz="0" w:space="0" w:color="auto"/>
        <w:bottom w:val="none" w:sz="0" w:space="0" w:color="auto"/>
        <w:right w:val="none" w:sz="0" w:space="0" w:color="auto"/>
      </w:divBdr>
    </w:div>
    <w:div w:id="1324045320">
      <w:bodyDiv w:val="1"/>
      <w:marLeft w:val="0"/>
      <w:marRight w:val="0"/>
      <w:marTop w:val="0"/>
      <w:marBottom w:val="0"/>
      <w:divBdr>
        <w:top w:val="none" w:sz="0" w:space="0" w:color="auto"/>
        <w:left w:val="none" w:sz="0" w:space="0" w:color="auto"/>
        <w:bottom w:val="none" w:sz="0" w:space="0" w:color="auto"/>
        <w:right w:val="none" w:sz="0" w:space="0" w:color="auto"/>
      </w:divBdr>
      <w:divsChild>
        <w:div w:id="620915261">
          <w:marLeft w:val="0"/>
          <w:marRight w:val="0"/>
          <w:marTop w:val="0"/>
          <w:marBottom w:val="0"/>
          <w:divBdr>
            <w:top w:val="none" w:sz="0" w:space="0" w:color="auto"/>
            <w:left w:val="none" w:sz="0" w:space="0" w:color="auto"/>
            <w:bottom w:val="none" w:sz="0" w:space="0" w:color="auto"/>
            <w:right w:val="none" w:sz="0" w:space="0" w:color="auto"/>
          </w:divBdr>
          <w:divsChild>
            <w:div w:id="1579483604">
              <w:marLeft w:val="0"/>
              <w:marRight w:val="0"/>
              <w:marTop w:val="0"/>
              <w:marBottom w:val="0"/>
              <w:divBdr>
                <w:top w:val="none" w:sz="0" w:space="0" w:color="auto"/>
                <w:left w:val="none" w:sz="0" w:space="0" w:color="auto"/>
                <w:bottom w:val="none" w:sz="0" w:space="0" w:color="auto"/>
                <w:right w:val="none" w:sz="0" w:space="0" w:color="auto"/>
              </w:divBdr>
              <w:divsChild>
                <w:div w:id="12882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215">
      <w:bodyDiv w:val="1"/>
      <w:marLeft w:val="0"/>
      <w:marRight w:val="0"/>
      <w:marTop w:val="0"/>
      <w:marBottom w:val="0"/>
      <w:divBdr>
        <w:top w:val="none" w:sz="0" w:space="0" w:color="auto"/>
        <w:left w:val="none" w:sz="0" w:space="0" w:color="auto"/>
        <w:bottom w:val="none" w:sz="0" w:space="0" w:color="auto"/>
        <w:right w:val="none" w:sz="0" w:space="0" w:color="auto"/>
      </w:divBdr>
    </w:div>
    <w:div w:id="1390956234">
      <w:bodyDiv w:val="1"/>
      <w:marLeft w:val="0"/>
      <w:marRight w:val="0"/>
      <w:marTop w:val="0"/>
      <w:marBottom w:val="0"/>
      <w:divBdr>
        <w:top w:val="none" w:sz="0" w:space="0" w:color="auto"/>
        <w:left w:val="none" w:sz="0" w:space="0" w:color="auto"/>
        <w:bottom w:val="none" w:sz="0" w:space="0" w:color="auto"/>
        <w:right w:val="none" w:sz="0" w:space="0" w:color="auto"/>
      </w:divBdr>
    </w:div>
    <w:div w:id="1403602419">
      <w:bodyDiv w:val="1"/>
      <w:marLeft w:val="0"/>
      <w:marRight w:val="0"/>
      <w:marTop w:val="0"/>
      <w:marBottom w:val="0"/>
      <w:divBdr>
        <w:top w:val="none" w:sz="0" w:space="0" w:color="auto"/>
        <w:left w:val="none" w:sz="0" w:space="0" w:color="auto"/>
        <w:bottom w:val="none" w:sz="0" w:space="0" w:color="auto"/>
        <w:right w:val="none" w:sz="0" w:space="0" w:color="auto"/>
      </w:divBdr>
    </w:div>
    <w:div w:id="1424111103">
      <w:bodyDiv w:val="1"/>
      <w:marLeft w:val="0"/>
      <w:marRight w:val="0"/>
      <w:marTop w:val="0"/>
      <w:marBottom w:val="0"/>
      <w:divBdr>
        <w:top w:val="none" w:sz="0" w:space="0" w:color="auto"/>
        <w:left w:val="none" w:sz="0" w:space="0" w:color="auto"/>
        <w:bottom w:val="none" w:sz="0" w:space="0" w:color="auto"/>
        <w:right w:val="none" w:sz="0" w:space="0" w:color="auto"/>
      </w:divBdr>
      <w:divsChild>
        <w:div w:id="896429409">
          <w:marLeft w:val="0"/>
          <w:marRight w:val="0"/>
          <w:marTop w:val="0"/>
          <w:marBottom w:val="0"/>
          <w:divBdr>
            <w:top w:val="none" w:sz="0" w:space="0" w:color="auto"/>
            <w:left w:val="none" w:sz="0" w:space="0" w:color="auto"/>
            <w:bottom w:val="none" w:sz="0" w:space="0" w:color="auto"/>
            <w:right w:val="none" w:sz="0" w:space="0" w:color="auto"/>
          </w:divBdr>
          <w:divsChild>
            <w:div w:id="1575896831">
              <w:marLeft w:val="0"/>
              <w:marRight w:val="0"/>
              <w:marTop w:val="0"/>
              <w:marBottom w:val="0"/>
              <w:divBdr>
                <w:top w:val="none" w:sz="0" w:space="0" w:color="auto"/>
                <w:left w:val="none" w:sz="0" w:space="0" w:color="auto"/>
                <w:bottom w:val="none" w:sz="0" w:space="0" w:color="auto"/>
                <w:right w:val="none" w:sz="0" w:space="0" w:color="auto"/>
              </w:divBdr>
              <w:divsChild>
                <w:div w:id="12078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5782">
      <w:bodyDiv w:val="1"/>
      <w:marLeft w:val="0"/>
      <w:marRight w:val="0"/>
      <w:marTop w:val="0"/>
      <w:marBottom w:val="0"/>
      <w:divBdr>
        <w:top w:val="none" w:sz="0" w:space="0" w:color="auto"/>
        <w:left w:val="none" w:sz="0" w:space="0" w:color="auto"/>
        <w:bottom w:val="none" w:sz="0" w:space="0" w:color="auto"/>
        <w:right w:val="none" w:sz="0" w:space="0" w:color="auto"/>
      </w:divBdr>
    </w:div>
    <w:div w:id="1465465212">
      <w:bodyDiv w:val="1"/>
      <w:marLeft w:val="0"/>
      <w:marRight w:val="0"/>
      <w:marTop w:val="0"/>
      <w:marBottom w:val="0"/>
      <w:divBdr>
        <w:top w:val="none" w:sz="0" w:space="0" w:color="auto"/>
        <w:left w:val="none" w:sz="0" w:space="0" w:color="auto"/>
        <w:bottom w:val="none" w:sz="0" w:space="0" w:color="auto"/>
        <w:right w:val="none" w:sz="0" w:space="0" w:color="auto"/>
      </w:divBdr>
    </w:div>
    <w:div w:id="1497763641">
      <w:bodyDiv w:val="1"/>
      <w:marLeft w:val="0"/>
      <w:marRight w:val="0"/>
      <w:marTop w:val="0"/>
      <w:marBottom w:val="0"/>
      <w:divBdr>
        <w:top w:val="none" w:sz="0" w:space="0" w:color="auto"/>
        <w:left w:val="none" w:sz="0" w:space="0" w:color="auto"/>
        <w:bottom w:val="none" w:sz="0" w:space="0" w:color="auto"/>
        <w:right w:val="none" w:sz="0" w:space="0" w:color="auto"/>
      </w:divBdr>
      <w:divsChild>
        <w:div w:id="556092510">
          <w:marLeft w:val="0"/>
          <w:marRight w:val="0"/>
          <w:marTop w:val="0"/>
          <w:marBottom w:val="0"/>
          <w:divBdr>
            <w:top w:val="none" w:sz="0" w:space="0" w:color="auto"/>
            <w:left w:val="none" w:sz="0" w:space="0" w:color="auto"/>
            <w:bottom w:val="none" w:sz="0" w:space="0" w:color="auto"/>
            <w:right w:val="none" w:sz="0" w:space="0" w:color="auto"/>
          </w:divBdr>
          <w:divsChild>
            <w:div w:id="535584298">
              <w:marLeft w:val="0"/>
              <w:marRight w:val="0"/>
              <w:marTop w:val="0"/>
              <w:marBottom w:val="0"/>
              <w:divBdr>
                <w:top w:val="none" w:sz="0" w:space="0" w:color="auto"/>
                <w:left w:val="none" w:sz="0" w:space="0" w:color="auto"/>
                <w:bottom w:val="none" w:sz="0" w:space="0" w:color="auto"/>
                <w:right w:val="none" w:sz="0" w:space="0" w:color="auto"/>
              </w:divBdr>
              <w:divsChild>
                <w:div w:id="2117869627">
                  <w:marLeft w:val="0"/>
                  <w:marRight w:val="0"/>
                  <w:marTop w:val="0"/>
                  <w:marBottom w:val="0"/>
                  <w:divBdr>
                    <w:top w:val="none" w:sz="0" w:space="0" w:color="auto"/>
                    <w:left w:val="none" w:sz="0" w:space="0" w:color="auto"/>
                    <w:bottom w:val="none" w:sz="0" w:space="0" w:color="auto"/>
                    <w:right w:val="none" w:sz="0" w:space="0" w:color="auto"/>
                  </w:divBdr>
                </w:div>
                <w:div w:id="1678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4530">
      <w:bodyDiv w:val="1"/>
      <w:marLeft w:val="0"/>
      <w:marRight w:val="0"/>
      <w:marTop w:val="0"/>
      <w:marBottom w:val="0"/>
      <w:divBdr>
        <w:top w:val="none" w:sz="0" w:space="0" w:color="auto"/>
        <w:left w:val="none" w:sz="0" w:space="0" w:color="auto"/>
        <w:bottom w:val="none" w:sz="0" w:space="0" w:color="auto"/>
        <w:right w:val="none" w:sz="0" w:space="0" w:color="auto"/>
      </w:divBdr>
    </w:div>
    <w:div w:id="1515193580">
      <w:bodyDiv w:val="1"/>
      <w:marLeft w:val="0"/>
      <w:marRight w:val="0"/>
      <w:marTop w:val="0"/>
      <w:marBottom w:val="0"/>
      <w:divBdr>
        <w:top w:val="none" w:sz="0" w:space="0" w:color="auto"/>
        <w:left w:val="none" w:sz="0" w:space="0" w:color="auto"/>
        <w:bottom w:val="none" w:sz="0" w:space="0" w:color="auto"/>
        <w:right w:val="none" w:sz="0" w:space="0" w:color="auto"/>
      </w:divBdr>
    </w:div>
    <w:div w:id="1522745708">
      <w:bodyDiv w:val="1"/>
      <w:marLeft w:val="0"/>
      <w:marRight w:val="0"/>
      <w:marTop w:val="0"/>
      <w:marBottom w:val="0"/>
      <w:divBdr>
        <w:top w:val="none" w:sz="0" w:space="0" w:color="auto"/>
        <w:left w:val="none" w:sz="0" w:space="0" w:color="auto"/>
        <w:bottom w:val="none" w:sz="0" w:space="0" w:color="auto"/>
        <w:right w:val="none" w:sz="0" w:space="0" w:color="auto"/>
      </w:divBdr>
    </w:div>
    <w:div w:id="1566332628">
      <w:bodyDiv w:val="1"/>
      <w:marLeft w:val="0"/>
      <w:marRight w:val="0"/>
      <w:marTop w:val="0"/>
      <w:marBottom w:val="0"/>
      <w:divBdr>
        <w:top w:val="none" w:sz="0" w:space="0" w:color="auto"/>
        <w:left w:val="none" w:sz="0" w:space="0" w:color="auto"/>
        <w:bottom w:val="none" w:sz="0" w:space="0" w:color="auto"/>
        <w:right w:val="none" w:sz="0" w:space="0" w:color="auto"/>
      </w:divBdr>
      <w:divsChild>
        <w:div w:id="1351640147">
          <w:marLeft w:val="547"/>
          <w:marRight w:val="0"/>
          <w:marTop w:val="96"/>
          <w:marBottom w:val="0"/>
          <w:divBdr>
            <w:top w:val="none" w:sz="0" w:space="0" w:color="auto"/>
            <w:left w:val="none" w:sz="0" w:space="0" w:color="auto"/>
            <w:bottom w:val="none" w:sz="0" w:space="0" w:color="auto"/>
            <w:right w:val="none" w:sz="0" w:space="0" w:color="auto"/>
          </w:divBdr>
        </w:div>
        <w:div w:id="1697268865">
          <w:marLeft w:val="547"/>
          <w:marRight w:val="0"/>
          <w:marTop w:val="96"/>
          <w:marBottom w:val="0"/>
          <w:divBdr>
            <w:top w:val="none" w:sz="0" w:space="0" w:color="auto"/>
            <w:left w:val="none" w:sz="0" w:space="0" w:color="auto"/>
            <w:bottom w:val="none" w:sz="0" w:space="0" w:color="auto"/>
            <w:right w:val="none" w:sz="0" w:space="0" w:color="auto"/>
          </w:divBdr>
        </w:div>
      </w:divsChild>
    </w:div>
    <w:div w:id="1567496085">
      <w:bodyDiv w:val="1"/>
      <w:marLeft w:val="0"/>
      <w:marRight w:val="0"/>
      <w:marTop w:val="0"/>
      <w:marBottom w:val="0"/>
      <w:divBdr>
        <w:top w:val="none" w:sz="0" w:space="0" w:color="auto"/>
        <w:left w:val="none" w:sz="0" w:space="0" w:color="auto"/>
        <w:bottom w:val="none" w:sz="0" w:space="0" w:color="auto"/>
        <w:right w:val="none" w:sz="0" w:space="0" w:color="auto"/>
      </w:divBdr>
      <w:divsChild>
        <w:div w:id="1803694109">
          <w:marLeft w:val="0"/>
          <w:marRight w:val="0"/>
          <w:marTop w:val="0"/>
          <w:marBottom w:val="0"/>
          <w:divBdr>
            <w:top w:val="none" w:sz="0" w:space="0" w:color="auto"/>
            <w:left w:val="none" w:sz="0" w:space="0" w:color="auto"/>
            <w:bottom w:val="none" w:sz="0" w:space="0" w:color="auto"/>
            <w:right w:val="none" w:sz="0" w:space="0" w:color="auto"/>
          </w:divBdr>
          <w:divsChild>
            <w:div w:id="2110614778">
              <w:marLeft w:val="0"/>
              <w:marRight w:val="0"/>
              <w:marTop w:val="0"/>
              <w:marBottom w:val="0"/>
              <w:divBdr>
                <w:top w:val="none" w:sz="0" w:space="0" w:color="auto"/>
                <w:left w:val="none" w:sz="0" w:space="0" w:color="auto"/>
                <w:bottom w:val="none" w:sz="0" w:space="0" w:color="auto"/>
                <w:right w:val="none" w:sz="0" w:space="0" w:color="auto"/>
              </w:divBdr>
              <w:divsChild>
                <w:div w:id="434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0">
      <w:bodyDiv w:val="1"/>
      <w:marLeft w:val="0"/>
      <w:marRight w:val="0"/>
      <w:marTop w:val="0"/>
      <w:marBottom w:val="0"/>
      <w:divBdr>
        <w:top w:val="none" w:sz="0" w:space="0" w:color="auto"/>
        <w:left w:val="none" w:sz="0" w:space="0" w:color="auto"/>
        <w:bottom w:val="none" w:sz="0" w:space="0" w:color="auto"/>
        <w:right w:val="none" w:sz="0" w:space="0" w:color="auto"/>
      </w:divBdr>
    </w:div>
    <w:div w:id="1668899508">
      <w:bodyDiv w:val="1"/>
      <w:marLeft w:val="0"/>
      <w:marRight w:val="0"/>
      <w:marTop w:val="0"/>
      <w:marBottom w:val="0"/>
      <w:divBdr>
        <w:top w:val="none" w:sz="0" w:space="0" w:color="auto"/>
        <w:left w:val="none" w:sz="0" w:space="0" w:color="auto"/>
        <w:bottom w:val="none" w:sz="0" w:space="0" w:color="auto"/>
        <w:right w:val="none" w:sz="0" w:space="0" w:color="auto"/>
      </w:divBdr>
    </w:div>
    <w:div w:id="1672025437">
      <w:bodyDiv w:val="1"/>
      <w:marLeft w:val="0"/>
      <w:marRight w:val="0"/>
      <w:marTop w:val="0"/>
      <w:marBottom w:val="0"/>
      <w:divBdr>
        <w:top w:val="none" w:sz="0" w:space="0" w:color="auto"/>
        <w:left w:val="none" w:sz="0" w:space="0" w:color="auto"/>
        <w:bottom w:val="none" w:sz="0" w:space="0" w:color="auto"/>
        <w:right w:val="none" w:sz="0" w:space="0" w:color="auto"/>
      </w:divBdr>
    </w:div>
    <w:div w:id="1761833319">
      <w:bodyDiv w:val="1"/>
      <w:marLeft w:val="0"/>
      <w:marRight w:val="0"/>
      <w:marTop w:val="0"/>
      <w:marBottom w:val="0"/>
      <w:divBdr>
        <w:top w:val="none" w:sz="0" w:space="0" w:color="auto"/>
        <w:left w:val="none" w:sz="0" w:space="0" w:color="auto"/>
        <w:bottom w:val="none" w:sz="0" w:space="0" w:color="auto"/>
        <w:right w:val="none" w:sz="0" w:space="0" w:color="auto"/>
      </w:divBdr>
    </w:div>
    <w:div w:id="1787844407">
      <w:bodyDiv w:val="1"/>
      <w:marLeft w:val="0"/>
      <w:marRight w:val="0"/>
      <w:marTop w:val="0"/>
      <w:marBottom w:val="0"/>
      <w:divBdr>
        <w:top w:val="none" w:sz="0" w:space="0" w:color="auto"/>
        <w:left w:val="none" w:sz="0" w:space="0" w:color="auto"/>
        <w:bottom w:val="none" w:sz="0" w:space="0" w:color="auto"/>
        <w:right w:val="none" w:sz="0" w:space="0" w:color="auto"/>
      </w:divBdr>
    </w:div>
    <w:div w:id="1790200932">
      <w:bodyDiv w:val="1"/>
      <w:marLeft w:val="0"/>
      <w:marRight w:val="0"/>
      <w:marTop w:val="0"/>
      <w:marBottom w:val="0"/>
      <w:divBdr>
        <w:top w:val="none" w:sz="0" w:space="0" w:color="auto"/>
        <w:left w:val="none" w:sz="0" w:space="0" w:color="auto"/>
        <w:bottom w:val="none" w:sz="0" w:space="0" w:color="auto"/>
        <w:right w:val="none" w:sz="0" w:space="0" w:color="auto"/>
      </w:divBdr>
      <w:divsChild>
        <w:div w:id="1001009899">
          <w:marLeft w:val="547"/>
          <w:marRight w:val="0"/>
          <w:marTop w:val="96"/>
          <w:marBottom w:val="0"/>
          <w:divBdr>
            <w:top w:val="none" w:sz="0" w:space="0" w:color="auto"/>
            <w:left w:val="none" w:sz="0" w:space="0" w:color="auto"/>
            <w:bottom w:val="none" w:sz="0" w:space="0" w:color="auto"/>
            <w:right w:val="none" w:sz="0" w:space="0" w:color="auto"/>
          </w:divBdr>
        </w:div>
      </w:divsChild>
    </w:div>
    <w:div w:id="1803381141">
      <w:bodyDiv w:val="1"/>
      <w:marLeft w:val="0"/>
      <w:marRight w:val="0"/>
      <w:marTop w:val="0"/>
      <w:marBottom w:val="0"/>
      <w:divBdr>
        <w:top w:val="none" w:sz="0" w:space="0" w:color="auto"/>
        <w:left w:val="none" w:sz="0" w:space="0" w:color="auto"/>
        <w:bottom w:val="none" w:sz="0" w:space="0" w:color="auto"/>
        <w:right w:val="none" w:sz="0" w:space="0" w:color="auto"/>
      </w:divBdr>
    </w:div>
    <w:div w:id="1807356614">
      <w:bodyDiv w:val="1"/>
      <w:marLeft w:val="0"/>
      <w:marRight w:val="0"/>
      <w:marTop w:val="0"/>
      <w:marBottom w:val="0"/>
      <w:divBdr>
        <w:top w:val="none" w:sz="0" w:space="0" w:color="auto"/>
        <w:left w:val="none" w:sz="0" w:space="0" w:color="auto"/>
        <w:bottom w:val="none" w:sz="0" w:space="0" w:color="auto"/>
        <w:right w:val="none" w:sz="0" w:space="0" w:color="auto"/>
      </w:divBdr>
    </w:div>
    <w:div w:id="1814516835">
      <w:bodyDiv w:val="1"/>
      <w:marLeft w:val="0"/>
      <w:marRight w:val="0"/>
      <w:marTop w:val="0"/>
      <w:marBottom w:val="0"/>
      <w:divBdr>
        <w:top w:val="none" w:sz="0" w:space="0" w:color="auto"/>
        <w:left w:val="none" w:sz="0" w:space="0" w:color="auto"/>
        <w:bottom w:val="none" w:sz="0" w:space="0" w:color="auto"/>
        <w:right w:val="none" w:sz="0" w:space="0" w:color="auto"/>
      </w:divBdr>
    </w:div>
    <w:div w:id="1936480556">
      <w:bodyDiv w:val="1"/>
      <w:marLeft w:val="0"/>
      <w:marRight w:val="0"/>
      <w:marTop w:val="0"/>
      <w:marBottom w:val="0"/>
      <w:divBdr>
        <w:top w:val="none" w:sz="0" w:space="0" w:color="auto"/>
        <w:left w:val="none" w:sz="0" w:space="0" w:color="auto"/>
        <w:bottom w:val="none" w:sz="0" w:space="0" w:color="auto"/>
        <w:right w:val="none" w:sz="0" w:space="0" w:color="auto"/>
      </w:divBdr>
    </w:div>
    <w:div w:id="1989043700">
      <w:bodyDiv w:val="1"/>
      <w:marLeft w:val="0"/>
      <w:marRight w:val="0"/>
      <w:marTop w:val="0"/>
      <w:marBottom w:val="0"/>
      <w:divBdr>
        <w:top w:val="none" w:sz="0" w:space="0" w:color="auto"/>
        <w:left w:val="none" w:sz="0" w:space="0" w:color="auto"/>
        <w:bottom w:val="none" w:sz="0" w:space="0" w:color="auto"/>
        <w:right w:val="none" w:sz="0" w:space="0" w:color="auto"/>
      </w:divBdr>
    </w:div>
    <w:div w:id="2010907252">
      <w:bodyDiv w:val="1"/>
      <w:marLeft w:val="0"/>
      <w:marRight w:val="0"/>
      <w:marTop w:val="0"/>
      <w:marBottom w:val="0"/>
      <w:divBdr>
        <w:top w:val="none" w:sz="0" w:space="0" w:color="auto"/>
        <w:left w:val="none" w:sz="0" w:space="0" w:color="auto"/>
        <w:bottom w:val="none" w:sz="0" w:space="0" w:color="auto"/>
        <w:right w:val="none" w:sz="0" w:space="0" w:color="auto"/>
      </w:divBdr>
    </w:div>
    <w:div w:id="2036348152">
      <w:bodyDiv w:val="1"/>
      <w:marLeft w:val="0"/>
      <w:marRight w:val="0"/>
      <w:marTop w:val="0"/>
      <w:marBottom w:val="0"/>
      <w:divBdr>
        <w:top w:val="none" w:sz="0" w:space="0" w:color="auto"/>
        <w:left w:val="none" w:sz="0" w:space="0" w:color="auto"/>
        <w:bottom w:val="none" w:sz="0" w:space="0" w:color="auto"/>
        <w:right w:val="none" w:sz="0" w:space="0" w:color="auto"/>
      </w:divBdr>
      <w:divsChild>
        <w:div w:id="360404068">
          <w:marLeft w:val="1166"/>
          <w:marRight w:val="0"/>
          <w:marTop w:val="86"/>
          <w:marBottom w:val="0"/>
          <w:divBdr>
            <w:top w:val="none" w:sz="0" w:space="0" w:color="auto"/>
            <w:left w:val="none" w:sz="0" w:space="0" w:color="auto"/>
            <w:bottom w:val="none" w:sz="0" w:space="0" w:color="auto"/>
            <w:right w:val="none" w:sz="0" w:space="0" w:color="auto"/>
          </w:divBdr>
        </w:div>
        <w:div w:id="506672036">
          <w:marLeft w:val="547"/>
          <w:marRight w:val="0"/>
          <w:marTop w:val="96"/>
          <w:marBottom w:val="0"/>
          <w:divBdr>
            <w:top w:val="none" w:sz="0" w:space="0" w:color="auto"/>
            <w:left w:val="none" w:sz="0" w:space="0" w:color="auto"/>
            <w:bottom w:val="none" w:sz="0" w:space="0" w:color="auto"/>
            <w:right w:val="none" w:sz="0" w:space="0" w:color="auto"/>
          </w:divBdr>
        </w:div>
        <w:div w:id="1034623732">
          <w:marLeft w:val="547"/>
          <w:marRight w:val="0"/>
          <w:marTop w:val="96"/>
          <w:marBottom w:val="0"/>
          <w:divBdr>
            <w:top w:val="none" w:sz="0" w:space="0" w:color="auto"/>
            <w:left w:val="none" w:sz="0" w:space="0" w:color="auto"/>
            <w:bottom w:val="none" w:sz="0" w:space="0" w:color="auto"/>
            <w:right w:val="none" w:sz="0" w:space="0" w:color="auto"/>
          </w:divBdr>
        </w:div>
        <w:div w:id="1208764210">
          <w:marLeft w:val="1166"/>
          <w:marRight w:val="0"/>
          <w:marTop w:val="86"/>
          <w:marBottom w:val="0"/>
          <w:divBdr>
            <w:top w:val="none" w:sz="0" w:space="0" w:color="auto"/>
            <w:left w:val="none" w:sz="0" w:space="0" w:color="auto"/>
            <w:bottom w:val="none" w:sz="0" w:space="0" w:color="auto"/>
            <w:right w:val="none" w:sz="0" w:space="0" w:color="auto"/>
          </w:divBdr>
        </w:div>
        <w:div w:id="1756852787">
          <w:marLeft w:val="547"/>
          <w:marRight w:val="0"/>
          <w:marTop w:val="96"/>
          <w:marBottom w:val="0"/>
          <w:divBdr>
            <w:top w:val="none" w:sz="0" w:space="0" w:color="auto"/>
            <w:left w:val="none" w:sz="0" w:space="0" w:color="auto"/>
            <w:bottom w:val="none" w:sz="0" w:space="0" w:color="auto"/>
            <w:right w:val="none" w:sz="0" w:space="0" w:color="auto"/>
          </w:divBdr>
        </w:div>
      </w:divsChild>
    </w:div>
    <w:div w:id="2053647209">
      <w:bodyDiv w:val="1"/>
      <w:marLeft w:val="0"/>
      <w:marRight w:val="0"/>
      <w:marTop w:val="0"/>
      <w:marBottom w:val="0"/>
      <w:divBdr>
        <w:top w:val="none" w:sz="0" w:space="0" w:color="auto"/>
        <w:left w:val="none" w:sz="0" w:space="0" w:color="auto"/>
        <w:bottom w:val="none" w:sz="0" w:space="0" w:color="auto"/>
        <w:right w:val="none" w:sz="0" w:space="0" w:color="auto"/>
      </w:divBdr>
    </w:div>
    <w:div w:id="2075663753">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8331419">
      <w:bodyDiv w:val="1"/>
      <w:marLeft w:val="0"/>
      <w:marRight w:val="0"/>
      <w:marTop w:val="0"/>
      <w:marBottom w:val="0"/>
      <w:divBdr>
        <w:top w:val="none" w:sz="0" w:space="0" w:color="auto"/>
        <w:left w:val="none" w:sz="0" w:space="0" w:color="auto"/>
        <w:bottom w:val="none" w:sz="0" w:space="0" w:color="auto"/>
        <w:right w:val="none" w:sz="0" w:space="0" w:color="auto"/>
      </w:divBdr>
    </w:div>
    <w:div w:id="2119063434">
      <w:bodyDiv w:val="1"/>
      <w:marLeft w:val="0"/>
      <w:marRight w:val="0"/>
      <w:marTop w:val="0"/>
      <w:marBottom w:val="0"/>
      <w:divBdr>
        <w:top w:val="none" w:sz="0" w:space="0" w:color="auto"/>
        <w:left w:val="none" w:sz="0" w:space="0" w:color="auto"/>
        <w:bottom w:val="none" w:sz="0" w:space="0" w:color="auto"/>
        <w:right w:val="none" w:sz="0" w:space="0" w:color="auto"/>
      </w:divBdr>
    </w:div>
    <w:div w:id="2144149056">
      <w:bodyDiv w:val="1"/>
      <w:marLeft w:val="0"/>
      <w:marRight w:val="0"/>
      <w:marTop w:val="0"/>
      <w:marBottom w:val="0"/>
      <w:divBdr>
        <w:top w:val="none" w:sz="0" w:space="0" w:color="auto"/>
        <w:left w:val="none" w:sz="0" w:space="0" w:color="auto"/>
        <w:bottom w:val="none" w:sz="0" w:space="0" w:color="auto"/>
        <w:right w:val="none" w:sz="0" w:space="0" w:color="auto"/>
      </w:divBdr>
      <w:divsChild>
        <w:div w:id="189416067">
          <w:marLeft w:val="1166"/>
          <w:marRight w:val="0"/>
          <w:marTop w:val="86"/>
          <w:marBottom w:val="0"/>
          <w:divBdr>
            <w:top w:val="none" w:sz="0" w:space="0" w:color="auto"/>
            <w:left w:val="none" w:sz="0" w:space="0" w:color="auto"/>
            <w:bottom w:val="none" w:sz="0" w:space="0" w:color="auto"/>
            <w:right w:val="none" w:sz="0" w:space="0" w:color="auto"/>
          </w:divBdr>
        </w:div>
        <w:div w:id="451436165">
          <w:marLeft w:val="547"/>
          <w:marRight w:val="0"/>
          <w:marTop w:val="96"/>
          <w:marBottom w:val="0"/>
          <w:divBdr>
            <w:top w:val="none" w:sz="0" w:space="0" w:color="auto"/>
            <w:left w:val="none" w:sz="0" w:space="0" w:color="auto"/>
            <w:bottom w:val="none" w:sz="0" w:space="0" w:color="auto"/>
            <w:right w:val="none" w:sz="0" w:space="0" w:color="auto"/>
          </w:divBdr>
        </w:div>
        <w:div w:id="767431666">
          <w:marLeft w:val="547"/>
          <w:marRight w:val="0"/>
          <w:marTop w:val="96"/>
          <w:marBottom w:val="0"/>
          <w:divBdr>
            <w:top w:val="none" w:sz="0" w:space="0" w:color="auto"/>
            <w:left w:val="none" w:sz="0" w:space="0" w:color="auto"/>
            <w:bottom w:val="none" w:sz="0" w:space="0" w:color="auto"/>
            <w:right w:val="none" w:sz="0" w:space="0" w:color="auto"/>
          </w:divBdr>
        </w:div>
        <w:div w:id="1412242416">
          <w:marLeft w:val="547"/>
          <w:marRight w:val="0"/>
          <w:marTop w:val="96"/>
          <w:marBottom w:val="0"/>
          <w:divBdr>
            <w:top w:val="none" w:sz="0" w:space="0" w:color="auto"/>
            <w:left w:val="none" w:sz="0" w:space="0" w:color="auto"/>
            <w:bottom w:val="none" w:sz="0" w:space="0" w:color="auto"/>
            <w:right w:val="none" w:sz="0" w:space="0" w:color="auto"/>
          </w:divBdr>
        </w:div>
        <w:div w:id="2017729601">
          <w:marLeft w:val="1166"/>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1UOPwi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6786-9B71-41F4-AC85-A17AF69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30612</Words>
  <Characters>174493</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Bhuva, Anish</dc:creator>
  <cp:lastModifiedBy>Sanjay Sharma</cp:lastModifiedBy>
  <cp:revision>2</cp:revision>
  <dcterms:created xsi:type="dcterms:W3CDTF">2020-01-20T23:40:00Z</dcterms:created>
  <dcterms:modified xsi:type="dcterms:W3CDTF">2020-01-20T23:40:00Z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4de594ba-e597-3fb4-857c-fa238841cc2d</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