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E2ED3" w14:textId="314A2C99" w:rsidR="002B7CEB" w:rsidRPr="002579C0" w:rsidRDefault="00EF1613" w:rsidP="00AC6E07">
      <w:pPr>
        <w:spacing w:line="360" w:lineRule="auto"/>
        <w:rPr>
          <w:rFonts w:ascii="Arial" w:hAnsi="Arial"/>
          <w:b/>
          <w:sz w:val="28"/>
          <w:szCs w:val="28"/>
        </w:rPr>
      </w:pPr>
      <w:bookmarkStart w:id="0" w:name="_GoBack"/>
      <w:bookmarkEnd w:id="0"/>
      <w:r w:rsidRPr="002579C0">
        <w:rPr>
          <w:rFonts w:ascii="Arial" w:hAnsi="Arial"/>
          <w:b/>
          <w:sz w:val="28"/>
          <w:szCs w:val="28"/>
        </w:rPr>
        <w:t>O</w:t>
      </w:r>
      <w:r w:rsidR="00B053E5" w:rsidRPr="002579C0">
        <w:rPr>
          <w:rFonts w:ascii="Arial" w:hAnsi="Arial"/>
          <w:b/>
          <w:sz w:val="28"/>
          <w:szCs w:val="28"/>
        </w:rPr>
        <w:t>utcome measures</w:t>
      </w:r>
      <w:r w:rsidRPr="002579C0">
        <w:rPr>
          <w:rFonts w:ascii="Arial" w:hAnsi="Arial"/>
          <w:b/>
          <w:sz w:val="28"/>
          <w:szCs w:val="28"/>
        </w:rPr>
        <w:t xml:space="preserve"> </w:t>
      </w:r>
      <w:r w:rsidR="001C2472" w:rsidRPr="002579C0">
        <w:rPr>
          <w:rFonts w:ascii="Arial" w:hAnsi="Arial"/>
          <w:b/>
          <w:sz w:val="28"/>
          <w:szCs w:val="28"/>
        </w:rPr>
        <w:t>for</w:t>
      </w:r>
      <w:r w:rsidRPr="002579C0">
        <w:rPr>
          <w:rFonts w:ascii="Arial" w:hAnsi="Arial"/>
          <w:b/>
          <w:sz w:val="28"/>
          <w:szCs w:val="28"/>
        </w:rPr>
        <w:t xml:space="preserve"> </w:t>
      </w:r>
      <w:r w:rsidR="001C2472" w:rsidRPr="002579C0">
        <w:rPr>
          <w:rFonts w:ascii="Arial" w:hAnsi="Arial"/>
          <w:b/>
          <w:sz w:val="28"/>
          <w:szCs w:val="28"/>
        </w:rPr>
        <w:t>f</w:t>
      </w:r>
      <w:r w:rsidRPr="002579C0">
        <w:rPr>
          <w:rFonts w:ascii="Arial" w:hAnsi="Arial"/>
          <w:b/>
          <w:sz w:val="28"/>
          <w:szCs w:val="28"/>
        </w:rPr>
        <w:t xml:space="preserve">unctional </w:t>
      </w:r>
      <w:r w:rsidR="0021190C">
        <w:rPr>
          <w:rFonts w:ascii="Arial" w:hAnsi="Arial"/>
          <w:b/>
          <w:sz w:val="28"/>
          <w:szCs w:val="28"/>
        </w:rPr>
        <w:t>neurological</w:t>
      </w:r>
      <w:r w:rsidR="00AD293A" w:rsidRPr="002579C0">
        <w:rPr>
          <w:rFonts w:ascii="Arial" w:hAnsi="Arial"/>
          <w:b/>
          <w:sz w:val="28"/>
          <w:szCs w:val="28"/>
        </w:rPr>
        <w:t xml:space="preserve"> </w:t>
      </w:r>
      <w:r w:rsidR="001C2472" w:rsidRPr="002579C0">
        <w:rPr>
          <w:rFonts w:ascii="Arial" w:hAnsi="Arial"/>
          <w:b/>
          <w:sz w:val="28"/>
          <w:szCs w:val="28"/>
        </w:rPr>
        <w:t>d</w:t>
      </w:r>
      <w:r w:rsidRPr="002579C0">
        <w:rPr>
          <w:rFonts w:ascii="Arial" w:hAnsi="Arial"/>
          <w:b/>
          <w:sz w:val="28"/>
          <w:szCs w:val="28"/>
        </w:rPr>
        <w:t>isorder –</w:t>
      </w:r>
      <w:r w:rsidR="009B4522" w:rsidRPr="002579C0">
        <w:rPr>
          <w:rFonts w:ascii="Arial" w:hAnsi="Arial"/>
          <w:b/>
          <w:sz w:val="28"/>
          <w:szCs w:val="28"/>
        </w:rPr>
        <w:t xml:space="preserve"> </w:t>
      </w:r>
      <w:r w:rsidR="00FD5FBC" w:rsidRPr="002579C0">
        <w:rPr>
          <w:rFonts w:ascii="Arial" w:hAnsi="Arial"/>
          <w:b/>
          <w:sz w:val="28"/>
          <w:szCs w:val="28"/>
        </w:rPr>
        <w:t>a re</w:t>
      </w:r>
      <w:r w:rsidR="0072445A" w:rsidRPr="002579C0">
        <w:rPr>
          <w:rFonts w:ascii="Arial" w:hAnsi="Arial"/>
          <w:b/>
          <w:sz w:val="28"/>
          <w:szCs w:val="28"/>
        </w:rPr>
        <w:t xml:space="preserve">view </w:t>
      </w:r>
      <w:r w:rsidRPr="002579C0">
        <w:rPr>
          <w:rFonts w:ascii="Arial" w:hAnsi="Arial"/>
          <w:b/>
          <w:sz w:val="28"/>
          <w:szCs w:val="28"/>
        </w:rPr>
        <w:t xml:space="preserve">of the theoretical </w:t>
      </w:r>
      <w:r w:rsidR="003C180B" w:rsidRPr="002579C0">
        <w:rPr>
          <w:rFonts w:ascii="Arial" w:hAnsi="Arial"/>
          <w:b/>
          <w:sz w:val="28"/>
          <w:szCs w:val="28"/>
        </w:rPr>
        <w:t>complexities</w:t>
      </w:r>
      <w:r w:rsidR="00FD5FBC" w:rsidRPr="002579C0">
        <w:rPr>
          <w:rFonts w:ascii="Arial" w:hAnsi="Arial"/>
          <w:b/>
          <w:sz w:val="28"/>
          <w:szCs w:val="28"/>
        </w:rPr>
        <w:t xml:space="preserve"> </w:t>
      </w:r>
    </w:p>
    <w:p w14:paraId="3AFCC103" w14:textId="77777777" w:rsidR="00BB6FB3" w:rsidRDefault="00BB6FB3" w:rsidP="00C84ACA">
      <w:pPr>
        <w:spacing w:line="360" w:lineRule="auto"/>
        <w:rPr>
          <w:rFonts w:ascii="Arial" w:hAnsi="Arial" w:cs="Arial"/>
        </w:rPr>
      </w:pPr>
    </w:p>
    <w:p w14:paraId="3B221C41" w14:textId="3DE0AED9" w:rsidR="00AD43F1" w:rsidRPr="00C84ACA" w:rsidRDefault="00C340B3" w:rsidP="00C84ACA">
      <w:pPr>
        <w:spacing w:line="360" w:lineRule="auto"/>
        <w:jc w:val="both"/>
        <w:rPr>
          <w:rFonts w:ascii="Arial" w:hAnsi="Arial"/>
        </w:rPr>
      </w:pPr>
      <w:r w:rsidRPr="00C84ACA">
        <w:rPr>
          <w:rFonts w:ascii="Arial" w:hAnsi="Arial"/>
        </w:rPr>
        <w:t>Timothy R Nicholson</w:t>
      </w:r>
      <w:r w:rsidR="00C84ACA">
        <w:rPr>
          <w:rFonts w:ascii="Arial" w:hAnsi="Arial"/>
        </w:rPr>
        <w:t xml:space="preserve"> MD, </w:t>
      </w:r>
      <w:r w:rsidR="00837D02">
        <w:rPr>
          <w:rFonts w:ascii="Arial" w:hAnsi="Arial"/>
        </w:rPr>
        <w:t>PhD</w:t>
      </w:r>
      <w:r w:rsidR="00C84ACA">
        <w:rPr>
          <w:rFonts w:ascii="Arial" w:hAnsi="Arial"/>
        </w:rPr>
        <w:t>*</w:t>
      </w:r>
      <w:r w:rsidR="003D2D72" w:rsidRPr="00C84ACA">
        <w:rPr>
          <w:rFonts w:ascii="Arial" w:hAnsi="Arial"/>
          <w:vertAlign w:val="superscript"/>
        </w:rPr>
        <w:t>1</w:t>
      </w:r>
      <w:r w:rsidRPr="00C84ACA">
        <w:rPr>
          <w:rFonts w:ascii="Arial" w:hAnsi="Arial"/>
        </w:rPr>
        <w:t>, Alan Carson</w:t>
      </w:r>
      <w:r w:rsidR="00C84ACA" w:rsidRPr="00C84ACA">
        <w:rPr>
          <w:rFonts w:ascii="Arial" w:hAnsi="Arial"/>
        </w:rPr>
        <w:t xml:space="preserve"> </w:t>
      </w:r>
      <w:r w:rsidR="00C84ACA">
        <w:rPr>
          <w:rFonts w:ascii="Arial" w:hAnsi="Arial"/>
        </w:rPr>
        <w:t>MD</w:t>
      </w:r>
      <w:r w:rsidR="003D2D72" w:rsidRPr="00C84ACA">
        <w:rPr>
          <w:rFonts w:ascii="Arial" w:hAnsi="Arial"/>
          <w:vertAlign w:val="superscript"/>
        </w:rPr>
        <w:t>2,3</w:t>
      </w:r>
      <w:r w:rsidRPr="00C84ACA">
        <w:rPr>
          <w:rFonts w:ascii="Arial" w:hAnsi="Arial"/>
        </w:rPr>
        <w:t xml:space="preserve">, Mark </w:t>
      </w:r>
      <w:r w:rsidR="003D2D72" w:rsidRPr="00C84ACA">
        <w:rPr>
          <w:rFonts w:ascii="Arial" w:hAnsi="Arial"/>
        </w:rPr>
        <w:t xml:space="preserve">J </w:t>
      </w:r>
      <w:r w:rsidRPr="00C84ACA">
        <w:rPr>
          <w:rFonts w:ascii="Arial" w:hAnsi="Arial"/>
        </w:rPr>
        <w:t>Edwards</w:t>
      </w:r>
      <w:r w:rsidR="00C84ACA" w:rsidRPr="00C84ACA">
        <w:rPr>
          <w:rFonts w:ascii="Arial" w:hAnsi="Arial"/>
        </w:rPr>
        <w:t xml:space="preserve"> </w:t>
      </w:r>
      <w:r w:rsidR="00C84ACA">
        <w:rPr>
          <w:rFonts w:ascii="Arial" w:hAnsi="Arial"/>
        </w:rPr>
        <w:t xml:space="preserve">MD, </w:t>
      </w:r>
      <w:r w:rsidR="00837D02">
        <w:rPr>
          <w:rFonts w:ascii="Arial" w:hAnsi="Arial"/>
        </w:rPr>
        <w:t>PhD</w:t>
      </w:r>
      <w:r w:rsidR="003D2D72" w:rsidRPr="00C84ACA">
        <w:rPr>
          <w:rFonts w:ascii="Arial" w:hAnsi="Arial"/>
          <w:vertAlign w:val="superscript"/>
        </w:rPr>
        <w:t>4</w:t>
      </w:r>
      <w:r w:rsidRPr="00C84ACA">
        <w:rPr>
          <w:rFonts w:ascii="Arial" w:hAnsi="Arial"/>
        </w:rPr>
        <w:t xml:space="preserve">, </w:t>
      </w:r>
      <w:r w:rsidR="004B4AD4" w:rsidRPr="00C84ACA">
        <w:rPr>
          <w:rFonts w:ascii="Arial" w:hAnsi="Arial"/>
        </w:rPr>
        <w:t xml:space="preserve">Laura </w:t>
      </w:r>
      <w:r w:rsidR="009073C2">
        <w:rPr>
          <w:rFonts w:ascii="Arial" w:hAnsi="Arial"/>
        </w:rPr>
        <w:t xml:space="preserve">H </w:t>
      </w:r>
      <w:r w:rsidR="004B4AD4" w:rsidRPr="00C84ACA">
        <w:rPr>
          <w:rFonts w:ascii="Arial" w:hAnsi="Arial"/>
        </w:rPr>
        <w:t>Goldstein</w:t>
      </w:r>
      <w:r w:rsidR="00C84ACA" w:rsidRPr="00C84ACA">
        <w:rPr>
          <w:rFonts w:ascii="Arial" w:hAnsi="Arial"/>
        </w:rPr>
        <w:t xml:space="preserve"> </w:t>
      </w:r>
      <w:r w:rsidR="00C84ACA">
        <w:rPr>
          <w:rFonts w:ascii="Arial" w:hAnsi="Arial"/>
        </w:rPr>
        <w:t>Ph</w:t>
      </w:r>
      <w:r w:rsidR="009073C2">
        <w:rPr>
          <w:rFonts w:ascii="Arial" w:hAnsi="Arial"/>
        </w:rPr>
        <w:t>D</w:t>
      </w:r>
      <w:r w:rsidR="004B4AD4" w:rsidRPr="00C84ACA">
        <w:rPr>
          <w:rFonts w:ascii="Arial" w:hAnsi="Arial"/>
          <w:vertAlign w:val="superscript"/>
        </w:rPr>
        <w:t>1</w:t>
      </w:r>
      <w:r w:rsidR="004B4AD4" w:rsidRPr="00C84ACA">
        <w:rPr>
          <w:rFonts w:ascii="Arial" w:hAnsi="Arial"/>
        </w:rPr>
        <w:t xml:space="preserve">, </w:t>
      </w:r>
      <w:r w:rsidR="004E3703" w:rsidRPr="00C84ACA">
        <w:rPr>
          <w:rFonts w:ascii="Arial" w:hAnsi="Arial"/>
        </w:rPr>
        <w:t>Mark Hallett</w:t>
      </w:r>
      <w:r w:rsidR="00C84ACA">
        <w:rPr>
          <w:rFonts w:ascii="Arial" w:hAnsi="Arial"/>
        </w:rPr>
        <w:t xml:space="preserve"> MD, Ph</w:t>
      </w:r>
      <w:r w:rsidR="009073C2">
        <w:rPr>
          <w:rFonts w:ascii="Arial" w:hAnsi="Arial"/>
        </w:rPr>
        <w:t>D</w:t>
      </w:r>
      <w:r w:rsidR="004B4AD4" w:rsidRPr="00C84ACA">
        <w:rPr>
          <w:rFonts w:ascii="Arial" w:hAnsi="Arial"/>
          <w:vertAlign w:val="superscript"/>
        </w:rPr>
        <w:t>5</w:t>
      </w:r>
      <w:r w:rsidR="00921169">
        <w:rPr>
          <w:rFonts w:ascii="Arial" w:hAnsi="Arial"/>
        </w:rPr>
        <w:t xml:space="preserve">, </w:t>
      </w:r>
      <w:r w:rsidR="004B4AD4" w:rsidRPr="00C84ACA">
        <w:rPr>
          <w:rFonts w:ascii="Arial" w:hAnsi="Arial"/>
        </w:rPr>
        <w:t>Bridget Mildon</w:t>
      </w:r>
      <w:r w:rsidR="00386CF1" w:rsidRPr="00C84ACA">
        <w:rPr>
          <w:rFonts w:ascii="Arial" w:hAnsi="Arial"/>
          <w:vertAlign w:val="superscript"/>
        </w:rPr>
        <w:t>6</w:t>
      </w:r>
      <w:r w:rsidR="004B4AD4" w:rsidRPr="00C84ACA">
        <w:rPr>
          <w:rFonts w:ascii="Arial" w:hAnsi="Arial"/>
        </w:rPr>
        <w:t xml:space="preserve">, </w:t>
      </w:r>
      <w:r w:rsidR="005433E5" w:rsidRPr="00C84ACA">
        <w:rPr>
          <w:rFonts w:ascii="Arial" w:hAnsi="Arial"/>
        </w:rPr>
        <w:t>Glenn Ni</w:t>
      </w:r>
      <w:r w:rsidR="004A5D17">
        <w:rPr>
          <w:rFonts w:ascii="Arial" w:hAnsi="Arial"/>
        </w:rPr>
        <w:t>e</w:t>
      </w:r>
      <w:r w:rsidR="005433E5" w:rsidRPr="00C84ACA">
        <w:rPr>
          <w:rFonts w:ascii="Arial" w:hAnsi="Arial"/>
        </w:rPr>
        <w:t>lsen</w:t>
      </w:r>
      <w:r w:rsidR="00C84ACA" w:rsidRPr="00C84ACA">
        <w:rPr>
          <w:rFonts w:ascii="Arial" w:hAnsi="Arial"/>
        </w:rPr>
        <w:t xml:space="preserve"> </w:t>
      </w:r>
      <w:r w:rsidR="008F691B">
        <w:rPr>
          <w:rFonts w:ascii="Arial" w:hAnsi="Arial"/>
        </w:rPr>
        <w:t xml:space="preserve">BSc, </w:t>
      </w:r>
      <w:r w:rsidR="00837D02">
        <w:rPr>
          <w:rFonts w:ascii="Arial" w:hAnsi="Arial"/>
        </w:rPr>
        <w:t>PhD</w:t>
      </w:r>
      <w:r w:rsidR="00386CF1" w:rsidRPr="00C84ACA">
        <w:rPr>
          <w:rFonts w:ascii="Arial" w:hAnsi="Arial"/>
          <w:vertAlign w:val="superscript"/>
        </w:rPr>
        <w:t>4</w:t>
      </w:r>
      <w:r w:rsidR="004B4AD4" w:rsidRPr="00C84ACA">
        <w:rPr>
          <w:rFonts w:ascii="Arial" w:hAnsi="Arial"/>
        </w:rPr>
        <w:t>, Clare Nicholson</w:t>
      </w:r>
      <w:r w:rsidR="006969C2">
        <w:rPr>
          <w:rFonts w:ascii="Arial" w:hAnsi="Arial"/>
        </w:rPr>
        <w:t xml:space="preserve"> MSc</w:t>
      </w:r>
      <w:r w:rsidR="00386CF1" w:rsidRPr="00C84ACA">
        <w:rPr>
          <w:rFonts w:ascii="Arial" w:hAnsi="Arial"/>
          <w:vertAlign w:val="superscript"/>
        </w:rPr>
        <w:t>7</w:t>
      </w:r>
      <w:r w:rsidR="004B4AD4" w:rsidRPr="00C84ACA">
        <w:rPr>
          <w:rFonts w:ascii="Arial" w:hAnsi="Arial"/>
        </w:rPr>
        <w:t>,</w:t>
      </w:r>
      <w:r w:rsidR="005433E5" w:rsidRPr="00C84ACA">
        <w:rPr>
          <w:rFonts w:ascii="Arial" w:hAnsi="Arial"/>
        </w:rPr>
        <w:t xml:space="preserve"> David </w:t>
      </w:r>
      <w:r w:rsidR="00A82CF2" w:rsidRPr="00C84ACA">
        <w:rPr>
          <w:rFonts w:ascii="Arial" w:hAnsi="Arial" w:cs="Arial"/>
        </w:rPr>
        <w:t xml:space="preserve">L </w:t>
      </w:r>
      <w:r w:rsidR="005433E5" w:rsidRPr="00C84ACA">
        <w:rPr>
          <w:rFonts w:ascii="Arial" w:hAnsi="Arial" w:cs="Arial"/>
        </w:rPr>
        <w:t>Perez</w:t>
      </w:r>
      <w:r w:rsidR="00D7381F">
        <w:rPr>
          <w:rFonts w:ascii="Arial" w:hAnsi="Arial" w:cs="Arial"/>
        </w:rPr>
        <w:t xml:space="preserve"> MD, MMSc</w:t>
      </w:r>
      <w:r w:rsidR="00386CF1" w:rsidRPr="00C84ACA">
        <w:rPr>
          <w:rFonts w:ascii="Arial" w:hAnsi="Arial" w:cs="Arial"/>
          <w:vertAlign w:val="superscript"/>
        </w:rPr>
        <w:t>8</w:t>
      </w:r>
      <w:r w:rsidR="005433E5" w:rsidRPr="00C84ACA">
        <w:rPr>
          <w:rFonts w:ascii="Arial" w:hAnsi="Arial"/>
        </w:rPr>
        <w:t>, Susannah Pick</w:t>
      </w:r>
      <w:r w:rsidR="00C84ACA" w:rsidRPr="00C84ACA">
        <w:rPr>
          <w:rFonts w:ascii="Arial" w:hAnsi="Arial"/>
        </w:rPr>
        <w:t xml:space="preserve"> </w:t>
      </w:r>
      <w:r w:rsidR="00C84ACA">
        <w:rPr>
          <w:rFonts w:ascii="Arial" w:hAnsi="Arial"/>
        </w:rPr>
        <w:t>Ph</w:t>
      </w:r>
      <w:r w:rsidR="009073C2">
        <w:rPr>
          <w:rFonts w:ascii="Arial" w:hAnsi="Arial"/>
        </w:rPr>
        <w:t>D</w:t>
      </w:r>
      <w:r w:rsidR="004B4AD4" w:rsidRPr="00C84ACA">
        <w:rPr>
          <w:rFonts w:ascii="Arial" w:hAnsi="Arial"/>
          <w:vertAlign w:val="superscript"/>
        </w:rPr>
        <w:t>1</w:t>
      </w:r>
      <w:r w:rsidR="005433E5" w:rsidRPr="00C84ACA">
        <w:rPr>
          <w:rFonts w:ascii="Arial" w:hAnsi="Arial"/>
        </w:rPr>
        <w:t>, Jon Stone</w:t>
      </w:r>
      <w:r w:rsidR="00C84ACA">
        <w:rPr>
          <w:rFonts w:ascii="Arial" w:hAnsi="Arial"/>
        </w:rPr>
        <w:t>, Ph</w:t>
      </w:r>
      <w:r w:rsidR="00837D02">
        <w:rPr>
          <w:rFonts w:ascii="Arial" w:hAnsi="Arial"/>
        </w:rPr>
        <w:t>D</w:t>
      </w:r>
      <w:r w:rsidR="005433E5" w:rsidRPr="00C84ACA">
        <w:rPr>
          <w:rFonts w:ascii="Arial" w:hAnsi="Arial"/>
          <w:vertAlign w:val="superscript"/>
        </w:rPr>
        <w:t>2</w:t>
      </w:r>
      <w:r w:rsidR="00971CAF" w:rsidRPr="00C84ACA">
        <w:rPr>
          <w:rFonts w:ascii="Arial" w:hAnsi="Arial"/>
        </w:rPr>
        <w:t xml:space="preserve"> and the FND-COM (Functional </w:t>
      </w:r>
      <w:r w:rsidR="0021190C">
        <w:rPr>
          <w:rFonts w:ascii="Arial" w:hAnsi="Arial"/>
        </w:rPr>
        <w:t>Neurological</w:t>
      </w:r>
      <w:r w:rsidR="00971CAF" w:rsidRPr="00C84ACA">
        <w:rPr>
          <w:rFonts w:ascii="Arial" w:hAnsi="Arial"/>
        </w:rPr>
        <w:t xml:space="preserve"> Disorders </w:t>
      </w:r>
      <w:r w:rsidR="00C9498E" w:rsidRPr="00C84ACA">
        <w:rPr>
          <w:rFonts w:ascii="Arial" w:hAnsi="Arial"/>
        </w:rPr>
        <w:t xml:space="preserve">- </w:t>
      </w:r>
      <w:r w:rsidR="00971CAF" w:rsidRPr="00C84ACA">
        <w:rPr>
          <w:rFonts w:ascii="Arial" w:hAnsi="Arial"/>
        </w:rPr>
        <w:t>Core Outcome Measures) group</w:t>
      </w:r>
      <w:r w:rsidR="00D813AB">
        <w:rPr>
          <w:rFonts w:ascii="Arial" w:hAnsi="Arial"/>
        </w:rPr>
        <w:t>**</w:t>
      </w:r>
      <w:r w:rsidR="00971CAF" w:rsidRPr="00C84ACA">
        <w:rPr>
          <w:rFonts w:ascii="Arial" w:hAnsi="Arial"/>
        </w:rPr>
        <w:t>.</w:t>
      </w:r>
    </w:p>
    <w:p w14:paraId="26A2CE2B" w14:textId="77777777" w:rsidR="00AD43F1" w:rsidRDefault="00AD43F1" w:rsidP="00C84ACA">
      <w:pPr>
        <w:spacing w:line="360" w:lineRule="auto"/>
        <w:jc w:val="both"/>
        <w:rPr>
          <w:rFonts w:ascii="Arial" w:hAnsi="Arial" w:cs="Arial"/>
        </w:rPr>
      </w:pPr>
    </w:p>
    <w:p w14:paraId="52F943B6" w14:textId="4F485FDA" w:rsidR="00C340B3" w:rsidRPr="00C84ACA" w:rsidRDefault="00241A72" w:rsidP="00C84ACA">
      <w:pPr>
        <w:spacing w:line="360" w:lineRule="auto"/>
        <w:jc w:val="both"/>
        <w:rPr>
          <w:rFonts w:ascii="Arial" w:hAnsi="Arial"/>
        </w:rPr>
      </w:pPr>
      <w:r w:rsidRPr="00C84ACA">
        <w:rPr>
          <w:rFonts w:ascii="Arial" w:hAnsi="Arial"/>
        </w:rPr>
        <w:t>1. Institute of Psychiatry</w:t>
      </w:r>
      <w:r w:rsidR="0007287A">
        <w:rPr>
          <w:rFonts w:ascii="Arial" w:hAnsi="Arial"/>
        </w:rPr>
        <w:t xml:space="preserve"> Psychology &amp; Neuroscience</w:t>
      </w:r>
      <w:r w:rsidRPr="00C84ACA">
        <w:rPr>
          <w:rFonts w:ascii="Arial" w:hAnsi="Arial"/>
        </w:rPr>
        <w:t>, King’s College London</w:t>
      </w:r>
      <w:r w:rsidR="009073C2">
        <w:rPr>
          <w:rFonts w:ascii="Arial" w:hAnsi="Arial"/>
        </w:rPr>
        <w:t>, U</w:t>
      </w:r>
      <w:r w:rsidR="006969C2">
        <w:rPr>
          <w:rFonts w:ascii="Arial" w:hAnsi="Arial"/>
        </w:rPr>
        <w:t>K</w:t>
      </w:r>
    </w:p>
    <w:p w14:paraId="3B3A0EEB" w14:textId="7F3E5A26" w:rsidR="00241A72" w:rsidRPr="00C84ACA" w:rsidRDefault="00241A72" w:rsidP="00C84ACA">
      <w:pPr>
        <w:spacing w:line="360" w:lineRule="auto"/>
        <w:jc w:val="both"/>
        <w:rPr>
          <w:rFonts w:ascii="Arial" w:hAnsi="Arial"/>
        </w:rPr>
      </w:pPr>
      <w:r w:rsidRPr="00C84ACA">
        <w:rPr>
          <w:rFonts w:ascii="Arial" w:hAnsi="Arial"/>
        </w:rPr>
        <w:t xml:space="preserve">2. </w:t>
      </w:r>
      <w:r w:rsidR="00837D02">
        <w:rPr>
          <w:rFonts w:ascii="Arial" w:hAnsi="Arial"/>
          <w:lang w:val="en-US"/>
        </w:rPr>
        <w:t>Centre for Clinical Brain Sciences, University of Edinburgh</w:t>
      </w:r>
      <w:r w:rsidR="003D2D72" w:rsidRPr="00C84ACA">
        <w:rPr>
          <w:rFonts w:ascii="Arial" w:hAnsi="Arial"/>
          <w:lang w:val="en-US"/>
        </w:rPr>
        <w:t xml:space="preserve">, </w:t>
      </w:r>
      <w:r w:rsidR="006969C2">
        <w:rPr>
          <w:rFonts w:ascii="Arial" w:hAnsi="Arial"/>
          <w:lang w:val="en-US"/>
        </w:rPr>
        <w:t>UK</w:t>
      </w:r>
    </w:p>
    <w:p w14:paraId="3FD07567" w14:textId="499346BA" w:rsidR="003D2D72" w:rsidRPr="00C84ACA" w:rsidRDefault="00241A72" w:rsidP="00C84ACA">
      <w:pPr>
        <w:spacing w:line="360" w:lineRule="auto"/>
        <w:jc w:val="both"/>
        <w:rPr>
          <w:rFonts w:ascii="Arial" w:hAnsi="Arial"/>
          <w:lang w:val="en-US"/>
        </w:rPr>
      </w:pPr>
      <w:r w:rsidRPr="00C84ACA">
        <w:rPr>
          <w:rFonts w:ascii="Arial" w:hAnsi="Arial"/>
        </w:rPr>
        <w:t xml:space="preserve">3. </w:t>
      </w:r>
      <w:r w:rsidR="003D2D72" w:rsidRPr="00C84ACA">
        <w:rPr>
          <w:rFonts w:ascii="Arial" w:hAnsi="Arial"/>
          <w:lang w:val="en-US"/>
        </w:rPr>
        <w:t xml:space="preserve">Department of Rehabilitation Medicine, Astley Ainslie Hospital, Edinburgh, </w:t>
      </w:r>
      <w:r w:rsidR="006969C2">
        <w:rPr>
          <w:rFonts w:ascii="Arial" w:hAnsi="Arial"/>
          <w:lang w:val="en-US"/>
        </w:rPr>
        <w:t>UK</w:t>
      </w:r>
    </w:p>
    <w:p w14:paraId="6DF0694B" w14:textId="3C768596" w:rsidR="00241A72" w:rsidRPr="00C84ACA" w:rsidRDefault="003D2D72" w:rsidP="00C84ACA">
      <w:pPr>
        <w:spacing w:line="360" w:lineRule="auto"/>
        <w:jc w:val="both"/>
        <w:rPr>
          <w:rFonts w:ascii="Arial" w:hAnsi="Arial"/>
        </w:rPr>
      </w:pPr>
      <w:r w:rsidRPr="00C84ACA">
        <w:rPr>
          <w:rFonts w:ascii="Arial" w:hAnsi="Arial"/>
          <w:lang w:val="en-US"/>
        </w:rPr>
        <w:t xml:space="preserve">4. </w:t>
      </w:r>
      <w:r w:rsidR="00276206" w:rsidRPr="00C84ACA">
        <w:rPr>
          <w:rFonts w:ascii="Arial" w:hAnsi="Arial" w:cs="Arial"/>
          <w:lang w:val="en-US"/>
        </w:rPr>
        <w:t>Neuroscience</w:t>
      </w:r>
      <w:r w:rsidR="00276206" w:rsidRPr="00C84ACA">
        <w:rPr>
          <w:rFonts w:ascii="Arial" w:hAnsi="Arial"/>
          <w:lang w:val="en-US"/>
        </w:rPr>
        <w:t xml:space="preserve"> Research Centre, St George’s University of London, London, UK</w:t>
      </w:r>
    </w:p>
    <w:p w14:paraId="316FD10B" w14:textId="109780DB" w:rsidR="00241A72" w:rsidRPr="00C84ACA" w:rsidRDefault="004E3703" w:rsidP="00C84ACA">
      <w:pPr>
        <w:spacing w:line="360" w:lineRule="auto"/>
        <w:jc w:val="both"/>
        <w:rPr>
          <w:rFonts w:ascii="Arial" w:hAnsi="Arial"/>
        </w:rPr>
      </w:pPr>
      <w:r w:rsidRPr="00C84ACA">
        <w:rPr>
          <w:rFonts w:ascii="Arial" w:hAnsi="Arial"/>
        </w:rPr>
        <w:t>5. Human Motor Control Section, NINDS, Bethesda, Maryland, USA</w:t>
      </w:r>
    </w:p>
    <w:p w14:paraId="7903C890" w14:textId="4FE8F17F" w:rsidR="00386CF1" w:rsidRPr="00C84ACA" w:rsidRDefault="00386CF1" w:rsidP="00C84ACA">
      <w:pPr>
        <w:spacing w:line="360" w:lineRule="auto"/>
        <w:jc w:val="both"/>
        <w:rPr>
          <w:rFonts w:ascii="Arial" w:hAnsi="Arial"/>
        </w:rPr>
      </w:pPr>
      <w:r w:rsidRPr="00C84ACA">
        <w:rPr>
          <w:rFonts w:ascii="Arial" w:hAnsi="Arial"/>
        </w:rPr>
        <w:t xml:space="preserve">6. </w:t>
      </w:r>
      <w:r w:rsidR="0043167C">
        <w:rPr>
          <w:rFonts w:ascii="Arial" w:hAnsi="Arial"/>
        </w:rPr>
        <w:t xml:space="preserve">CEO, </w:t>
      </w:r>
      <w:r w:rsidRPr="00C84ACA">
        <w:rPr>
          <w:rFonts w:ascii="Arial" w:hAnsi="Arial"/>
        </w:rPr>
        <w:t>FND Hope</w:t>
      </w:r>
      <w:r w:rsidR="0007287A">
        <w:rPr>
          <w:rFonts w:ascii="Arial" w:hAnsi="Arial"/>
        </w:rPr>
        <w:t xml:space="preserve"> International</w:t>
      </w:r>
    </w:p>
    <w:p w14:paraId="21324462" w14:textId="6B3EB3BD" w:rsidR="00386CF1" w:rsidRPr="00C84ACA" w:rsidRDefault="003C01AD" w:rsidP="00C84ACA">
      <w:pPr>
        <w:spacing w:line="360" w:lineRule="auto"/>
        <w:jc w:val="both"/>
        <w:rPr>
          <w:rFonts w:ascii="Arial" w:hAnsi="Arial"/>
        </w:rPr>
      </w:pPr>
      <w:r>
        <w:rPr>
          <w:rFonts w:ascii="Arial" w:hAnsi="Arial"/>
        </w:rPr>
        <w:t xml:space="preserve">7. </w:t>
      </w:r>
      <w:r w:rsidR="006969C2">
        <w:rPr>
          <w:rFonts w:ascii="Arial" w:hAnsi="Arial"/>
        </w:rPr>
        <w:t xml:space="preserve">National Hospital for Neurology &amp; Neurosurgery, </w:t>
      </w:r>
      <w:r w:rsidR="00386CF1" w:rsidRPr="00C84ACA">
        <w:rPr>
          <w:rFonts w:ascii="Arial" w:hAnsi="Arial"/>
        </w:rPr>
        <w:t>U</w:t>
      </w:r>
      <w:r w:rsidR="006969C2">
        <w:rPr>
          <w:rFonts w:ascii="Arial" w:hAnsi="Arial"/>
        </w:rPr>
        <w:t>niversit</w:t>
      </w:r>
      <w:r w:rsidR="00634B4D">
        <w:rPr>
          <w:rFonts w:ascii="Arial" w:hAnsi="Arial"/>
        </w:rPr>
        <w:t>y</w:t>
      </w:r>
      <w:r w:rsidR="006969C2">
        <w:rPr>
          <w:rFonts w:ascii="Arial" w:hAnsi="Arial"/>
        </w:rPr>
        <w:t xml:space="preserve"> </w:t>
      </w:r>
      <w:r w:rsidR="00386CF1" w:rsidRPr="00C84ACA">
        <w:rPr>
          <w:rFonts w:ascii="Arial" w:hAnsi="Arial"/>
        </w:rPr>
        <w:t>C</w:t>
      </w:r>
      <w:r w:rsidR="006969C2">
        <w:rPr>
          <w:rFonts w:ascii="Arial" w:hAnsi="Arial"/>
        </w:rPr>
        <w:t xml:space="preserve">ollege </w:t>
      </w:r>
      <w:r w:rsidR="00386CF1" w:rsidRPr="00C84ACA">
        <w:rPr>
          <w:rFonts w:ascii="Arial" w:hAnsi="Arial"/>
        </w:rPr>
        <w:t>L</w:t>
      </w:r>
      <w:r w:rsidR="006969C2">
        <w:rPr>
          <w:rFonts w:ascii="Arial" w:hAnsi="Arial"/>
        </w:rPr>
        <w:t xml:space="preserve">ondon </w:t>
      </w:r>
      <w:r w:rsidR="00386CF1" w:rsidRPr="00C84ACA">
        <w:rPr>
          <w:rFonts w:ascii="Arial" w:hAnsi="Arial"/>
        </w:rPr>
        <w:t>H</w:t>
      </w:r>
      <w:r w:rsidR="006969C2">
        <w:rPr>
          <w:rFonts w:ascii="Arial" w:hAnsi="Arial"/>
        </w:rPr>
        <w:t>ospitals NHS Foundation Trust, London, UK</w:t>
      </w:r>
    </w:p>
    <w:p w14:paraId="7250F308" w14:textId="39975646" w:rsidR="00386CF1" w:rsidRPr="00C84ACA" w:rsidRDefault="00386CF1" w:rsidP="00C84ACA">
      <w:pPr>
        <w:spacing w:line="360" w:lineRule="auto"/>
        <w:jc w:val="both"/>
        <w:rPr>
          <w:rFonts w:ascii="Arial" w:hAnsi="Arial"/>
        </w:rPr>
      </w:pPr>
      <w:r w:rsidRPr="00C84ACA">
        <w:rPr>
          <w:rFonts w:ascii="Arial" w:hAnsi="Arial" w:cs="Arial"/>
        </w:rPr>
        <w:t xml:space="preserve">8. </w:t>
      </w:r>
      <w:r w:rsidR="00A82CF2" w:rsidRPr="00C84ACA">
        <w:rPr>
          <w:rFonts w:ascii="Arial" w:hAnsi="Arial" w:cs="Arial"/>
        </w:rPr>
        <w:t>Departments of Neurology and Psychiatry, Massachusetts General Hospital, Harvard Medical School, Boston, Massachusetts, USA</w:t>
      </w:r>
    </w:p>
    <w:p w14:paraId="3FA78FAF" w14:textId="77777777" w:rsidR="00C340B3" w:rsidRDefault="00C340B3" w:rsidP="00C84ACA">
      <w:pPr>
        <w:spacing w:line="360" w:lineRule="auto"/>
        <w:jc w:val="both"/>
        <w:rPr>
          <w:rFonts w:ascii="Arial" w:hAnsi="Arial" w:cs="Arial"/>
        </w:rPr>
      </w:pPr>
    </w:p>
    <w:p w14:paraId="6065F3C7" w14:textId="106A37CA" w:rsidR="003D3E8B" w:rsidRPr="00C84ACA" w:rsidRDefault="003D3E8B" w:rsidP="00C84ACA">
      <w:pPr>
        <w:spacing w:line="360" w:lineRule="auto"/>
        <w:jc w:val="both"/>
        <w:rPr>
          <w:rFonts w:ascii="Arial" w:hAnsi="Arial"/>
        </w:rPr>
      </w:pPr>
      <w:r w:rsidRPr="00C84ACA">
        <w:rPr>
          <w:rFonts w:ascii="Arial" w:hAnsi="Arial"/>
        </w:rPr>
        <w:t>Word count (excluding abstract</w:t>
      </w:r>
      <w:r w:rsidR="003A6F9D" w:rsidRPr="00C84ACA">
        <w:rPr>
          <w:rFonts w:ascii="Arial" w:hAnsi="Arial"/>
        </w:rPr>
        <w:t>/refs/figs</w:t>
      </w:r>
      <w:r w:rsidRPr="00C84ACA">
        <w:rPr>
          <w:rFonts w:ascii="Arial" w:hAnsi="Arial"/>
        </w:rPr>
        <w:t xml:space="preserve">): </w:t>
      </w:r>
      <w:r w:rsidR="00E05F7D">
        <w:rPr>
          <w:rFonts w:ascii="Arial" w:hAnsi="Arial"/>
        </w:rPr>
        <w:t>4</w:t>
      </w:r>
      <w:r w:rsidR="004E3301">
        <w:rPr>
          <w:rFonts w:ascii="Arial" w:hAnsi="Arial"/>
        </w:rPr>
        <w:t>488</w:t>
      </w:r>
    </w:p>
    <w:p w14:paraId="1ADCD846" w14:textId="77777777" w:rsidR="005D486C" w:rsidRDefault="005D486C" w:rsidP="00C84ACA">
      <w:pPr>
        <w:spacing w:line="360" w:lineRule="auto"/>
        <w:rPr>
          <w:rFonts w:ascii="Arial" w:hAnsi="Arial" w:cs="Arial"/>
        </w:rPr>
      </w:pPr>
    </w:p>
    <w:p w14:paraId="2561AC34" w14:textId="05AC37D1" w:rsidR="005D486C" w:rsidRDefault="005D486C" w:rsidP="00C84ACA">
      <w:pPr>
        <w:spacing w:line="360" w:lineRule="auto"/>
        <w:rPr>
          <w:rFonts w:ascii="Arial" w:hAnsi="Arial" w:cs="Arial"/>
        </w:rPr>
      </w:pPr>
      <w:r>
        <w:rPr>
          <w:rFonts w:ascii="Arial" w:hAnsi="Arial" w:cs="Arial"/>
        </w:rPr>
        <w:t>Keywords</w:t>
      </w:r>
      <w:r w:rsidR="00117D74">
        <w:rPr>
          <w:rFonts w:ascii="Arial" w:hAnsi="Arial" w:cs="Arial"/>
        </w:rPr>
        <w:t xml:space="preserve">: functional </w:t>
      </w:r>
      <w:r w:rsidR="0021190C">
        <w:rPr>
          <w:rFonts w:ascii="Arial" w:hAnsi="Arial" w:cs="Arial"/>
        </w:rPr>
        <w:t>neurological</w:t>
      </w:r>
      <w:r w:rsidR="00117D74">
        <w:rPr>
          <w:rFonts w:ascii="Arial" w:hAnsi="Arial" w:cs="Arial"/>
        </w:rPr>
        <w:t xml:space="preserve"> disorder, conversion disorder, psychogenic, outcome measure</w:t>
      </w:r>
    </w:p>
    <w:p w14:paraId="1E772D6F" w14:textId="77777777" w:rsidR="004B7E75" w:rsidRDefault="004B7E75" w:rsidP="004B7E75">
      <w:pPr>
        <w:spacing w:line="360" w:lineRule="auto"/>
        <w:rPr>
          <w:rFonts w:ascii="Arial" w:hAnsi="Arial" w:cs="Arial"/>
          <w:b/>
        </w:rPr>
      </w:pPr>
    </w:p>
    <w:p w14:paraId="6C0F1AEE" w14:textId="42DCF78E" w:rsidR="00D813AB" w:rsidRDefault="00D813AB" w:rsidP="00D813AB">
      <w:pPr>
        <w:spacing w:line="360" w:lineRule="auto"/>
        <w:rPr>
          <w:rFonts w:ascii="Arial" w:hAnsi="Arial" w:cs="Arial"/>
        </w:rPr>
      </w:pPr>
      <w:r w:rsidRPr="001E2D62">
        <w:rPr>
          <w:rFonts w:ascii="Arial" w:hAnsi="Arial" w:cs="Arial"/>
        </w:rPr>
        <w:t>*Corresponding Author</w:t>
      </w:r>
      <w:r w:rsidR="0043167C">
        <w:rPr>
          <w:rFonts w:ascii="Arial" w:hAnsi="Arial" w:cs="Arial"/>
        </w:rPr>
        <w:t xml:space="preserve">: PO68, Section of Cognitive Neuropsychiatry, </w:t>
      </w:r>
      <w:r w:rsidR="0043167C" w:rsidRPr="00C84ACA">
        <w:rPr>
          <w:rFonts w:ascii="Arial" w:hAnsi="Arial"/>
        </w:rPr>
        <w:t>Institute of Psychiatry</w:t>
      </w:r>
      <w:r w:rsidR="0043167C">
        <w:rPr>
          <w:rFonts w:ascii="Arial" w:hAnsi="Arial"/>
        </w:rPr>
        <w:t xml:space="preserve"> Psychology &amp; Neuroscience</w:t>
      </w:r>
      <w:r w:rsidR="0043167C" w:rsidRPr="00C84ACA">
        <w:rPr>
          <w:rFonts w:ascii="Arial" w:hAnsi="Arial"/>
        </w:rPr>
        <w:t>,</w:t>
      </w:r>
      <w:r w:rsidR="0043167C">
        <w:rPr>
          <w:rFonts w:ascii="Arial" w:hAnsi="Arial"/>
        </w:rPr>
        <w:t xml:space="preserve"> De </w:t>
      </w:r>
      <w:proofErr w:type="spellStart"/>
      <w:r w:rsidR="0043167C">
        <w:rPr>
          <w:rFonts w:ascii="Arial" w:hAnsi="Arial"/>
        </w:rPr>
        <w:t>Crespigny</w:t>
      </w:r>
      <w:proofErr w:type="spellEnd"/>
      <w:r w:rsidR="0043167C">
        <w:rPr>
          <w:rFonts w:ascii="Arial" w:hAnsi="Arial"/>
        </w:rPr>
        <w:t xml:space="preserve"> Park, London SE5 8AF, UK.</w:t>
      </w:r>
      <w:r w:rsidR="0043167C" w:rsidRPr="00C84ACA">
        <w:rPr>
          <w:rFonts w:ascii="Arial" w:hAnsi="Arial"/>
        </w:rPr>
        <w:t xml:space="preserve"> </w:t>
      </w:r>
      <w:r w:rsidR="0043167C">
        <w:rPr>
          <w:rFonts w:ascii="Arial" w:hAnsi="Arial" w:cs="Arial"/>
        </w:rPr>
        <w:t xml:space="preserve"> </w:t>
      </w:r>
      <w:hyperlink r:id="rId15" w:history="1">
        <w:r w:rsidR="0043167C" w:rsidRPr="00F9052B">
          <w:rPr>
            <w:rStyle w:val="Hyperlink"/>
            <w:rFonts w:ascii="Arial" w:hAnsi="Arial" w:cs="Arial"/>
          </w:rPr>
          <w:t>timothy.nicholson@kcl.ac.uk</w:t>
        </w:r>
      </w:hyperlink>
      <w:r w:rsidR="0043167C">
        <w:rPr>
          <w:rFonts w:ascii="Arial" w:hAnsi="Arial" w:cs="Arial"/>
        </w:rPr>
        <w:t xml:space="preserve"> </w:t>
      </w:r>
    </w:p>
    <w:p w14:paraId="443D1961" w14:textId="77777777" w:rsidR="0031331A" w:rsidRDefault="0031331A" w:rsidP="00D813AB">
      <w:pPr>
        <w:spacing w:line="360" w:lineRule="auto"/>
        <w:rPr>
          <w:rFonts w:ascii="Arial" w:hAnsi="Arial" w:cs="Arial"/>
        </w:rPr>
      </w:pPr>
    </w:p>
    <w:p w14:paraId="1A891912" w14:textId="77777777" w:rsidR="00D813AB" w:rsidRDefault="00D813AB">
      <w:pPr>
        <w:rPr>
          <w:rFonts w:ascii="Arial" w:hAnsi="Arial" w:cs="Arial"/>
          <w:b/>
        </w:rPr>
      </w:pPr>
    </w:p>
    <w:p w14:paraId="2FA86A5C" w14:textId="77366E29" w:rsidR="004B7E75" w:rsidRPr="00D813AB" w:rsidRDefault="00D813AB" w:rsidP="00603157">
      <w:pPr>
        <w:spacing w:line="480" w:lineRule="auto"/>
        <w:jc w:val="both"/>
        <w:rPr>
          <w:rFonts w:ascii="Arial" w:hAnsi="Arial" w:cs="Arial"/>
        </w:rPr>
      </w:pPr>
      <w:r w:rsidRPr="00D813AB">
        <w:rPr>
          <w:rFonts w:ascii="Arial" w:hAnsi="Arial" w:cs="Arial"/>
        </w:rPr>
        <w:t>**FND-COM group</w:t>
      </w:r>
      <w:r w:rsidR="00074D34">
        <w:rPr>
          <w:rFonts w:ascii="Arial" w:hAnsi="Arial" w:cs="Arial"/>
        </w:rPr>
        <w:t xml:space="preserve"> collaborators</w:t>
      </w:r>
      <w:r w:rsidRPr="00D813AB">
        <w:rPr>
          <w:rFonts w:ascii="Arial" w:hAnsi="Arial" w:cs="Arial"/>
        </w:rPr>
        <w:t xml:space="preserve">: </w:t>
      </w:r>
      <w:r w:rsidR="00910913">
        <w:rPr>
          <w:rFonts w:ascii="Arial" w:hAnsi="Arial" w:cs="Arial"/>
        </w:rPr>
        <w:t xml:space="preserve">David Anderson, Ali Asadi-Pooya, Selma Aybek, Gaston Baslet, Bas </w:t>
      </w:r>
      <w:proofErr w:type="spellStart"/>
      <w:r w:rsidR="00910913">
        <w:rPr>
          <w:rFonts w:ascii="Arial" w:hAnsi="Arial" w:cs="Arial"/>
        </w:rPr>
        <w:t>Bloem</w:t>
      </w:r>
      <w:proofErr w:type="spellEnd"/>
      <w:r w:rsidR="00910913">
        <w:rPr>
          <w:rFonts w:ascii="Arial" w:hAnsi="Arial" w:cs="Arial"/>
        </w:rPr>
        <w:t xml:space="preserve">, </w:t>
      </w:r>
      <w:r>
        <w:rPr>
          <w:rFonts w:ascii="Arial" w:hAnsi="Arial" w:cs="Arial"/>
        </w:rPr>
        <w:t xml:space="preserve">Richard </w:t>
      </w:r>
      <w:r w:rsidR="00095685">
        <w:rPr>
          <w:rFonts w:ascii="Arial" w:hAnsi="Arial" w:cs="Arial"/>
        </w:rPr>
        <w:t xml:space="preserve">J </w:t>
      </w:r>
      <w:r>
        <w:rPr>
          <w:rFonts w:ascii="Arial" w:hAnsi="Arial" w:cs="Arial"/>
        </w:rPr>
        <w:t xml:space="preserve">Brown, </w:t>
      </w:r>
      <w:r>
        <w:rPr>
          <w:rFonts w:ascii="Arial" w:hAnsi="Arial"/>
        </w:rPr>
        <w:t xml:space="preserve">Trudie Chalder, </w:t>
      </w:r>
      <w:r w:rsidR="00910913">
        <w:rPr>
          <w:rFonts w:ascii="Arial" w:hAnsi="Arial"/>
        </w:rPr>
        <w:t>Maria Dam</w:t>
      </w:r>
      <w:r w:rsidR="00095685">
        <w:rPr>
          <w:rFonts w:ascii="Arial" w:hAnsi="Arial"/>
        </w:rPr>
        <w:t>i</w:t>
      </w:r>
      <w:r w:rsidR="00910913">
        <w:rPr>
          <w:rFonts w:ascii="Arial" w:hAnsi="Arial"/>
        </w:rPr>
        <w:t xml:space="preserve">anova, </w:t>
      </w:r>
      <w:r>
        <w:rPr>
          <w:rFonts w:ascii="Arial" w:hAnsi="Arial"/>
        </w:rPr>
        <w:t>Anthony S David,</w:t>
      </w:r>
      <w:r w:rsidRPr="00C84ACA">
        <w:rPr>
          <w:rFonts w:ascii="Arial" w:hAnsi="Arial"/>
        </w:rPr>
        <w:t xml:space="preserve"> </w:t>
      </w:r>
      <w:r>
        <w:rPr>
          <w:rFonts w:ascii="Arial" w:hAnsi="Arial"/>
        </w:rPr>
        <w:t xml:space="preserve">Steve Epstein, </w:t>
      </w:r>
      <w:r w:rsidR="00910913">
        <w:rPr>
          <w:rFonts w:ascii="Arial" w:hAnsi="Arial"/>
        </w:rPr>
        <w:t xml:space="preserve">Alberto J </w:t>
      </w:r>
      <w:proofErr w:type="spellStart"/>
      <w:r w:rsidR="00910913">
        <w:rPr>
          <w:rFonts w:ascii="Arial" w:hAnsi="Arial"/>
        </w:rPr>
        <w:t>Espay</w:t>
      </w:r>
      <w:proofErr w:type="spellEnd"/>
      <w:r w:rsidR="00910913">
        <w:rPr>
          <w:rFonts w:ascii="Arial" w:hAnsi="Arial"/>
        </w:rPr>
        <w:t xml:space="preserve">, Beatrice </w:t>
      </w:r>
      <w:proofErr w:type="spellStart"/>
      <w:r w:rsidR="00910913">
        <w:rPr>
          <w:rFonts w:ascii="Arial" w:hAnsi="Arial"/>
        </w:rPr>
        <w:t>Garcin</w:t>
      </w:r>
      <w:proofErr w:type="spellEnd"/>
      <w:r w:rsidR="00910913">
        <w:rPr>
          <w:rFonts w:ascii="Arial" w:hAnsi="Arial"/>
        </w:rPr>
        <w:t xml:space="preserve">, Joseph Jankovic, </w:t>
      </w:r>
      <w:r>
        <w:rPr>
          <w:rFonts w:ascii="Arial" w:hAnsi="Arial"/>
        </w:rPr>
        <w:lastRenderedPageBreak/>
        <w:t xml:space="preserve">Eileen Joyce, </w:t>
      </w:r>
      <w:r w:rsidR="00910913">
        <w:rPr>
          <w:rFonts w:ascii="Arial" w:hAnsi="Arial"/>
        </w:rPr>
        <w:t xml:space="preserve">Richard A Kanaan, Kasia </w:t>
      </w:r>
      <w:proofErr w:type="spellStart"/>
      <w:r w:rsidR="00910913">
        <w:rPr>
          <w:rFonts w:ascii="Arial" w:hAnsi="Arial"/>
        </w:rPr>
        <w:t>Kozlowska</w:t>
      </w:r>
      <w:proofErr w:type="spellEnd"/>
      <w:r w:rsidR="00910913">
        <w:rPr>
          <w:rFonts w:ascii="Arial" w:hAnsi="Arial"/>
        </w:rPr>
        <w:t xml:space="preserve">, Kathrin LaFaver, </w:t>
      </w:r>
      <w:r w:rsidR="00080B46">
        <w:rPr>
          <w:rFonts w:ascii="Arial" w:hAnsi="Arial"/>
        </w:rPr>
        <w:t xml:space="preserve">W </w:t>
      </w:r>
      <w:r w:rsidR="00910913">
        <w:rPr>
          <w:rFonts w:ascii="Arial" w:hAnsi="Arial"/>
        </w:rPr>
        <w:t>Curt LaFrance</w:t>
      </w:r>
      <w:r w:rsidR="00080B46">
        <w:rPr>
          <w:rFonts w:ascii="Arial" w:hAnsi="Arial"/>
        </w:rPr>
        <w:t xml:space="preserve"> Jr</w:t>
      </w:r>
      <w:r w:rsidR="00910913">
        <w:rPr>
          <w:rFonts w:ascii="Arial" w:hAnsi="Arial"/>
        </w:rPr>
        <w:t xml:space="preserve">, Anthony E Lang, Alex Lehn, Sarah Lidstone, </w:t>
      </w:r>
      <w:r>
        <w:rPr>
          <w:rFonts w:ascii="Arial" w:hAnsi="Arial"/>
        </w:rPr>
        <w:t xml:space="preserve">Carine Maurer, </w:t>
      </w:r>
      <w:r w:rsidR="00910913">
        <w:rPr>
          <w:rFonts w:ascii="Arial" w:hAnsi="Arial"/>
        </w:rPr>
        <w:t xml:space="preserve">Francesca Morgante, Lorna Myers, </w:t>
      </w:r>
      <w:r>
        <w:rPr>
          <w:rFonts w:ascii="Arial" w:hAnsi="Arial"/>
        </w:rPr>
        <w:t>Markus Reuber,</w:t>
      </w:r>
      <w:r w:rsidRPr="00C84ACA">
        <w:rPr>
          <w:rFonts w:ascii="Arial" w:hAnsi="Arial"/>
        </w:rPr>
        <w:t xml:space="preserve"> </w:t>
      </w:r>
      <w:r w:rsidR="00910913">
        <w:rPr>
          <w:rFonts w:ascii="Arial" w:hAnsi="Arial"/>
        </w:rPr>
        <w:t xml:space="preserve">Karen Rommelfanger, Petra </w:t>
      </w:r>
      <w:proofErr w:type="spellStart"/>
      <w:r w:rsidR="00910913">
        <w:rPr>
          <w:rFonts w:ascii="Arial" w:hAnsi="Arial"/>
        </w:rPr>
        <w:t>Schwingenshuh</w:t>
      </w:r>
      <w:proofErr w:type="spellEnd"/>
      <w:r w:rsidR="00910913">
        <w:rPr>
          <w:rFonts w:ascii="Arial" w:hAnsi="Arial"/>
        </w:rPr>
        <w:t>, Tereza Serranova. Paul Shotbolt, Glenn Stebbins,</w:t>
      </w:r>
      <w:r w:rsidRPr="00C84ACA">
        <w:rPr>
          <w:rFonts w:ascii="Arial" w:hAnsi="Arial"/>
        </w:rPr>
        <w:t xml:space="preserve"> </w:t>
      </w:r>
      <w:r w:rsidR="00910913">
        <w:rPr>
          <w:rFonts w:ascii="Arial" w:hAnsi="Arial"/>
        </w:rPr>
        <w:t xml:space="preserve">Marina AJ </w:t>
      </w:r>
      <w:proofErr w:type="spellStart"/>
      <w:r w:rsidR="00910913">
        <w:rPr>
          <w:rFonts w:ascii="Arial" w:hAnsi="Arial"/>
        </w:rPr>
        <w:t>Tijssen</w:t>
      </w:r>
      <w:proofErr w:type="spellEnd"/>
      <w:r w:rsidR="00910913">
        <w:rPr>
          <w:rFonts w:ascii="Arial" w:hAnsi="Arial"/>
        </w:rPr>
        <w:t>, Michele Tinazzi.</w:t>
      </w:r>
      <w:r w:rsidR="004B7E75" w:rsidRPr="00D813AB">
        <w:rPr>
          <w:rFonts w:ascii="Arial" w:hAnsi="Arial" w:cs="Arial"/>
        </w:rPr>
        <w:br w:type="page"/>
      </w:r>
    </w:p>
    <w:p w14:paraId="4415CBFD" w14:textId="2140530F" w:rsidR="001E2D62" w:rsidRPr="001E2D62" w:rsidRDefault="001E2D62" w:rsidP="004B7E75">
      <w:pPr>
        <w:spacing w:line="360" w:lineRule="auto"/>
        <w:rPr>
          <w:rFonts w:ascii="Arial" w:hAnsi="Arial" w:cs="Arial"/>
          <w:b/>
        </w:rPr>
      </w:pPr>
      <w:r w:rsidRPr="002579C0">
        <w:rPr>
          <w:rFonts w:ascii="Arial" w:hAnsi="Arial" w:cs="Arial"/>
          <w:b/>
          <w:sz w:val="28"/>
          <w:szCs w:val="28"/>
        </w:rPr>
        <w:lastRenderedPageBreak/>
        <w:t>Abstract</w:t>
      </w:r>
      <w:r w:rsidR="0043167C">
        <w:rPr>
          <w:rFonts w:ascii="Arial" w:hAnsi="Arial" w:cs="Arial"/>
          <w:b/>
        </w:rPr>
        <w:t xml:space="preserve"> </w:t>
      </w:r>
    </w:p>
    <w:p w14:paraId="31B0594D" w14:textId="77777777" w:rsidR="00C340B3" w:rsidRPr="00C84ACA" w:rsidRDefault="00C340B3">
      <w:pPr>
        <w:rPr>
          <w:rFonts w:ascii="Arial" w:hAnsi="Arial"/>
        </w:rPr>
      </w:pPr>
    </w:p>
    <w:p w14:paraId="3AE6605A" w14:textId="64939640" w:rsidR="001630A8" w:rsidRPr="004B7E75" w:rsidRDefault="00276206" w:rsidP="00C84ACA">
      <w:pPr>
        <w:spacing w:line="480" w:lineRule="auto"/>
        <w:jc w:val="both"/>
        <w:rPr>
          <w:rFonts w:ascii="Arial" w:hAnsi="Arial" w:cs="Arial"/>
          <w:sz w:val="22"/>
        </w:rPr>
      </w:pPr>
      <w:r w:rsidRPr="00C84ACA">
        <w:rPr>
          <w:rFonts w:ascii="Arial" w:hAnsi="Arial"/>
        </w:rPr>
        <w:t xml:space="preserve">The development </w:t>
      </w:r>
      <w:r w:rsidR="00107632">
        <w:rPr>
          <w:rFonts w:ascii="Arial" w:hAnsi="Arial"/>
        </w:rPr>
        <w:t xml:space="preserve">and selection </w:t>
      </w:r>
      <w:r w:rsidRPr="00C84ACA">
        <w:rPr>
          <w:rFonts w:ascii="Arial" w:hAnsi="Arial"/>
        </w:rPr>
        <w:t xml:space="preserve">of </w:t>
      </w:r>
      <w:r w:rsidR="0092380D">
        <w:rPr>
          <w:rFonts w:ascii="Arial" w:hAnsi="Arial"/>
        </w:rPr>
        <w:t>optimal</w:t>
      </w:r>
      <w:r w:rsidRPr="00C84ACA">
        <w:rPr>
          <w:rFonts w:ascii="Arial" w:hAnsi="Arial"/>
        </w:rPr>
        <w:t xml:space="preserve"> outcome meas</w:t>
      </w:r>
      <w:r w:rsidR="00107632">
        <w:rPr>
          <w:rFonts w:ascii="Arial" w:hAnsi="Arial"/>
        </w:rPr>
        <w:t xml:space="preserve">ures </w:t>
      </w:r>
      <w:r w:rsidRPr="00C84ACA">
        <w:rPr>
          <w:rFonts w:ascii="Arial" w:hAnsi="Arial"/>
        </w:rPr>
        <w:t>is</w:t>
      </w:r>
      <w:r w:rsidR="006C346F">
        <w:rPr>
          <w:rFonts w:ascii="Arial" w:hAnsi="Arial"/>
        </w:rPr>
        <w:t xml:space="preserve"> increasingly recogni</w:t>
      </w:r>
      <w:r w:rsidR="00E633C2">
        <w:rPr>
          <w:rFonts w:ascii="Arial" w:hAnsi="Arial"/>
        </w:rPr>
        <w:t>z</w:t>
      </w:r>
      <w:r w:rsidR="006C346F">
        <w:rPr>
          <w:rFonts w:ascii="Arial" w:hAnsi="Arial"/>
        </w:rPr>
        <w:t>ed as</w:t>
      </w:r>
      <w:r w:rsidRPr="00C84ACA">
        <w:rPr>
          <w:rFonts w:ascii="Arial" w:hAnsi="Arial"/>
        </w:rPr>
        <w:t xml:space="preserve"> a key </w:t>
      </w:r>
      <w:r w:rsidR="001E2D62">
        <w:rPr>
          <w:rFonts w:ascii="Arial" w:hAnsi="Arial" w:cs="Arial"/>
        </w:rPr>
        <w:t>component of</w:t>
      </w:r>
      <w:r w:rsidRPr="00C84ACA">
        <w:rPr>
          <w:rFonts w:ascii="Arial" w:hAnsi="Arial"/>
        </w:rPr>
        <w:t xml:space="preserve"> evidence-based medicine</w:t>
      </w:r>
      <w:r w:rsidR="00107632">
        <w:rPr>
          <w:rFonts w:ascii="Arial" w:hAnsi="Arial"/>
        </w:rPr>
        <w:t xml:space="preserve">, particularly </w:t>
      </w:r>
      <w:r w:rsidR="0092380D">
        <w:rPr>
          <w:rFonts w:ascii="Arial" w:hAnsi="Arial"/>
        </w:rPr>
        <w:t xml:space="preserve">the </w:t>
      </w:r>
      <w:r w:rsidR="006C346F">
        <w:rPr>
          <w:rFonts w:ascii="Arial" w:hAnsi="Arial"/>
        </w:rPr>
        <w:t xml:space="preserve">need for the </w:t>
      </w:r>
      <w:r w:rsidR="0092380D">
        <w:rPr>
          <w:rFonts w:ascii="Arial" w:hAnsi="Arial"/>
        </w:rPr>
        <w:t>development of a</w:t>
      </w:r>
      <w:r w:rsidR="00107632" w:rsidRPr="00C84ACA">
        <w:rPr>
          <w:rFonts w:ascii="Arial" w:hAnsi="Arial" w:cs="Arial"/>
        </w:rPr>
        <w:t xml:space="preserve"> </w:t>
      </w:r>
      <w:r w:rsidR="00107632">
        <w:rPr>
          <w:rFonts w:ascii="Arial" w:hAnsi="Arial" w:cs="Arial"/>
        </w:rPr>
        <w:t>standardized set</w:t>
      </w:r>
      <w:r w:rsidR="0092380D">
        <w:rPr>
          <w:rFonts w:ascii="Arial" w:hAnsi="Arial" w:cs="Arial"/>
        </w:rPr>
        <w:t xml:space="preserve"> of measures</w:t>
      </w:r>
      <w:r w:rsidR="00107632" w:rsidRPr="00C84ACA">
        <w:rPr>
          <w:rFonts w:ascii="Arial" w:hAnsi="Arial" w:cs="Arial"/>
        </w:rPr>
        <w:t xml:space="preserve"> </w:t>
      </w:r>
      <w:r w:rsidR="00107632" w:rsidRPr="00C84ACA">
        <w:rPr>
          <w:rFonts w:ascii="Arial" w:hAnsi="Arial"/>
        </w:rPr>
        <w:t>for use in clinical trials</w:t>
      </w:r>
      <w:r w:rsidR="00FD5FBC" w:rsidRPr="00C84ACA">
        <w:rPr>
          <w:rFonts w:ascii="Arial" w:hAnsi="Arial"/>
        </w:rPr>
        <w:t xml:space="preserve">. </w:t>
      </w:r>
      <w:r w:rsidRPr="00C84ACA">
        <w:rPr>
          <w:rFonts w:ascii="Arial" w:hAnsi="Arial"/>
        </w:rPr>
        <w:t>Th</w:t>
      </w:r>
      <w:r w:rsidR="00107632">
        <w:rPr>
          <w:rFonts w:ascii="Arial" w:hAnsi="Arial"/>
        </w:rPr>
        <w:t xml:space="preserve">is </w:t>
      </w:r>
      <w:r w:rsidR="006C346F">
        <w:rPr>
          <w:rFonts w:ascii="Arial" w:hAnsi="Arial"/>
        </w:rPr>
        <w:t>process</w:t>
      </w:r>
      <w:r w:rsidRPr="00606C50">
        <w:rPr>
          <w:rFonts w:ascii="Arial" w:hAnsi="Arial"/>
        </w:rPr>
        <w:t xml:space="preserve"> is particularly complex </w:t>
      </w:r>
      <w:r w:rsidR="00107632" w:rsidRPr="00606C50">
        <w:rPr>
          <w:rFonts w:ascii="Arial" w:hAnsi="Arial"/>
        </w:rPr>
        <w:t xml:space="preserve">for </w:t>
      </w:r>
      <w:r w:rsidR="001C2472" w:rsidRPr="00606C50">
        <w:rPr>
          <w:rFonts w:ascii="Arial" w:hAnsi="Arial"/>
        </w:rPr>
        <w:t>f</w:t>
      </w:r>
      <w:r w:rsidR="001630A8" w:rsidRPr="00606C50">
        <w:rPr>
          <w:rFonts w:ascii="Arial" w:hAnsi="Arial"/>
        </w:rPr>
        <w:t xml:space="preserve">unctional </w:t>
      </w:r>
      <w:r w:rsidR="00FE011F">
        <w:rPr>
          <w:rFonts w:ascii="Arial" w:hAnsi="Arial"/>
        </w:rPr>
        <w:t>neurological</w:t>
      </w:r>
      <w:r w:rsidR="008E6436" w:rsidRPr="00606C50">
        <w:rPr>
          <w:rFonts w:ascii="Arial" w:hAnsi="Arial"/>
        </w:rPr>
        <w:t xml:space="preserve"> </w:t>
      </w:r>
      <w:r w:rsidR="001C2472" w:rsidRPr="00606C50">
        <w:rPr>
          <w:rFonts w:ascii="Arial" w:hAnsi="Arial"/>
        </w:rPr>
        <w:t>d</w:t>
      </w:r>
      <w:r w:rsidR="001630A8" w:rsidRPr="00606C50">
        <w:rPr>
          <w:rFonts w:ascii="Arial" w:hAnsi="Arial"/>
        </w:rPr>
        <w:t>isorder (FND</w:t>
      </w:r>
      <w:r w:rsidR="001630A8" w:rsidRPr="00606C50">
        <w:rPr>
          <w:rFonts w:ascii="Arial" w:hAnsi="Arial" w:cs="Arial"/>
        </w:rPr>
        <w:t>)</w:t>
      </w:r>
      <w:r w:rsidR="00107632" w:rsidRPr="00606C50">
        <w:rPr>
          <w:rFonts w:ascii="Arial" w:hAnsi="Arial" w:cs="Arial"/>
        </w:rPr>
        <w:t xml:space="preserve"> </w:t>
      </w:r>
      <w:r w:rsidR="006C346F">
        <w:rPr>
          <w:rFonts w:ascii="Arial" w:hAnsi="Arial" w:cs="Arial"/>
        </w:rPr>
        <w:t>for several reasons.</w:t>
      </w:r>
      <w:r w:rsidR="00107632" w:rsidRPr="00606C50">
        <w:rPr>
          <w:rFonts w:ascii="Arial" w:hAnsi="Arial" w:cs="Arial"/>
        </w:rPr>
        <w:t xml:space="preserve"> </w:t>
      </w:r>
      <w:r w:rsidR="006C346F">
        <w:rPr>
          <w:rFonts w:ascii="Arial" w:hAnsi="Arial" w:cs="Arial"/>
        </w:rPr>
        <w:t>FND</w:t>
      </w:r>
      <w:r w:rsidR="00444612" w:rsidRPr="00606C50">
        <w:rPr>
          <w:rFonts w:ascii="Arial" w:hAnsi="Arial"/>
        </w:rPr>
        <w:t xml:space="preserve"> </w:t>
      </w:r>
      <w:r w:rsidR="005B4477">
        <w:rPr>
          <w:rFonts w:ascii="Arial" w:hAnsi="Arial"/>
        </w:rPr>
        <w:t>can present with</w:t>
      </w:r>
      <w:r w:rsidR="00D2697D" w:rsidRPr="00606C50">
        <w:rPr>
          <w:rFonts w:ascii="Arial" w:hAnsi="Arial"/>
        </w:rPr>
        <w:t xml:space="preserve"> a </w:t>
      </w:r>
      <w:r w:rsidR="00D2697D" w:rsidRPr="00C84ACA">
        <w:rPr>
          <w:rFonts w:ascii="Arial" w:hAnsi="Arial"/>
        </w:rPr>
        <w:t>wide range of symptoms</w:t>
      </w:r>
      <w:r w:rsidR="00BB37A3" w:rsidRPr="00C84ACA">
        <w:rPr>
          <w:rFonts w:ascii="Arial" w:hAnsi="Arial"/>
        </w:rPr>
        <w:t xml:space="preserve"> </w:t>
      </w:r>
      <w:r w:rsidR="005B4477">
        <w:rPr>
          <w:rFonts w:ascii="Arial" w:hAnsi="Arial" w:cs="Arial"/>
        </w:rPr>
        <w:t>that</w:t>
      </w:r>
      <w:r w:rsidR="006F4EF6" w:rsidRPr="00C84ACA">
        <w:rPr>
          <w:rFonts w:ascii="Arial" w:hAnsi="Arial" w:cs="Arial"/>
        </w:rPr>
        <w:t xml:space="preserve"> </w:t>
      </w:r>
      <w:r w:rsidR="006F4EF6">
        <w:rPr>
          <w:rFonts w:ascii="Arial" w:hAnsi="Arial" w:cs="Arial"/>
        </w:rPr>
        <w:t>resemble</w:t>
      </w:r>
      <w:r w:rsidR="001E2D62">
        <w:rPr>
          <w:rFonts w:ascii="Arial" w:hAnsi="Arial" w:cs="Arial"/>
        </w:rPr>
        <w:t xml:space="preserve"> the full spectrum of</w:t>
      </w:r>
      <w:r w:rsidR="00444612" w:rsidRPr="00C84ACA">
        <w:rPr>
          <w:rFonts w:ascii="Arial" w:hAnsi="Arial"/>
        </w:rPr>
        <w:t xml:space="preserve"> </w:t>
      </w:r>
      <w:r w:rsidR="00177923" w:rsidRPr="00C84ACA">
        <w:rPr>
          <w:rFonts w:ascii="Arial" w:hAnsi="Arial" w:cs="Arial"/>
        </w:rPr>
        <w:t xml:space="preserve">other </w:t>
      </w:r>
      <w:r w:rsidR="0021190C">
        <w:rPr>
          <w:rFonts w:ascii="Arial" w:hAnsi="Arial"/>
        </w:rPr>
        <w:t>neurological</w:t>
      </w:r>
      <w:r w:rsidR="00444612" w:rsidRPr="00C84ACA">
        <w:rPr>
          <w:rFonts w:ascii="Arial" w:hAnsi="Arial"/>
        </w:rPr>
        <w:t xml:space="preserve"> </w:t>
      </w:r>
      <w:r w:rsidR="00444612" w:rsidRPr="00C84ACA">
        <w:rPr>
          <w:rFonts w:ascii="Arial" w:hAnsi="Arial" w:cs="Arial"/>
        </w:rPr>
        <w:t>disorder</w:t>
      </w:r>
      <w:r w:rsidR="001E2D62">
        <w:rPr>
          <w:rFonts w:ascii="Arial" w:hAnsi="Arial" w:cs="Arial"/>
        </w:rPr>
        <w:t>s</w:t>
      </w:r>
      <w:r w:rsidR="00D15E6A" w:rsidRPr="00C84ACA">
        <w:rPr>
          <w:rFonts w:ascii="Arial" w:hAnsi="Arial"/>
        </w:rPr>
        <w:t>.</w:t>
      </w:r>
      <w:r w:rsidR="00D2697D" w:rsidRPr="00C84ACA">
        <w:rPr>
          <w:rFonts w:ascii="Arial" w:hAnsi="Arial"/>
        </w:rPr>
        <w:t xml:space="preserve"> </w:t>
      </w:r>
      <w:r w:rsidR="00A17C66">
        <w:rPr>
          <w:rFonts w:ascii="Arial" w:hAnsi="Arial"/>
        </w:rPr>
        <w:t xml:space="preserve">Additional </w:t>
      </w:r>
      <w:r w:rsidR="00A17C66">
        <w:rPr>
          <w:rFonts w:ascii="Arial" w:hAnsi="Arial" w:cs="Arial"/>
        </w:rPr>
        <w:t>p</w:t>
      </w:r>
      <w:r w:rsidR="005D486C">
        <w:rPr>
          <w:rFonts w:ascii="Arial" w:hAnsi="Arial" w:cs="Arial"/>
        </w:rPr>
        <w:t>hysical</w:t>
      </w:r>
      <w:r w:rsidR="00177923" w:rsidRPr="00C84ACA">
        <w:rPr>
          <w:rFonts w:ascii="Arial" w:hAnsi="Arial" w:cs="Arial"/>
        </w:rPr>
        <w:t xml:space="preserve"> (e.</w:t>
      </w:r>
      <w:r w:rsidR="004B7E75">
        <w:rPr>
          <w:rFonts w:ascii="Arial" w:hAnsi="Arial" w:cs="Arial"/>
        </w:rPr>
        <w:t>g.</w:t>
      </w:r>
      <w:r w:rsidR="00177923" w:rsidRPr="00C84ACA">
        <w:rPr>
          <w:rFonts w:ascii="Arial" w:hAnsi="Arial" w:cs="Arial"/>
        </w:rPr>
        <w:t xml:space="preserve"> pain, fatigue) a</w:t>
      </w:r>
      <w:r w:rsidR="00074D34">
        <w:rPr>
          <w:rFonts w:ascii="Arial" w:hAnsi="Arial" w:cs="Arial"/>
        </w:rPr>
        <w:t>nd psychological</w:t>
      </w:r>
      <w:r w:rsidR="00177923" w:rsidRPr="00C84ACA">
        <w:rPr>
          <w:rFonts w:ascii="Arial" w:hAnsi="Arial" w:cs="Arial"/>
        </w:rPr>
        <w:t xml:space="preserve"> (</w:t>
      </w:r>
      <w:r w:rsidR="004B7E75">
        <w:rPr>
          <w:rFonts w:ascii="Arial" w:hAnsi="Arial" w:cs="Arial"/>
        </w:rPr>
        <w:t xml:space="preserve">e.g. </w:t>
      </w:r>
      <w:r w:rsidR="00177923" w:rsidRPr="00C84ACA">
        <w:rPr>
          <w:rFonts w:ascii="Arial" w:hAnsi="Arial" w:cs="Arial"/>
        </w:rPr>
        <w:t>depression, anxiety)</w:t>
      </w:r>
      <w:r w:rsidR="00837D02">
        <w:rPr>
          <w:rFonts w:ascii="Arial" w:hAnsi="Arial" w:cs="Arial"/>
        </w:rPr>
        <w:t xml:space="preserve"> symptom</w:t>
      </w:r>
      <w:r w:rsidR="00B71964">
        <w:rPr>
          <w:rFonts w:ascii="Arial" w:hAnsi="Arial" w:cs="Arial"/>
        </w:rPr>
        <w:t>s</w:t>
      </w:r>
      <w:r w:rsidR="001E2D62" w:rsidRPr="00C84ACA">
        <w:rPr>
          <w:rFonts w:ascii="Arial" w:hAnsi="Arial" w:cs="Arial"/>
        </w:rPr>
        <w:t xml:space="preserve"> </w:t>
      </w:r>
      <w:r w:rsidR="00B71964">
        <w:rPr>
          <w:rFonts w:ascii="Arial" w:hAnsi="Arial" w:cs="Arial"/>
        </w:rPr>
        <w:t xml:space="preserve">are </w:t>
      </w:r>
      <w:r w:rsidR="00EB0D64">
        <w:rPr>
          <w:rFonts w:ascii="Arial" w:hAnsi="Arial" w:cs="Arial"/>
        </w:rPr>
        <w:t>commonly</w:t>
      </w:r>
      <w:r w:rsidR="00B71964">
        <w:rPr>
          <w:rFonts w:ascii="Arial" w:hAnsi="Arial" w:cs="Arial"/>
        </w:rPr>
        <w:t xml:space="preserve"> associated with FND</w:t>
      </w:r>
      <w:r w:rsidR="00966B20">
        <w:rPr>
          <w:rFonts w:ascii="Arial" w:hAnsi="Arial" w:cs="Arial"/>
        </w:rPr>
        <w:t>,</w:t>
      </w:r>
      <w:r w:rsidR="00EB0D64">
        <w:rPr>
          <w:rFonts w:ascii="Arial" w:hAnsi="Arial" w:cs="Arial"/>
        </w:rPr>
        <w:t xml:space="preserve"> </w:t>
      </w:r>
      <w:r w:rsidR="00966B20">
        <w:rPr>
          <w:rFonts w:ascii="Arial" w:hAnsi="Arial" w:cs="Arial"/>
        </w:rPr>
        <w:t xml:space="preserve">which </w:t>
      </w:r>
      <w:r w:rsidR="009832BC">
        <w:rPr>
          <w:rFonts w:ascii="Arial" w:hAnsi="Arial" w:cs="Arial"/>
        </w:rPr>
        <w:t>also</w:t>
      </w:r>
      <w:r w:rsidR="0043167C">
        <w:rPr>
          <w:rFonts w:ascii="Arial" w:hAnsi="Arial" w:cs="Arial"/>
        </w:rPr>
        <w:t xml:space="preserve"> </w:t>
      </w:r>
      <w:r w:rsidR="00EB0D64">
        <w:rPr>
          <w:rFonts w:ascii="Arial" w:hAnsi="Arial" w:cs="Arial"/>
        </w:rPr>
        <w:t>can be highly disabling with</w:t>
      </w:r>
      <w:r w:rsidR="001E2D62" w:rsidRPr="00C84ACA">
        <w:rPr>
          <w:rFonts w:ascii="Arial" w:hAnsi="Arial" w:cs="Arial"/>
        </w:rPr>
        <w:t xml:space="preserve"> implications</w:t>
      </w:r>
      <w:r w:rsidR="005B4477">
        <w:rPr>
          <w:rFonts w:ascii="Arial" w:hAnsi="Arial" w:cs="Arial"/>
        </w:rPr>
        <w:t xml:space="preserve"> for</w:t>
      </w:r>
      <w:r w:rsidR="001E2D62" w:rsidRPr="00C84ACA">
        <w:rPr>
          <w:rFonts w:ascii="Arial" w:hAnsi="Arial" w:cs="Arial"/>
        </w:rPr>
        <w:t xml:space="preserve"> prognos</w:t>
      </w:r>
      <w:r w:rsidR="005B4477">
        <w:rPr>
          <w:rFonts w:ascii="Arial" w:hAnsi="Arial" w:cs="Arial"/>
        </w:rPr>
        <w:t>is</w:t>
      </w:r>
      <w:r w:rsidR="00966B20">
        <w:rPr>
          <w:rFonts w:ascii="Arial" w:hAnsi="Arial" w:cs="Arial"/>
        </w:rPr>
        <w:t>,</w:t>
      </w:r>
      <w:r w:rsidR="001E2D62" w:rsidRPr="00C84ACA">
        <w:rPr>
          <w:rFonts w:ascii="Arial" w:hAnsi="Arial" w:cs="Arial"/>
        </w:rPr>
        <w:t xml:space="preserve"> and</w:t>
      </w:r>
      <w:r w:rsidR="001E2D62">
        <w:rPr>
          <w:rFonts w:ascii="Arial" w:hAnsi="Arial" w:cs="Arial"/>
        </w:rPr>
        <w:t xml:space="preserve"> </w:t>
      </w:r>
      <w:r w:rsidR="001E2D62" w:rsidRPr="00C84ACA">
        <w:rPr>
          <w:rFonts w:ascii="Arial" w:hAnsi="Arial" w:cs="Arial"/>
        </w:rPr>
        <w:t>warrant concurren</w:t>
      </w:r>
      <w:r w:rsidR="002B41A8">
        <w:rPr>
          <w:rFonts w:ascii="Arial" w:hAnsi="Arial" w:cs="Arial"/>
        </w:rPr>
        <w:t>t assessment</w:t>
      </w:r>
      <w:r w:rsidR="009832BC">
        <w:rPr>
          <w:rFonts w:ascii="Arial" w:hAnsi="Arial" w:cs="Arial"/>
        </w:rPr>
        <w:t>,</w:t>
      </w:r>
      <w:r w:rsidR="002B41A8">
        <w:rPr>
          <w:rFonts w:ascii="Arial" w:hAnsi="Arial" w:cs="Arial"/>
        </w:rPr>
        <w:t xml:space="preserve"> despite </w:t>
      </w:r>
      <w:r w:rsidR="00CC3511">
        <w:rPr>
          <w:rFonts w:ascii="Arial" w:hAnsi="Arial" w:cs="Arial"/>
        </w:rPr>
        <w:t>an</w:t>
      </w:r>
      <w:r w:rsidR="002B41A8">
        <w:rPr>
          <w:rFonts w:ascii="Arial" w:hAnsi="Arial" w:cs="Arial"/>
        </w:rPr>
        <w:t xml:space="preserve"> unclear etiological relat</w:t>
      </w:r>
      <w:r w:rsidR="00367FFE">
        <w:rPr>
          <w:rFonts w:ascii="Arial" w:hAnsi="Arial" w:cs="Arial"/>
        </w:rPr>
        <w:t>ionship</w:t>
      </w:r>
      <w:r w:rsidR="002B41A8">
        <w:rPr>
          <w:rFonts w:ascii="Arial" w:hAnsi="Arial" w:cs="Arial"/>
        </w:rPr>
        <w:t xml:space="preserve"> </w:t>
      </w:r>
      <w:r w:rsidR="005B4477">
        <w:rPr>
          <w:rFonts w:ascii="Arial" w:hAnsi="Arial" w:cs="Arial"/>
        </w:rPr>
        <w:t>with</w:t>
      </w:r>
      <w:r w:rsidR="002B41A8">
        <w:rPr>
          <w:rFonts w:ascii="Arial" w:hAnsi="Arial" w:cs="Arial"/>
        </w:rPr>
        <w:t xml:space="preserve"> FND</w:t>
      </w:r>
      <w:r w:rsidR="00EB0D64">
        <w:rPr>
          <w:rFonts w:ascii="Arial" w:hAnsi="Arial" w:cs="Arial"/>
        </w:rPr>
        <w:t xml:space="preserve">. </w:t>
      </w:r>
      <w:r w:rsidR="00EB0D64" w:rsidRPr="00C84ACA">
        <w:rPr>
          <w:rFonts w:ascii="Arial" w:hAnsi="Arial"/>
        </w:rPr>
        <w:t xml:space="preserve">Furthermore, several </w:t>
      </w:r>
      <w:r w:rsidR="00EB0D64">
        <w:rPr>
          <w:rFonts w:ascii="Arial" w:hAnsi="Arial"/>
        </w:rPr>
        <w:t>unique clinical</w:t>
      </w:r>
      <w:r w:rsidR="00EB0D64" w:rsidRPr="00C84ACA">
        <w:rPr>
          <w:rFonts w:ascii="Arial" w:hAnsi="Arial"/>
        </w:rPr>
        <w:t xml:space="preserve"> aspects of FND make it likely that the usual prioriti</w:t>
      </w:r>
      <w:r w:rsidR="00E633C2">
        <w:rPr>
          <w:rFonts w:ascii="Arial" w:hAnsi="Arial"/>
        </w:rPr>
        <w:t>z</w:t>
      </w:r>
      <w:r w:rsidR="00EB0D64" w:rsidRPr="00C84ACA">
        <w:rPr>
          <w:rFonts w:ascii="Arial" w:hAnsi="Arial"/>
        </w:rPr>
        <w:t xml:space="preserve">ation of </w:t>
      </w:r>
      <w:r w:rsidR="009832BC">
        <w:rPr>
          <w:rFonts w:ascii="Arial" w:hAnsi="Arial"/>
        </w:rPr>
        <w:t>“</w:t>
      </w:r>
      <w:r w:rsidR="00EB0D64" w:rsidRPr="00C84ACA">
        <w:rPr>
          <w:rFonts w:ascii="Arial" w:hAnsi="Arial"/>
        </w:rPr>
        <w:t>o</w:t>
      </w:r>
      <w:r w:rsidR="00EB0D64">
        <w:rPr>
          <w:rFonts w:ascii="Arial" w:hAnsi="Arial"/>
        </w:rPr>
        <w:t>bjective</w:t>
      </w:r>
      <w:r w:rsidR="009832BC">
        <w:rPr>
          <w:rFonts w:ascii="Arial" w:hAnsi="Arial"/>
        </w:rPr>
        <w:t>”</w:t>
      </w:r>
      <w:r w:rsidR="00EB0D64">
        <w:rPr>
          <w:rFonts w:ascii="Arial" w:hAnsi="Arial"/>
        </w:rPr>
        <w:t xml:space="preserve"> </w:t>
      </w:r>
      <w:r w:rsidR="009832BC">
        <w:rPr>
          <w:rFonts w:ascii="Arial" w:hAnsi="Arial"/>
        </w:rPr>
        <w:t>(</w:t>
      </w:r>
      <w:r w:rsidR="00EB0D64">
        <w:rPr>
          <w:rFonts w:ascii="Arial" w:hAnsi="Arial"/>
        </w:rPr>
        <w:t xml:space="preserve">or </w:t>
      </w:r>
      <w:r w:rsidR="00EB0D64" w:rsidRPr="00C84ACA">
        <w:rPr>
          <w:rFonts w:ascii="Arial" w:hAnsi="Arial"/>
        </w:rPr>
        <w:t>clinician-</w:t>
      </w:r>
      <w:r w:rsidR="00EB0D64">
        <w:rPr>
          <w:rFonts w:ascii="Arial" w:hAnsi="Arial"/>
        </w:rPr>
        <w:t>rated</w:t>
      </w:r>
      <w:r w:rsidR="00EB0D64" w:rsidRPr="00C84ACA">
        <w:rPr>
          <w:rFonts w:ascii="Arial" w:hAnsi="Arial"/>
        </w:rPr>
        <w:t xml:space="preserve"> measures</w:t>
      </w:r>
      <w:r w:rsidR="009832BC">
        <w:rPr>
          <w:rFonts w:ascii="Arial" w:hAnsi="Arial"/>
        </w:rPr>
        <w:t>),</w:t>
      </w:r>
      <w:r w:rsidR="00EB0D64">
        <w:rPr>
          <w:rFonts w:ascii="Arial" w:hAnsi="Arial"/>
        </w:rPr>
        <w:t xml:space="preserve"> over </w:t>
      </w:r>
      <w:r w:rsidR="009832BC">
        <w:rPr>
          <w:rFonts w:ascii="Arial" w:hAnsi="Arial"/>
        </w:rPr>
        <w:t>“</w:t>
      </w:r>
      <w:r w:rsidR="00EB0D64">
        <w:rPr>
          <w:rFonts w:ascii="Arial" w:hAnsi="Arial"/>
        </w:rPr>
        <w:t>subjective</w:t>
      </w:r>
      <w:r w:rsidR="009832BC">
        <w:rPr>
          <w:rFonts w:ascii="Arial" w:hAnsi="Arial"/>
        </w:rPr>
        <w:t>”</w:t>
      </w:r>
      <w:r w:rsidR="00EB0D64">
        <w:rPr>
          <w:rFonts w:ascii="Arial" w:hAnsi="Arial"/>
        </w:rPr>
        <w:t xml:space="preserve"> </w:t>
      </w:r>
      <w:r w:rsidR="009832BC">
        <w:rPr>
          <w:rFonts w:ascii="Arial" w:hAnsi="Arial"/>
        </w:rPr>
        <w:t>(</w:t>
      </w:r>
      <w:r w:rsidR="00EB0D64">
        <w:rPr>
          <w:rFonts w:ascii="Arial" w:hAnsi="Arial"/>
        </w:rPr>
        <w:t>or</w:t>
      </w:r>
      <w:r w:rsidR="00EB0D64" w:rsidRPr="00C84ACA">
        <w:rPr>
          <w:rFonts w:ascii="Arial" w:hAnsi="Arial"/>
        </w:rPr>
        <w:t xml:space="preserve"> patient-</w:t>
      </w:r>
      <w:r w:rsidR="00EB0D64">
        <w:rPr>
          <w:rFonts w:ascii="Arial" w:hAnsi="Arial"/>
        </w:rPr>
        <w:t>rated</w:t>
      </w:r>
      <w:r w:rsidR="00EB0D64" w:rsidRPr="00C84ACA">
        <w:rPr>
          <w:rFonts w:ascii="Arial" w:hAnsi="Arial"/>
        </w:rPr>
        <w:t xml:space="preserve"> measures</w:t>
      </w:r>
      <w:r w:rsidR="009832BC">
        <w:rPr>
          <w:rFonts w:ascii="Arial" w:hAnsi="Arial"/>
        </w:rPr>
        <w:t>)</w:t>
      </w:r>
      <w:r w:rsidR="00EB0D64" w:rsidRPr="00C84ACA">
        <w:rPr>
          <w:rFonts w:ascii="Arial" w:hAnsi="Arial"/>
        </w:rPr>
        <w:t xml:space="preserve"> might not be appropriate</w:t>
      </w:r>
      <w:r w:rsidR="005B4477">
        <w:rPr>
          <w:rFonts w:ascii="Arial" w:hAnsi="Arial"/>
        </w:rPr>
        <w:t>. S</w:t>
      </w:r>
      <w:r w:rsidR="009832BC">
        <w:rPr>
          <w:rFonts w:ascii="Arial" w:hAnsi="Arial"/>
        </w:rPr>
        <w:t xml:space="preserve">elf-report </w:t>
      </w:r>
      <w:r w:rsidR="00EB0D64">
        <w:rPr>
          <w:rFonts w:ascii="Arial" w:hAnsi="Arial"/>
        </w:rPr>
        <w:t xml:space="preserve">measures may be </w:t>
      </w:r>
      <w:r w:rsidR="008216DA">
        <w:rPr>
          <w:rFonts w:ascii="Arial" w:hAnsi="Arial"/>
        </w:rPr>
        <w:t>more</w:t>
      </w:r>
      <w:r w:rsidR="00A17C66">
        <w:rPr>
          <w:rFonts w:ascii="Arial" w:hAnsi="Arial"/>
        </w:rPr>
        <w:t xml:space="preserve"> </w:t>
      </w:r>
      <w:r w:rsidR="00EB0D64">
        <w:rPr>
          <w:rFonts w:ascii="Arial" w:hAnsi="Arial"/>
        </w:rPr>
        <w:t>clinically meaningful</w:t>
      </w:r>
      <w:r w:rsidR="009832BC">
        <w:rPr>
          <w:rFonts w:ascii="Arial" w:hAnsi="Arial"/>
        </w:rPr>
        <w:t xml:space="preserve"> in this population</w:t>
      </w:r>
      <w:r w:rsidR="00EB0D64" w:rsidRPr="00C84ACA">
        <w:rPr>
          <w:rFonts w:ascii="Arial" w:hAnsi="Arial"/>
        </w:rPr>
        <w:t>.</w:t>
      </w:r>
      <w:r w:rsidR="001E2D62" w:rsidRPr="00C84ACA">
        <w:rPr>
          <w:rFonts w:ascii="Arial" w:hAnsi="Arial" w:cs="Arial"/>
        </w:rPr>
        <w:t xml:space="preserve"> </w:t>
      </w:r>
      <w:r w:rsidR="001E2D62">
        <w:rPr>
          <w:rFonts w:ascii="Arial" w:hAnsi="Arial" w:cs="Arial"/>
        </w:rPr>
        <w:t>D</w:t>
      </w:r>
      <w:r w:rsidR="00FD5FBC" w:rsidRPr="00C84ACA">
        <w:rPr>
          <w:rFonts w:ascii="Arial" w:hAnsi="Arial"/>
        </w:rPr>
        <w:t>espite being a common</w:t>
      </w:r>
      <w:r w:rsidR="00CF4146" w:rsidRPr="00C84ACA">
        <w:rPr>
          <w:rFonts w:ascii="Arial" w:hAnsi="Arial"/>
        </w:rPr>
        <w:t xml:space="preserve"> and disabling</w:t>
      </w:r>
      <w:r w:rsidR="00FD5FBC" w:rsidRPr="00C84ACA">
        <w:rPr>
          <w:rFonts w:ascii="Arial" w:hAnsi="Arial"/>
        </w:rPr>
        <w:t xml:space="preserve"> disorder</w:t>
      </w:r>
      <w:r w:rsidR="001E2D62">
        <w:rPr>
          <w:rFonts w:ascii="Arial" w:hAnsi="Arial" w:cs="Arial"/>
        </w:rPr>
        <w:t>,</w:t>
      </w:r>
      <w:r w:rsidR="00FD5FBC" w:rsidRPr="00C84ACA">
        <w:rPr>
          <w:rFonts w:ascii="Arial" w:hAnsi="Arial"/>
        </w:rPr>
        <w:t xml:space="preserve"> there has been little </w:t>
      </w:r>
      <w:r w:rsidR="00FB3D00">
        <w:rPr>
          <w:rFonts w:ascii="Arial" w:hAnsi="Arial"/>
        </w:rPr>
        <w:t>research into outcome measures in</w:t>
      </w:r>
      <w:r w:rsidR="009073C2">
        <w:rPr>
          <w:rFonts w:ascii="Arial" w:hAnsi="Arial"/>
        </w:rPr>
        <w:t xml:space="preserve"> </w:t>
      </w:r>
      <w:r w:rsidR="00FD5FBC" w:rsidRPr="00C84ACA">
        <w:rPr>
          <w:rFonts w:ascii="Arial" w:hAnsi="Arial"/>
        </w:rPr>
        <w:t>FND</w:t>
      </w:r>
      <w:r w:rsidR="00B46B2F" w:rsidRPr="00C84ACA">
        <w:rPr>
          <w:rFonts w:ascii="Arial" w:hAnsi="Arial"/>
        </w:rPr>
        <w:t xml:space="preserve"> </w:t>
      </w:r>
      <w:r w:rsidR="00F96C0C">
        <w:rPr>
          <w:rFonts w:ascii="Arial" w:hAnsi="Arial"/>
        </w:rPr>
        <w:t>and to date</w:t>
      </w:r>
      <w:r w:rsidR="00FB3D00">
        <w:rPr>
          <w:rFonts w:ascii="Arial" w:hAnsi="Arial"/>
        </w:rPr>
        <w:t xml:space="preserve"> </w:t>
      </w:r>
      <w:r w:rsidR="00D52FC9" w:rsidRPr="00C84ACA">
        <w:rPr>
          <w:rFonts w:ascii="Arial" w:hAnsi="Arial"/>
        </w:rPr>
        <w:t>trials have</w:t>
      </w:r>
      <w:r w:rsidR="00F96C0C">
        <w:rPr>
          <w:rFonts w:ascii="Arial" w:hAnsi="Arial"/>
        </w:rPr>
        <w:t xml:space="preserve"> largely</w:t>
      </w:r>
      <w:r w:rsidR="00FB3D00">
        <w:rPr>
          <w:rFonts w:ascii="Arial" w:hAnsi="Arial"/>
        </w:rPr>
        <w:t xml:space="preserve"> used</w:t>
      </w:r>
      <w:r w:rsidR="00D52FC9" w:rsidRPr="00C84ACA">
        <w:rPr>
          <w:rFonts w:ascii="Arial" w:hAnsi="Arial"/>
        </w:rPr>
        <w:t xml:space="preserve"> </w:t>
      </w:r>
      <w:r w:rsidR="001E2D62">
        <w:rPr>
          <w:rFonts w:ascii="Arial" w:hAnsi="Arial" w:cs="Arial"/>
        </w:rPr>
        <w:t>measure</w:t>
      </w:r>
      <w:r w:rsidR="00F96C0C">
        <w:rPr>
          <w:rFonts w:ascii="Arial" w:hAnsi="Arial" w:cs="Arial"/>
        </w:rPr>
        <w:t>s</w:t>
      </w:r>
      <w:r w:rsidR="00D52FC9" w:rsidRPr="005D486C">
        <w:rPr>
          <w:rFonts w:ascii="Arial" w:hAnsi="Arial"/>
        </w:rPr>
        <w:t xml:space="preserve"> designed for</w:t>
      </w:r>
      <w:r w:rsidRPr="005D486C">
        <w:rPr>
          <w:rFonts w:ascii="Arial" w:hAnsi="Arial"/>
        </w:rPr>
        <w:t xml:space="preserve"> the assessment of</w:t>
      </w:r>
      <w:r w:rsidR="00D52FC9" w:rsidRPr="005D486C">
        <w:rPr>
          <w:rFonts w:ascii="Arial" w:hAnsi="Arial"/>
        </w:rPr>
        <w:t xml:space="preserve"> other disorders. A</w:t>
      </w:r>
      <w:r w:rsidR="00E10251" w:rsidRPr="005D486C">
        <w:rPr>
          <w:rFonts w:ascii="Arial" w:hAnsi="Arial"/>
        </w:rPr>
        <w:t xml:space="preserve">n </w:t>
      </w:r>
      <w:r w:rsidR="00D52FC9" w:rsidRPr="005D486C">
        <w:rPr>
          <w:rFonts w:ascii="Arial" w:hAnsi="Arial"/>
        </w:rPr>
        <w:t xml:space="preserve">international ‘Core Outcome Measure’ group (FND-COM) </w:t>
      </w:r>
      <w:r w:rsidR="00E10251" w:rsidRPr="005D486C">
        <w:rPr>
          <w:rFonts w:ascii="Arial" w:hAnsi="Arial"/>
        </w:rPr>
        <w:t xml:space="preserve">has been </w:t>
      </w:r>
      <w:r w:rsidR="001E2D62">
        <w:rPr>
          <w:rFonts w:ascii="Arial" w:hAnsi="Arial" w:cs="Arial"/>
        </w:rPr>
        <w:t>established</w:t>
      </w:r>
      <w:r w:rsidR="00E10251" w:rsidRPr="005D486C">
        <w:rPr>
          <w:rFonts w:ascii="Arial" w:hAnsi="Arial"/>
        </w:rPr>
        <w:t xml:space="preserve"> to </w:t>
      </w:r>
      <w:r w:rsidR="006C346F">
        <w:rPr>
          <w:rFonts w:ascii="Arial" w:hAnsi="Arial" w:cs="Arial"/>
        </w:rPr>
        <w:t>develop</w:t>
      </w:r>
      <w:r w:rsidR="00B46B2F" w:rsidRPr="005D486C">
        <w:rPr>
          <w:rFonts w:ascii="Arial" w:hAnsi="Arial"/>
        </w:rPr>
        <w:t xml:space="preserve"> a</w:t>
      </w:r>
      <w:r w:rsidR="00E10251" w:rsidRPr="005D486C">
        <w:rPr>
          <w:rFonts w:ascii="Arial" w:hAnsi="Arial"/>
        </w:rPr>
        <w:t xml:space="preserve"> consensus </w:t>
      </w:r>
      <w:r w:rsidR="001E2D62">
        <w:rPr>
          <w:rFonts w:ascii="Arial" w:hAnsi="Arial" w:cs="Arial"/>
        </w:rPr>
        <w:t>battery</w:t>
      </w:r>
      <w:r w:rsidR="001E2D62" w:rsidRPr="005D486C">
        <w:rPr>
          <w:rFonts w:ascii="Arial" w:hAnsi="Arial" w:cs="Arial"/>
        </w:rPr>
        <w:t xml:space="preserve"> </w:t>
      </w:r>
      <w:r w:rsidR="00B46B2F" w:rsidRPr="005D486C">
        <w:rPr>
          <w:rFonts w:ascii="Arial" w:hAnsi="Arial"/>
        </w:rPr>
        <w:t>of outcomes for FND</w:t>
      </w:r>
      <w:r w:rsidRPr="005D486C">
        <w:rPr>
          <w:rFonts w:ascii="Arial" w:hAnsi="Arial"/>
        </w:rPr>
        <w:t xml:space="preserve">: </w:t>
      </w:r>
      <w:r w:rsidR="00B46B2F" w:rsidRPr="005D486C">
        <w:rPr>
          <w:rFonts w:ascii="Arial" w:hAnsi="Arial"/>
        </w:rPr>
        <w:t>a ‘core o</w:t>
      </w:r>
      <w:r w:rsidR="00E10251" w:rsidRPr="005D486C">
        <w:rPr>
          <w:rFonts w:ascii="Arial" w:hAnsi="Arial"/>
        </w:rPr>
        <w:t xml:space="preserve">utcome </w:t>
      </w:r>
      <w:r w:rsidR="00B46B2F" w:rsidRPr="005D486C">
        <w:rPr>
          <w:rFonts w:ascii="Arial" w:hAnsi="Arial"/>
        </w:rPr>
        <w:t>s</w:t>
      </w:r>
      <w:r w:rsidR="00E10251" w:rsidRPr="005D486C">
        <w:rPr>
          <w:rFonts w:ascii="Arial" w:hAnsi="Arial"/>
        </w:rPr>
        <w:t>et</w:t>
      </w:r>
      <w:r w:rsidR="00B46B2F" w:rsidRPr="005D486C">
        <w:rPr>
          <w:rFonts w:ascii="Arial" w:hAnsi="Arial"/>
        </w:rPr>
        <w:t>’</w:t>
      </w:r>
      <w:r w:rsidR="00E10251" w:rsidRPr="005D486C">
        <w:rPr>
          <w:rFonts w:ascii="Arial" w:hAnsi="Arial" w:cs="Arial"/>
        </w:rPr>
        <w:t>.</w:t>
      </w:r>
      <w:r w:rsidR="00A82CF2" w:rsidRPr="005D486C">
        <w:rPr>
          <w:rFonts w:ascii="Arial" w:hAnsi="Arial" w:cs="Arial"/>
        </w:rPr>
        <w:t xml:space="preserve"> </w:t>
      </w:r>
      <w:r w:rsidR="00E465FD" w:rsidRPr="005D486C">
        <w:rPr>
          <w:rFonts w:ascii="Arial" w:hAnsi="Arial"/>
        </w:rPr>
        <w:t>This</w:t>
      </w:r>
      <w:r w:rsidR="00E465FD" w:rsidRPr="005D486C">
        <w:rPr>
          <w:rFonts w:ascii="Arial" w:hAnsi="Arial" w:cs="Arial"/>
        </w:rPr>
        <w:t xml:space="preserve"> </w:t>
      </w:r>
      <w:r w:rsidR="001E2D62">
        <w:rPr>
          <w:rFonts w:ascii="Arial" w:hAnsi="Arial" w:cs="Arial"/>
        </w:rPr>
        <w:t>perspective</w:t>
      </w:r>
      <w:r w:rsidR="00E465FD" w:rsidRPr="005D486C">
        <w:rPr>
          <w:rFonts w:ascii="Arial" w:hAnsi="Arial"/>
        </w:rPr>
        <w:t xml:space="preserve"> article </w:t>
      </w:r>
      <w:r w:rsidR="00D52FC9" w:rsidRPr="005D486C">
        <w:rPr>
          <w:rFonts w:ascii="Arial" w:hAnsi="Arial"/>
        </w:rPr>
        <w:t>review</w:t>
      </w:r>
      <w:r w:rsidR="00E10251" w:rsidRPr="005D486C">
        <w:rPr>
          <w:rFonts w:ascii="Arial" w:hAnsi="Arial"/>
        </w:rPr>
        <w:t>s</w:t>
      </w:r>
      <w:r w:rsidR="00834065">
        <w:rPr>
          <w:rFonts w:ascii="Arial" w:hAnsi="Arial"/>
        </w:rPr>
        <w:t xml:space="preserve"> the process</w:t>
      </w:r>
      <w:r w:rsidR="00CE6F7D">
        <w:rPr>
          <w:rFonts w:ascii="Arial" w:hAnsi="Arial"/>
        </w:rPr>
        <w:t xml:space="preserve"> of</w:t>
      </w:r>
      <w:r w:rsidR="00CB5FCA">
        <w:rPr>
          <w:rFonts w:ascii="Arial" w:hAnsi="Arial"/>
        </w:rPr>
        <w:t xml:space="preserve"> outcome measure development and selection before considering</w:t>
      </w:r>
      <w:r w:rsidR="00D52FC9" w:rsidRPr="005D486C">
        <w:rPr>
          <w:rFonts w:ascii="Arial" w:hAnsi="Arial"/>
        </w:rPr>
        <w:t xml:space="preserve"> the</w:t>
      </w:r>
      <w:r w:rsidR="003A6F9D" w:rsidRPr="005D486C">
        <w:rPr>
          <w:rFonts w:ascii="Arial" w:hAnsi="Arial"/>
        </w:rPr>
        <w:t xml:space="preserve"> </w:t>
      </w:r>
      <w:r w:rsidR="00CE6F7D">
        <w:rPr>
          <w:rFonts w:ascii="Arial" w:hAnsi="Arial"/>
        </w:rPr>
        <w:t>spe</w:t>
      </w:r>
      <w:r w:rsidR="00180873">
        <w:rPr>
          <w:rFonts w:ascii="Arial" w:hAnsi="Arial"/>
        </w:rPr>
        <w:t>c</w:t>
      </w:r>
      <w:r w:rsidR="00CE6F7D">
        <w:rPr>
          <w:rFonts w:ascii="Arial" w:hAnsi="Arial"/>
        </w:rPr>
        <w:t xml:space="preserve">ific </w:t>
      </w:r>
      <w:r w:rsidR="003A6F9D" w:rsidRPr="005D486C">
        <w:rPr>
          <w:rFonts w:ascii="Arial" w:hAnsi="Arial"/>
        </w:rPr>
        <w:t>features of FND impact</w:t>
      </w:r>
      <w:r w:rsidR="009F3C75">
        <w:rPr>
          <w:rFonts w:ascii="Arial" w:hAnsi="Arial"/>
        </w:rPr>
        <w:t>ing</w:t>
      </w:r>
      <w:r w:rsidR="003A6F9D" w:rsidRPr="005D486C">
        <w:rPr>
          <w:rFonts w:ascii="Arial" w:hAnsi="Arial"/>
        </w:rPr>
        <w:t xml:space="preserve"> </w:t>
      </w:r>
      <w:r w:rsidR="00CB5FCA">
        <w:rPr>
          <w:rFonts w:ascii="Arial" w:hAnsi="Arial"/>
        </w:rPr>
        <w:t xml:space="preserve">on </w:t>
      </w:r>
      <w:r w:rsidR="00180873">
        <w:rPr>
          <w:rFonts w:ascii="Arial" w:hAnsi="Arial"/>
        </w:rPr>
        <w:t>the development of a core outcome set</w:t>
      </w:r>
      <w:r w:rsidR="00966B20">
        <w:rPr>
          <w:rFonts w:ascii="Arial" w:hAnsi="Arial"/>
        </w:rPr>
        <w:t>,</w:t>
      </w:r>
      <w:r w:rsidR="009F3C75">
        <w:rPr>
          <w:rFonts w:ascii="Arial" w:hAnsi="Arial"/>
        </w:rPr>
        <w:t xml:space="preserve"> and a research agenda to optimi</w:t>
      </w:r>
      <w:r w:rsidR="00E633C2">
        <w:rPr>
          <w:rFonts w:ascii="Arial" w:hAnsi="Arial"/>
        </w:rPr>
        <w:t>z</w:t>
      </w:r>
      <w:r w:rsidR="009F3C75">
        <w:rPr>
          <w:rFonts w:ascii="Arial" w:hAnsi="Arial"/>
        </w:rPr>
        <w:t xml:space="preserve">e outcome measurement in this complex </w:t>
      </w:r>
      <w:r w:rsidR="00A17C66">
        <w:rPr>
          <w:rFonts w:ascii="Arial" w:hAnsi="Arial"/>
        </w:rPr>
        <w:t xml:space="preserve">neuropsychiatric </w:t>
      </w:r>
      <w:r w:rsidR="009F3C75">
        <w:rPr>
          <w:rFonts w:ascii="Arial" w:hAnsi="Arial"/>
        </w:rPr>
        <w:t>disorder.</w:t>
      </w:r>
    </w:p>
    <w:p w14:paraId="7343EE54" w14:textId="77777777" w:rsidR="00FB3D00" w:rsidRDefault="00FB3D00" w:rsidP="002579C0">
      <w:pPr>
        <w:rPr>
          <w:rFonts w:ascii="Arial" w:hAnsi="Arial" w:cs="Arial"/>
          <w:b/>
          <w:sz w:val="28"/>
          <w:szCs w:val="28"/>
        </w:rPr>
      </w:pPr>
    </w:p>
    <w:p w14:paraId="1A45A865" w14:textId="77777777" w:rsidR="00536912" w:rsidRDefault="00536912">
      <w:pPr>
        <w:rPr>
          <w:rFonts w:ascii="Arial" w:hAnsi="Arial" w:cs="Arial"/>
          <w:b/>
          <w:sz w:val="28"/>
          <w:szCs w:val="28"/>
        </w:rPr>
      </w:pPr>
      <w:r>
        <w:rPr>
          <w:rFonts w:ascii="Arial" w:hAnsi="Arial" w:cs="Arial"/>
          <w:b/>
          <w:sz w:val="28"/>
          <w:szCs w:val="28"/>
        </w:rPr>
        <w:br w:type="page"/>
      </w:r>
    </w:p>
    <w:p w14:paraId="739F0412" w14:textId="68FBADC1" w:rsidR="001630A8" w:rsidRPr="002579C0" w:rsidRDefault="001630A8" w:rsidP="002579C0">
      <w:pPr>
        <w:rPr>
          <w:rFonts w:ascii="Arial" w:hAnsi="Arial"/>
          <w:b/>
        </w:rPr>
      </w:pPr>
      <w:r w:rsidRPr="002579C0">
        <w:rPr>
          <w:rFonts w:ascii="Arial" w:hAnsi="Arial" w:cs="Arial"/>
          <w:b/>
          <w:sz w:val="28"/>
          <w:szCs w:val="28"/>
        </w:rPr>
        <w:lastRenderedPageBreak/>
        <w:t>Introduction</w:t>
      </w:r>
    </w:p>
    <w:p w14:paraId="5D83F9EA" w14:textId="77777777" w:rsidR="00554D79" w:rsidRPr="00E6591D" w:rsidRDefault="00554D79" w:rsidP="00117D74">
      <w:pPr>
        <w:spacing w:line="480" w:lineRule="auto"/>
        <w:jc w:val="both"/>
        <w:rPr>
          <w:rFonts w:ascii="Arial" w:hAnsi="Arial" w:cs="Arial"/>
          <w:b/>
        </w:rPr>
      </w:pPr>
    </w:p>
    <w:p w14:paraId="2BC4BF7F" w14:textId="57C2E4C8" w:rsidR="00E34F65" w:rsidRPr="00E34F65" w:rsidRDefault="006F4EF6" w:rsidP="00117D74">
      <w:pPr>
        <w:spacing w:line="480" w:lineRule="auto"/>
        <w:jc w:val="both"/>
        <w:rPr>
          <w:rFonts w:ascii="Arial" w:hAnsi="Arial" w:cs="Arial"/>
        </w:rPr>
      </w:pPr>
      <w:r>
        <w:rPr>
          <w:rFonts w:ascii="Arial" w:hAnsi="Arial" w:cs="Arial"/>
        </w:rPr>
        <w:tab/>
      </w:r>
      <w:r w:rsidR="00C340B3" w:rsidRPr="00117D74">
        <w:rPr>
          <w:rFonts w:ascii="Arial" w:hAnsi="Arial"/>
        </w:rPr>
        <w:t>Despite being a common and disabling condition</w:t>
      </w:r>
      <w:r w:rsidR="00276206" w:rsidRPr="00117D74">
        <w:rPr>
          <w:rFonts w:ascii="Arial" w:hAnsi="Arial"/>
        </w:rPr>
        <w:t>,</w:t>
      </w:r>
      <w:r w:rsidR="001D65BD" w:rsidRPr="00117D74">
        <w:rPr>
          <w:rFonts w:ascii="Arial" w:hAnsi="Arial"/>
        </w:rPr>
        <w:t xml:space="preserve"> </w:t>
      </w:r>
      <w:r w:rsidR="008F691B">
        <w:rPr>
          <w:rFonts w:ascii="Arial" w:hAnsi="Arial"/>
        </w:rPr>
        <w:t>f</w:t>
      </w:r>
      <w:r w:rsidR="00C340B3" w:rsidRPr="00117D74">
        <w:rPr>
          <w:rFonts w:ascii="Arial" w:hAnsi="Arial"/>
        </w:rPr>
        <w:t xml:space="preserve">unctional </w:t>
      </w:r>
      <w:r w:rsidR="0021190C">
        <w:rPr>
          <w:rFonts w:ascii="Arial" w:hAnsi="Arial"/>
        </w:rPr>
        <w:t>neurological</w:t>
      </w:r>
      <w:r w:rsidR="00C340B3" w:rsidRPr="00117D74">
        <w:rPr>
          <w:rFonts w:ascii="Arial" w:hAnsi="Arial"/>
        </w:rPr>
        <w:t xml:space="preserve"> </w:t>
      </w:r>
      <w:r w:rsidR="008F691B">
        <w:rPr>
          <w:rFonts w:ascii="Arial" w:hAnsi="Arial"/>
        </w:rPr>
        <w:t>d</w:t>
      </w:r>
      <w:r w:rsidR="00C340B3" w:rsidRPr="00117D74">
        <w:rPr>
          <w:rFonts w:ascii="Arial" w:hAnsi="Arial"/>
        </w:rPr>
        <w:t>isorder (FND)</w:t>
      </w:r>
      <w:r w:rsidR="008E6436" w:rsidRPr="00117D74">
        <w:rPr>
          <w:rFonts w:ascii="Arial" w:hAnsi="Arial"/>
        </w:rPr>
        <w:t>, also known as conversion disorder,</w:t>
      </w:r>
      <w:r w:rsidR="00C340B3" w:rsidRPr="00117D74">
        <w:rPr>
          <w:rFonts w:ascii="Arial" w:hAnsi="Arial"/>
        </w:rPr>
        <w:t xml:space="preserve"> has been </w:t>
      </w:r>
      <w:r w:rsidR="00881E5F" w:rsidRPr="00117D74">
        <w:rPr>
          <w:rFonts w:ascii="Arial" w:hAnsi="Arial"/>
        </w:rPr>
        <w:t>relatively</w:t>
      </w:r>
      <w:r w:rsidR="00C340B3" w:rsidRPr="00117D74">
        <w:rPr>
          <w:rFonts w:ascii="Arial" w:hAnsi="Arial"/>
        </w:rPr>
        <w:t xml:space="preserve"> neglected by </w:t>
      </w:r>
      <w:r>
        <w:rPr>
          <w:rFonts w:ascii="Arial" w:hAnsi="Arial" w:cs="Arial"/>
        </w:rPr>
        <w:t xml:space="preserve">the </w:t>
      </w:r>
      <w:r w:rsidR="00C340B3" w:rsidRPr="00117D74">
        <w:rPr>
          <w:rFonts w:ascii="Arial" w:hAnsi="Arial"/>
        </w:rPr>
        <w:t>research</w:t>
      </w:r>
      <w:r w:rsidR="00DA5B11" w:rsidRPr="00117D74">
        <w:rPr>
          <w:rFonts w:ascii="Arial" w:hAnsi="Arial" w:cs="Arial"/>
        </w:rPr>
        <w:t xml:space="preserve"> </w:t>
      </w:r>
      <w:r>
        <w:rPr>
          <w:rFonts w:ascii="Arial" w:hAnsi="Arial" w:cs="Arial"/>
        </w:rPr>
        <w:t>community</w:t>
      </w:r>
      <w:r w:rsidR="00DA5B11" w:rsidRPr="00117D74">
        <w:rPr>
          <w:rFonts w:ascii="Arial" w:hAnsi="Arial"/>
        </w:rPr>
        <w:fldChar w:fldCharType="begin" w:fldLock="1"/>
      </w:r>
      <w:r w:rsidR="00C710EA">
        <w:rPr>
          <w:rFonts w:ascii="Arial" w:hAnsi="Arial"/>
        </w:rPr>
        <w:instrText>ADDIN CSL_CITATION {"citationItems":[{"id":"ITEM-1","itemData":{"DOI":"10.1001/jamaneurol.2018.1264","ISBN":"9780643090910","ISSN":"21686149","PMID":"29868890","abstract":"&lt;h3&gt;Importance&lt;/h3&gt;&lt;p&gt;Functional neurological disorders (FND) are common sources of disability in medicine. Patients have often been misdiagnosed, correctly diagnosed after lengthy delays, and/or subjected to poorly delivered diagnoses that prevent diagnostic understanding and lead to inappropriate treatments, iatrogenic harm, unnecessary and costly evaluations, and poor outcomes.&lt;/p&gt;&lt;h3&gt;Observations&lt;/h3&gt;&lt;p&gt;Functional Neurological Symptom Disorder/Conversion Disorder was adopted by&lt;i&gt;the Diagnostic and Statistical Manual of Mental Disorders, Fifth Edition&lt;/i&gt;, replacing the term&lt;i&gt;psychogenic&lt;/i&gt;with&lt;i&gt;functional&lt;/i&gt;and removing the criterion of psychological stress as a prerequisite for FND. A diagnosis can now be made in an inclusionary manner by identifying neurological signs that are specific to FNDs without reliance on presence or absence of psychological stressors or suggestive historical clues. The new model highlights a wider range of past sensitizing events, such as physical trauma, medical illness, or physiological/psychophysiological events. In this model, strong ideas and expectations about these events correlate with abnormal predictions of sensory data and body-focused attention. Neurobiological abnormalities include hypoactivation of the supplementary motor area and relative disconnection with areas that select or inhibit movements and are associated with a sense of agency. Promising evidence has accumulated for the benefit of specific physical rehabilitation and psychological interventions alone or in combination, but clinical trial evidence remains limited.&lt;/p&gt;&lt;h3&gt;Conclusions and Relevance&lt;/h3&gt;&lt;p&gt;Functional neurological disorders are a neglected but potentially reversible source of disability. Further research is needed to determine the dose and duration of various interventions, the value of combination treatments and multidisciplinary therapy, and the therapeutic modality best suited for each patient.&lt;/p&gt;","author":[{"dropping-particle":"","family":"Espay","given":"Alberto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Neurology","id":"ITEM-1","issued":{"date-parts":[["2018"]]},"title":"Current concepts in diagnosis and treatment of functional neurological disorders","type":"article"},"uris":["http://www.mendeley.com/documents/?uuid=dd207b2e-bef4-4b99-9df8-26f1c9773cbe"]}],"mendeley":{"formattedCitation":"{1}","plainTextFormattedCitation":"{1}","previouslyFormattedCitation":"{1}"},"properties":{"noteIndex":0},"schema":"https://github.com/citation-style-language/schema/raw/master/csl-citation.json"}</w:instrText>
      </w:r>
      <w:r w:rsidR="00DA5B11" w:rsidRPr="00117D74">
        <w:rPr>
          <w:rFonts w:ascii="Arial" w:hAnsi="Arial"/>
        </w:rPr>
        <w:fldChar w:fldCharType="separate"/>
      </w:r>
      <w:r w:rsidR="009D1C56" w:rsidRPr="009D1C56">
        <w:rPr>
          <w:rFonts w:ascii="Arial" w:hAnsi="Arial"/>
          <w:noProof/>
        </w:rPr>
        <w:t>{1}</w:t>
      </w:r>
      <w:r w:rsidR="00DA5B11" w:rsidRPr="00117D74">
        <w:rPr>
          <w:rFonts w:ascii="Arial" w:hAnsi="Arial"/>
        </w:rPr>
        <w:fldChar w:fldCharType="end"/>
      </w:r>
      <w:r w:rsidR="001D65BD" w:rsidRPr="00117D74">
        <w:rPr>
          <w:rFonts w:ascii="Arial" w:hAnsi="Arial"/>
        </w:rPr>
        <w:t xml:space="preserve">. </w:t>
      </w:r>
      <w:r w:rsidR="00276206" w:rsidRPr="00117D74">
        <w:rPr>
          <w:rFonts w:ascii="Arial" w:hAnsi="Arial"/>
        </w:rPr>
        <w:t xml:space="preserve">Until </w:t>
      </w:r>
      <w:r w:rsidR="00287475">
        <w:rPr>
          <w:rFonts w:ascii="Arial" w:hAnsi="Arial"/>
        </w:rPr>
        <w:t>recently</w:t>
      </w:r>
      <w:r w:rsidR="00276206" w:rsidRPr="00117D74">
        <w:rPr>
          <w:rFonts w:ascii="Arial" w:hAnsi="Arial"/>
        </w:rPr>
        <w:t xml:space="preserve"> there were few clinical trials of treatment, and pathophysiological and etiological </w:t>
      </w:r>
      <w:r>
        <w:rPr>
          <w:rFonts w:ascii="Arial" w:hAnsi="Arial" w:cs="Arial"/>
        </w:rPr>
        <w:t>investigations were limited</w:t>
      </w:r>
      <w:r w:rsidR="00122686">
        <w:rPr>
          <w:rFonts w:ascii="Arial" w:hAnsi="Arial" w:cs="Arial"/>
        </w:rPr>
        <w:t>,</w:t>
      </w:r>
      <w:r w:rsidR="0028131B">
        <w:rPr>
          <w:rFonts w:ascii="Arial" w:hAnsi="Arial" w:cs="Arial"/>
        </w:rPr>
        <w:fldChar w:fldCharType="begin" w:fldLock="1"/>
      </w:r>
      <w:r w:rsidR="00763A14">
        <w:rPr>
          <w:rFonts w:ascii="Arial" w:hAnsi="Arial" w:cs="Arial"/>
        </w:rPr>
        <w:instrText>ADDIN CSL_CITATION {"citationItems":[{"id":"ITEM-1","itemData":{"DOI":"10.1176/appi.neuropsych.14090217","ISSN":"1545-7222 (Electronic)","PMID":"26900733","abstract":"Much is known regarding the physical characteristics, comorbid symptoms, psychological makeup, and neuropsychological performance of patients with functional neurological disorders (FNDs)/conversion disorders. Gross neurostructural deficits do not account for the patients' deficits or symptoms. This review describes the literature focusing on potential neurobiological (i.e. functional neuroanatomic/neurophysiological) findings among individuals with FND, examining neuroimaging and neurophysiological studies of patients with the various forms of motor and sensory FND. In summary, neural networks and neurophysiologic mechanisms may mediate \"functional\" symptoms, reflecting neurobiological and intrapsychic processes.","author":[{"dropping-particle":"","family":"Voon","given":"Valerie","non-dropping-particle":"","parse-names":false,"suffix":""},{"dropping-particle":"","family":"Cavanna","given":"Andrea E","non-dropping-particle":"","parse-names":false,"suffix":""},{"dropping-particle":"","family":"Coburn","given":"Kerry","non-dropping-particle":"","parse-names":false,"suffix":""},{"dropping-particle":"","family":"Sampson","given":"Shirlene","non-dropping-particle":"","parse-names":false,"suffix":""},{"dropping-particle":"","family":"Reeve","given":"Alya","non-dropping-particle":"","parse-names":false,"suffix":""},{"dropping-particle":"","family":"LaFrance","given":"W Curt Jr","non-dropping-particle":"","parse-names":false,"suffix":""}],"container-title":"The Journal of neuropsychiatry and clinical neurosciences","id":"ITEM-1","issued":{"date-parts":[["2016"]]},"title":"Functional Neuroanatomy and Neurophysiology of Functional Neurological Disorders  (Conversion Disorder).","type":"article-journal"},"uris":["http://www.mendeley.com/documents/?uuid=a6761696-245b-431f-ab4c-02aa3c5a959c"]}],"mendeley":{"formattedCitation":"{2}","plainTextFormattedCitation":"{2}","previouslyFormattedCitation":"{2}"},"properties":{"noteIndex":0},"schema":"https://github.com/citation-style-language/schema/raw/master/csl-citation.json"}</w:instrText>
      </w:r>
      <w:r w:rsidR="0028131B">
        <w:rPr>
          <w:rFonts w:ascii="Arial" w:hAnsi="Arial" w:cs="Arial"/>
        </w:rPr>
        <w:fldChar w:fldCharType="separate"/>
      </w:r>
      <w:r w:rsidR="0028131B" w:rsidRPr="0028131B">
        <w:rPr>
          <w:rFonts w:ascii="Arial" w:hAnsi="Arial" w:cs="Arial"/>
          <w:noProof/>
        </w:rPr>
        <w:t>{2}</w:t>
      </w:r>
      <w:r w:rsidR="0028131B">
        <w:rPr>
          <w:rFonts w:ascii="Arial" w:hAnsi="Arial" w:cs="Arial"/>
        </w:rPr>
        <w:fldChar w:fldCharType="end"/>
      </w:r>
      <w:r w:rsidR="002C4FE9">
        <w:rPr>
          <w:rFonts w:ascii="Arial" w:hAnsi="Arial" w:cs="Arial"/>
        </w:rPr>
        <w:t xml:space="preserve"> despite </w:t>
      </w:r>
      <w:r>
        <w:rPr>
          <w:rFonts w:ascii="Arial" w:hAnsi="Arial" w:cs="Arial"/>
        </w:rPr>
        <w:t xml:space="preserve">FND </w:t>
      </w:r>
      <w:r w:rsidR="002C4FE9">
        <w:rPr>
          <w:rFonts w:ascii="Arial" w:hAnsi="Arial" w:cs="Arial"/>
        </w:rPr>
        <w:t>being</w:t>
      </w:r>
      <w:r>
        <w:rPr>
          <w:rFonts w:ascii="Arial" w:hAnsi="Arial" w:cs="Arial"/>
        </w:rPr>
        <w:t xml:space="preserve"> the second common</w:t>
      </w:r>
      <w:r w:rsidR="00837D02">
        <w:rPr>
          <w:rFonts w:ascii="Arial" w:hAnsi="Arial" w:cs="Arial"/>
        </w:rPr>
        <w:t>est reason for</w:t>
      </w:r>
      <w:r>
        <w:rPr>
          <w:rFonts w:ascii="Arial" w:hAnsi="Arial" w:cs="Arial"/>
        </w:rPr>
        <w:t xml:space="preserve"> </w:t>
      </w:r>
      <w:r w:rsidR="00837D02">
        <w:rPr>
          <w:rFonts w:ascii="Arial" w:hAnsi="Arial" w:cs="Arial"/>
        </w:rPr>
        <w:t xml:space="preserve">a new outpatient </w:t>
      </w:r>
      <w:r>
        <w:rPr>
          <w:rFonts w:ascii="Arial" w:hAnsi="Arial" w:cs="Arial"/>
        </w:rPr>
        <w:t>referral to neurolog</w:t>
      </w:r>
      <w:r w:rsidR="00837D02">
        <w:rPr>
          <w:rFonts w:ascii="Arial" w:hAnsi="Arial" w:cs="Arial"/>
        </w:rPr>
        <w:t>y</w:t>
      </w:r>
      <w:r w:rsidR="00B130FF">
        <w:rPr>
          <w:rFonts w:ascii="Arial" w:hAnsi="Arial" w:cs="Arial"/>
        </w:rPr>
        <w:fldChar w:fldCharType="begin" w:fldLock="1"/>
      </w:r>
      <w:r w:rsidR="00763A14">
        <w:rPr>
          <w:rFonts w:ascii="Arial" w:hAnsi="Arial" w:cs="Arial"/>
        </w:rPr>
        <w:instrText>ADDIN CSL_CITATION {"citationItems":[{"id":"ITEM-1","itemData":{"DOI":"10.1016/j.clineuro.2010.05.011","ISBN":"03038467","ISSN":"03038467","PMID":"20646830","abstract":"Objective: Information on the nature and relative frequency of diagnoses made in referrals to neurology outpatient clinics is an important guide to priorities in services, teaching and research. Previous studies of this topic have been limited by being of only single centres or lacking in detail. We aimed to describe the neurological diagnoses made in a large series of referrals to neurology outpatient clinics. Method: Newly referred outpatients attending neurology clinics in all the NHS neurological centres in Scotland, UK were recruited over a period of 15 months. The assessing neurologists recorded the initial diagnosis they made. An additional rating of the degree to which the neurologist considered the patient's symptoms to be explained by disease was used to categorise those diagnoses that simply described a symptom such as 'fatigue'. Results: Three thousand seven hundred and eighty-one patients participated (91% of those eligible). The commonest categories of diagnosis made were: headache (19%), functional and psychological symptoms (16%), epilepsy (14%), peripheral nerve disorders (11%), miscellaneous neurological disorders (10%), demyelination (7%), spinal disorders (6%), Parkinson's disease/movement disorders (6%), and syncope (4%). Detailed breakdowns of each category are provided. Conclusions: Headache, functional/psychological disorders and epilepsy are the most common diagnoses in new patient referral to neurological services. This information should be used to shape priorities for services, teaching and research. ?? 2010 Elsevier B.V. All rights reserved.","author":[{"dropping-particle":"","family":"Stone","given":"J.","non-dropping-particle":"","parse-names":false,"suffix":""},{"dropping-particle":"","family":"Carson","given":"A.","non-dropping-particle":"","parse-names":false,"suffix":""},{"dropping-particle":"","family":"Duncan","given":"R.","non-dropping-particle":"","parse-names":false,"suffix":""},{"dropping-particle":"","family":"Roberts","given":"R.","non-dropping-particle":"","parse-names":false,"suffix":""},{"dropping-particle":"","family":"Warlow","given":"C.","non-dropping-particle":"","parse-names":false,"suffix":""},{"dropping-particle":"","family":"Hibberd","given":"C.","non-dropping-particle":"","parse-names":false,"suffix":""},{"dropping-particle":"","family":"Coleman","given":"R.","non-dropping-particle":"","parse-names":false,"suffix":""},{"dropping-particle":"","family":"Cull","given":"R.","non-dropping-particle":"","parse-names":false,"suffix":""},{"dropping-particle":"","family":"Murray","given":"G.","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Smyth","given":"R.","non-dropping-particle":"","parse-names":false,"suffix":""},{"dropping-particle":"","family":"Walker","given":"J.","non-dropping-particle":"","parse-names":false,"suffix":""},{"dropping-particle":"","family":"Sharpe","given":"M.","non-dropping-particle":"","parse-names":false,"suffix":""}],"container-title":"Clinical Neurology and Neurosurgery","id":"ITEM-1","issue":"9","issued":{"date-parts":[["2010"]]},"page":"747-751","publisher":"Elsevier B.V.","title":"Who is referred to neurology clinics? - The diagnoses made in 3781 new patients","type":"article-journal","volume":"112"},"uris":["http://www.mendeley.com/documents/?uuid=d02894f2-af8d-4555-b8b5-805998a5c44e"]}],"mendeley":{"formattedCitation":"{3}","plainTextFormattedCitation":"{3}","previouslyFormattedCitation":"{3}"},"properties":{"noteIndex":0},"schema":"https://github.com/citation-style-language/schema/raw/master/csl-citation.json"}</w:instrText>
      </w:r>
      <w:r w:rsidR="00B130FF">
        <w:rPr>
          <w:rFonts w:ascii="Arial" w:hAnsi="Arial" w:cs="Arial"/>
        </w:rPr>
        <w:fldChar w:fldCharType="separate"/>
      </w:r>
      <w:r w:rsidR="0028131B" w:rsidRPr="0028131B">
        <w:rPr>
          <w:rFonts w:ascii="Arial" w:hAnsi="Arial" w:cs="Arial"/>
          <w:noProof/>
        </w:rPr>
        <w:t>{3}</w:t>
      </w:r>
      <w:r w:rsidR="00B130FF">
        <w:rPr>
          <w:rFonts w:ascii="Arial" w:hAnsi="Arial" w:cs="Arial"/>
        </w:rPr>
        <w:fldChar w:fldCharType="end"/>
      </w:r>
      <w:r>
        <w:rPr>
          <w:rFonts w:ascii="Arial" w:hAnsi="Arial" w:cs="Arial"/>
        </w:rPr>
        <w:t xml:space="preserve">, and </w:t>
      </w:r>
      <w:r w:rsidR="002C4FE9">
        <w:rPr>
          <w:rFonts w:ascii="Arial" w:hAnsi="Arial" w:cs="Arial"/>
        </w:rPr>
        <w:t>ha</w:t>
      </w:r>
      <w:r w:rsidR="00135B69">
        <w:rPr>
          <w:rFonts w:ascii="Arial" w:hAnsi="Arial" w:cs="Arial"/>
        </w:rPr>
        <w:t>ving</w:t>
      </w:r>
      <w:r w:rsidR="002C4FE9">
        <w:rPr>
          <w:rFonts w:ascii="Arial" w:hAnsi="Arial" w:cs="Arial"/>
        </w:rPr>
        <w:t xml:space="preserve"> </w:t>
      </w:r>
      <w:r w:rsidR="00287475">
        <w:rPr>
          <w:rFonts w:ascii="Arial" w:hAnsi="Arial" w:cs="Arial"/>
        </w:rPr>
        <w:t>high rates of</w:t>
      </w:r>
      <w:r>
        <w:rPr>
          <w:rFonts w:ascii="Arial" w:hAnsi="Arial" w:cs="Arial"/>
        </w:rPr>
        <w:t xml:space="preserve"> </w:t>
      </w:r>
      <w:r w:rsidR="00F3748C">
        <w:rPr>
          <w:rFonts w:ascii="Arial" w:hAnsi="Arial" w:cs="Arial"/>
        </w:rPr>
        <w:t>disability and</w:t>
      </w:r>
      <w:r>
        <w:rPr>
          <w:rFonts w:ascii="Arial" w:hAnsi="Arial" w:cs="Arial"/>
        </w:rPr>
        <w:t xml:space="preserve"> </w:t>
      </w:r>
      <w:r w:rsidR="00F3748C">
        <w:rPr>
          <w:rFonts w:ascii="Arial" w:hAnsi="Arial" w:cs="Arial"/>
        </w:rPr>
        <w:t>consequent</w:t>
      </w:r>
      <w:r w:rsidR="0097302A">
        <w:rPr>
          <w:rFonts w:ascii="Arial" w:hAnsi="Arial" w:cs="Arial"/>
        </w:rPr>
        <w:t xml:space="preserve"> </w:t>
      </w:r>
      <w:r>
        <w:rPr>
          <w:rFonts w:ascii="Arial" w:hAnsi="Arial" w:cs="Arial"/>
        </w:rPr>
        <w:t>healthcare utilization</w:t>
      </w:r>
      <w:r w:rsidR="00562794">
        <w:rPr>
          <w:rFonts w:ascii="Arial" w:hAnsi="Arial" w:cs="Arial"/>
        </w:rPr>
        <w:fldChar w:fldCharType="begin" w:fldLock="1"/>
      </w:r>
      <w:r w:rsidR="00763A14">
        <w:rPr>
          <w:rFonts w:ascii="Arial" w:hAnsi="Arial" w:cs="Arial"/>
        </w:rPr>
        <w:instrText>ADDIN CSL_CITATION {"citationItems":[{"id":"ITEM-1","itemData":{"DOI":"10.1136/jnnp.2010.220640","ISBN":"1468-330X (Electronic)\\r0022-3050 (Linking)","ISSN":"1468-330X","PMID":"21257981","abstract":"OBJECTIVES: To determine the disability, distress and employment status of new neurology outpatients with physical symptoms unexplained by organic disease and to compare them with patients with symptoms explained by organic disease. METHODS: As part of a cohort study (the Scottish Neurological Symptoms Study) neurologists rated the extent to which each new patient's symptoms were explained by organic disease. Patients whose symptoms were rated as 'not at all' or only 'somewhat' explained by disease were considered cases, and those whose symptoms were 'largely' or 'completely' explained by disease were considered controls. All patients completed self-ratings of disability, health status (Medical Outcomes Study Short Form 12-Item Scale (SF-12)) and emotional distress (Hospital Anxiety and Depression Scale) and also reported their employment and state financial benefit status. RESULTS: 3781 patients were recruited: 1144 (30%) cases and 2637 (70%) controls. Cases had worse physical health status (SF-12 score 42 vs 44; difference in means 1.7 (95% CI -2.5 to 0.9)) and worse mental health status (SF-12 score 43 vs 47; difference in means -3.5 (95% CI -4.3 to to 2.7)). Unemployment was similar in cases and controls (50% vs 50%) but cases were more likely not to be working for health reasons (54% vs 37% of the 50% not working; OR 2.0 (95% CI 1.6 to 2.4)) and also more likely to be receiving disability-related state financial benefits (27% vs 22%; (OR 1.3, 95% CI 1.1 to 1.6)). CONCLUSIONS: New neurology patients with symptoms unexplained by organic disease have more disability-, distress- and disability-related state financial benefits than patients with symptoms explained by disease.","author":[{"dropping-particle":"","family":"Carson","given":"A","non-dropping-particle":"","parse-names":false,"suffix":""},{"dropping-particle":"","family":"Stone","given":"J","non-dropping-particle":"","parse-names":false,"suffix":""},{"dropping-particle":"","family":"Hibberd","given":"C","non-dropping-particle":"","parse-names":false,"suffix":""},{"dropping-particle":"","family":"Murray","given":"G","non-dropping-particle":"","parse-names":false,"suffix":""},{"dropping-particle":"","family":"Duncan","given":"R","non-dropping-particle":"","parse-names":false,"suffix":""},{"dropping-particle":"","family":"Coleman","given":"R","non-dropping-particle":"","parse-names":false,"suffix":""},{"dropping-particle":"","family":"Warlow","given":"C","non-dropping-particle":"","parse-names":false,"suffix":""},{"dropping-particle":"","family":"Roberts","given":"R","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Hansen","given":"C","non-dropping-particle":"","parse-names":false,"suffix":""},{"dropping-particle":"","family":"Sharpe","given":"M","non-dropping-particle":"","parse-names":false,"suffix":""}],"container-title":"J Neurol Neurosurg Psychiatry","id":"ITEM-1","issue":"7","issued":{"date-parts":[["2011"]]},"page":"810-813","title":"Disability, distress and unemployment in neurology outpatients with symptoms 'unexplained by organic disease'","type":"article-journal","volume":"82"},"uris":["http://www.mendeley.com/documents/?uuid=32030962-a7d1-4fb7-9a83-6e203913b5a2"]}],"mendeley":{"formattedCitation":"{4}","plainTextFormattedCitation":"{4}","previouslyFormattedCitation":"{4}"},"properties":{"noteIndex":0},"schema":"https://github.com/citation-style-language/schema/raw/master/csl-citation.json"}</w:instrText>
      </w:r>
      <w:r w:rsidR="00562794">
        <w:rPr>
          <w:rFonts w:ascii="Arial" w:hAnsi="Arial" w:cs="Arial"/>
        </w:rPr>
        <w:fldChar w:fldCharType="separate"/>
      </w:r>
      <w:r w:rsidR="0028131B" w:rsidRPr="0028131B">
        <w:rPr>
          <w:rFonts w:ascii="Arial" w:hAnsi="Arial" w:cs="Arial"/>
          <w:noProof/>
        </w:rPr>
        <w:t>{4}</w:t>
      </w:r>
      <w:r w:rsidR="00562794">
        <w:rPr>
          <w:rFonts w:ascii="Arial" w:hAnsi="Arial" w:cs="Arial"/>
        </w:rPr>
        <w:fldChar w:fldCharType="end"/>
      </w:r>
      <w:r>
        <w:rPr>
          <w:rFonts w:ascii="Arial" w:hAnsi="Arial" w:cs="Arial"/>
        </w:rPr>
        <w:t xml:space="preserve">. </w:t>
      </w:r>
    </w:p>
    <w:p w14:paraId="25EE1F39" w14:textId="4C7A8A6D" w:rsidR="00DF3CEF" w:rsidRPr="00117D74" w:rsidRDefault="00DF3CEF" w:rsidP="00074D34">
      <w:pPr>
        <w:widowControl w:val="0"/>
        <w:autoSpaceDE w:val="0"/>
        <w:autoSpaceDN w:val="0"/>
        <w:adjustRightInd w:val="0"/>
        <w:spacing w:line="480" w:lineRule="auto"/>
        <w:ind w:firstLine="720"/>
        <w:jc w:val="both"/>
        <w:rPr>
          <w:rFonts w:ascii="Arial" w:hAnsi="Arial"/>
        </w:rPr>
      </w:pPr>
      <w:r w:rsidRPr="00117D74">
        <w:rPr>
          <w:rFonts w:ascii="Arial" w:hAnsi="Arial"/>
        </w:rPr>
        <w:t xml:space="preserve">Thankfully this </w:t>
      </w:r>
      <w:r w:rsidR="00276206" w:rsidRPr="00117D74">
        <w:rPr>
          <w:rFonts w:ascii="Arial" w:hAnsi="Arial"/>
        </w:rPr>
        <w:t xml:space="preserve">situation has </w:t>
      </w:r>
      <w:r w:rsidR="003876CD">
        <w:rPr>
          <w:rFonts w:ascii="Arial" w:hAnsi="Arial" w:cs="Arial"/>
        </w:rPr>
        <w:t xml:space="preserve">started to </w:t>
      </w:r>
      <w:r w:rsidR="00276206" w:rsidRPr="00117D74">
        <w:rPr>
          <w:rFonts w:ascii="Arial" w:hAnsi="Arial" w:cs="Arial"/>
        </w:rPr>
        <w:t>chang</w:t>
      </w:r>
      <w:r w:rsidR="00287475">
        <w:rPr>
          <w:rFonts w:ascii="Arial" w:hAnsi="Arial" w:cs="Arial"/>
        </w:rPr>
        <w:t>e</w:t>
      </w:r>
      <w:r w:rsidR="004B7E75">
        <w:rPr>
          <w:rFonts w:ascii="Arial" w:hAnsi="Arial" w:cs="Arial"/>
        </w:rPr>
        <w:fldChar w:fldCharType="begin" w:fldLock="1"/>
      </w:r>
      <w:r w:rsidR="00763A14">
        <w:rPr>
          <w:rFonts w:ascii="Arial" w:hAnsi="Arial" w:cs="Arial"/>
        </w:rPr>
        <w:instrText>ADDIN CSL_CITATION {"citationItems":[{"id":"ITEM-1","itemData":{"DOI":"jnnp-2011-301860 [pii]\r10.1136/jnnp-2011-301860","ISBN":"1468-330X (Electronic)\r0022-3050 (Linking)","PMID":"22661497","abstract":"Functional neurological symptoms (FNS) are commonly encountered but have engendered remarkably little academic interest. 'UK-Functional Neurological Symptoms (UK-FNS)' was an informal inaugural meeting of UK based clinicians in March 2011 with a variety of research and clinical interests in the field. This narrative review reflects the content of the meeting, and our opinion of key findings in the field since the turn of the millennium.","author":[{"dropping-particle":"","family":"Carson","given":"A J","non-dropping-particle":"","parse-names":false,"suffix":""},{"dropping-particle":"","family":"Brown","given":"R","non-dropping-particle":"","parse-names":false,"suffix":""},{"dropping-particle":"","family":"David","given":"A S","non-dropping-particle":"","parse-names":false,"suffix":""},{"dropping-particle":"","family":"Duncan","given":"R","non-dropping-particle":"","parse-names":false,"suffix":""},{"dropping-particle":"","family":"Edwards","given":"M J","non-dropping-particle":"","parse-names":false,"suffix":""},{"dropping-particle":"","family":"Goldstein","given":"L H","non-dropping-particle":"","parse-names":false,"suffix":""},{"dropping-particle":"","family":"Grunewald","given":"R","non-dropping-particle":"","parse-names":false,"suffix":""},{"dropping-particle":"","family":"Howlett","given":"S","non-dropping-particle":"","parse-names":false,"suffix":""},{"dropping-particle":"","family":"Kanaan","given":"R","non-dropping-particle":"","parse-names":false,"suffix":""},{"dropping-particle":"","family":"Mellers","given":"J","non-dropping-particle":"","parse-names":false,"suffix":""},{"dropping-particle":"","family":"Nicholson","given":"T R","non-dropping-particle":"","parse-names":false,"suffix":""},{"dropping-particle":"","family":"Reuber","given":"M","non-dropping-particle":"","parse-names":false,"suffix":""},{"dropping-particle":"","family":"Schrag","given":"A E","non-dropping-particle":"","parse-names":false,"suffix":""},{"dropping-particle":"","family":"Stone","given":"J","non-dropping-particle":"","parse-names":false,"suffix":""},{"dropping-particle":"","family":"Voon","given":"V","non-dropping-particle":"","parse-names":false,"suffix":""}],"container-title":"J Neurol Neurosurg Psychiatry","edition":"2012/06/05","id":"ITEM-1","issue":"8","issued":{"date-parts":[["2012"]]},"language":"eng","note":"From Duplicate 1 (Functional (conversion) neurological symptoms: research since the millennium - Carson, A J; Brown, R; David, A S; Duncan, R; Edwards, M J; Goldstein, L H; Grunewald, R; Howlett, S; Kanaan, R; Mellers, J; Nicholson, T R; Reuber, M; Schrag, A E; Stone, J; Voon, V)\n\nCarson, Alan J\nBrown, Richard\nDavid, Anthony S\nDuncan, Roderick\nEdwards, Mark J\nGoldstein, Laura H\nGrunewald, Richard\nHowlett, Stephaine\nKanaan, Richard\nMellers, John\nNicholson, Timothy R\nReuber, M\nSchrag, Anette-Eleonore\nStone, Jon\nVoon, Valerie\nUk-fns\nG0701055/Medical Research Council/United Kingdom\nResearch Support, Non-U.S. Gov't\nReview\nEngland\nJournal of neurology, neurosurgery, and psychiatry\nJ Neurol Neurosurg Psychiatry. 2012 Aug;83(8):842-50. doi: 10.1136/jnnp-2011-301860. Epub 2012 Jun 3.\n\nFrom Duplicate 2 (Functional (conversion) neurological symptoms: research since the millennium - Carson, A J; Brown, R; David, A S; Duncan, R; Edwards, M J; Goldstein, L H; Grunewald, R; Howlett, S; Kanaan, R; Mellers, J; Nicholson, T R; Reuber, M; Schrag, A E; Stone, J; Voon, V)\n\nCarson, Alan J\nBrown, Richard\nDavid, Anthony S\nDuncan, Roderick\nEdwards, Mark J\nGoldstein, Laura H\nGrunewald, Richard\nHowlett, Stephaine\nKanaan, Richard\nMellers, John\nNicholson, Timothy R\nReuber, M\nSchrag, Anette-Eleonore\nStone, Jon\nVoon, Valerie\nUk-fns\nResearch Support, Non-U.S. Gov't\nReview\nEngland\nJournal of neurology, neurosurgery, and psychiatry\nJ Neurol Neurosurg Psychiatry. 2012 Aug;83(8):842-50. doi: 10.1136/jnnp-2011-301860. Epub 2012 Jun 3.","page":"842-850","title":"Functional (conversion) neurological symptoms: research since the millennium","type":"article-journal","volume":"83"},"uris":["http://www.mendeley.com/documents/?uuid=2265781a-0be3-43de-b8be-d4e3c468281e"]}],"mendeley":{"formattedCitation":"{5}","plainTextFormattedCitation":"{5}","previouslyFormattedCitation":"{5}"},"properties":{"noteIndex":0},"schema":"https://github.com/citation-style-language/schema/raw/master/csl-citation.json"}</w:instrText>
      </w:r>
      <w:r w:rsidR="004B7E75">
        <w:rPr>
          <w:rFonts w:ascii="Arial" w:hAnsi="Arial" w:cs="Arial"/>
        </w:rPr>
        <w:fldChar w:fldCharType="separate"/>
      </w:r>
      <w:r w:rsidR="0028131B" w:rsidRPr="0028131B">
        <w:rPr>
          <w:rFonts w:ascii="Arial" w:hAnsi="Arial" w:cs="Arial"/>
          <w:noProof/>
        </w:rPr>
        <w:t>{5}</w:t>
      </w:r>
      <w:r w:rsidR="004B7E75">
        <w:rPr>
          <w:rFonts w:ascii="Arial" w:hAnsi="Arial" w:cs="Arial"/>
        </w:rPr>
        <w:fldChar w:fldCharType="end"/>
      </w:r>
      <w:r w:rsidR="006D565B">
        <w:rPr>
          <w:rFonts w:ascii="Arial" w:hAnsi="Arial" w:cs="Arial"/>
        </w:rPr>
        <w:t xml:space="preserve">. </w:t>
      </w:r>
      <w:r w:rsidR="006D565B">
        <w:rPr>
          <w:rFonts w:ascii="Arial" w:hAnsi="Arial"/>
        </w:rPr>
        <w:t>Over the last decade patient groups and an international society</w:t>
      </w:r>
      <w:r w:rsidRPr="00117D74">
        <w:rPr>
          <w:rFonts w:ascii="Arial" w:hAnsi="Arial"/>
        </w:rPr>
        <w:t xml:space="preserve">, the Functional </w:t>
      </w:r>
      <w:r w:rsidR="0021190C">
        <w:rPr>
          <w:rFonts w:ascii="Arial" w:hAnsi="Arial"/>
        </w:rPr>
        <w:t>Neurological</w:t>
      </w:r>
      <w:r w:rsidRPr="00117D74">
        <w:rPr>
          <w:rFonts w:ascii="Arial" w:hAnsi="Arial"/>
        </w:rPr>
        <w:t xml:space="preserve"> Disorder Society (FNDS)</w:t>
      </w:r>
      <w:r w:rsidR="00F572F0">
        <w:rPr>
          <w:rFonts w:ascii="Arial" w:hAnsi="Arial"/>
        </w:rPr>
        <w:fldChar w:fldCharType="begin" w:fldLock="1"/>
      </w:r>
      <w:r w:rsidR="00763A14">
        <w:rPr>
          <w:rFonts w:ascii="Arial" w:hAnsi="Arial"/>
        </w:rPr>
        <w:instrText>ADDIN CSL_CITATION {"citationItems":[{"id":"ITEM-1","itemData":{"URL":"www.fndsociety.org","accessed":{"date-parts":[["2019","4","9"]]},"id":"ITEM-1","issued":{"date-parts":[["0"]]},"title":"FND Society","type":"webpage"},"uris":["http://www.mendeley.com/documents/?uuid=4de991d2-7078-469b-a8b5-81a7b53d04f3"]}],"mendeley":{"formattedCitation":"{6}","plainTextFormattedCitation":"{6}","previouslyFormattedCitation":"{6}"},"properties":{"noteIndex":0},"schema":"https://github.com/citation-style-language/schema/raw/master/csl-citation.json"}</w:instrText>
      </w:r>
      <w:r w:rsidR="00F572F0">
        <w:rPr>
          <w:rFonts w:ascii="Arial" w:hAnsi="Arial"/>
        </w:rPr>
        <w:fldChar w:fldCharType="separate"/>
      </w:r>
      <w:r w:rsidR="0028131B" w:rsidRPr="0028131B">
        <w:rPr>
          <w:rFonts w:ascii="Arial" w:hAnsi="Arial"/>
          <w:noProof/>
        </w:rPr>
        <w:t>{6}</w:t>
      </w:r>
      <w:r w:rsidR="00F572F0">
        <w:rPr>
          <w:rFonts w:ascii="Arial" w:hAnsi="Arial"/>
        </w:rPr>
        <w:fldChar w:fldCharType="end"/>
      </w:r>
      <w:r w:rsidRPr="00117D74">
        <w:rPr>
          <w:rFonts w:ascii="Arial" w:hAnsi="Arial"/>
        </w:rPr>
        <w:t xml:space="preserve">, </w:t>
      </w:r>
      <w:r w:rsidR="006D565B">
        <w:rPr>
          <w:rFonts w:ascii="Arial" w:hAnsi="Arial"/>
        </w:rPr>
        <w:t>ha</w:t>
      </w:r>
      <w:r w:rsidR="00047879">
        <w:rPr>
          <w:rFonts w:ascii="Arial" w:hAnsi="Arial"/>
        </w:rPr>
        <w:t>ve been</w:t>
      </w:r>
      <w:r w:rsidR="006D565B">
        <w:rPr>
          <w:rFonts w:ascii="Arial" w:hAnsi="Arial"/>
        </w:rPr>
        <w:t xml:space="preserve"> </w:t>
      </w:r>
      <w:r w:rsidR="006D565B">
        <w:rPr>
          <w:rFonts w:ascii="Arial" w:hAnsi="Arial" w:cs="Arial"/>
        </w:rPr>
        <w:t>established</w:t>
      </w:r>
      <w:r w:rsidR="006D565B">
        <w:rPr>
          <w:rFonts w:ascii="Arial" w:hAnsi="Arial"/>
        </w:rPr>
        <w:t xml:space="preserve">; two landmark developments in the history of the disorder. </w:t>
      </w:r>
      <w:r w:rsidR="001803E7" w:rsidRPr="00554D79">
        <w:rPr>
          <w:rFonts w:ascii="Arial" w:hAnsi="Arial" w:cs="Arial"/>
        </w:rPr>
        <w:t>There</w:t>
      </w:r>
      <w:r w:rsidR="001803E7" w:rsidRPr="00554D79">
        <w:rPr>
          <w:rFonts w:ascii="Arial" w:hAnsi="Arial"/>
        </w:rPr>
        <w:t xml:space="preserve"> </w:t>
      </w:r>
      <w:r w:rsidR="001803E7" w:rsidRPr="00117D74">
        <w:rPr>
          <w:rFonts w:ascii="Arial" w:hAnsi="Arial"/>
        </w:rPr>
        <w:t xml:space="preserve">has </w:t>
      </w:r>
      <w:r w:rsidR="006C346F">
        <w:rPr>
          <w:rFonts w:ascii="Arial" w:hAnsi="Arial"/>
        </w:rPr>
        <w:t xml:space="preserve">also </w:t>
      </w:r>
      <w:r w:rsidR="001803E7" w:rsidRPr="00117D74">
        <w:rPr>
          <w:rFonts w:ascii="Arial" w:hAnsi="Arial"/>
        </w:rPr>
        <w:t>been</w:t>
      </w:r>
      <w:r w:rsidR="003A6F9D" w:rsidRPr="00117D74">
        <w:rPr>
          <w:rFonts w:ascii="Arial" w:hAnsi="Arial"/>
        </w:rPr>
        <w:t xml:space="preserve"> increased </w:t>
      </w:r>
      <w:r w:rsidR="00486180" w:rsidRPr="00117D74">
        <w:rPr>
          <w:rFonts w:ascii="Arial" w:hAnsi="Arial"/>
        </w:rPr>
        <w:t>research attention and funding</w:t>
      </w:r>
      <w:r w:rsidR="00562794">
        <w:rPr>
          <w:rFonts w:ascii="Arial" w:hAnsi="Arial"/>
        </w:rPr>
        <w:t xml:space="preserve"> </w:t>
      </w:r>
      <w:r w:rsidR="00135B69">
        <w:rPr>
          <w:rFonts w:ascii="Arial" w:hAnsi="Arial"/>
        </w:rPr>
        <w:t>resulting in</w:t>
      </w:r>
      <w:r w:rsidR="00562794">
        <w:rPr>
          <w:rFonts w:ascii="Arial" w:hAnsi="Arial"/>
        </w:rPr>
        <w:t xml:space="preserve"> accumulating evidence for the efficacy of</w:t>
      </w:r>
      <w:r w:rsidR="00562794" w:rsidRPr="00117D74">
        <w:rPr>
          <w:rFonts w:ascii="Arial" w:hAnsi="Arial"/>
        </w:rPr>
        <w:t xml:space="preserve"> </w:t>
      </w:r>
      <w:r w:rsidR="00562794" w:rsidRPr="00117D74">
        <w:rPr>
          <w:rFonts w:ascii="Arial" w:hAnsi="Arial" w:cs="Arial"/>
        </w:rPr>
        <w:t>specific</w:t>
      </w:r>
      <w:r w:rsidR="006D565B">
        <w:rPr>
          <w:rFonts w:ascii="Arial" w:hAnsi="Arial" w:cs="Arial"/>
        </w:rPr>
        <w:t xml:space="preserve"> interventions for FND</w:t>
      </w:r>
      <w:r w:rsidR="00047879">
        <w:rPr>
          <w:rFonts w:ascii="Arial" w:hAnsi="Arial" w:cs="Arial"/>
        </w:rPr>
        <w:t>. I</w:t>
      </w:r>
      <w:r w:rsidR="00554D79">
        <w:rPr>
          <w:rFonts w:ascii="Arial" w:hAnsi="Arial" w:cs="Arial"/>
        </w:rPr>
        <w:t xml:space="preserve">n particular </w:t>
      </w:r>
      <w:r w:rsidR="00562794">
        <w:rPr>
          <w:rFonts w:ascii="Arial" w:hAnsi="Arial" w:cs="Arial"/>
        </w:rPr>
        <w:t>cognitive behavioural therapy (</w:t>
      </w:r>
      <w:r w:rsidR="00562794" w:rsidRPr="00117D74">
        <w:rPr>
          <w:rFonts w:ascii="Arial" w:hAnsi="Arial"/>
        </w:rPr>
        <w:t>CBT</w:t>
      </w:r>
      <w:r w:rsidR="00562794">
        <w:rPr>
          <w:rFonts w:ascii="Arial" w:hAnsi="Arial" w:cs="Arial"/>
        </w:rPr>
        <w:t>)</w:t>
      </w:r>
      <w:r w:rsidR="00122686">
        <w:rPr>
          <w:rFonts w:ascii="Arial" w:hAnsi="Arial" w:cs="Arial"/>
        </w:rPr>
        <w:t xml:space="preserve"> </w:t>
      </w:r>
      <w:r w:rsidR="000C2E10">
        <w:rPr>
          <w:rFonts w:ascii="Arial" w:hAnsi="Arial" w:cs="Arial"/>
        </w:rPr>
        <w:t xml:space="preserve">- </w:t>
      </w:r>
      <w:r w:rsidR="00122686">
        <w:rPr>
          <w:rFonts w:ascii="Arial" w:hAnsi="Arial" w:cs="Arial"/>
        </w:rPr>
        <w:t xml:space="preserve">both conventional and CBT-informed </w:t>
      </w:r>
      <w:r w:rsidR="00B33747">
        <w:rPr>
          <w:rFonts w:ascii="Arial" w:hAnsi="Arial" w:cs="Arial"/>
        </w:rPr>
        <w:t>psycho</w:t>
      </w:r>
      <w:r w:rsidR="00122686">
        <w:rPr>
          <w:rFonts w:ascii="Arial" w:hAnsi="Arial" w:cs="Arial"/>
        </w:rPr>
        <w:t>therapy</w:t>
      </w:r>
      <w:r w:rsidR="000C2E10">
        <w:rPr>
          <w:rFonts w:ascii="Arial" w:hAnsi="Arial" w:cs="Arial"/>
        </w:rPr>
        <w:t xml:space="preserve"> -</w:t>
      </w:r>
      <w:r w:rsidR="00562794" w:rsidRPr="00117D74">
        <w:rPr>
          <w:rFonts w:ascii="Arial" w:hAnsi="Arial"/>
        </w:rPr>
        <w:t xml:space="preserve"> for the seizure variant of FND</w:t>
      </w:r>
      <w:r w:rsidR="00554D79">
        <w:rPr>
          <w:rFonts w:ascii="Arial" w:hAnsi="Arial"/>
        </w:rPr>
        <w:t>,</w:t>
      </w:r>
      <w:r w:rsidR="00562794">
        <w:rPr>
          <w:rFonts w:ascii="Arial" w:hAnsi="Arial"/>
        </w:rPr>
        <w:t xml:space="preserve"> </w:t>
      </w:r>
      <w:r w:rsidR="00562794" w:rsidRPr="00945AF4">
        <w:rPr>
          <w:rFonts w:ascii="Arial" w:hAnsi="Arial"/>
        </w:rPr>
        <w:t>also known as</w:t>
      </w:r>
      <w:r w:rsidR="00554D79" w:rsidRPr="00945AF4">
        <w:rPr>
          <w:rFonts w:ascii="Arial" w:hAnsi="Arial"/>
        </w:rPr>
        <w:t xml:space="preserve"> dissociative or</w:t>
      </w:r>
      <w:r w:rsidR="00562794" w:rsidRPr="00945AF4">
        <w:rPr>
          <w:rFonts w:ascii="Arial" w:hAnsi="Arial"/>
        </w:rPr>
        <w:t xml:space="preserve"> psychogenic non-epileptic seizures</w:t>
      </w:r>
      <w:r w:rsidR="00945AF4">
        <w:rPr>
          <w:rFonts w:ascii="Arial" w:hAnsi="Arial"/>
        </w:rPr>
        <w:t xml:space="preserve"> </w:t>
      </w:r>
      <w:r w:rsidR="00FC01AF">
        <w:rPr>
          <w:rFonts w:ascii="Arial" w:hAnsi="Arial" w:cs="Arial"/>
        </w:rPr>
        <w:t>(PNES)</w:t>
      </w:r>
      <w:r w:rsidR="00562794">
        <w:rPr>
          <w:rFonts w:ascii="Arial" w:hAnsi="Arial"/>
        </w:rPr>
        <w:fldChar w:fldCharType="begin" w:fldLock="1"/>
      </w:r>
      <w:r w:rsidR="00763A14">
        <w:rPr>
          <w:rFonts w:ascii="Arial" w:hAnsi="Arial"/>
        </w:rPr>
        <w:instrText>ADDIN CSL_CITATION {"citationItems":[{"id":"ITEM-1","itemData":{"DOI":"74/24/1986 [pii]\r10.1212/WNL.0b013e3181e39658","ISBN":"1526-632X (Electronic)\r0028-3878 (Linking)","PMID":"20548043","abstract":"OBJECTIVE: To compare cognitive-behavioral therapy (CBT) and standard medical care (SMC) as treatments for psychogenic nonepileptic seizures (PNES). METHODS: Our randomized controlled trial (RCT) compared CBT with SMC in an outpatient neuropsychiatric setting. Sixty-six PNES patients were randomized to either CBT (plus SMC) or SMC alone, scheduled to occur over 4 months. PNES diagnosis was established by video-EEG telemetry for most patients. Exclusion criteria included comorbid history of epilepsy, &lt;2 PNES/month, and IQ &lt;70. The primary outcome was seizure frequency at end of treatment and at 6-month follow-up. Secondary outcomes included 3 months of seizure freedom at 6-month follow-up, measures of psychosocial functioning, health service use, and employment. RESULTS: In an intention-to-treat analysis, seizure reduction following CBT was superior at treatment end (group x time interaction p &lt; 0.0001; large to medium effect sizes). At follow-up, the CBT group tended to be more likely to have experienced 3 months of seizure freedom (odds ratio 3.125, p = 0.086). Both groups improved in some health service use measures and on the Work and Social Adjustment Scale. Mood and employment status showed no change. CONCLUSIONS: Our findings suggest that cognitive-behavioral therapy is more effective than standard medical care alone in reducing seizure frequency in PNES patients. Classification of evidence: This study provides Class III evidence that CBT in addition to SMC, as compared to SMC alone, significantly reduces seizure frequency in patients with PNES (change in median monthly seizure frequency: baseline to 6 months follow-up, CBT group, 12 to 1.5; SMC alone group, 8 to 5).","author":[{"dropping-particle":"","family":"Goldstein","given":"L H","non-dropping-particle":"","parse-names":false,"suffix":""},{"dropping-particle":"","family":"Chalder","given":"T","non-dropping-particle":"","parse-names":false,"suffix":""},{"dropping-particle":"","family":"Chigwedere","given":"C","non-dropping-particle":"","parse-names":false,"suffix":""},{"dropping-particle":"","family":"Khondoker","given":"M R","non-dropping-particle":"","parse-names":false,"suffix":""},{"dropping-particle":"","family":"Moriarty","given":"J","non-dropping-particle":"","parse-names":false,"suffix":""},{"dropping-particle":"","family":"Toone","given":"B K","non-dropping-particle":"","parse-names":false,"suffix":""},{"dropping-particle":"","family":"Mellers","given":"J D","non-dropping-particle":"","parse-names":false,"suffix":""}],"container-title":"Neurology","edition":"2010/06/16","id":"ITEM-1","issue":"24","issued":{"date-parts":[["2010"]]},"language":"eng","note":"Goldstein, L H\nChalder, T\nChigwedere, C\nKhondoker, M R\nMoriarty, J\nToone, B K\nMellers, J D C\nComparative Study\nRandomized Controlled Trial\nResearch Support, Non-U.S. Gov't\nUnited States\nNeurology\nNeurology. 2010 Jun 15;74(24):1986-94.","page":"1986-1994","title":"Cognitive-behavioral therapy for psychogenic nonepileptic seizures: a pilot RCT","type":"article-journal","volume":"74"},"uris":["http://www.mendeley.com/documents/?uuid=c6b7af87-da59-45d7-a538-a0488fb23c9f"]}],"mendeley":{"formattedCitation":"{7}","plainTextFormattedCitation":"{7}","previouslyFormattedCitation":"{7}"},"properties":{"noteIndex":0},"schema":"https://github.com/citation-style-language/schema/raw/master/csl-citation.json"}</w:instrText>
      </w:r>
      <w:r w:rsidR="00562794">
        <w:rPr>
          <w:rFonts w:ascii="Arial" w:hAnsi="Arial"/>
        </w:rPr>
        <w:fldChar w:fldCharType="separate"/>
      </w:r>
      <w:r w:rsidR="0028131B" w:rsidRPr="0028131B">
        <w:rPr>
          <w:rFonts w:ascii="Arial" w:hAnsi="Arial"/>
          <w:noProof/>
        </w:rPr>
        <w:t>{7}</w:t>
      </w:r>
      <w:r w:rsidR="00562794">
        <w:rPr>
          <w:rFonts w:ascii="Arial" w:hAnsi="Arial"/>
        </w:rPr>
        <w:fldChar w:fldCharType="end"/>
      </w:r>
      <w:r w:rsidR="00562794">
        <w:rPr>
          <w:rFonts w:ascii="Arial" w:hAnsi="Arial"/>
        </w:rPr>
        <w:fldChar w:fldCharType="begin" w:fldLock="1"/>
      </w:r>
      <w:r w:rsidR="00763A14">
        <w:rPr>
          <w:rFonts w:ascii="Arial" w:hAnsi="Arial"/>
        </w:rPr>
        <w:instrText>ADDIN CSL_CITATION {"citationItems":[{"id":"ITEM-1","itemData":{"DOI":"1884286 [pii]\r10.1001/jamapsychiatry.2014.817","ISBN":"2168-6238 (Electronic)\r2168-622X (Linking)","PMID":"24989152","abstract":"IMPORTANCE: There is a paucity of controlled treatment trials for the treatment of conversion disorder, seizures type, also known as psychogenic nonepileptic seizures (PNES). Psychogenic nonepileptic seizures, the most common conversion disorder, are as disabling as epilepsy and are not adequately addressed or treated by mental health clinicians. OBJECTIVE: To evaluate different PNES treatments compared with standard medical care (treatment as usual). DESIGN, SETTING, AND PARTICIPANTS: Pilot randomized clinical trial at 3 academic medical centers with mental health clinicians trained to administer psychotherapy or psychopharmacology to outpatients with PNES. Thirty-eight participants were randomized in a blocked schedule among 3 sites to 1 of 4 treatment arms and were followed up for 16 weeks between September 2008 and February 2012; 34 were included in the analysis. INTERVENTIONS: Medication (flexible-dose sertraline hydrochloride) only, cognitive behavioral therapy informed psychotherapy (CBT-ip) only, CBT-ip with medication (sertraline), or treatment as usual. MAIN OUTCOMES AND MEASURES: Seizure frequency was the primary outcome; psychosocial and functioning measures, including psychiatric symptoms, social interactions, quality of life, and global functioning, were secondary outcomes. Data were collected prospectively, weekly, and with baseline, week 2, midpoint (week 8), and exit (week 16) batteries. Within-group analyses for each arm were performed on primary (seizure frequency) and secondary outcomes from treatment-blinded raters using an intention-to-treat analysis. RESULTS: The psychotherapy (CBT-ip) arm showed a 51.4% seizure reduction (P = .01) and significant improvement from baseline in secondary measures including depression, anxiety, quality of life, and global functioning (P &lt; .001). The combined arm (CBT-ip with sertraline) showed 59.3% seizure reduction (P = .008) and significant improvements in some secondary measures, including global functioning (P = .007). The sertraline-only arm did not show a reduction in seizures (P = .08). The treatment as usual group showed no significant seizure reduction or improvement in secondary outcome measures (P = .19). CONCLUSIONS AND RELEVANCE: This pilot randomized clinical trial for PNES revealed significant seizure reduction and improved comorbid symptoms and global functioning with CBT-ip for PNES without and with sertraline. There were no improvements in the sertraline-only or treatment-as-usual …","author":[{"dropping-particle":"","family":"LaFrance  Jr.","given":"W C","non-dropping-particle":"","parse-names":false,"suffix":""},{"dropping-particle":"","family":"Baird","given":"G L","non-dropping-particle":"","parse-names":false,"suffix":""},{"dropping-particle":"","family":"Barry","given":"J J","non-dropping-particle":"","parse-names":false,"suffix":""},{"dropping-particle":"","family":"Blum","given":"A S","non-dropping-particle":"","parse-names":false,"suffix":""},{"dropping-particle":"","family":"Frank Webb","given":"A","non-dropping-particle":"","parse-names":false,"suffix":""},{"dropping-particle":"","family":"Keitner","given":"G I","non-dropping-particle":"","parse-names":false,"suffix":""},{"dropping-particle":"","family":"Machan","given":"J T","non-dropping-particle":"","parse-names":false,"suffix":""},{"dropping-particle":"","family":"Miller","given":"I","non-dropping-particle":"","parse-names":false,"suffix":""},{"dropping-particle":"","family":"Szaflarski","given":"J P","non-dropping-particle":"","parse-names":false,"suffix":""}],"container-title":"JAMA Psychiatry","edition":"2014/07/06","id":"ITEM-1","issue":"9","issued":{"date-parts":[["2014"]]},"language":"eng","note":"LaFrance, W Curt Jr\nBaird, Grayson L\nBarry, John J\nBlum, Andrew S\nFrank Webb, Anne\nKeitner, Gabor I\nMachan, Jason T\nMiller, Ivan\nSzaflarski, Jerzy P\nNES Treatment Trial (NEST-T) Consortium\nMulticenter Study\nRandomized Controlled Trial\nResearch Support, Non-U.S. Gov't\nUnited States\nJAMA psychiatry\nJAMA Psychiatry. 2014 Sep;71(9):997-1005. doi: 10.1001/jamapsychiatry.2014.817.","page":"997-1005","title":"Multicenter pilot treatment trial for psychogenic nonepileptic seizures: a randomized clinical trial","type":"article-journal","volume":"71"},"uris":["http://www.mendeley.com/documents/?uuid=514ff5a4-9283-4fb5-a980-59c59654bd40"]}],"mendeley":{"formattedCitation":"{8}","plainTextFormattedCitation":"{8}","previouslyFormattedCitation":"{8}"},"properties":{"noteIndex":0},"schema":"https://github.com/citation-style-language/schema/raw/master/csl-citation.json"}</w:instrText>
      </w:r>
      <w:r w:rsidR="00562794">
        <w:rPr>
          <w:rFonts w:ascii="Arial" w:hAnsi="Arial"/>
        </w:rPr>
        <w:fldChar w:fldCharType="separate"/>
      </w:r>
      <w:r w:rsidR="0028131B" w:rsidRPr="0028131B">
        <w:rPr>
          <w:rFonts w:ascii="Arial" w:hAnsi="Arial"/>
          <w:noProof/>
        </w:rPr>
        <w:t>{8}</w:t>
      </w:r>
      <w:r w:rsidR="00562794">
        <w:rPr>
          <w:rFonts w:ascii="Arial" w:hAnsi="Arial"/>
        </w:rPr>
        <w:fldChar w:fldCharType="end"/>
      </w:r>
      <w:r w:rsidR="00554D79">
        <w:rPr>
          <w:rFonts w:ascii="Arial" w:hAnsi="Arial"/>
        </w:rPr>
        <w:t>,</w:t>
      </w:r>
      <w:r w:rsidR="00486180" w:rsidRPr="00117D74">
        <w:rPr>
          <w:rFonts w:ascii="Arial" w:hAnsi="Arial"/>
        </w:rPr>
        <w:t xml:space="preserve"> and</w:t>
      </w:r>
      <w:r w:rsidR="00F444CA">
        <w:rPr>
          <w:rFonts w:ascii="Arial" w:hAnsi="Arial"/>
        </w:rPr>
        <w:t xml:space="preserve"> </w:t>
      </w:r>
      <w:r w:rsidR="00F444CA">
        <w:rPr>
          <w:rFonts w:ascii="Arial" w:hAnsi="Arial" w:cs="Arial"/>
        </w:rPr>
        <w:t xml:space="preserve">intensive outpatient </w:t>
      </w:r>
      <w:r w:rsidR="00F444CA" w:rsidRPr="00117D74">
        <w:rPr>
          <w:rFonts w:ascii="Arial" w:hAnsi="Arial"/>
        </w:rPr>
        <w:t xml:space="preserve">physiotherapy </w:t>
      </w:r>
      <w:r w:rsidR="00554D79">
        <w:rPr>
          <w:rFonts w:ascii="Arial" w:hAnsi="Arial"/>
        </w:rPr>
        <w:t xml:space="preserve">for FND with </w:t>
      </w:r>
      <w:r w:rsidR="00F444CA">
        <w:rPr>
          <w:rFonts w:ascii="Arial" w:hAnsi="Arial"/>
        </w:rPr>
        <w:t>movement disorders or limb weakness</w:t>
      </w:r>
      <w:r w:rsidR="00554D79">
        <w:rPr>
          <w:rFonts w:ascii="Arial" w:hAnsi="Arial"/>
        </w:rPr>
        <w:t xml:space="preserve"> (‘motor symptoms’)</w:t>
      </w:r>
      <w:r w:rsidR="00CB37A5">
        <w:rPr>
          <w:rFonts w:ascii="Arial" w:hAnsi="Arial"/>
        </w:rPr>
        <w:fldChar w:fldCharType="begin" w:fldLock="1"/>
      </w:r>
      <w:r w:rsidR="00763A14">
        <w:rPr>
          <w:rFonts w:ascii="Arial" w:hAnsi="Arial"/>
        </w:rPr>
        <w:instrText>ADDIN CSL_CITATION {"citationItems":[{"id":"ITEM-1","itemData":{"DOI":"10.1136/jnnp-2016-314408","ISSN":"1468330X","abstract":"OBJECTIVE To determine the feasibility of conducting a randomised controlled trial of a specialist physiotherapy intervention for functional motor symptoms (FMS). METHODS A randomised feasibility study was conducted recruiting patients with a clinically established diagnosis of FMS from a tertiary neurology clinic in London, UK. Participants were randomised to the intervention or a treatment as usual control. Measures of feasibility and clinical outcome were collected and assessed at 6 months. RESULTS 60 individuals were recruited over a 9-month period. Three withdrew, leaving 29 intervention and 28 controls participants in the final analysis. 32% of patients with FMS met the inclusion criteria, of which 90% enrolled. Acceptability of the intervention was high and there were no adverse events. At 6 months, 72% of the intervention group rated their symptoms as improved, compared to 18% in the control group. There was a moderate to large treatment effect across a range of outcomes, including three of eight Short Form 36 (SF36) domains (d=0.46-0.79). The SF36 Physical function was found to be a suitable primary outcome measure for a future trial; adjusted mean difference 19.8 (95% CI 10.2 to 29.5). The additional quality adjusted life years (QALY) with intervention was 0.08 (95% CI 0.03 to 0.13), the mean incremental cost per QALY gained was £12 087. CONCLUSIONS This feasibility study demonstrated high rates of recruitment, retention and acceptability. Clinical effect size was moderate to large with high probability of being cost-effective. A randomised controlled trial is needed. TRIAL REGISTRATION NUMBER NCT02275000; Results.","author":[{"dropping-particle":"","family":"Nielsen","given":"G.","non-dropping-particle":"","parse-names":false,"suffix":""},{"dropping-particle":"","family":"Buszewicz","given":"M.","non-dropping-particle":"","parse-names":false,"suffix":""},{"dropping-particle":"","family":"Stevenson","given":"F.","non-dropping-particle":"","parse-names":false,"suffix":""},{"dropping-particle":"","family":"Hunter","given":"R.","non-dropping-particle":"","parse-names":false,"suffix":""},{"dropping-particle":"","family":"Holt","given":"K.","non-dropping-particle":"","parse-names":false,"suffix":""},{"dropping-particle":"","family":"Dudziec","given":"M.","non-dropping-particle":"","parse-names":false,"suffix":""},{"dropping-particle":"","family":"Ricciardi","given":"L.","non-dropping-particle":"","parse-names":false,"suffix":""},{"dropping-particle":"","family":"Marsden","given":"J.","non-dropping-particle":"","parse-names":false,"suffix":""},{"dropping-particle":"","family":"Joyce","given":"E.","non-dropping-particle":"","parse-names":false,"suffix":""},{"dropping-particle":"","family":"Edwards","given":"Mj","non-dropping-particle":"","parse-names":false,"suffix":""}],"container-title":"Journal of Neurology, Neurosurgery and Psychiatry","id":"ITEM-1","issued":{"date-parts":[["2017"]]},"title":"Randomised feasibility study of physiotherapy for patients with functional motor symptoms","type":"article-journal"},"uris":["http://www.mendeley.com/documents/?uuid=146d2dcc-0639-414d-92b2-b0b732155196"]}],"mendeley":{"formattedCitation":"{9}","plainTextFormattedCitation":"{9}","previouslyFormattedCitation":"{9}"},"properties":{"noteIndex":0},"schema":"https://github.com/citation-style-language/schema/raw/master/csl-citation.json"}</w:instrText>
      </w:r>
      <w:r w:rsidR="00CB37A5">
        <w:rPr>
          <w:rFonts w:ascii="Arial" w:hAnsi="Arial"/>
        </w:rPr>
        <w:fldChar w:fldCharType="separate"/>
      </w:r>
      <w:r w:rsidR="0028131B" w:rsidRPr="0028131B">
        <w:rPr>
          <w:rFonts w:ascii="Arial" w:hAnsi="Arial"/>
          <w:noProof/>
        </w:rPr>
        <w:t>{9}</w:t>
      </w:r>
      <w:r w:rsidR="00CB37A5">
        <w:rPr>
          <w:rFonts w:ascii="Arial" w:hAnsi="Arial"/>
        </w:rPr>
        <w:fldChar w:fldCharType="end"/>
      </w:r>
      <w:r w:rsidR="00F444CA">
        <w:rPr>
          <w:rFonts w:ascii="Arial" w:hAnsi="Arial"/>
        </w:rPr>
        <w:t>. T</w:t>
      </w:r>
      <w:r w:rsidRPr="00117D74">
        <w:rPr>
          <w:rFonts w:ascii="Arial" w:hAnsi="Arial"/>
        </w:rPr>
        <w:t>he first large</w:t>
      </w:r>
      <w:r w:rsidR="001803E7" w:rsidRPr="00117D74">
        <w:rPr>
          <w:rFonts w:ascii="Arial" w:hAnsi="Arial"/>
        </w:rPr>
        <w:t>-scale</w:t>
      </w:r>
      <w:r w:rsidRPr="00117D74">
        <w:rPr>
          <w:rFonts w:ascii="Arial" w:hAnsi="Arial"/>
        </w:rPr>
        <w:t xml:space="preserve"> multic</w:t>
      </w:r>
      <w:r w:rsidR="00CB37A5">
        <w:rPr>
          <w:rFonts w:ascii="Arial" w:hAnsi="Arial"/>
        </w:rPr>
        <w:t xml:space="preserve">entre </w:t>
      </w:r>
      <w:r w:rsidR="001803E7" w:rsidRPr="00117D74">
        <w:rPr>
          <w:rFonts w:ascii="Arial" w:hAnsi="Arial"/>
        </w:rPr>
        <w:t xml:space="preserve">treatment </w:t>
      </w:r>
      <w:r w:rsidR="002E22B5">
        <w:rPr>
          <w:rFonts w:ascii="Arial" w:hAnsi="Arial"/>
        </w:rPr>
        <w:t>trial</w:t>
      </w:r>
      <w:r w:rsidR="001803E7" w:rsidRPr="00117D74">
        <w:rPr>
          <w:rFonts w:ascii="Arial" w:hAnsi="Arial"/>
        </w:rPr>
        <w:t xml:space="preserve"> for </w:t>
      </w:r>
      <w:r w:rsidR="00CB37A5">
        <w:rPr>
          <w:rFonts w:ascii="Arial" w:hAnsi="Arial"/>
        </w:rPr>
        <w:t xml:space="preserve">any </w:t>
      </w:r>
      <w:r w:rsidR="00486180" w:rsidRPr="00117D74">
        <w:rPr>
          <w:rFonts w:ascii="Arial" w:hAnsi="Arial"/>
        </w:rPr>
        <w:t>FND</w:t>
      </w:r>
      <w:r w:rsidR="00CB37A5">
        <w:rPr>
          <w:rFonts w:ascii="Arial" w:hAnsi="Arial"/>
        </w:rPr>
        <w:t xml:space="preserve"> symptom</w:t>
      </w:r>
      <w:r w:rsidR="00486180" w:rsidRPr="00117D74">
        <w:rPr>
          <w:rFonts w:ascii="Arial" w:hAnsi="Arial"/>
        </w:rPr>
        <w:t xml:space="preserve">, </w:t>
      </w:r>
      <w:r w:rsidR="002E22B5">
        <w:rPr>
          <w:rFonts w:ascii="Arial" w:hAnsi="Arial"/>
        </w:rPr>
        <w:t>evaluating</w:t>
      </w:r>
      <w:r w:rsidR="00955E18">
        <w:rPr>
          <w:rFonts w:ascii="Arial" w:hAnsi="Arial"/>
        </w:rPr>
        <w:t xml:space="preserve"> </w:t>
      </w:r>
      <w:r w:rsidR="00945AF4">
        <w:rPr>
          <w:rFonts w:ascii="Arial" w:hAnsi="Arial"/>
        </w:rPr>
        <w:t xml:space="preserve">conventional </w:t>
      </w:r>
      <w:r w:rsidR="00486180" w:rsidRPr="00117D74">
        <w:rPr>
          <w:rFonts w:ascii="Arial" w:hAnsi="Arial"/>
        </w:rPr>
        <w:t>CBT</w:t>
      </w:r>
      <w:r w:rsidR="00FC01AF">
        <w:rPr>
          <w:rFonts w:ascii="Arial" w:hAnsi="Arial"/>
        </w:rPr>
        <w:t xml:space="preserve"> </w:t>
      </w:r>
      <w:r w:rsidR="001803E7" w:rsidRPr="00117D74">
        <w:rPr>
          <w:rFonts w:ascii="Arial" w:hAnsi="Arial"/>
        </w:rPr>
        <w:t xml:space="preserve">for </w:t>
      </w:r>
      <w:r w:rsidR="00554D79">
        <w:rPr>
          <w:rFonts w:ascii="Arial" w:hAnsi="Arial"/>
        </w:rPr>
        <w:t>dissociative seiz</w:t>
      </w:r>
      <w:r w:rsidR="00287475">
        <w:rPr>
          <w:rFonts w:ascii="Arial" w:hAnsi="Arial"/>
        </w:rPr>
        <w:t>ures</w:t>
      </w:r>
      <w:r w:rsidR="006C346F">
        <w:rPr>
          <w:rFonts w:ascii="Arial" w:hAnsi="Arial"/>
        </w:rPr>
        <w:t>,</w:t>
      </w:r>
      <w:r w:rsidR="00554D79">
        <w:rPr>
          <w:rFonts w:ascii="Arial" w:hAnsi="Arial"/>
        </w:rPr>
        <w:t xml:space="preserve"> </w:t>
      </w:r>
      <w:r w:rsidRPr="00117D74">
        <w:rPr>
          <w:rFonts w:ascii="Arial" w:hAnsi="Arial"/>
        </w:rPr>
        <w:t>will be reporting</w:t>
      </w:r>
      <w:r w:rsidRPr="00117D74">
        <w:rPr>
          <w:rFonts w:ascii="Arial" w:hAnsi="Arial" w:cs="Arial"/>
        </w:rPr>
        <w:t xml:space="preserve"> </w:t>
      </w:r>
      <w:r w:rsidR="003876CD">
        <w:rPr>
          <w:rFonts w:ascii="Arial" w:hAnsi="Arial" w:cs="Arial"/>
        </w:rPr>
        <w:t>results</w:t>
      </w:r>
      <w:r w:rsidRPr="00117D74">
        <w:rPr>
          <w:rFonts w:ascii="Arial" w:hAnsi="Arial"/>
        </w:rPr>
        <w:t xml:space="preserve"> shortly</w:t>
      </w:r>
      <w:r w:rsidRPr="00117D74">
        <w:rPr>
          <w:rFonts w:ascii="Arial" w:hAnsi="Arial"/>
        </w:rPr>
        <w:fldChar w:fldCharType="begin" w:fldLock="1"/>
      </w:r>
      <w:r w:rsidR="00763A14">
        <w:rPr>
          <w:rFonts w:ascii="Arial" w:hAnsi="Arial"/>
        </w:rPr>
        <w:instrText>ADDIN CSL_CITATION {"citationItems":[{"id":"ITEM-1","itemData":{"DOI":"10.1186/s12883-015-0350-0","ISBN":"1471-2377","ISSN":"14712377","PMID":"26111700","abstract":"BACKGROUND: The evidence base for the effectiveness of psychological interventions for patients with dissociative non-epileptic seizures (DS) is currently extremely limited, although data from two small pilot randomised controlled trials (RCTs), including from our group, suggest that Cognitive Behavioural Therapy (CBT) may be effective in reducing DS occurrence and may improve aspects of psychological status and psychosocial functioning.\\n\\nMETHODS/DESIGN: The study is a multicentre, pragmatic parallel group RCT to evaluate the clinical and cost-effectiveness of specifically-tailored CBT plus standardised medical care (SMC) vs SMC alone in reducing DS frequency and improving psychological and health-related outcomes. In the initial screening phase, patients with DS will receive their diagnosis from a neurologist/epilepsy specialist. If patients are eligible and interested following the provision of study information and a booklet about DS, they will consent to provide demographic information and fortnightly data about their seizures, and agree to see a psychiatrist three months later. We aim to recruit ~500 patients to this screening stage. After a review three months later by a psychiatrist, those patients who have continued to have DS in the previous eight weeks and who meet further eligibility criteria will be told about the trial comparing CBT + SMC vs SMC alone. If they are interested in participating, they will be given a further booklet on DS and study information. A research worker will see them to obtain their informed consent to take part in the RCT. We aim to randomise 298 people (149 to each arm). In addition to a baseline assessment, data will be collected at 6 and 12 months post randomisation. Our primary outcome is monthly seizure frequency in the preceding month. Secondary outcomes include seizure severity, measures of seizure freedom and reduction, psychological distress and psychosocial functioning, quality of life, health service use, cost effectiveness and adverse events. We will include a nested qualitative study to evaluate participants' views of the intervention and factors that acted as facilitators and barriers to participation.\\n\\nDISCUSSION: This study will be the first adequately powered evaluation of CBT for this patient group and offers the potential to provide an evidence base for treating this patient group.\\n\\nTRIAL REGISTRATION: Current Controlled Trials ISRCTN05681227 ClinicalTrials.gov NCT02325544.","author":[{"dropping-particle":"","family":"Goldstein","given":"Laura H.","non-dropping-particle":"","parse-names":false,"suffix":""},{"dropping-particle":"","family":"Mellers","given":"John D.C.","non-dropping-particle":"","parse-names":false,"suffix":""},{"dropping-particle":"","family":"Landau","given":"Sabine","non-dropping-particle":"","parse-names":false,"suffix":""},{"dropping-particle":"","family":"Stone","given":"Jon","non-dropping-particle":"","parse-names":false,"suffix":""},{"dropping-particle":"","family":"Carson","given":"Alan","non-dropping-particle":"","parse-names":false,"suffix":""},{"dropping-particle":"","family":"Medford","given":"Nick","non-dropping-particle":"","parse-names":false,"suffix":""},{"dropping-particle":"","family":"Reuber","given":"Markus","non-dropping-particle":"","parse-names":false,"suffix":""},{"dropping-particle":"","family":"Richardson","given":"Mark","non-dropping-particle":"","parse-names":false,"suffix":""},{"dropping-particle":"","family":"McCrone","given":"Paul","non-dropping-particle":"","parse-names":false,"suffix":""},{"dropping-particle":"","family":"Murray","given":"Joanna","non-dropping-particle":"","parse-names":false,"suffix":""},{"dropping-particle":"","family":"Chalder","given":"Trudie","non-dropping-particle":"","parse-names":false,"suffix":""}],"container-title":"BMC Neurology","id":"ITEM-1","issued":{"date-parts":[["2015"]]},"title":"COgnitive behavioural therapy vs standardised medical care for adults with Dissociative non-Epileptic Seizures (CODES): A multicentre randomised controlled trial protocol","type":"article-journal"},"uris":["http://www.mendeley.com/documents/?uuid=89049a87-8ca1-4531-a4f3-dd334c85cc96"]}],"mendeley":{"formattedCitation":"{10}","plainTextFormattedCitation":"{10}","previouslyFormattedCitation":"{10}"},"properties":{"noteIndex":0},"schema":"https://github.com/citation-style-language/schema/raw/master/csl-citation.json"}</w:instrText>
      </w:r>
      <w:r w:rsidRPr="00117D74">
        <w:rPr>
          <w:rFonts w:ascii="Arial" w:hAnsi="Arial"/>
        </w:rPr>
        <w:fldChar w:fldCharType="separate"/>
      </w:r>
      <w:r w:rsidR="0028131B" w:rsidRPr="0028131B">
        <w:rPr>
          <w:rFonts w:ascii="Arial" w:hAnsi="Arial"/>
          <w:noProof/>
        </w:rPr>
        <w:t>{10}</w:t>
      </w:r>
      <w:r w:rsidRPr="00117D74">
        <w:rPr>
          <w:rFonts w:ascii="Arial" w:hAnsi="Arial"/>
        </w:rPr>
        <w:fldChar w:fldCharType="end"/>
      </w:r>
      <w:r w:rsidR="00FC01AF">
        <w:rPr>
          <w:rFonts w:ascii="Arial" w:hAnsi="Arial"/>
        </w:rPr>
        <w:t>,</w:t>
      </w:r>
      <w:r w:rsidR="00CB37A5">
        <w:rPr>
          <w:rFonts w:ascii="Arial" w:hAnsi="Arial"/>
        </w:rPr>
        <w:t xml:space="preserve"> and </w:t>
      </w:r>
      <w:r w:rsidR="006C346F">
        <w:rPr>
          <w:rFonts w:ascii="Arial" w:hAnsi="Arial"/>
        </w:rPr>
        <w:t xml:space="preserve">a </w:t>
      </w:r>
      <w:r w:rsidRPr="00117D74">
        <w:rPr>
          <w:rFonts w:ascii="Arial" w:hAnsi="Arial"/>
        </w:rPr>
        <w:t>similar</w:t>
      </w:r>
      <w:r w:rsidR="001803E7" w:rsidRPr="00117D74">
        <w:rPr>
          <w:rFonts w:ascii="Arial" w:hAnsi="Arial"/>
        </w:rPr>
        <w:t>-</w:t>
      </w:r>
      <w:r w:rsidRPr="00117D74">
        <w:rPr>
          <w:rFonts w:ascii="Arial" w:hAnsi="Arial"/>
        </w:rPr>
        <w:t xml:space="preserve">sized trial of </w:t>
      </w:r>
      <w:r w:rsidR="003876CD">
        <w:rPr>
          <w:rFonts w:ascii="Arial" w:hAnsi="Arial" w:cs="Arial"/>
        </w:rPr>
        <w:t xml:space="preserve">intensive outpatient </w:t>
      </w:r>
      <w:r w:rsidRPr="00117D74">
        <w:rPr>
          <w:rFonts w:ascii="Arial" w:hAnsi="Arial"/>
        </w:rPr>
        <w:t xml:space="preserve">physiotherapy for </w:t>
      </w:r>
      <w:r w:rsidR="003876CD">
        <w:rPr>
          <w:rFonts w:ascii="Arial" w:hAnsi="Arial" w:cs="Arial"/>
        </w:rPr>
        <w:t>motor symptoms is</w:t>
      </w:r>
      <w:r w:rsidR="00F444CA">
        <w:rPr>
          <w:rFonts w:ascii="Arial" w:hAnsi="Arial"/>
        </w:rPr>
        <w:t xml:space="preserve"> </w:t>
      </w:r>
      <w:r w:rsidRPr="00117D74">
        <w:rPr>
          <w:rFonts w:ascii="Arial" w:hAnsi="Arial"/>
        </w:rPr>
        <w:t>underway</w:t>
      </w:r>
      <w:r w:rsidRPr="00117D74">
        <w:rPr>
          <w:rFonts w:ascii="Arial" w:hAnsi="Arial"/>
        </w:rPr>
        <w:fldChar w:fldCharType="begin" w:fldLock="1"/>
      </w:r>
      <w:r w:rsidR="00763A14">
        <w:rPr>
          <w:rFonts w:ascii="Arial" w:hAnsi="Arial"/>
        </w:rPr>
        <w:instrText>ADDIN CSL_CITATION {"citationItems":[{"id":"ITEM-1","itemData":{"URL":"http://www.isrctn.com/ISRCTN56136713?q=nielsen&amp;filters=&amp;sort=&amp;offset=3&amp;totalResults=26&amp;page=1&amp;pageSize=10&amp;searchType=basic-search","accessed":{"date-parts":[["2019","4","1"]]},"author":[{"dropping-particle":"","family":"Nielsen","given":"G et.al","non-dropping-particle":"","parse-names":false,"suffix":""}],"id":"ITEM-1","issued":{"date-parts":[["2018"]]},"title":"Physio4FMD trial","type":"webpage"},"uris":["http://www.mendeley.com/documents/?uuid=d0efd4c2-6113-40c5-abae-fcfbd647b1b9"]}],"mendeley":{"formattedCitation":"{11}","plainTextFormattedCitation":"{11}","previouslyFormattedCitation":"{11}"},"properties":{"noteIndex":0},"schema":"https://github.com/citation-style-language/schema/raw/master/csl-citation.json"}</w:instrText>
      </w:r>
      <w:r w:rsidRPr="00117D74">
        <w:rPr>
          <w:rFonts w:ascii="Arial" w:hAnsi="Arial"/>
        </w:rPr>
        <w:fldChar w:fldCharType="separate"/>
      </w:r>
      <w:r w:rsidR="0028131B" w:rsidRPr="0028131B">
        <w:rPr>
          <w:rFonts w:ascii="Arial" w:hAnsi="Arial"/>
          <w:noProof/>
        </w:rPr>
        <w:t>{11}</w:t>
      </w:r>
      <w:r w:rsidRPr="00117D74">
        <w:rPr>
          <w:rFonts w:ascii="Arial" w:hAnsi="Arial"/>
        </w:rPr>
        <w:fldChar w:fldCharType="end"/>
      </w:r>
      <w:r w:rsidRPr="00117D74">
        <w:rPr>
          <w:rFonts w:ascii="Arial" w:hAnsi="Arial"/>
        </w:rPr>
        <w:t xml:space="preserve">. These and other planned trials </w:t>
      </w:r>
      <w:r w:rsidR="00433B6A">
        <w:rPr>
          <w:rFonts w:ascii="Arial" w:hAnsi="Arial"/>
        </w:rPr>
        <w:t xml:space="preserve">have </w:t>
      </w:r>
      <w:r w:rsidR="00D846AF" w:rsidRPr="00117D74">
        <w:rPr>
          <w:rFonts w:ascii="Arial" w:hAnsi="Arial"/>
        </w:rPr>
        <w:t>highlight</w:t>
      </w:r>
      <w:r w:rsidR="00433B6A">
        <w:rPr>
          <w:rFonts w:ascii="Arial" w:hAnsi="Arial"/>
        </w:rPr>
        <w:t>ed</w:t>
      </w:r>
      <w:r w:rsidR="00D846AF" w:rsidRPr="00117D74">
        <w:rPr>
          <w:rFonts w:ascii="Arial" w:hAnsi="Arial"/>
        </w:rPr>
        <w:t xml:space="preserve"> the </w:t>
      </w:r>
      <w:r w:rsidR="001803E7" w:rsidRPr="00117D74">
        <w:rPr>
          <w:rFonts w:ascii="Arial" w:hAnsi="Arial"/>
        </w:rPr>
        <w:t xml:space="preserve">lack of specific outcome measures for FND and the </w:t>
      </w:r>
      <w:r w:rsidR="00D846AF" w:rsidRPr="00117D74">
        <w:rPr>
          <w:rFonts w:ascii="Arial" w:hAnsi="Arial"/>
        </w:rPr>
        <w:t>urgent</w:t>
      </w:r>
      <w:r w:rsidRPr="00117D74">
        <w:rPr>
          <w:rFonts w:ascii="Arial" w:hAnsi="Arial"/>
        </w:rPr>
        <w:t xml:space="preserve"> need for </w:t>
      </w:r>
      <w:r w:rsidR="006F1A32">
        <w:rPr>
          <w:rFonts w:ascii="Arial" w:hAnsi="Arial" w:cs="Arial"/>
        </w:rPr>
        <w:t>the development of</w:t>
      </w:r>
      <w:r w:rsidR="001803E7" w:rsidRPr="00117D74">
        <w:rPr>
          <w:rFonts w:ascii="Arial" w:hAnsi="Arial"/>
        </w:rPr>
        <w:t xml:space="preserve"> a consensus on which</w:t>
      </w:r>
      <w:r w:rsidRPr="00117D74">
        <w:rPr>
          <w:rFonts w:ascii="Arial" w:hAnsi="Arial"/>
        </w:rPr>
        <w:t xml:space="preserve"> </w:t>
      </w:r>
      <w:r w:rsidR="00640C7F" w:rsidRPr="00117D74">
        <w:rPr>
          <w:rFonts w:ascii="Arial" w:hAnsi="Arial"/>
        </w:rPr>
        <w:t>outcome measures</w:t>
      </w:r>
      <w:r w:rsidR="001803E7" w:rsidRPr="00117D74">
        <w:rPr>
          <w:rFonts w:ascii="Arial" w:hAnsi="Arial"/>
        </w:rPr>
        <w:t xml:space="preserve"> are </w:t>
      </w:r>
      <w:r w:rsidR="00287475">
        <w:rPr>
          <w:rFonts w:ascii="Arial" w:hAnsi="Arial"/>
        </w:rPr>
        <w:t xml:space="preserve">optimal </w:t>
      </w:r>
      <w:r w:rsidR="001803E7" w:rsidRPr="00117D74">
        <w:rPr>
          <w:rFonts w:ascii="Arial" w:hAnsi="Arial"/>
        </w:rPr>
        <w:t>for FND.</w:t>
      </w:r>
      <w:r w:rsidR="003876CD">
        <w:rPr>
          <w:rFonts w:ascii="Arial" w:hAnsi="Arial" w:cs="Arial"/>
        </w:rPr>
        <w:t xml:space="preserve"> This is particularly important to allow specific treatment modalities to be studied across countries</w:t>
      </w:r>
      <w:r w:rsidR="00102D26">
        <w:rPr>
          <w:rFonts w:ascii="Arial" w:hAnsi="Arial" w:cs="Arial"/>
        </w:rPr>
        <w:t>,</w:t>
      </w:r>
      <w:r w:rsidR="00945AF4">
        <w:rPr>
          <w:rFonts w:ascii="Arial" w:hAnsi="Arial" w:cs="Arial"/>
        </w:rPr>
        <w:t xml:space="preserve"> </w:t>
      </w:r>
      <w:r w:rsidR="00102D26">
        <w:rPr>
          <w:rFonts w:ascii="Arial" w:hAnsi="Arial" w:cs="Arial"/>
        </w:rPr>
        <w:t>cultures</w:t>
      </w:r>
      <w:r w:rsidR="003876CD">
        <w:rPr>
          <w:rFonts w:ascii="Arial" w:hAnsi="Arial" w:cs="Arial"/>
        </w:rPr>
        <w:t xml:space="preserve"> and healthcare settings</w:t>
      </w:r>
      <w:r w:rsidR="00F155D6">
        <w:rPr>
          <w:rFonts w:ascii="Arial" w:hAnsi="Arial" w:cs="Arial"/>
        </w:rPr>
        <w:t xml:space="preserve"> where clinical presentations, resources and values regarding aspects of recover</w:t>
      </w:r>
      <w:r w:rsidR="003818F6">
        <w:rPr>
          <w:rFonts w:ascii="Arial" w:hAnsi="Arial" w:cs="Arial"/>
        </w:rPr>
        <w:t>y</w:t>
      </w:r>
      <w:r w:rsidR="00F155D6">
        <w:rPr>
          <w:rFonts w:ascii="Arial" w:hAnsi="Arial" w:cs="Arial"/>
        </w:rPr>
        <w:t xml:space="preserve"> may vary, as well as facilitating</w:t>
      </w:r>
      <w:r w:rsidR="003876CD">
        <w:rPr>
          <w:rFonts w:ascii="Arial" w:hAnsi="Arial" w:cs="Arial"/>
        </w:rPr>
        <w:t xml:space="preserve"> the eventual pooling of </w:t>
      </w:r>
      <w:r w:rsidR="003876CD">
        <w:rPr>
          <w:rFonts w:ascii="Arial" w:hAnsi="Arial" w:cs="Arial"/>
        </w:rPr>
        <w:lastRenderedPageBreak/>
        <w:t>data for meta-analyses.</w:t>
      </w:r>
      <w:r w:rsidR="00CE6F7D">
        <w:rPr>
          <w:rFonts w:ascii="Arial" w:hAnsi="Arial" w:cs="Arial"/>
        </w:rPr>
        <w:t xml:space="preserve"> Furthermore, </w:t>
      </w:r>
      <w:r w:rsidR="00CE6F7D">
        <w:rPr>
          <w:rFonts w:ascii="Arial" w:hAnsi="Arial"/>
        </w:rPr>
        <w:t>specialized FND services are</w:t>
      </w:r>
      <w:r w:rsidR="00716779">
        <w:rPr>
          <w:rFonts w:ascii="Arial" w:hAnsi="Arial"/>
        </w:rPr>
        <w:t xml:space="preserve"> emerging in many countries </w:t>
      </w:r>
      <w:r w:rsidR="00102D26">
        <w:rPr>
          <w:rFonts w:ascii="Arial" w:hAnsi="Arial"/>
        </w:rPr>
        <w:t>and cultural contexts,</w:t>
      </w:r>
      <w:r w:rsidR="00716779">
        <w:rPr>
          <w:rFonts w:ascii="Arial" w:hAnsi="Arial"/>
        </w:rPr>
        <w:t xml:space="preserve"> which</w:t>
      </w:r>
      <w:r w:rsidR="00CE6F7D">
        <w:rPr>
          <w:rFonts w:ascii="Arial" w:hAnsi="Arial"/>
        </w:rPr>
        <w:t xml:space="preserve"> will increasingly be expected to formally monitor patient progress and</w:t>
      </w:r>
      <w:r w:rsidR="00716779">
        <w:rPr>
          <w:rFonts w:ascii="Arial" w:hAnsi="Arial"/>
        </w:rPr>
        <w:t xml:space="preserve"> demonstrate cost-effectiveness</w:t>
      </w:r>
      <w:r w:rsidR="007E538D">
        <w:rPr>
          <w:rFonts w:ascii="Arial" w:hAnsi="Arial"/>
        </w:rPr>
        <w:t>.</w:t>
      </w:r>
    </w:p>
    <w:p w14:paraId="535965E3" w14:textId="548751D6" w:rsidR="00DF3CEF" w:rsidRPr="002E483E" w:rsidRDefault="001803E7" w:rsidP="00074D34">
      <w:pPr>
        <w:widowControl w:val="0"/>
        <w:autoSpaceDE w:val="0"/>
        <w:autoSpaceDN w:val="0"/>
        <w:adjustRightInd w:val="0"/>
        <w:spacing w:line="480" w:lineRule="auto"/>
        <w:ind w:firstLine="720"/>
        <w:jc w:val="both"/>
        <w:rPr>
          <w:rFonts w:ascii="Arial" w:hAnsi="Arial"/>
        </w:rPr>
      </w:pPr>
      <w:r w:rsidRPr="00117D74">
        <w:rPr>
          <w:rFonts w:ascii="Arial" w:hAnsi="Arial"/>
        </w:rPr>
        <w:t xml:space="preserve">This </w:t>
      </w:r>
      <w:r w:rsidR="00955E18">
        <w:rPr>
          <w:rFonts w:ascii="Arial" w:hAnsi="Arial"/>
        </w:rPr>
        <w:t>FND</w:t>
      </w:r>
      <w:r w:rsidRPr="00117D74">
        <w:rPr>
          <w:rFonts w:ascii="Arial" w:hAnsi="Arial"/>
        </w:rPr>
        <w:t xml:space="preserve"> research need</w:t>
      </w:r>
      <w:r w:rsidRPr="002E483E">
        <w:rPr>
          <w:rFonts w:ascii="Arial" w:hAnsi="Arial"/>
        </w:rPr>
        <w:t xml:space="preserve"> comes against the background of a general </w:t>
      </w:r>
      <w:r w:rsidR="00881E5F" w:rsidRPr="002E483E">
        <w:rPr>
          <w:rFonts w:ascii="Arial" w:hAnsi="Arial"/>
        </w:rPr>
        <w:t>recognition</w:t>
      </w:r>
      <w:r w:rsidR="00003472" w:rsidRPr="002E483E">
        <w:rPr>
          <w:rFonts w:ascii="Arial" w:hAnsi="Arial"/>
        </w:rPr>
        <w:t xml:space="preserve"> across </w:t>
      </w:r>
      <w:r w:rsidR="00003472" w:rsidRPr="002E483E">
        <w:rPr>
          <w:rFonts w:ascii="Arial" w:hAnsi="Arial" w:cs="Arial"/>
        </w:rPr>
        <w:t>medic</w:t>
      </w:r>
      <w:r w:rsidR="005A5161">
        <w:rPr>
          <w:rFonts w:ascii="Arial" w:hAnsi="Arial" w:cs="Arial"/>
        </w:rPr>
        <w:t xml:space="preserve">al, </w:t>
      </w:r>
      <w:r w:rsidR="0021190C">
        <w:rPr>
          <w:rFonts w:ascii="Arial" w:hAnsi="Arial" w:cs="Arial"/>
        </w:rPr>
        <w:t>neurological</w:t>
      </w:r>
      <w:r w:rsidR="006605E0">
        <w:rPr>
          <w:rFonts w:ascii="Arial" w:hAnsi="Arial" w:cs="Arial"/>
        </w:rPr>
        <w:t>,</w:t>
      </w:r>
      <w:r w:rsidR="005A5161">
        <w:rPr>
          <w:rFonts w:ascii="Arial" w:hAnsi="Arial" w:cs="Arial"/>
        </w:rPr>
        <w:t xml:space="preserve"> psychiatric </w:t>
      </w:r>
      <w:r w:rsidR="00102D26">
        <w:rPr>
          <w:rFonts w:ascii="Arial" w:hAnsi="Arial" w:cs="Arial"/>
        </w:rPr>
        <w:t xml:space="preserve">and psychological </w:t>
      </w:r>
      <w:r w:rsidR="005A5161">
        <w:rPr>
          <w:rFonts w:ascii="Arial" w:hAnsi="Arial" w:cs="Arial"/>
        </w:rPr>
        <w:t>specialties</w:t>
      </w:r>
      <w:r w:rsidR="00881E5F" w:rsidRPr="002E483E">
        <w:rPr>
          <w:rFonts w:ascii="Arial" w:hAnsi="Arial"/>
        </w:rPr>
        <w:t xml:space="preserve"> of the</w:t>
      </w:r>
      <w:r w:rsidR="00342B8A" w:rsidRPr="002E483E">
        <w:rPr>
          <w:rFonts w:ascii="Arial" w:hAnsi="Arial"/>
        </w:rPr>
        <w:t xml:space="preserve"> importance of research into </w:t>
      </w:r>
      <w:r w:rsidR="00640C7F" w:rsidRPr="002E483E">
        <w:rPr>
          <w:rFonts w:ascii="Arial" w:hAnsi="Arial"/>
        </w:rPr>
        <w:t>outcome measures</w:t>
      </w:r>
      <w:r w:rsidR="00DA5B11" w:rsidRPr="002E483E">
        <w:rPr>
          <w:rFonts w:ascii="Arial" w:hAnsi="Arial"/>
        </w:rPr>
        <w:t>, particularly with regard</w:t>
      </w:r>
      <w:r w:rsidR="00636922">
        <w:rPr>
          <w:rFonts w:ascii="Arial" w:hAnsi="Arial"/>
        </w:rPr>
        <w:t>s</w:t>
      </w:r>
      <w:r w:rsidR="00DA5B11" w:rsidRPr="002E483E">
        <w:rPr>
          <w:rFonts w:ascii="Arial" w:hAnsi="Arial"/>
        </w:rPr>
        <w:t xml:space="preserve"> to </w:t>
      </w:r>
      <w:r w:rsidR="006164DC" w:rsidRPr="002E483E">
        <w:rPr>
          <w:rFonts w:ascii="Arial" w:hAnsi="Arial"/>
        </w:rPr>
        <w:t xml:space="preserve">the </w:t>
      </w:r>
      <w:r w:rsidR="00003472" w:rsidRPr="002E483E">
        <w:rPr>
          <w:rFonts w:ascii="Arial" w:hAnsi="Arial"/>
        </w:rPr>
        <w:t>develop</w:t>
      </w:r>
      <w:r w:rsidR="006164DC" w:rsidRPr="002E483E">
        <w:rPr>
          <w:rFonts w:ascii="Arial" w:hAnsi="Arial"/>
        </w:rPr>
        <w:t xml:space="preserve">ment and </w:t>
      </w:r>
      <w:r w:rsidR="00BB3085">
        <w:rPr>
          <w:rFonts w:ascii="Arial" w:hAnsi="Arial"/>
        </w:rPr>
        <w:t>application of a core outcome s</w:t>
      </w:r>
      <w:r w:rsidR="006164DC" w:rsidRPr="002E483E">
        <w:rPr>
          <w:rFonts w:ascii="Arial" w:hAnsi="Arial"/>
        </w:rPr>
        <w:t>et</w:t>
      </w:r>
      <w:r w:rsidR="00BB3085">
        <w:rPr>
          <w:rFonts w:ascii="Arial" w:hAnsi="Arial"/>
        </w:rPr>
        <w:t>, or battery</w:t>
      </w:r>
      <w:r w:rsidR="006164DC" w:rsidRPr="002E483E">
        <w:rPr>
          <w:rFonts w:ascii="Arial" w:hAnsi="Arial"/>
        </w:rPr>
        <w:t xml:space="preserve"> of </w:t>
      </w:r>
      <w:r w:rsidR="00640C7F" w:rsidRPr="002E483E">
        <w:rPr>
          <w:rFonts w:ascii="Arial" w:hAnsi="Arial"/>
        </w:rPr>
        <w:t>outcome measures</w:t>
      </w:r>
      <w:r w:rsidR="00955E18">
        <w:rPr>
          <w:rFonts w:ascii="Arial" w:hAnsi="Arial"/>
        </w:rPr>
        <w:t>,</w:t>
      </w:r>
      <w:r w:rsidR="00942DDD" w:rsidRPr="002E483E">
        <w:rPr>
          <w:rFonts w:ascii="Arial" w:hAnsi="Arial"/>
        </w:rPr>
        <w:t xml:space="preserve"> </w:t>
      </w:r>
      <w:r w:rsidR="00B640E4">
        <w:rPr>
          <w:rFonts w:ascii="Arial" w:hAnsi="Arial" w:cs="Arial"/>
        </w:rPr>
        <w:t xml:space="preserve">that are </w:t>
      </w:r>
      <w:r w:rsidR="00942DDD" w:rsidRPr="002E483E">
        <w:rPr>
          <w:rFonts w:ascii="Arial" w:hAnsi="Arial"/>
        </w:rPr>
        <w:t>disorder</w:t>
      </w:r>
      <w:r w:rsidR="00B640E4">
        <w:rPr>
          <w:rFonts w:ascii="Arial" w:hAnsi="Arial" w:cs="Arial"/>
        </w:rPr>
        <w:t xml:space="preserve"> </w:t>
      </w:r>
      <w:r w:rsidR="00433B6A">
        <w:rPr>
          <w:rFonts w:ascii="Arial" w:hAnsi="Arial" w:cs="Arial"/>
        </w:rPr>
        <w:t>appropriate</w:t>
      </w:r>
      <w:r w:rsidRPr="002E483E">
        <w:rPr>
          <w:rFonts w:ascii="Arial" w:hAnsi="Arial" w:cs="Arial"/>
        </w:rPr>
        <w:t>. A</w:t>
      </w:r>
      <w:r w:rsidR="00486180" w:rsidRPr="002E483E">
        <w:rPr>
          <w:rFonts w:ascii="Arial" w:hAnsi="Arial"/>
        </w:rPr>
        <w:t xml:space="preserve"> </w:t>
      </w:r>
      <w:r w:rsidR="00BB3085">
        <w:rPr>
          <w:rFonts w:ascii="Arial" w:hAnsi="Arial"/>
        </w:rPr>
        <w:t>core outcome s</w:t>
      </w:r>
      <w:r w:rsidR="00523554">
        <w:rPr>
          <w:rFonts w:ascii="Arial" w:hAnsi="Arial"/>
        </w:rPr>
        <w:t>et</w:t>
      </w:r>
      <w:r w:rsidR="00DA5B11" w:rsidRPr="002E483E">
        <w:rPr>
          <w:rFonts w:ascii="Arial" w:hAnsi="Arial"/>
        </w:rPr>
        <w:t xml:space="preserve"> </w:t>
      </w:r>
      <w:r w:rsidR="00B640E4">
        <w:rPr>
          <w:rFonts w:ascii="Arial" w:hAnsi="Arial" w:cs="Arial"/>
        </w:rPr>
        <w:t>establishes</w:t>
      </w:r>
      <w:r w:rsidR="00486180" w:rsidRPr="002E483E">
        <w:rPr>
          <w:rFonts w:ascii="Arial" w:hAnsi="Arial"/>
        </w:rPr>
        <w:t xml:space="preserve"> a minimum standardi</w:t>
      </w:r>
      <w:r w:rsidR="006605E0">
        <w:rPr>
          <w:rFonts w:ascii="Arial" w:hAnsi="Arial"/>
        </w:rPr>
        <w:t>z</w:t>
      </w:r>
      <w:r w:rsidR="00486180" w:rsidRPr="002E483E">
        <w:rPr>
          <w:rFonts w:ascii="Arial" w:hAnsi="Arial"/>
        </w:rPr>
        <w:t xml:space="preserve">ed </w:t>
      </w:r>
      <w:r w:rsidR="00B640E4">
        <w:rPr>
          <w:rFonts w:ascii="Arial" w:hAnsi="Arial" w:cs="Arial"/>
        </w:rPr>
        <w:t>list of data points allowing results</w:t>
      </w:r>
      <w:r w:rsidR="00DA5B11" w:rsidRPr="002E483E">
        <w:rPr>
          <w:rFonts w:ascii="Arial" w:hAnsi="Arial"/>
        </w:rPr>
        <w:t xml:space="preserve"> </w:t>
      </w:r>
      <w:r w:rsidR="006164DC" w:rsidRPr="002E483E">
        <w:rPr>
          <w:rFonts w:ascii="Arial" w:hAnsi="Arial"/>
        </w:rPr>
        <w:t>to be compared, contrasted</w:t>
      </w:r>
      <w:r w:rsidR="006605E0">
        <w:rPr>
          <w:rFonts w:ascii="Arial" w:hAnsi="Arial"/>
        </w:rPr>
        <w:t>,</w:t>
      </w:r>
      <w:r w:rsidR="006164DC" w:rsidRPr="002E483E">
        <w:rPr>
          <w:rFonts w:ascii="Arial" w:hAnsi="Arial"/>
        </w:rPr>
        <w:t xml:space="preserve"> </w:t>
      </w:r>
      <w:r w:rsidR="00486180" w:rsidRPr="002E483E">
        <w:rPr>
          <w:rFonts w:ascii="Arial" w:hAnsi="Arial"/>
        </w:rPr>
        <w:t>and collated</w:t>
      </w:r>
      <w:r w:rsidR="00DA5B11" w:rsidRPr="002E483E">
        <w:rPr>
          <w:rFonts w:ascii="Arial" w:hAnsi="Arial"/>
        </w:rPr>
        <w:t xml:space="preserve"> across trials. </w:t>
      </w:r>
      <w:r w:rsidR="006164DC" w:rsidRPr="002E483E">
        <w:rPr>
          <w:rFonts w:ascii="Arial" w:hAnsi="Arial"/>
        </w:rPr>
        <w:t>This</w:t>
      </w:r>
      <w:r w:rsidR="00486180" w:rsidRPr="002E483E">
        <w:rPr>
          <w:rFonts w:ascii="Arial" w:hAnsi="Arial"/>
        </w:rPr>
        <w:t xml:space="preserve"> standardi</w:t>
      </w:r>
      <w:r w:rsidR="006605E0">
        <w:rPr>
          <w:rFonts w:ascii="Arial" w:hAnsi="Arial"/>
        </w:rPr>
        <w:t>z</w:t>
      </w:r>
      <w:r w:rsidR="00486180" w:rsidRPr="002E483E">
        <w:rPr>
          <w:rFonts w:ascii="Arial" w:hAnsi="Arial"/>
        </w:rPr>
        <w:t>ation</w:t>
      </w:r>
      <w:r w:rsidR="006164DC" w:rsidRPr="002E483E">
        <w:rPr>
          <w:rFonts w:ascii="Arial" w:hAnsi="Arial"/>
        </w:rPr>
        <w:t xml:space="preserve"> is being driven by international </w:t>
      </w:r>
      <w:r w:rsidR="005C104E" w:rsidRPr="002E483E">
        <w:rPr>
          <w:rFonts w:ascii="Arial" w:hAnsi="Arial"/>
        </w:rPr>
        <w:t>collaborations</w:t>
      </w:r>
      <w:r w:rsidR="00DA5B11" w:rsidRPr="002E483E">
        <w:rPr>
          <w:rFonts w:ascii="Arial" w:hAnsi="Arial"/>
        </w:rPr>
        <w:t xml:space="preserve"> such as</w:t>
      </w:r>
      <w:r w:rsidR="00003472" w:rsidRPr="002E483E">
        <w:rPr>
          <w:rFonts w:ascii="Arial" w:hAnsi="Arial"/>
        </w:rPr>
        <w:t xml:space="preserve"> </w:t>
      </w:r>
      <w:r w:rsidR="00942DDD" w:rsidRPr="002E483E">
        <w:rPr>
          <w:rFonts w:ascii="Arial" w:hAnsi="Arial"/>
        </w:rPr>
        <w:t xml:space="preserve">the </w:t>
      </w:r>
      <w:r w:rsidR="00003472" w:rsidRPr="002E483E">
        <w:rPr>
          <w:rFonts w:ascii="Arial" w:hAnsi="Arial"/>
        </w:rPr>
        <w:t>COMET (Core Outcome Measures in Effectiveness Trials)</w:t>
      </w:r>
      <w:r w:rsidR="00F25FF1" w:rsidRPr="002E483E">
        <w:rPr>
          <w:rFonts w:ascii="Arial" w:hAnsi="Arial"/>
        </w:rPr>
        <w:t xml:space="preserve"> </w:t>
      </w:r>
      <w:r w:rsidR="005C104E" w:rsidRPr="002E483E">
        <w:rPr>
          <w:rFonts w:ascii="Arial" w:hAnsi="Arial"/>
        </w:rPr>
        <w:t xml:space="preserve">initiative </w:t>
      </w:r>
      <w:r w:rsidR="00F25FF1" w:rsidRPr="002E483E">
        <w:rPr>
          <w:rFonts w:ascii="Arial" w:hAnsi="Arial"/>
        </w:rPr>
        <w:t>in Europe</w:t>
      </w:r>
      <w:r w:rsidR="00BF3118">
        <w:rPr>
          <w:rFonts w:ascii="Arial" w:hAnsi="Arial"/>
        </w:rPr>
        <w:t>,</w:t>
      </w:r>
      <w:r w:rsidR="00003472" w:rsidRPr="002E483E">
        <w:rPr>
          <w:rFonts w:ascii="Arial" w:hAnsi="Arial"/>
        </w:rPr>
        <w:t xml:space="preserve"> </w:t>
      </w:r>
      <w:r w:rsidR="00E33B9C" w:rsidRPr="002E483E">
        <w:rPr>
          <w:rFonts w:ascii="Arial" w:hAnsi="Arial"/>
        </w:rPr>
        <w:t>which provide</w:t>
      </w:r>
      <w:r w:rsidR="005C104E" w:rsidRPr="002E483E">
        <w:rPr>
          <w:rFonts w:ascii="Arial" w:hAnsi="Arial"/>
        </w:rPr>
        <w:t>s</w:t>
      </w:r>
      <w:r w:rsidR="00E33B9C" w:rsidRPr="002E483E">
        <w:rPr>
          <w:rFonts w:ascii="Arial" w:hAnsi="Arial"/>
        </w:rPr>
        <w:t xml:space="preserve"> </w:t>
      </w:r>
      <w:r w:rsidR="005C104E" w:rsidRPr="002E483E">
        <w:rPr>
          <w:rFonts w:ascii="Arial" w:hAnsi="Arial"/>
        </w:rPr>
        <w:t>development</w:t>
      </w:r>
      <w:r w:rsidR="004A47C6">
        <w:rPr>
          <w:rFonts w:ascii="Arial" w:hAnsi="Arial"/>
        </w:rPr>
        <w:t xml:space="preserve"> guidance and a</w:t>
      </w:r>
      <w:r w:rsidR="00003472" w:rsidRPr="002E483E">
        <w:rPr>
          <w:rFonts w:ascii="Arial" w:hAnsi="Arial"/>
        </w:rPr>
        <w:t xml:space="preserve"> </w:t>
      </w:r>
      <w:r w:rsidR="005C104E" w:rsidRPr="002E483E">
        <w:rPr>
          <w:rFonts w:ascii="Arial" w:hAnsi="Arial"/>
        </w:rPr>
        <w:t>searchable database</w:t>
      </w:r>
      <w:r w:rsidR="00703091" w:rsidRPr="002E483E">
        <w:rPr>
          <w:rFonts w:ascii="Arial" w:hAnsi="Arial"/>
        </w:rPr>
        <w:t xml:space="preserve"> for completed </w:t>
      </w:r>
      <w:r w:rsidR="00BB3085">
        <w:rPr>
          <w:rFonts w:ascii="Arial" w:hAnsi="Arial"/>
        </w:rPr>
        <w:t>c</w:t>
      </w:r>
      <w:r w:rsidR="004A47C6">
        <w:rPr>
          <w:rFonts w:ascii="Arial" w:hAnsi="Arial"/>
        </w:rPr>
        <w:t xml:space="preserve">ore </w:t>
      </w:r>
      <w:r w:rsidR="00BB3085">
        <w:rPr>
          <w:rFonts w:ascii="Arial" w:hAnsi="Arial"/>
        </w:rPr>
        <w:t>o</w:t>
      </w:r>
      <w:r w:rsidR="004A47C6">
        <w:rPr>
          <w:rFonts w:ascii="Arial" w:hAnsi="Arial"/>
        </w:rPr>
        <w:t xml:space="preserve">utcome </w:t>
      </w:r>
      <w:r w:rsidR="00BB3085">
        <w:rPr>
          <w:rFonts w:ascii="Arial" w:hAnsi="Arial"/>
        </w:rPr>
        <w:t>s</w:t>
      </w:r>
      <w:r w:rsidR="004A47C6">
        <w:rPr>
          <w:rFonts w:ascii="Arial" w:hAnsi="Arial"/>
        </w:rPr>
        <w:t>ets</w:t>
      </w:r>
      <w:r w:rsidR="004A47C6" w:rsidRPr="002E483E">
        <w:rPr>
          <w:rFonts w:ascii="Arial" w:hAnsi="Arial"/>
        </w:rPr>
        <w:fldChar w:fldCharType="begin" w:fldLock="1"/>
      </w:r>
      <w:r w:rsidR="00763A14">
        <w:rPr>
          <w:rFonts w:ascii="Arial" w:hAnsi="Arial"/>
        </w:rPr>
        <w:instrText>ADDIN CSL_CITATION {"citationItems":[{"id":"ITEM-1","itemData":{"DOI":"10.1186/s13063-016-1555-2","ISSN":"1745-6215","PMID":"27618914","abstract":"In cooperation with the Core Outcome Measures in Effectiveness Trials (COMET) initiative, the COnsensus-based Standards for the selection of health Measurement INstruments (COSMIN) initiative aimed to develop a guideline on how to select outcome measurement instruments for outcomes (i.e., constructs or domains) included in a “Core Outcome Set” (COS). A COS is an agreed minimum set of outcomes that should be measured and reported in all clinical trials of a specific disease or trial population. Informed by a literature review to identify potentially relevant tasks on outcome measurement instrument selection, a Delphi study was performed among a panel of international experts, representing diverse stakeholders. In three consecutive rounds, panelists were asked to rate the importance of different tasks in the selection of outcome measurement instruments, to justify their choices, and to add other relevant tasks. Consensus was defined as being achieved when 70 % or more of the panelists agreed and when fewer than 15 % of the panelists disagreed. Of the 481 invited experts, 120 agreed to participate of whom 95 (79 %) completed the first Delphi questionnaire. We reached consensus on four main steps in the selection of outcome measurement instruments for COS: Step 1, conceptual considerations; Step 2, finding existing outcome measurement instruments, by means of a systematic review and/or a literature search; Step 3, quality assessment of outcome measurement instruments, by means of the evaluation of the measurement properties and feasibility aspects of outcome measurement instruments; and Step 4, generic recommendations on the selection of outcome measurement instruments for outcomes included in a COS (consensus ranged from 70 to 99 %). This study resulted in a consensus-based guideline on the methods for selecting outcome measurement instruments for outcomes included in a COS. This guideline can be used by COS developers in defining how to measure core outcomes.","author":[{"dropping-particle":"","family":"Prinsen","given":"Cecilia A. C.","non-dropping-particle":"","parse-names":false,"suffix":""},{"dropping-particle":"","family":"Vohra","given":"Sunita","non-dropping-particle":"","parse-names":false,"suffix":""},{"dropping-particle":"","family":"Rose","given":"Michael R.","non-dropping-particle":"","parse-names":false,"suffix":""},{"dropping-particle":"","family":"Boers","given":"Maarten","non-dropping-particle":"","parse-names":false,"suffix":""},{"dropping-particle":"","family":"Tugwell","given":"Peter","non-dropping-particle":"","parse-names":false,"suffix":""},{"dropping-particle":"","family":"Clarke","given":"Mike","non-dropping-particle":"","parse-names":false,"suffix":""},{"dropping-particle":"","family":"Williamson","given":"Paula R.","non-dropping-particle":"","parse-names":false,"suffix":""},{"dropping-particle":"","family":"Terwee","given":"Caroline B.","non-dropping-particle":"","parse-names":false,"suffix":""},{"dropping-particle":"","family":"Chalmers","given":"I","non-dropping-particle":"","parse-names":false,"suffix":""},{"dropping-particle":"","family":"Glasziou","given":"P","non-dropping-particle":"","parse-names":false,"suffix":""},{"dropping-particle":"","family":"Williamson","given":"PR","non-dropping-particle":"","parse-names":false,"suffix":""},{"dropping-particle":"","family":"Altman","given":"DG","non-dropping-particle":"","parse-names":false,"suffix":""},{"dropping-particle":"","family":"Blazeby","given":"JM","non-dropping-particle":"","parse-names":false,"suffix":""},{"dropping-particle":"","family":"Clarke","given":"M","non-dropping-particle":"","parse-names":false,"suffix":""},{"dropping-particle":"","family":"Devane","given":"D","non-dropping-particle":"","parse-names":false,"suffix":""},{"dropping-particle":"","family":"Gargon","given":"E","non-dropping-particle":"","parse-names":false,"suffix":""},{"dropping-particle":"","family":"Mokkink","given":"LB","non-dropping-particle":"","parse-names":false,"suffix":""},{"dropping-particle":"","family":"Terwee","given":"CB","non-dropping-particle":"","parse-names":false,"suffix":""},{"dropping-particle":"","family":"Patrick","given":"DL","non-dropping-particle":"","parse-names":false,"suffix":""},{"dropping-particle":"","family":"Alonso","given":"J","non-dropping-particle":"","parse-names":false,"suffix":""},{"dropping-particle":"","family":"Stratford","given":"PW","non-dropping-particle":"","parse-names":false,"suffix":""},{"dropping-particle":"","family":"Knol","given":"DL","non-dropping-particle":"","parse-names":false,"suffix":""},{"dropping-particle":"","family":"Clarke","given":"M","non-dropping-particle":"","parse-names":false,"suffix":""},{"dropping-particle":"","family":"Schmitt","given":"J","non-dropping-particle":"","parse-names":false,"suffix":""},{"dropping-particle":"","family":"Apfelbacher","given":"C","non-dropping-particle":"","parse-names":false,"suffix":""},{"dropping-particle":"","family":"Spuls","given":"PI","non-dropping-particle":"","parse-names":false,"suffix":""},{"dropping-particle":"","family":"Thomas","given":"KS","non-dropping-particle":"","parse-names":false,"suffix":""},{"dropping-particle":"","family":"Simpson","given":"EL","non-dropping-particle":"","parse-names":false,"suffix":""},{"dropping-particle":"","family":"Furue","given":"M","non-dropping-particle":"","parse-names":false,"suffix":""},{"dropping-particle":"","family":"Prinsen","given":"CAC","non-dropping-particle":"","parse-names":false,"suffix":""},{"dropping-particle":"","family":"Vohra","given":"S","non-dropping-particle":"","parse-names":false,"suffix":""},{"dropping-particle":"","family":"Rose","given":"MR","non-dropping-particle":"","parse-names":false,"suffix":""},{"dropping-particle":"","family":"King-Jones","given":"S","non-dropping-particle":"","parse-names":false,"suffix":""},{"dropping-particle":"","family":"Ishaque","given":"S","non-dropping-particle":"","parse-names":false,"suffix":""},{"dropping-particle":"","family":"Bhaloo","given":"Z","non-dropping-particle":"","parse-names":false,"suffix":""},{"dropping-particle":"","family":"Boers","given":"M","non-dropping-particle":"","parse-names":false,"suffix":""},{"dropping-particle":"","family":"Kirwan","given":"JR","non-dropping-particle":"","parse-names":false,"suffix":""},{"dropping-particle":"","family":"Wells","given":"GA","non-dropping-particle":"","parse-names":false,"suffix":""},{"dropping-particle":"","family":"Beaton","given":"DE","non-dropping-particle":"","parse-names":false,"suffix":""},{"dropping-particle":"","family":"Gossec","given":"L","non-dropping-particle":"","parse-names":false,"suffix":""},{"dropping-particle":"","family":"D’Agostino","given":"MA","non-dropping-particle":"","parse-names":false,"suffix":""},{"dropping-particle":"","family":"Mokkink","given":"LB","non-dropping-particle":"","parse-names":false,"suffix":""},{"dropping-particle":"","family":"Terwee","given":"CB","non-dropping-particle":"","parse-names":false,"suffix":""},{"dropping-particle":"","family":"Patrick","given":"DL","non-dropping-particle":"","parse-names":false,"suffix":""},{"dropping-particle":"","family":"Alonso","given":"J","non-dropping-particle":"","parse-names":false,"suffix":""},{"dropping-particle":"","family":"Stratford","given":"PW","non-dropping-particle":"","parse-names":false,"suffix":""},{"dropping-particle":"","family":"Knol","given":"DL","non-dropping-particle":"","parse-names":false,"suffix":""},{"dropping-particle":"","family":"Murphy","given":"MK","non-dropping-particle":"","parse-names":false,"suffix":""},{"dropping-particle":"","family":"Black","given":"NA","non-dropping-particle":"","parse-names":false,"suffix":""},{"dropping-particle":"","family":"Lamping","given":"DL","non-dropping-particle":"","parse-names":false,"suffix":""},{"dropping-particle":"","family":"McKee","given":"CM","non-dropping-particle":"","parse-names":false,"suffix":""},{"dropping-particle":"","family":"Sanderson","given":"CF","non-dropping-particle":"","parse-names":false,"suffix":""},{"dropping-particle":"","family":"Askham","given":"J","non-dropping-particle":"","parse-names":false,"suffix":""},{"dropping-particle":"","family":"Chiarotto","given":"A","non-dropping-particle":"","parse-names":false,"suffix":""},{"dropping-particle":"","family":"Deyo","given":"RA","non-dropping-particle":"","parse-names":false,"suffix":""},{"dropping-particle":"","family":"Terwee","given":"CB","non-dropping-particle":"","parse-names":false,"suffix":""},{"dropping-particle":"","family":"Boers","given":"M","non-dropping-particle":"","parse-names":false,"suffix":""},{"dropping-particle":"","family":"Buchbinder","given":"R","non-dropping-particle":"","parse-names":false,"suffix":""},{"dropping-particle":"","family":"Corbin","given":"TP","non-dropping-particle":"","parse-names":false,"suffix":""},{"dropping-particle":"","family":"Verhagen","given":"AP","non-dropping-particle":"","parse-names":false,"suffix":""},{"dropping-particle":"","family":"Vet","given":"HC","non-dropping-particle":"","parse-names":false,"suffix":""},{"dropping-particle":"","family":"Bie","given":"RA","non-dropping-particle":"","parse-names":false,"suffix":""},{"dropping-particle":"","family":"Kessels","given":"AG","non-dropping-particle":"","parse-names":false,"suffix":""},{"dropping-particle":"","family":"Boers","given":"M","non-dropping-particle":"","parse-names":false,"suffix":""},{"dropping-particle":"","family":"Bouter","given":"LM","non-dropping-particle":"","parse-names":false,"suffix":""},{"dropping-particle":"","family":"Jones","given":"J","non-dropping-particle":"","parse-names":false,"suffix":""},{"dropping-particle":"","family":"Hunter","given":"D","non-dropping-particle":"","parse-names":false,"suffix":""},{"dropping-particle":"","family":"Terwee","given":"CB","non-dropping-particle":"","parse-names":false,"suffix":""},{"dropping-particle":"","family":"Bot","given":"SD","non-dropping-particle":"","parse-names":false,"suffix":""},{"dropping-particle":"","family":"Boer","given":"MR","non-dropping-particle":"","parse-names":false,"suffix":""},{"dropping-particle":"","family":"Windt","given":"DA","non-dropping-particle":"","parse-names":false,"suffix":""},{"dropping-particle":"","family":"Knol","given":"DL","non-dropping-particle":"","parse-names":false,"suffix":""},{"dropping-particle":"","family":"Dekker","given":"J","non-dropping-particle":"","parse-names":false,"suffix":""},{"dropping-particle":"","family":"Gargon","given":"E","non-dropping-particle":"","parse-names":false,"suffix":""},{"dropping-particle":"","family":"Gurung","given":"B","non-dropping-particle":"","parse-names":false,"suffix":""},{"dropping-particle":"","family":"Medley","given":"N","non-dropping-particle":"","parse-names":false,"suffix":""},{"dropping-particle":"","family":"Altman","given":"DG","non-dropping-particle":"","parse-names":false,"suffix":""},{"dropping-particle":"","family":"Blazeby","given":"JM","non-dropping-particle":"","parse-names":false,"suffix":""},{"dropping-particle":"","family":"Clarke","given":"M","non-dropping-particle":"","parse-names":false,"suffix":""}],"container-title":"Trials","id":"ITEM-1","issue":"1","issued":{"date-parts":[["2016"]]},"page":"449","publisher":"Trials","title":"How to select outcome measurement instruments for outcomes included in a “Core Outcome Set” – a practical guideline","type":"article-journal","volume":"17"},"uris":["http://www.mendeley.com/documents/?uuid=38c0ba24-ed3e-4cee-8309-c032b7f49027"]}],"mendeley":{"formattedCitation":"{12}","plainTextFormattedCitation":"{12}","previouslyFormattedCitation":"{12}"},"properties":{"noteIndex":0},"schema":"https://github.com/citation-style-language/schema/raw/master/csl-citation.json"}</w:instrText>
      </w:r>
      <w:r w:rsidR="004A47C6" w:rsidRPr="002E483E">
        <w:rPr>
          <w:rFonts w:ascii="Arial" w:hAnsi="Arial"/>
        </w:rPr>
        <w:fldChar w:fldCharType="separate"/>
      </w:r>
      <w:r w:rsidR="0028131B" w:rsidRPr="0028131B">
        <w:rPr>
          <w:rFonts w:ascii="Arial" w:hAnsi="Arial"/>
          <w:noProof/>
        </w:rPr>
        <w:t>{12}</w:t>
      </w:r>
      <w:r w:rsidR="004A47C6" w:rsidRPr="002E483E">
        <w:rPr>
          <w:rFonts w:ascii="Arial" w:hAnsi="Arial"/>
        </w:rPr>
        <w:fldChar w:fldCharType="end"/>
      </w:r>
      <w:r w:rsidR="004A47C6" w:rsidRPr="002E483E">
        <w:rPr>
          <w:rFonts w:ascii="Arial" w:hAnsi="Arial"/>
        </w:rPr>
        <w:fldChar w:fldCharType="begin" w:fldLock="1"/>
      </w:r>
      <w:r w:rsidR="00763A14">
        <w:rPr>
          <w:rFonts w:ascii="Arial" w:hAnsi="Arial"/>
        </w:rPr>
        <w:instrText>ADDIN CSL_CITATION {"citationItems":[{"id":"ITEM-1","itemData":{"DOI":"10.1186/s13063-017-1978-4","ISSN":"17456215","abstract":"The selection of appropriate outcomes is crucial when designing clinical trials in order to compare the effects of different interventions directly. For the findings to influence policy and practice, the outcomes need to be relevant and important to key stakeholders including patients and the public, health care professionals and others making decisions about health care. It is now widely acknowledged that insufficient attention has been paid to the choice of outcomes measured in clinical trials. Researchers are increasingly addressing this issue through the development and use of a core outcome set, an agreed standardised collection of outcomes which should be measured and reported, as a minimum, in all trials for a specific clinical area. Accumulating work in this area has identified the need for guidance on the development, implementation, evaluation and updating of core outcome sets. This Handbook, developed by the COMET Initiative, brings together current thinking and methodological research regarding those issues. We recommend a four-step process to develop a core outcome set. The aim is to update the contents of the Handbook as further research is identified.","author":[{"dropping-particle":"","family":"Williamson","given":"Paula R.","non-dropping-particle":"","parse-names":false,"suffix":""},{"dropping-particle":"","family":"Altman","given":"Douglas G.","non-dropping-particle":"","parse-names":false,"suffix":""},{"dropping-particle":"","family":"Bagley","given":"Heather","non-dropping-particle":"","parse-names":false,"suffix":""},{"dropping-particle":"","family":"Barnes","given":"Karen L.","non-dropping-particle":"","parse-names":false,"suffix":""},{"dropping-particle":"","family":"Blazeby","given":"Jane M.","non-dropping-particle":"","parse-names":false,"suffix":""},{"dropping-particle":"","family":"Brookes","given":"Sara T.","non-dropping-particle":"","parse-names":false,"suffix":""},{"dropping-particle":"","family":"Clarke","given":"Mike","non-dropping-particle":"","parse-names":false,"suffix":""},{"dropping-particle":"","family":"Gargon","given":"Elizabeth","non-dropping-particle":"","parse-names":false,"suffix":""},{"dropping-particle":"","family":"Gorst","given":"Sarah","non-dropping-particle":"","parse-names":false,"suffix":""},{"dropping-particle":"","family":"Harman","given":"Nicola","non-dropping-particle":"","parse-names":false,"suffix":""},{"dropping-particle":"","family":"Kirkham","given":"Jamie J.","non-dropping-particle":"","parse-names":false,"suffix":""},{"dropping-particle":"","family":"McNair","given":"Angus","non-dropping-particle":"","parse-names":false,"suffix":""},{"dropping-particle":"","family":"Prinsen","given":"Cecilia A.C.","non-dropping-particle":"","parse-names":false,"suffix":""},{"dropping-particle":"","family":"Schmitt","given":"Jochen","non-dropping-particle":"","parse-names":false,"suffix":""},{"dropping-particle":"","family":"Terwee","given":"Caroline B.","non-dropping-particle":"","parse-names":false,"suffix":""},{"dropping-particle":"","family":"Young","given":"Bridget","non-dropping-particle":"","parse-names":false,"suffix":""}],"container-title":"Trials","id":"ITEM-1","issue":"280","issued":{"date-parts":[["2017"]]},"title":"The COMET Handbook: Version 1.0","type":"article-journal","volume":"18"},"uris":["http://www.mendeley.com/documents/?uuid=601baeac-f8e2-47ae-913a-0f071d336655"]}],"mendeley":{"formattedCitation":"{13}","plainTextFormattedCitation":"{13}","previouslyFormattedCitation":"{13}"},"properties":{"noteIndex":0},"schema":"https://github.com/citation-style-language/schema/raw/master/csl-citation.json"}</w:instrText>
      </w:r>
      <w:r w:rsidR="004A47C6" w:rsidRPr="002E483E">
        <w:rPr>
          <w:rFonts w:ascii="Arial" w:hAnsi="Arial"/>
        </w:rPr>
        <w:fldChar w:fldCharType="separate"/>
      </w:r>
      <w:r w:rsidR="0028131B" w:rsidRPr="0028131B">
        <w:rPr>
          <w:rFonts w:ascii="Arial" w:hAnsi="Arial"/>
          <w:noProof/>
        </w:rPr>
        <w:t>{13}</w:t>
      </w:r>
      <w:r w:rsidR="004A47C6" w:rsidRPr="002E483E">
        <w:rPr>
          <w:rFonts w:ascii="Arial" w:hAnsi="Arial"/>
        </w:rPr>
        <w:fldChar w:fldCharType="end"/>
      </w:r>
      <w:r w:rsidR="005A5ED7">
        <w:rPr>
          <w:rFonts w:ascii="Arial" w:hAnsi="Arial"/>
        </w:rPr>
        <w:fldChar w:fldCharType="begin" w:fldLock="1"/>
      </w:r>
      <w:r w:rsidR="00763A14">
        <w:rPr>
          <w:rFonts w:ascii="Arial" w:hAnsi="Arial"/>
        </w:rPr>
        <w:instrText>ADDIN CSL_CITATION {"citationItems":[{"id":"ITEM-1","itemData":{"author":[{"dropping-particle":"","family":"COMET_database","given":"","non-dropping-particle":"","parse-names":false,"suffix":""}],"id":"ITEM-1","issued":{"date-parts":[["0"]]},"title":"COMET website","type":"webpage"},"uris":["http://www.mendeley.com/documents/?uuid=f6d26749-3881-444b-9d94-4d49f761d2d4"]}],"mendeley":{"formattedCitation":"{14}","plainTextFormattedCitation":"{14}","previouslyFormattedCitation":"{14}"},"properties":{"noteIndex":0},"schema":"https://github.com/citation-style-language/schema/raw/master/csl-citation.json"}</w:instrText>
      </w:r>
      <w:r w:rsidR="005A5ED7">
        <w:rPr>
          <w:rFonts w:ascii="Arial" w:hAnsi="Arial"/>
        </w:rPr>
        <w:fldChar w:fldCharType="separate"/>
      </w:r>
      <w:r w:rsidR="0028131B" w:rsidRPr="0028131B">
        <w:rPr>
          <w:rFonts w:ascii="Arial" w:hAnsi="Arial"/>
          <w:noProof/>
        </w:rPr>
        <w:t>{14}</w:t>
      </w:r>
      <w:r w:rsidR="005A5ED7">
        <w:rPr>
          <w:rFonts w:ascii="Arial" w:hAnsi="Arial"/>
        </w:rPr>
        <w:fldChar w:fldCharType="end"/>
      </w:r>
      <w:r w:rsidR="00296567" w:rsidRPr="002E483E">
        <w:rPr>
          <w:rFonts w:ascii="Arial" w:hAnsi="Arial"/>
        </w:rPr>
        <w:t>.</w:t>
      </w:r>
      <w:r w:rsidR="00703091" w:rsidRPr="002E483E">
        <w:rPr>
          <w:rFonts w:ascii="Arial" w:hAnsi="Arial"/>
        </w:rPr>
        <w:t xml:space="preserve"> </w:t>
      </w:r>
      <w:r w:rsidR="00F25FF1" w:rsidRPr="002E483E">
        <w:rPr>
          <w:rFonts w:ascii="Arial" w:hAnsi="Arial"/>
        </w:rPr>
        <w:t xml:space="preserve">In the USA there is a similar </w:t>
      </w:r>
      <w:r w:rsidR="00703091" w:rsidRPr="002E483E">
        <w:rPr>
          <w:rFonts w:ascii="Arial" w:hAnsi="Arial"/>
        </w:rPr>
        <w:t xml:space="preserve">initiative </w:t>
      </w:r>
      <w:r w:rsidR="00296567" w:rsidRPr="002E483E">
        <w:rPr>
          <w:rFonts w:ascii="Arial" w:hAnsi="Arial"/>
        </w:rPr>
        <w:t>focusing on</w:t>
      </w:r>
      <w:r w:rsidR="00F25FF1" w:rsidRPr="002E483E">
        <w:rPr>
          <w:rFonts w:ascii="Arial" w:hAnsi="Arial"/>
        </w:rPr>
        <w:t xml:space="preserve"> the development of a </w:t>
      </w:r>
      <w:r w:rsidR="00CA2E9D">
        <w:rPr>
          <w:rFonts w:ascii="Arial" w:hAnsi="Arial"/>
        </w:rPr>
        <w:t>Common</w:t>
      </w:r>
      <w:r w:rsidR="00F25FF1" w:rsidRPr="002E483E">
        <w:rPr>
          <w:rFonts w:ascii="Arial" w:hAnsi="Arial"/>
        </w:rPr>
        <w:t xml:space="preserve"> </w:t>
      </w:r>
      <w:r w:rsidR="00FE011F">
        <w:rPr>
          <w:rFonts w:ascii="Arial" w:hAnsi="Arial"/>
        </w:rPr>
        <w:t>Data</w:t>
      </w:r>
      <w:r w:rsidR="00FE011F" w:rsidRPr="002E483E">
        <w:rPr>
          <w:rFonts w:ascii="Arial" w:hAnsi="Arial"/>
        </w:rPr>
        <w:t xml:space="preserve"> </w:t>
      </w:r>
      <w:r w:rsidR="00FE011F">
        <w:rPr>
          <w:rFonts w:ascii="Arial" w:hAnsi="Arial"/>
        </w:rPr>
        <w:t xml:space="preserve">Element </w:t>
      </w:r>
      <w:r w:rsidR="007E538D">
        <w:rPr>
          <w:rFonts w:ascii="Arial" w:hAnsi="Arial"/>
        </w:rPr>
        <w:t>(CDE)</w:t>
      </w:r>
      <w:r w:rsidR="00003472" w:rsidRPr="002E483E">
        <w:rPr>
          <w:rFonts w:ascii="Arial" w:hAnsi="Arial"/>
        </w:rPr>
        <w:t xml:space="preserve"> </w:t>
      </w:r>
      <w:r w:rsidR="007E538D">
        <w:rPr>
          <w:rFonts w:ascii="Arial" w:hAnsi="Arial"/>
        </w:rPr>
        <w:t>r</w:t>
      </w:r>
      <w:r w:rsidR="00F25FF1" w:rsidRPr="002E483E">
        <w:rPr>
          <w:rFonts w:ascii="Arial" w:hAnsi="Arial"/>
        </w:rPr>
        <w:t xml:space="preserve">esource </w:t>
      </w:r>
      <w:r w:rsidR="007E538D">
        <w:rPr>
          <w:rFonts w:ascii="Arial" w:hAnsi="Arial"/>
        </w:rPr>
        <w:t>p</w:t>
      </w:r>
      <w:r w:rsidR="00F25FF1" w:rsidRPr="002E483E">
        <w:rPr>
          <w:rFonts w:ascii="Arial" w:hAnsi="Arial"/>
        </w:rPr>
        <w:t>ortal</w:t>
      </w:r>
      <w:r w:rsidR="0002552D">
        <w:rPr>
          <w:rFonts w:ascii="Arial" w:hAnsi="Arial"/>
        </w:rPr>
        <w:t>,</w:t>
      </w:r>
      <w:r w:rsidR="00F25FF1" w:rsidRPr="002E483E">
        <w:rPr>
          <w:rFonts w:ascii="Arial" w:hAnsi="Arial"/>
        </w:rPr>
        <w:t xml:space="preserve"> </w:t>
      </w:r>
      <w:r w:rsidRPr="00BB3085">
        <w:rPr>
          <w:rFonts w:ascii="Arial" w:hAnsi="Arial" w:cs="Arial"/>
        </w:rPr>
        <w:t>coordinated</w:t>
      </w:r>
      <w:r w:rsidR="00F25FF1" w:rsidRPr="00BB3085">
        <w:rPr>
          <w:rFonts w:ascii="Arial" w:hAnsi="Arial"/>
        </w:rPr>
        <w:t xml:space="preserve"> </w:t>
      </w:r>
      <w:r w:rsidR="00F25FF1" w:rsidRPr="002E483E">
        <w:rPr>
          <w:rFonts w:ascii="Arial" w:hAnsi="Arial"/>
        </w:rPr>
        <w:t>by the</w:t>
      </w:r>
      <w:r w:rsidR="00703091" w:rsidRPr="002E483E">
        <w:rPr>
          <w:rFonts w:ascii="Arial" w:hAnsi="Arial"/>
        </w:rPr>
        <w:t xml:space="preserve"> </w:t>
      </w:r>
      <w:r w:rsidR="00703091" w:rsidRPr="00BB3085">
        <w:rPr>
          <w:rFonts w:ascii="Arial" w:hAnsi="Arial"/>
        </w:rPr>
        <w:t xml:space="preserve">National </w:t>
      </w:r>
      <w:r w:rsidR="00DF1CD4">
        <w:rPr>
          <w:rFonts w:ascii="Arial" w:hAnsi="Arial" w:cs="Arial"/>
        </w:rPr>
        <w:t>Institute of Neurological Disorders and Stroke (NINDS</w:t>
      </w:r>
      <w:r w:rsidR="00703091" w:rsidRPr="002E483E">
        <w:rPr>
          <w:rFonts w:ascii="Arial" w:hAnsi="Arial"/>
        </w:rPr>
        <w:t>)</w:t>
      </w:r>
      <w:r w:rsidR="0002552D">
        <w:rPr>
          <w:rFonts w:ascii="Arial" w:hAnsi="Arial"/>
        </w:rPr>
        <w:fldChar w:fldCharType="begin" w:fldLock="1"/>
      </w:r>
      <w:r w:rsidR="00763A14">
        <w:rPr>
          <w:rFonts w:ascii="Arial" w:hAnsi="Arial"/>
        </w:rPr>
        <w:instrText>ADDIN CSL_CITATION {"citationItems":[{"id":"ITEM-1","itemData":{"URL":"https://commondataelements.ninds.nih.gov/ProjReview.aspx#tab=Introduction","accessed":{"date-parts":[["2019","4","1"]]},"author":[{"dropping-particle":"","family":"NIH","given":"","non-dropping-particle":"","parse-names":false,"suffix":""}],"id":"ITEM-1","issued":{"date-parts":[["0"]]},"title":"NIH Common Data Element (CDE) Resource Portal","type":"webpage"},"uris":["http://www.mendeley.com/documents/?uuid=d78601ed-fb22-43c9-a617-81f5efe61634"]}],"mendeley":{"formattedCitation":"{15}","plainTextFormattedCitation":"{15}","previouslyFormattedCitation":"{15}"},"properties":{"noteIndex":0},"schema":"https://github.com/citation-style-language/schema/raw/master/csl-citation.json"}</w:instrText>
      </w:r>
      <w:r w:rsidR="0002552D">
        <w:rPr>
          <w:rFonts w:ascii="Arial" w:hAnsi="Arial"/>
        </w:rPr>
        <w:fldChar w:fldCharType="separate"/>
      </w:r>
      <w:r w:rsidR="0028131B" w:rsidRPr="0028131B">
        <w:rPr>
          <w:rFonts w:ascii="Arial" w:hAnsi="Arial"/>
          <w:noProof/>
        </w:rPr>
        <w:t>{15}</w:t>
      </w:r>
      <w:r w:rsidR="0002552D">
        <w:rPr>
          <w:rFonts w:ascii="Arial" w:hAnsi="Arial"/>
        </w:rPr>
        <w:fldChar w:fldCharType="end"/>
      </w:r>
      <w:r w:rsidR="00EA1200">
        <w:rPr>
          <w:rFonts w:ascii="Arial" w:hAnsi="Arial"/>
        </w:rPr>
        <w:t>, addressin</w:t>
      </w:r>
      <w:r w:rsidR="00CC3511">
        <w:rPr>
          <w:rFonts w:ascii="Arial" w:hAnsi="Arial"/>
        </w:rPr>
        <w:t>g a variety of conditions such as</w:t>
      </w:r>
      <w:r w:rsidR="00EA1200">
        <w:rPr>
          <w:rFonts w:ascii="Arial" w:hAnsi="Arial"/>
        </w:rPr>
        <w:t xml:space="preserve"> epilep</w:t>
      </w:r>
      <w:r w:rsidR="00CC3511">
        <w:rPr>
          <w:rFonts w:ascii="Arial" w:hAnsi="Arial"/>
        </w:rPr>
        <w:t>sy and traumatic brain injury</w:t>
      </w:r>
      <w:r w:rsidR="0002552D">
        <w:rPr>
          <w:rFonts w:ascii="Arial" w:hAnsi="Arial"/>
        </w:rPr>
        <w:t>.</w:t>
      </w:r>
      <w:r w:rsidR="00BB37A3" w:rsidRPr="002E483E">
        <w:rPr>
          <w:rFonts w:ascii="Arial" w:hAnsi="Arial"/>
        </w:rPr>
        <w:t xml:space="preserve"> </w:t>
      </w:r>
    </w:p>
    <w:p w14:paraId="4FB10428" w14:textId="1AAB90AE" w:rsidR="00D846AF" w:rsidRPr="002E483E" w:rsidRDefault="00EA1200" w:rsidP="00074D34">
      <w:pPr>
        <w:widowControl w:val="0"/>
        <w:autoSpaceDE w:val="0"/>
        <w:autoSpaceDN w:val="0"/>
        <w:adjustRightInd w:val="0"/>
        <w:spacing w:line="480" w:lineRule="auto"/>
        <w:ind w:firstLine="720"/>
        <w:jc w:val="both"/>
        <w:rPr>
          <w:rFonts w:ascii="Arial" w:hAnsi="Arial"/>
        </w:rPr>
      </w:pPr>
      <w:r>
        <w:rPr>
          <w:rFonts w:ascii="Arial" w:hAnsi="Arial"/>
        </w:rPr>
        <w:t>T</w:t>
      </w:r>
      <w:r w:rsidR="007638EB" w:rsidRPr="002E483E">
        <w:rPr>
          <w:rFonts w:ascii="Arial" w:hAnsi="Arial"/>
        </w:rPr>
        <w:t>hese i</w:t>
      </w:r>
      <w:r w:rsidR="00D846AF" w:rsidRPr="002E483E">
        <w:rPr>
          <w:rFonts w:ascii="Arial" w:hAnsi="Arial"/>
        </w:rPr>
        <w:t>nitia</w:t>
      </w:r>
      <w:r w:rsidR="00873588" w:rsidRPr="002E483E">
        <w:rPr>
          <w:rFonts w:ascii="Arial" w:hAnsi="Arial"/>
        </w:rPr>
        <w:t>tives have included work on some</w:t>
      </w:r>
      <w:r w:rsidR="00761267" w:rsidRPr="002E483E">
        <w:rPr>
          <w:rFonts w:ascii="Arial" w:hAnsi="Arial"/>
        </w:rPr>
        <w:t xml:space="preserve"> </w:t>
      </w:r>
      <w:r w:rsidR="0021190C">
        <w:rPr>
          <w:rFonts w:ascii="Arial" w:hAnsi="Arial" w:cs="Arial"/>
        </w:rPr>
        <w:t>neurological</w:t>
      </w:r>
      <w:r w:rsidR="00761267" w:rsidRPr="002E483E">
        <w:rPr>
          <w:rFonts w:ascii="Arial" w:hAnsi="Arial" w:cs="Arial"/>
        </w:rPr>
        <w:t xml:space="preserve"> </w:t>
      </w:r>
      <w:r w:rsidR="00B640E4">
        <w:rPr>
          <w:rFonts w:ascii="Arial" w:hAnsi="Arial" w:cs="Arial"/>
        </w:rPr>
        <w:t>conditions</w:t>
      </w:r>
      <w:r w:rsidR="00D37F5E" w:rsidRPr="002E483E">
        <w:rPr>
          <w:rFonts w:ascii="Arial" w:hAnsi="Arial"/>
        </w:rPr>
        <w:t xml:space="preserve">, </w:t>
      </w:r>
      <w:r>
        <w:rPr>
          <w:rFonts w:ascii="Arial" w:hAnsi="Arial"/>
        </w:rPr>
        <w:t>however</w:t>
      </w:r>
      <w:r w:rsidR="00D37F5E" w:rsidRPr="002E483E">
        <w:rPr>
          <w:rFonts w:ascii="Arial" w:hAnsi="Arial"/>
        </w:rPr>
        <w:t xml:space="preserve">, </w:t>
      </w:r>
      <w:r w:rsidR="00296567" w:rsidRPr="002E483E">
        <w:rPr>
          <w:rFonts w:ascii="Arial" w:hAnsi="Arial"/>
        </w:rPr>
        <w:t xml:space="preserve">there has </w:t>
      </w:r>
      <w:r w:rsidR="007638EB" w:rsidRPr="002E483E">
        <w:rPr>
          <w:rFonts w:ascii="Arial" w:hAnsi="Arial"/>
        </w:rPr>
        <w:t>been no</w:t>
      </w:r>
      <w:r w:rsidR="00942DDD" w:rsidRPr="002E483E">
        <w:rPr>
          <w:rFonts w:ascii="Arial" w:hAnsi="Arial"/>
        </w:rPr>
        <w:t xml:space="preserve"> </w:t>
      </w:r>
      <w:r w:rsidR="001803E7" w:rsidRPr="002E483E">
        <w:rPr>
          <w:rFonts w:ascii="Arial" w:hAnsi="Arial"/>
        </w:rPr>
        <w:t xml:space="preserve">specific focus </w:t>
      </w:r>
      <w:r w:rsidR="001803E7" w:rsidRPr="002E483E">
        <w:rPr>
          <w:rFonts w:ascii="Arial" w:hAnsi="Arial" w:cs="Arial"/>
        </w:rPr>
        <w:t>on</w:t>
      </w:r>
      <w:r w:rsidR="007638EB" w:rsidRPr="002E483E">
        <w:rPr>
          <w:rFonts w:ascii="Arial" w:hAnsi="Arial"/>
        </w:rPr>
        <w:t xml:space="preserve"> </w:t>
      </w:r>
      <w:r w:rsidR="0002552D">
        <w:rPr>
          <w:rFonts w:ascii="Arial" w:hAnsi="Arial"/>
        </w:rPr>
        <w:t>FND, stimulating</w:t>
      </w:r>
      <w:r w:rsidR="00296567" w:rsidRPr="002E483E">
        <w:rPr>
          <w:rFonts w:ascii="Arial" w:hAnsi="Arial"/>
        </w:rPr>
        <w:t xml:space="preserve"> the</w:t>
      </w:r>
      <w:r w:rsidR="002E483E">
        <w:rPr>
          <w:rFonts w:ascii="Arial" w:hAnsi="Arial"/>
        </w:rPr>
        <w:t xml:space="preserve"> establishment</w:t>
      </w:r>
      <w:r w:rsidR="00296567" w:rsidRPr="002E483E">
        <w:rPr>
          <w:rFonts w:ascii="Arial" w:hAnsi="Arial"/>
        </w:rPr>
        <w:t xml:space="preserve"> of </w:t>
      </w:r>
      <w:r w:rsidR="00D846AF" w:rsidRPr="002E483E">
        <w:rPr>
          <w:rFonts w:ascii="Arial" w:hAnsi="Arial"/>
        </w:rPr>
        <w:t xml:space="preserve">the </w:t>
      </w:r>
      <w:r w:rsidR="00296567" w:rsidRPr="002E483E">
        <w:rPr>
          <w:rFonts w:ascii="Arial" w:hAnsi="Arial"/>
        </w:rPr>
        <w:t>FND-COM</w:t>
      </w:r>
      <w:r w:rsidR="007638EB" w:rsidRPr="002E483E">
        <w:rPr>
          <w:rFonts w:ascii="Arial" w:hAnsi="Arial"/>
        </w:rPr>
        <w:t xml:space="preserve"> (</w:t>
      </w:r>
      <w:r w:rsidR="00D846AF" w:rsidRPr="002E483E">
        <w:rPr>
          <w:rFonts w:ascii="Arial" w:hAnsi="Arial"/>
        </w:rPr>
        <w:t xml:space="preserve">FND </w:t>
      </w:r>
      <w:r w:rsidR="007638EB" w:rsidRPr="002E483E">
        <w:rPr>
          <w:rFonts w:ascii="Arial" w:hAnsi="Arial"/>
        </w:rPr>
        <w:t>Core Outcome Measure) group within the COMET framework</w:t>
      </w:r>
      <w:r w:rsidR="0002552D">
        <w:rPr>
          <w:rFonts w:ascii="Arial" w:hAnsi="Arial"/>
        </w:rPr>
        <w:fldChar w:fldCharType="begin" w:fldLock="1"/>
      </w:r>
      <w:r w:rsidR="00763A14">
        <w:rPr>
          <w:rFonts w:ascii="Arial" w:hAnsi="Arial"/>
        </w:rPr>
        <w:instrText>ADDIN CSL_CITATION {"citationItems":[{"id":"ITEM-1","itemData":{"URL":"http://www.comet-initiative.org/studies/details/951?result=true","author":[{"dropping-particle":"","family":"Nicholson","given":"Timothy R J","non-dropping-particle":"","parse-names":false,"suffix":""}],"id":"ITEM-1","issued":{"date-parts":[["2017"]]},"title":"FND-COM COMET initiative","type":"webpage"},"uris":["http://www.mendeley.com/documents/?uuid=f4d365dc-e030-45ed-91d5-009e9611344f"]}],"mendeley":{"formattedCitation":"{16}","plainTextFormattedCitation":"{16}","previouslyFormattedCitation":"{16}"},"properties":{"noteIndex":0},"schema":"https://github.com/citation-style-language/schema/raw/master/csl-citation.json"}</w:instrText>
      </w:r>
      <w:r w:rsidR="0002552D">
        <w:rPr>
          <w:rFonts w:ascii="Arial" w:hAnsi="Arial"/>
        </w:rPr>
        <w:fldChar w:fldCharType="separate"/>
      </w:r>
      <w:r w:rsidR="0028131B" w:rsidRPr="0028131B">
        <w:rPr>
          <w:rFonts w:ascii="Arial" w:hAnsi="Arial"/>
          <w:noProof/>
        </w:rPr>
        <w:t>{16}</w:t>
      </w:r>
      <w:r w:rsidR="0002552D">
        <w:rPr>
          <w:rFonts w:ascii="Arial" w:hAnsi="Arial"/>
        </w:rPr>
        <w:fldChar w:fldCharType="end"/>
      </w:r>
      <w:r w:rsidR="0002552D">
        <w:rPr>
          <w:rFonts w:ascii="Arial" w:hAnsi="Arial"/>
        </w:rPr>
        <w:t>.</w:t>
      </w:r>
      <w:r w:rsidR="00296567" w:rsidRPr="002E483E">
        <w:rPr>
          <w:rFonts w:ascii="Arial" w:hAnsi="Arial"/>
        </w:rPr>
        <w:t xml:space="preserve"> </w:t>
      </w:r>
      <w:r w:rsidR="00D846AF" w:rsidRPr="002E483E">
        <w:rPr>
          <w:rFonts w:ascii="Arial" w:hAnsi="Arial"/>
        </w:rPr>
        <w:t xml:space="preserve">The </w:t>
      </w:r>
      <w:r>
        <w:rPr>
          <w:rFonts w:ascii="Arial" w:hAnsi="Arial"/>
        </w:rPr>
        <w:t>FND-COM</w:t>
      </w:r>
      <w:r w:rsidR="00D846AF" w:rsidRPr="002E483E">
        <w:rPr>
          <w:rFonts w:ascii="Arial" w:hAnsi="Arial"/>
        </w:rPr>
        <w:t xml:space="preserve"> group</w:t>
      </w:r>
      <w:r w:rsidR="00296567" w:rsidRPr="002E483E">
        <w:rPr>
          <w:rFonts w:ascii="Arial" w:hAnsi="Arial"/>
        </w:rPr>
        <w:t xml:space="preserve"> now has</w:t>
      </w:r>
      <w:r w:rsidR="00D17300" w:rsidRPr="002E483E">
        <w:rPr>
          <w:rFonts w:ascii="Arial" w:hAnsi="Arial"/>
        </w:rPr>
        <w:t xml:space="preserve"> </w:t>
      </w:r>
      <w:r w:rsidR="00296567" w:rsidRPr="002E483E">
        <w:rPr>
          <w:rFonts w:ascii="Arial" w:hAnsi="Arial"/>
        </w:rPr>
        <w:t>4</w:t>
      </w:r>
      <w:r w:rsidR="006C346F">
        <w:rPr>
          <w:rFonts w:ascii="Arial" w:hAnsi="Arial"/>
        </w:rPr>
        <w:t>5</w:t>
      </w:r>
      <w:r w:rsidR="00296567" w:rsidRPr="002E483E">
        <w:rPr>
          <w:rFonts w:ascii="Arial" w:hAnsi="Arial"/>
        </w:rPr>
        <w:t xml:space="preserve"> members</w:t>
      </w:r>
      <w:r w:rsidR="00D17300" w:rsidRPr="002E483E">
        <w:rPr>
          <w:rFonts w:ascii="Arial" w:hAnsi="Arial"/>
        </w:rPr>
        <w:t xml:space="preserve"> from </w:t>
      </w:r>
      <w:r w:rsidR="00955E18">
        <w:rPr>
          <w:rFonts w:ascii="Arial" w:hAnsi="Arial"/>
        </w:rPr>
        <w:t>13 countries</w:t>
      </w:r>
      <w:r w:rsidR="00D17300" w:rsidRPr="002E483E">
        <w:rPr>
          <w:rFonts w:ascii="Arial" w:hAnsi="Arial"/>
        </w:rPr>
        <w:t xml:space="preserve"> </w:t>
      </w:r>
      <w:r w:rsidR="00955E18">
        <w:rPr>
          <w:rFonts w:ascii="Arial" w:hAnsi="Arial"/>
        </w:rPr>
        <w:t xml:space="preserve">and </w:t>
      </w:r>
      <w:r w:rsidR="008D3990">
        <w:rPr>
          <w:rFonts w:ascii="Arial" w:hAnsi="Arial"/>
        </w:rPr>
        <w:t>includes</w:t>
      </w:r>
      <w:r w:rsidR="00D17300" w:rsidRPr="002E483E">
        <w:rPr>
          <w:rFonts w:ascii="Arial" w:hAnsi="Arial"/>
        </w:rPr>
        <w:t xml:space="preserve"> the full range of relevant </w:t>
      </w:r>
      <w:r w:rsidR="001803E7" w:rsidRPr="002E483E">
        <w:rPr>
          <w:rFonts w:ascii="Arial" w:hAnsi="Arial" w:cs="Arial"/>
        </w:rPr>
        <w:t>clinical</w:t>
      </w:r>
      <w:r w:rsidR="00D17300" w:rsidRPr="002E483E">
        <w:rPr>
          <w:rFonts w:ascii="Arial" w:hAnsi="Arial"/>
        </w:rPr>
        <w:t xml:space="preserve"> and academic </w:t>
      </w:r>
      <w:r w:rsidR="001803E7" w:rsidRPr="002E483E">
        <w:rPr>
          <w:rFonts w:ascii="Arial" w:hAnsi="Arial" w:cs="Arial"/>
        </w:rPr>
        <w:t>disciplines</w:t>
      </w:r>
      <w:r w:rsidR="00D17300" w:rsidRPr="002E483E">
        <w:rPr>
          <w:rFonts w:ascii="Arial" w:hAnsi="Arial"/>
        </w:rPr>
        <w:t xml:space="preserve"> </w:t>
      </w:r>
      <w:r w:rsidR="00CC3511">
        <w:rPr>
          <w:rFonts w:ascii="Arial" w:hAnsi="Arial"/>
        </w:rPr>
        <w:t xml:space="preserve">as well as </w:t>
      </w:r>
      <w:r w:rsidR="00D17300" w:rsidRPr="002E483E">
        <w:rPr>
          <w:rFonts w:ascii="Arial" w:hAnsi="Arial"/>
        </w:rPr>
        <w:t xml:space="preserve">patient </w:t>
      </w:r>
      <w:r w:rsidR="00CC3511">
        <w:rPr>
          <w:rFonts w:ascii="Arial" w:hAnsi="Arial"/>
        </w:rPr>
        <w:t xml:space="preserve">group </w:t>
      </w:r>
      <w:r w:rsidR="00D17300" w:rsidRPr="002E483E">
        <w:rPr>
          <w:rFonts w:ascii="Arial" w:hAnsi="Arial"/>
        </w:rPr>
        <w:t>representation</w:t>
      </w:r>
      <w:r w:rsidR="001803E7" w:rsidRPr="002E483E">
        <w:rPr>
          <w:rFonts w:ascii="Arial" w:hAnsi="Arial"/>
        </w:rPr>
        <w:t>. Following</w:t>
      </w:r>
      <w:r w:rsidR="001803E7" w:rsidRPr="002E483E">
        <w:rPr>
          <w:rFonts w:ascii="Arial" w:hAnsi="Arial" w:cs="Arial"/>
        </w:rPr>
        <w:t xml:space="preserve"> </w:t>
      </w:r>
      <w:r w:rsidR="00296567" w:rsidRPr="002E483E">
        <w:rPr>
          <w:rFonts w:ascii="Arial" w:hAnsi="Arial"/>
        </w:rPr>
        <w:t xml:space="preserve">two international </w:t>
      </w:r>
      <w:r w:rsidR="0067012C" w:rsidRPr="002E483E">
        <w:rPr>
          <w:rFonts w:ascii="Arial" w:hAnsi="Arial"/>
        </w:rPr>
        <w:t xml:space="preserve">consensus </w:t>
      </w:r>
      <w:r w:rsidR="00296567" w:rsidRPr="002E483E">
        <w:rPr>
          <w:rFonts w:ascii="Arial" w:hAnsi="Arial"/>
        </w:rPr>
        <w:t>meetings</w:t>
      </w:r>
      <w:r w:rsidR="001803E7" w:rsidRPr="002E483E">
        <w:rPr>
          <w:rFonts w:ascii="Arial" w:hAnsi="Arial"/>
        </w:rPr>
        <w:t>, it</w:t>
      </w:r>
      <w:r w:rsidR="00B640E4">
        <w:rPr>
          <w:rFonts w:ascii="Arial" w:hAnsi="Arial" w:cs="Arial"/>
        </w:rPr>
        <w:t xml:space="preserve"> </w:t>
      </w:r>
      <w:r w:rsidR="0067012C" w:rsidRPr="002E483E">
        <w:rPr>
          <w:rFonts w:ascii="Arial" w:hAnsi="Arial" w:cs="Arial"/>
        </w:rPr>
        <w:t>bec</w:t>
      </w:r>
      <w:r w:rsidR="00B640E4">
        <w:rPr>
          <w:rFonts w:ascii="Arial" w:hAnsi="Arial" w:cs="Arial"/>
        </w:rPr>
        <w:t>a</w:t>
      </w:r>
      <w:r w:rsidR="0067012C" w:rsidRPr="002E483E">
        <w:rPr>
          <w:rFonts w:ascii="Arial" w:hAnsi="Arial" w:cs="Arial"/>
        </w:rPr>
        <w:t>me</w:t>
      </w:r>
      <w:r w:rsidR="0067012C" w:rsidRPr="002E483E">
        <w:rPr>
          <w:rFonts w:ascii="Arial" w:hAnsi="Arial"/>
        </w:rPr>
        <w:t xml:space="preserve"> clear that t</w:t>
      </w:r>
      <w:r w:rsidR="006B10BD" w:rsidRPr="002E483E">
        <w:rPr>
          <w:rFonts w:ascii="Arial" w:hAnsi="Arial"/>
        </w:rPr>
        <w:t xml:space="preserve">here </w:t>
      </w:r>
      <w:r w:rsidR="00B640E4">
        <w:rPr>
          <w:rFonts w:ascii="Arial" w:hAnsi="Arial" w:cs="Arial"/>
        </w:rPr>
        <w:t xml:space="preserve">are </w:t>
      </w:r>
      <w:r w:rsidR="006B10BD" w:rsidRPr="002E483E">
        <w:rPr>
          <w:rFonts w:ascii="Arial" w:hAnsi="Arial"/>
        </w:rPr>
        <w:t xml:space="preserve">several </w:t>
      </w:r>
      <w:r w:rsidR="00B640E4">
        <w:rPr>
          <w:rFonts w:ascii="Arial" w:hAnsi="Arial" w:cs="Arial"/>
        </w:rPr>
        <w:t>challenges</w:t>
      </w:r>
      <w:r w:rsidR="0067012C" w:rsidRPr="002E483E">
        <w:rPr>
          <w:rFonts w:ascii="Arial" w:hAnsi="Arial"/>
        </w:rPr>
        <w:t xml:space="preserve"> in the development and selection of </w:t>
      </w:r>
      <w:r w:rsidR="00640C7F" w:rsidRPr="002E483E">
        <w:rPr>
          <w:rFonts w:ascii="Arial" w:hAnsi="Arial"/>
        </w:rPr>
        <w:t>outcome measures</w:t>
      </w:r>
      <w:r w:rsidR="0067012C" w:rsidRPr="002E483E">
        <w:rPr>
          <w:rFonts w:ascii="Arial" w:hAnsi="Arial"/>
        </w:rPr>
        <w:t xml:space="preserve"> for FND </w:t>
      </w:r>
      <w:r w:rsidR="001803E7" w:rsidRPr="002E483E">
        <w:rPr>
          <w:rFonts w:ascii="Arial" w:hAnsi="Arial"/>
        </w:rPr>
        <w:t xml:space="preserve">that are </w:t>
      </w:r>
      <w:r w:rsidR="002E483E">
        <w:rPr>
          <w:rFonts w:ascii="Arial" w:hAnsi="Arial"/>
        </w:rPr>
        <w:t>specific</w:t>
      </w:r>
      <w:r w:rsidR="001803E7" w:rsidRPr="002E483E">
        <w:rPr>
          <w:rFonts w:ascii="Arial" w:hAnsi="Arial"/>
        </w:rPr>
        <w:t xml:space="preserve"> to this disorder, </w:t>
      </w:r>
      <w:r w:rsidR="0067012C" w:rsidRPr="002E483E">
        <w:rPr>
          <w:rFonts w:ascii="Arial" w:hAnsi="Arial"/>
        </w:rPr>
        <w:t xml:space="preserve">over and above the usual </w:t>
      </w:r>
      <w:r w:rsidR="00B640E4" w:rsidRPr="00B640E4">
        <w:rPr>
          <w:rFonts w:ascii="Arial" w:hAnsi="Arial" w:cs="Arial"/>
        </w:rPr>
        <w:t>tasks</w:t>
      </w:r>
      <w:r w:rsidR="001803E7" w:rsidRPr="002E483E">
        <w:rPr>
          <w:rFonts w:ascii="Arial" w:hAnsi="Arial"/>
        </w:rPr>
        <w:t xml:space="preserve"> inherent in outcome measure</w:t>
      </w:r>
      <w:r w:rsidR="008572E3">
        <w:rPr>
          <w:rFonts w:ascii="Arial" w:hAnsi="Arial"/>
        </w:rPr>
        <w:t xml:space="preserve"> set</w:t>
      </w:r>
      <w:r w:rsidR="001803E7" w:rsidRPr="002E483E">
        <w:rPr>
          <w:rFonts w:ascii="Arial" w:hAnsi="Arial"/>
        </w:rPr>
        <w:t xml:space="preserve"> development</w:t>
      </w:r>
      <w:r w:rsidR="001803E7" w:rsidRPr="002E483E">
        <w:rPr>
          <w:rFonts w:ascii="Arial" w:hAnsi="Arial" w:cs="Arial"/>
        </w:rPr>
        <w:t>.</w:t>
      </w:r>
      <w:r w:rsidR="006B10BD" w:rsidRPr="002E483E">
        <w:rPr>
          <w:rFonts w:ascii="Arial" w:hAnsi="Arial"/>
        </w:rPr>
        <w:t xml:space="preserve"> </w:t>
      </w:r>
    </w:p>
    <w:p w14:paraId="0165829E" w14:textId="27776624" w:rsidR="00640C7F" w:rsidRPr="00113231" w:rsidRDefault="00380AAD" w:rsidP="00113231">
      <w:pPr>
        <w:widowControl w:val="0"/>
        <w:autoSpaceDE w:val="0"/>
        <w:autoSpaceDN w:val="0"/>
        <w:adjustRightInd w:val="0"/>
        <w:spacing w:line="480" w:lineRule="auto"/>
        <w:ind w:firstLine="720"/>
        <w:jc w:val="both"/>
        <w:rPr>
          <w:rFonts w:ascii="Arial" w:hAnsi="Arial"/>
        </w:rPr>
      </w:pPr>
      <w:r w:rsidRPr="002E483E">
        <w:rPr>
          <w:rFonts w:ascii="Arial" w:hAnsi="Arial"/>
        </w:rPr>
        <w:lastRenderedPageBreak/>
        <w:t xml:space="preserve">This </w:t>
      </w:r>
      <w:r w:rsidR="00B640E4">
        <w:rPr>
          <w:rFonts w:ascii="Arial" w:hAnsi="Arial" w:cs="Arial"/>
        </w:rPr>
        <w:t>perspective article</w:t>
      </w:r>
      <w:r w:rsidRPr="002E483E">
        <w:rPr>
          <w:rFonts w:ascii="Arial" w:hAnsi="Arial" w:cs="Arial"/>
        </w:rPr>
        <w:t xml:space="preserve"> </w:t>
      </w:r>
      <w:r w:rsidR="001803E7" w:rsidRPr="002E483E">
        <w:rPr>
          <w:rFonts w:ascii="Arial" w:hAnsi="Arial" w:cs="Arial"/>
        </w:rPr>
        <w:t>reviews</w:t>
      </w:r>
      <w:r w:rsidRPr="002E483E">
        <w:rPr>
          <w:rFonts w:ascii="Arial" w:hAnsi="Arial"/>
        </w:rPr>
        <w:t xml:space="preserve"> </w:t>
      </w:r>
      <w:r w:rsidR="00543551" w:rsidRPr="002E483E">
        <w:rPr>
          <w:rFonts w:ascii="Arial" w:hAnsi="Arial"/>
        </w:rPr>
        <w:t xml:space="preserve">key concepts in </w:t>
      </w:r>
      <w:r w:rsidR="00640C7F" w:rsidRPr="002E483E">
        <w:rPr>
          <w:rFonts w:ascii="Arial" w:hAnsi="Arial"/>
        </w:rPr>
        <w:t>outcome measure</w:t>
      </w:r>
      <w:r w:rsidR="007E7B87">
        <w:rPr>
          <w:rFonts w:ascii="Arial" w:hAnsi="Arial"/>
        </w:rPr>
        <w:t xml:space="preserve"> design and selection for any disorder</w:t>
      </w:r>
      <w:r w:rsidR="00ED6C8F" w:rsidRPr="002E483E">
        <w:rPr>
          <w:rFonts w:ascii="Arial" w:hAnsi="Arial"/>
        </w:rPr>
        <w:t>,</w:t>
      </w:r>
      <w:r w:rsidR="00543551" w:rsidRPr="002E483E">
        <w:rPr>
          <w:rFonts w:ascii="Arial" w:hAnsi="Arial"/>
        </w:rPr>
        <w:t xml:space="preserve"> such as</w:t>
      </w:r>
      <w:r w:rsidR="0021190C">
        <w:rPr>
          <w:rFonts w:ascii="Arial" w:hAnsi="Arial"/>
        </w:rPr>
        <w:t xml:space="preserve"> choosing</w:t>
      </w:r>
      <w:r w:rsidR="00707E5B">
        <w:rPr>
          <w:rFonts w:ascii="Arial" w:hAnsi="Arial"/>
        </w:rPr>
        <w:t xml:space="preserve"> what to measure</w:t>
      </w:r>
      <w:r w:rsidR="00961638">
        <w:rPr>
          <w:rFonts w:ascii="Arial" w:hAnsi="Arial"/>
        </w:rPr>
        <w:t xml:space="preserve"> </w:t>
      </w:r>
      <w:r w:rsidR="00707E5B">
        <w:rPr>
          <w:rFonts w:ascii="Arial" w:hAnsi="Arial"/>
        </w:rPr>
        <w:t>and how to measure</w:t>
      </w:r>
      <w:r w:rsidR="006C346F">
        <w:rPr>
          <w:rFonts w:ascii="Arial" w:hAnsi="Arial"/>
        </w:rPr>
        <w:t xml:space="preserve"> it</w:t>
      </w:r>
      <w:r w:rsidR="00B640E4">
        <w:rPr>
          <w:rFonts w:ascii="Arial" w:hAnsi="Arial" w:cs="Arial"/>
        </w:rPr>
        <w:t xml:space="preserve">. </w:t>
      </w:r>
      <w:r w:rsidR="008D3990">
        <w:rPr>
          <w:rFonts w:ascii="Arial" w:hAnsi="Arial"/>
        </w:rPr>
        <w:t>Regarding</w:t>
      </w:r>
      <w:r w:rsidR="00961638">
        <w:rPr>
          <w:rFonts w:ascii="Arial" w:hAnsi="Arial"/>
        </w:rPr>
        <w:t xml:space="preserve"> what to measure</w:t>
      </w:r>
      <w:r w:rsidR="008D3990">
        <w:rPr>
          <w:rFonts w:ascii="Arial" w:hAnsi="Arial"/>
        </w:rPr>
        <w:t>,</w:t>
      </w:r>
      <w:r w:rsidR="00961638">
        <w:rPr>
          <w:rFonts w:ascii="Arial" w:hAnsi="Arial"/>
        </w:rPr>
        <w:t xml:space="preserve"> the core symptoms of the disorder itself are clearly important</w:t>
      </w:r>
      <w:r w:rsidR="00D1567A">
        <w:rPr>
          <w:rFonts w:ascii="Arial" w:hAnsi="Arial"/>
        </w:rPr>
        <w:t>,</w:t>
      </w:r>
      <w:r w:rsidR="00961638">
        <w:rPr>
          <w:rFonts w:ascii="Arial" w:hAnsi="Arial"/>
        </w:rPr>
        <w:t xml:space="preserve"> but it is also possible that associated symptoms</w:t>
      </w:r>
      <w:r w:rsidR="0028131B">
        <w:rPr>
          <w:rFonts w:ascii="Arial" w:hAnsi="Arial"/>
        </w:rPr>
        <w:t xml:space="preserve"> -</w:t>
      </w:r>
      <w:r w:rsidR="00961638">
        <w:rPr>
          <w:rFonts w:ascii="Arial" w:hAnsi="Arial"/>
        </w:rPr>
        <w:t xml:space="preserve"> such as other physical </w:t>
      </w:r>
      <w:r w:rsidR="002130B2">
        <w:rPr>
          <w:rFonts w:ascii="Arial" w:hAnsi="Arial"/>
        </w:rPr>
        <w:t>(e.g. pain, fatigue)</w:t>
      </w:r>
      <w:r w:rsidR="00961638">
        <w:rPr>
          <w:rFonts w:ascii="Arial" w:hAnsi="Arial"/>
        </w:rPr>
        <w:t xml:space="preserve"> or psychological symptoms </w:t>
      </w:r>
      <w:r w:rsidR="002130B2">
        <w:rPr>
          <w:rFonts w:ascii="Arial" w:hAnsi="Arial"/>
        </w:rPr>
        <w:t>(e.g. depression, anxiety)</w:t>
      </w:r>
      <w:r w:rsidR="00961638">
        <w:rPr>
          <w:rFonts w:ascii="Arial" w:hAnsi="Arial"/>
        </w:rPr>
        <w:t xml:space="preserve"> </w:t>
      </w:r>
      <w:r w:rsidR="0028131B">
        <w:rPr>
          <w:rFonts w:ascii="Arial" w:hAnsi="Arial"/>
        </w:rPr>
        <w:t xml:space="preserve">- </w:t>
      </w:r>
      <w:r w:rsidR="00961638">
        <w:rPr>
          <w:rFonts w:ascii="Arial" w:hAnsi="Arial"/>
        </w:rPr>
        <w:t xml:space="preserve">might </w:t>
      </w:r>
      <w:r w:rsidR="003818F6">
        <w:rPr>
          <w:rFonts w:ascii="Arial" w:hAnsi="Arial"/>
        </w:rPr>
        <w:t xml:space="preserve">also be of </w:t>
      </w:r>
      <w:r w:rsidR="0028131B">
        <w:rPr>
          <w:rFonts w:ascii="Arial" w:hAnsi="Arial"/>
        </w:rPr>
        <w:t xml:space="preserve">particular </w:t>
      </w:r>
      <w:r w:rsidR="003818F6">
        <w:rPr>
          <w:rFonts w:ascii="Arial" w:hAnsi="Arial"/>
        </w:rPr>
        <w:t xml:space="preserve">significance. </w:t>
      </w:r>
      <w:r w:rsidR="00F24E13">
        <w:rPr>
          <w:rFonts w:ascii="Arial" w:hAnsi="Arial"/>
        </w:rPr>
        <w:t>T</w:t>
      </w:r>
      <w:r w:rsidR="00961638">
        <w:rPr>
          <w:rFonts w:ascii="Arial" w:hAnsi="Arial"/>
        </w:rPr>
        <w:t xml:space="preserve">hese </w:t>
      </w:r>
      <w:r w:rsidR="0028131B">
        <w:rPr>
          <w:rFonts w:ascii="Arial" w:hAnsi="Arial"/>
        </w:rPr>
        <w:t>associated symptoms</w:t>
      </w:r>
      <w:r w:rsidR="00F24E13">
        <w:rPr>
          <w:rFonts w:ascii="Arial" w:hAnsi="Arial"/>
        </w:rPr>
        <w:t>, however,</w:t>
      </w:r>
      <w:r w:rsidR="0028131B">
        <w:rPr>
          <w:rFonts w:ascii="Arial" w:hAnsi="Arial"/>
        </w:rPr>
        <w:t xml:space="preserve"> </w:t>
      </w:r>
      <w:r w:rsidR="00961638">
        <w:rPr>
          <w:rFonts w:ascii="Arial" w:hAnsi="Arial"/>
        </w:rPr>
        <w:t>are not focused on in this paper</w:t>
      </w:r>
      <w:r w:rsidR="0028131B">
        <w:rPr>
          <w:rFonts w:ascii="Arial" w:hAnsi="Arial"/>
        </w:rPr>
        <w:t xml:space="preserve"> </w:t>
      </w:r>
      <w:r w:rsidR="00F24E13">
        <w:rPr>
          <w:rFonts w:ascii="Arial" w:hAnsi="Arial"/>
        </w:rPr>
        <w:t xml:space="preserve">as </w:t>
      </w:r>
      <w:r w:rsidR="003818F6">
        <w:rPr>
          <w:rFonts w:ascii="Arial" w:hAnsi="Arial"/>
        </w:rPr>
        <w:t>they</w:t>
      </w:r>
      <w:r w:rsidR="00956C8A">
        <w:rPr>
          <w:rFonts w:ascii="Arial" w:hAnsi="Arial"/>
        </w:rPr>
        <w:t xml:space="preserve"> are the subject of</w:t>
      </w:r>
      <w:r w:rsidR="00961638">
        <w:rPr>
          <w:rFonts w:ascii="Arial" w:hAnsi="Arial"/>
        </w:rPr>
        <w:t xml:space="preserve"> </w:t>
      </w:r>
      <w:r w:rsidR="00956C8A">
        <w:rPr>
          <w:rFonts w:ascii="Arial" w:hAnsi="Arial"/>
        </w:rPr>
        <w:t xml:space="preserve">other </w:t>
      </w:r>
      <w:r w:rsidR="0028131B">
        <w:rPr>
          <w:rFonts w:ascii="Arial" w:hAnsi="Arial"/>
        </w:rPr>
        <w:t>ongoing projects</w:t>
      </w:r>
      <w:r w:rsidR="00956C8A">
        <w:rPr>
          <w:rFonts w:ascii="Arial" w:hAnsi="Arial"/>
        </w:rPr>
        <w:t>.</w:t>
      </w:r>
      <w:r w:rsidR="00961638">
        <w:rPr>
          <w:rFonts w:ascii="Arial" w:hAnsi="Arial"/>
        </w:rPr>
        <w:t xml:space="preserve">  </w:t>
      </w:r>
      <w:r w:rsidR="00BB3085">
        <w:rPr>
          <w:rFonts w:ascii="Arial" w:hAnsi="Arial" w:cs="Arial"/>
        </w:rPr>
        <w:t>We the</w:t>
      </w:r>
      <w:r w:rsidR="00707E5B">
        <w:rPr>
          <w:rFonts w:ascii="Arial" w:hAnsi="Arial" w:cs="Arial"/>
        </w:rPr>
        <w:t>n</w:t>
      </w:r>
      <w:r w:rsidR="00BB3085">
        <w:rPr>
          <w:rFonts w:ascii="Arial" w:hAnsi="Arial" w:cs="Arial"/>
        </w:rPr>
        <w:t xml:space="preserve"> illustrate the </w:t>
      </w:r>
      <w:r w:rsidR="00BB3085" w:rsidRPr="002E483E">
        <w:rPr>
          <w:rFonts w:ascii="Arial" w:hAnsi="Arial"/>
        </w:rPr>
        <w:t xml:space="preserve">key features of FND that are pertinent to the design and selection of outcome measures and </w:t>
      </w:r>
      <w:r w:rsidR="00BB3085">
        <w:rPr>
          <w:rFonts w:ascii="Arial" w:hAnsi="Arial" w:cs="Arial"/>
        </w:rPr>
        <w:t>detail the specific</w:t>
      </w:r>
      <w:r w:rsidR="00BB3085" w:rsidRPr="002E483E">
        <w:rPr>
          <w:rFonts w:ascii="Arial" w:hAnsi="Arial"/>
        </w:rPr>
        <w:t xml:space="preserve"> challenges and complexities that FND poses</w:t>
      </w:r>
      <w:r w:rsidR="00BB3085">
        <w:rPr>
          <w:rFonts w:ascii="Arial" w:hAnsi="Arial"/>
        </w:rPr>
        <w:t>, focusing on adults.</w:t>
      </w:r>
      <w:r w:rsidR="00BB3085" w:rsidRPr="002E483E">
        <w:rPr>
          <w:rFonts w:ascii="Arial" w:hAnsi="Arial"/>
        </w:rPr>
        <w:t xml:space="preserve"> </w:t>
      </w:r>
      <w:r w:rsidR="00B25C18">
        <w:rPr>
          <w:rFonts w:ascii="Arial" w:hAnsi="Arial"/>
        </w:rPr>
        <w:t>Outcome measure options</w:t>
      </w:r>
      <w:r w:rsidR="00135B69">
        <w:rPr>
          <w:rFonts w:ascii="Arial" w:hAnsi="Arial"/>
        </w:rPr>
        <w:t xml:space="preserve"> from related disorders</w:t>
      </w:r>
      <w:r w:rsidR="00B25C18">
        <w:rPr>
          <w:rFonts w:ascii="Arial" w:hAnsi="Arial"/>
        </w:rPr>
        <w:t xml:space="preserve"> are then discussed</w:t>
      </w:r>
      <w:r w:rsidR="00135B69">
        <w:rPr>
          <w:rFonts w:ascii="Arial" w:hAnsi="Arial"/>
        </w:rPr>
        <w:t xml:space="preserve"> </w:t>
      </w:r>
      <w:r w:rsidR="004E4D59">
        <w:rPr>
          <w:rFonts w:ascii="Arial" w:hAnsi="Arial"/>
        </w:rPr>
        <w:t>as examples that</w:t>
      </w:r>
      <w:r w:rsidR="00B25C18">
        <w:rPr>
          <w:rFonts w:ascii="Arial" w:hAnsi="Arial"/>
        </w:rPr>
        <w:t xml:space="preserve"> could inform</w:t>
      </w:r>
      <w:r w:rsidR="004E4D59">
        <w:rPr>
          <w:rFonts w:ascii="Arial" w:hAnsi="Arial"/>
        </w:rPr>
        <w:t xml:space="preserve"> that approach and choice in</w:t>
      </w:r>
      <w:r w:rsidR="00102D26">
        <w:rPr>
          <w:rFonts w:ascii="Arial" w:hAnsi="Arial"/>
        </w:rPr>
        <w:t xml:space="preserve"> </w:t>
      </w:r>
      <w:r w:rsidR="00B25C18">
        <w:rPr>
          <w:rFonts w:ascii="Arial" w:hAnsi="Arial"/>
        </w:rPr>
        <w:t>FND.</w:t>
      </w:r>
      <w:r w:rsidR="00135B69">
        <w:rPr>
          <w:rFonts w:ascii="Arial" w:hAnsi="Arial"/>
        </w:rPr>
        <w:t xml:space="preserve"> </w:t>
      </w:r>
      <w:r w:rsidR="00543551" w:rsidRPr="002E483E">
        <w:rPr>
          <w:rFonts w:ascii="Arial" w:hAnsi="Arial"/>
        </w:rPr>
        <w:t xml:space="preserve">We </w:t>
      </w:r>
      <w:r w:rsidR="001803E7" w:rsidRPr="002E483E">
        <w:rPr>
          <w:rFonts w:ascii="Arial" w:hAnsi="Arial" w:cs="Arial"/>
        </w:rPr>
        <w:t>conclude</w:t>
      </w:r>
      <w:r w:rsidR="001803E7" w:rsidRPr="002E483E">
        <w:rPr>
          <w:rFonts w:ascii="Arial" w:hAnsi="Arial"/>
        </w:rPr>
        <w:t xml:space="preserve"> with</w:t>
      </w:r>
      <w:r w:rsidR="00ED6C8F" w:rsidRPr="002E483E">
        <w:rPr>
          <w:rFonts w:ascii="Arial" w:hAnsi="Arial"/>
        </w:rPr>
        <w:t xml:space="preserve"> recommendations for </w:t>
      </w:r>
      <w:r w:rsidR="001803E7" w:rsidRPr="002E483E">
        <w:rPr>
          <w:rFonts w:ascii="Arial" w:hAnsi="Arial" w:cs="Arial"/>
        </w:rPr>
        <w:t>how</w:t>
      </w:r>
      <w:r w:rsidR="001803E7" w:rsidRPr="002E483E">
        <w:rPr>
          <w:rFonts w:ascii="Arial" w:hAnsi="Arial"/>
        </w:rPr>
        <w:t xml:space="preserve"> we might move forward</w:t>
      </w:r>
      <w:r w:rsidR="00543551" w:rsidRPr="002E483E">
        <w:rPr>
          <w:rFonts w:ascii="Arial" w:hAnsi="Arial" w:cs="Arial"/>
        </w:rPr>
        <w:t xml:space="preserve"> </w:t>
      </w:r>
      <w:r w:rsidR="00B640E4">
        <w:rPr>
          <w:rFonts w:ascii="Arial" w:hAnsi="Arial" w:cs="Arial"/>
        </w:rPr>
        <w:t xml:space="preserve">as a clinical and scientific community </w:t>
      </w:r>
      <w:r w:rsidR="008572E3">
        <w:rPr>
          <w:rFonts w:ascii="Arial" w:hAnsi="Arial"/>
        </w:rPr>
        <w:t>in</w:t>
      </w:r>
      <w:r w:rsidR="00543551" w:rsidRPr="002E483E">
        <w:rPr>
          <w:rFonts w:ascii="Arial" w:hAnsi="Arial"/>
        </w:rPr>
        <w:t xml:space="preserve"> t</w:t>
      </w:r>
      <w:r w:rsidR="00ED6C8F" w:rsidRPr="002E483E">
        <w:rPr>
          <w:rFonts w:ascii="Arial" w:hAnsi="Arial"/>
        </w:rPr>
        <w:t xml:space="preserve">he development of a </w:t>
      </w:r>
      <w:r w:rsidR="007E7B87">
        <w:rPr>
          <w:rFonts w:ascii="Arial" w:hAnsi="Arial"/>
        </w:rPr>
        <w:t>core outcome s</w:t>
      </w:r>
      <w:r w:rsidR="00523554">
        <w:rPr>
          <w:rFonts w:ascii="Arial" w:hAnsi="Arial"/>
        </w:rPr>
        <w:t>et</w:t>
      </w:r>
      <w:r w:rsidR="00523554" w:rsidRPr="002E483E">
        <w:rPr>
          <w:rFonts w:ascii="Arial" w:hAnsi="Arial"/>
        </w:rPr>
        <w:t xml:space="preserve"> </w:t>
      </w:r>
      <w:r w:rsidR="00ED6C8F" w:rsidRPr="002E483E">
        <w:rPr>
          <w:rFonts w:ascii="Arial" w:hAnsi="Arial"/>
        </w:rPr>
        <w:t>for FND</w:t>
      </w:r>
      <w:r w:rsidR="001803E7" w:rsidRPr="002E483E">
        <w:rPr>
          <w:rFonts w:ascii="Arial" w:hAnsi="Arial"/>
        </w:rPr>
        <w:t>.</w:t>
      </w:r>
    </w:p>
    <w:p w14:paraId="2E50927C" w14:textId="77777777" w:rsidR="00640C7F" w:rsidRDefault="00640C7F">
      <w:pPr>
        <w:rPr>
          <w:rFonts w:ascii="Arial" w:hAnsi="Arial" w:cs="Arial"/>
          <w:b/>
        </w:rPr>
      </w:pPr>
    </w:p>
    <w:p w14:paraId="64106388" w14:textId="77777777" w:rsidR="00640C7F" w:rsidRDefault="00640C7F">
      <w:pPr>
        <w:rPr>
          <w:rFonts w:ascii="Arial" w:hAnsi="Arial" w:cs="Arial"/>
          <w:b/>
        </w:rPr>
      </w:pPr>
    </w:p>
    <w:p w14:paraId="63C73E7F" w14:textId="77777777" w:rsidR="00640C7F" w:rsidRDefault="00640C7F">
      <w:pPr>
        <w:rPr>
          <w:rFonts w:ascii="Arial" w:hAnsi="Arial" w:cs="Arial"/>
          <w:b/>
        </w:rPr>
      </w:pPr>
    </w:p>
    <w:p w14:paraId="6DB56773" w14:textId="77777777" w:rsidR="00640C7F" w:rsidRDefault="00640C7F">
      <w:pPr>
        <w:rPr>
          <w:rFonts w:ascii="Arial" w:hAnsi="Arial" w:cs="Arial"/>
          <w:b/>
        </w:rPr>
      </w:pPr>
    </w:p>
    <w:p w14:paraId="634E9465" w14:textId="77777777" w:rsidR="00640C7F" w:rsidRDefault="00640C7F">
      <w:pPr>
        <w:rPr>
          <w:rFonts w:ascii="Arial" w:hAnsi="Arial" w:cs="Arial"/>
          <w:b/>
        </w:rPr>
      </w:pPr>
    </w:p>
    <w:p w14:paraId="589FDD01" w14:textId="77777777" w:rsidR="00640C7F" w:rsidRDefault="00640C7F">
      <w:pPr>
        <w:rPr>
          <w:rFonts w:ascii="Arial" w:hAnsi="Arial" w:cs="Arial"/>
          <w:b/>
        </w:rPr>
      </w:pPr>
    </w:p>
    <w:p w14:paraId="2F4E403C" w14:textId="77777777" w:rsidR="00113231" w:rsidRDefault="00113231">
      <w:pPr>
        <w:rPr>
          <w:rFonts w:ascii="Arial" w:hAnsi="Arial" w:cs="Arial"/>
          <w:b/>
        </w:rPr>
      </w:pPr>
      <w:r>
        <w:rPr>
          <w:rFonts w:ascii="Arial" w:hAnsi="Arial" w:cs="Arial"/>
          <w:b/>
        </w:rPr>
        <w:br w:type="page"/>
      </w:r>
    </w:p>
    <w:p w14:paraId="6D199852" w14:textId="02AF2484" w:rsidR="004A5ECF" w:rsidRPr="002579C0" w:rsidRDefault="00713986" w:rsidP="002579C0">
      <w:pPr>
        <w:spacing w:line="480" w:lineRule="auto"/>
        <w:rPr>
          <w:rFonts w:ascii="Arial" w:hAnsi="Arial" w:cs="Arial"/>
          <w:b/>
          <w:sz w:val="28"/>
          <w:szCs w:val="28"/>
        </w:rPr>
      </w:pPr>
      <w:r w:rsidRPr="002579C0">
        <w:rPr>
          <w:rFonts w:ascii="Arial" w:hAnsi="Arial" w:cs="Arial"/>
          <w:b/>
          <w:sz w:val="28"/>
          <w:szCs w:val="28"/>
        </w:rPr>
        <w:lastRenderedPageBreak/>
        <w:t>Key concepts in o</w:t>
      </w:r>
      <w:r w:rsidR="00531E0D" w:rsidRPr="002579C0">
        <w:rPr>
          <w:rFonts w:ascii="Arial" w:hAnsi="Arial" w:cs="Arial"/>
          <w:b/>
          <w:sz w:val="28"/>
          <w:szCs w:val="28"/>
        </w:rPr>
        <w:t>utcome measure design and selection</w:t>
      </w:r>
    </w:p>
    <w:p w14:paraId="15327A42" w14:textId="77777777" w:rsidR="00113231" w:rsidRPr="00C408A8" w:rsidRDefault="00113231" w:rsidP="002579C0">
      <w:pPr>
        <w:spacing w:line="480" w:lineRule="auto"/>
        <w:rPr>
          <w:rFonts w:ascii="Arial" w:hAnsi="Arial" w:cs="Arial"/>
          <w:b/>
        </w:rPr>
      </w:pPr>
    </w:p>
    <w:p w14:paraId="4D2756DB" w14:textId="6DF53172" w:rsidR="00C33CA7" w:rsidRDefault="0034334C" w:rsidP="0034334C">
      <w:pPr>
        <w:spacing w:line="480" w:lineRule="auto"/>
        <w:ind w:firstLine="720"/>
        <w:jc w:val="both"/>
        <w:rPr>
          <w:rFonts w:ascii="Arial" w:hAnsi="Arial"/>
        </w:rPr>
      </w:pPr>
      <w:r>
        <w:rPr>
          <w:rFonts w:ascii="Arial" w:hAnsi="Arial"/>
        </w:rPr>
        <w:t xml:space="preserve">When designing or selecting outcomes measures it is </w:t>
      </w:r>
      <w:r w:rsidR="00C33CA7">
        <w:rPr>
          <w:rFonts w:ascii="Arial" w:hAnsi="Arial"/>
        </w:rPr>
        <w:t xml:space="preserve">important to initially </w:t>
      </w:r>
      <w:r>
        <w:rPr>
          <w:rFonts w:ascii="Arial" w:hAnsi="Arial"/>
        </w:rPr>
        <w:t>consider what the optimal</w:t>
      </w:r>
      <w:r w:rsidR="00043EB8">
        <w:rPr>
          <w:rFonts w:ascii="Arial" w:hAnsi="Arial"/>
        </w:rPr>
        <w:t xml:space="preserve"> features of a measure might be</w:t>
      </w:r>
      <w:r w:rsidR="00514456">
        <w:rPr>
          <w:rFonts w:ascii="Arial" w:hAnsi="Arial"/>
        </w:rPr>
        <w:t xml:space="preserve"> </w:t>
      </w:r>
      <w:r w:rsidR="00380766">
        <w:rPr>
          <w:rFonts w:ascii="Arial" w:hAnsi="Arial"/>
        </w:rPr>
        <w:t>for all disorders</w:t>
      </w:r>
      <w:r w:rsidR="00ED766C">
        <w:rPr>
          <w:rFonts w:ascii="Arial" w:hAnsi="Arial"/>
        </w:rPr>
        <w:t>,</w:t>
      </w:r>
      <w:r w:rsidR="00380766">
        <w:rPr>
          <w:rFonts w:ascii="Arial" w:hAnsi="Arial"/>
        </w:rPr>
        <w:t xml:space="preserve"> and these have been variously defined by, for example by the COMET initiative</w:t>
      </w:r>
      <w:r w:rsidRPr="006A476C">
        <w:rPr>
          <w:rFonts w:ascii="Arial" w:hAnsi="Arial"/>
        </w:rPr>
        <w:fldChar w:fldCharType="begin" w:fldLock="1"/>
      </w:r>
      <w:r w:rsidR="00763A14">
        <w:rPr>
          <w:rFonts w:ascii="Arial" w:hAnsi="Arial"/>
        </w:rPr>
        <w:instrText>ADDIN CSL_CITATION {"citationItems":[{"id":"ITEM-1","itemData":{"DOI":"10.1186/s13063-016-1555-2","ISSN":"1745-6215","PMID":"27618914","abstract":"In cooperation with the Core Outcome Measures in Effectiveness Trials (COMET) initiative, the COnsensus-based Standards for the selection of health Measurement INstruments (COSMIN) initiative aimed to develop a guideline on how to select outcome measurement instruments for outcomes (i.e., constructs or domains) included in a “Core Outcome Set” (COS). A COS is an agreed minimum set of outcomes that should be measured and reported in all clinical trials of a specific disease or trial population. Informed by a literature review to identify potentially relevant tasks on outcome measurement instrument selection, a Delphi study was performed among a panel of international experts, representing diverse stakeholders. In three consecutive rounds, panelists were asked to rate the importance of different tasks in the selection of outcome measurement instruments, to justify their choices, and to add other relevant tasks. Consensus was defined as being achieved when 70 % or more of the panelists agreed and when fewer than 15 % of the panelists disagreed. Of the 481 invited experts, 120 agreed to participate of whom 95 (79 %) completed the first Delphi questionnaire. We reached consensus on four main steps in the selection of outcome measurement instruments for COS: Step 1, conceptual considerations; Step 2, finding existing outcome measurement instruments, by means of a systematic review and/or a literature search; Step 3, quality assessment of outcome measurement instruments, by means of the evaluation of the measurement properties and feasibility aspects of outcome measurement instruments; and Step 4, generic recommendations on the selection of outcome measurement instruments for outcomes included in a COS (consensus ranged from 70 to 99 %). This study resulted in a consensus-based guideline on the methods for selecting outcome measurement instruments for outcomes included in a COS. This guideline can be used by COS developers in defining how to measure core outcomes.","author":[{"dropping-particle":"","family":"Prinsen","given":"Cecilia A. C.","non-dropping-particle":"","parse-names":false,"suffix":""},{"dropping-particle":"","family":"Vohra","given":"Sunita","non-dropping-particle":"","parse-names":false,"suffix":""},{"dropping-particle":"","family":"Rose","given":"Michael R.","non-dropping-particle":"","parse-names":false,"suffix":""},{"dropping-particle":"","family":"Boers","given":"Maarten","non-dropping-particle":"","parse-names":false,"suffix":""},{"dropping-particle":"","family":"Tugwell","given":"Peter","non-dropping-particle":"","parse-names":false,"suffix":""},{"dropping-particle":"","family":"Clarke","given":"Mike","non-dropping-particle":"","parse-names":false,"suffix":""},{"dropping-particle":"","family":"Williamson","given":"Paula R.","non-dropping-particle":"","parse-names":false,"suffix":""},{"dropping-particle":"","family":"Terwee","given":"Caroline B.","non-dropping-particle":"","parse-names":false,"suffix":""},{"dropping-particle":"","family":"Chalmers","given":"I","non-dropping-particle":"","parse-names":false,"suffix":""},{"dropping-particle":"","family":"Glasziou","given":"P","non-dropping-particle":"","parse-names":false,"suffix":""},{"dropping-particle":"","family":"Williamson","given":"PR","non-dropping-particle":"","parse-names":false,"suffix":""},{"dropping-particle":"","family":"Altman","given":"DG","non-dropping-particle":"","parse-names":false,"suffix":""},{"dropping-particle":"","family":"Blazeby","given":"JM","non-dropping-particle":"","parse-names":false,"suffix":""},{"dropping-particle":"","family":"Clarke","given":"M","non-dropping-particle":"","parse-names":false,"suffix":""},{"dropping-particle":"","family":"Devane","given":"D","non-dropping-particle":"","parse-names":false,"suffix":""},{"dropping-particle":"","family":"Gargon","given":"E","non-dropping-particle":"","parse-names":false,"suffix":""},{"dropping-particle":"","family":"Mokkink","given":"LB","non-dropping-particle":"","parse-names":false,"suffix":""},{"dropping-particle":"","family":"Terwee","given":"CB","non-dropping-particle":"","parse-names":false,"suffix":""},{"dropping-particle":"","family":"Patrick","given":"DL","non-dropping-particle":"","parse-names":false,"suffix":""},{"dropping-particle":"","family":"Alonso","given":"J","non-dropping-particle":"","parse-names":false,"suffix":""},{"dropping-particle":"","family":"Stratford","given":"PW","non-dropping-particle":"","parse-names":false,"suffix":""},{"dropping-particle":"","family":"Knol","given":"DL","non-dropping-particle":"","parse-names":false,"suffix":""},{"dropping-particle":"","family":"Clarke","given":"M","non-dropping-particle":"","parse-names":false,"suffix":""},{"dropping-particle":"","family":"Schmitt","given":"J","non-dropping-particle":"","parse-names":false,"suffix":""},{"dropping-particle":"","family":"Apfelbacher","given":"C","non-dropping-particle":"","parse-names":false,"suffix":""},{"dropping-particle":"","family":"Spuls","given":"PI","non-dropping-particle":"","parse-names":false,"suffix":""},{"dropping-particle":"","family":"Thomas","given":"KS","non-dropping-particle":"","parse-names":false,"suffix":""},{"dropping-particle":"","family":"Simpson","given":"EL","non-dropping-particle":"","parse-names":false,"suffix":""},{"dropping-particle":"","family":"Furue","given":"M","non-dropping-particle":"","parse-names":false,"suffix":""},{"dropping-particle":"","family":"Prinsen","given":"CAC","non-dropping-particle":"","parse-names":false,"suffix":""},{"dropping-particle":"","family":"Vohra","given":"S","non-dropping-particle":"","parse-names":false,"suffix":""},{"dropping-particle":"","family":"Rose","given":"MR","non-dropping-particle":"","parse-names":false,"suffix":""},{"dropping-particle":"","family":"King-Jones","given":"S","non-dropping-particle":"","parse-names":false,"suffix":""},{"dropping-particle":"","family":"Ishaque","given":"S","non-dropping-particle":"","parse-names":false,"suffix":""},{"dropping-particle":"","family":"Bhaloo","given":"Z","non-dropping-particle":"","parse-names":false,"suffix":""},{"dropping-particle":"","family":"Boers","given":"M","non-dropping-particle":"","parse-names":false,"suffix":""},{"dropping-particle":"","family":"Kirwan","given":"JR","non-dropping-particle":"","parse-names":false,"suffix":""},{"dropping-particle":"","family":"Wells","given":"GA","non-dropping-particle":"","parse-names":false,"suffix":""},{"dropping-particle":"","family":"Beaton","given":"DE","non-dropping-particle":"","parse-names":false,"suffix":""},{"dropping-particle":"","family":"Gossec","given":"L","non-dropping-particle":"","parse-names":false,"suffix":""},{"dropping-particle":"","family":"D’Agostino","given":"MA","non-dropping-particle":"","parse-names":false,"suffix":""},{"dropping-particle":"","family":"Mokkink","given":"LB","non-dropping-particle":"","parse-names":false,"suffix":""},{"dropping-particle":"","family":"Terwee","given":"CB","non-dropping-particle":"","parse-names":false,"suffix":""},{"dropping-particle":"","family":"Patrick","given":"DL","non-dropping-particle":"","parse-names":false,"suffix":""},{"dropping-particle":"","family":"Alonso","given":"J","non-dropping-particle":"","parse-names":false,"suffix":""},{"dropping-particle":"","family":"Stratford","given":"PW","non-dropping-particle":"","parse-names":false,"suffix":""},{"dropping-particle":"","family":"Knol","given":"DL","non-dropping-particle":"","parse-names":false,"suffix":""},{"dropping-particle":"","family":"Murphy","given":"MK","non-dropping-particle":"","parse-names":false,"suffix":""},{"dropping-particle":"","family":"Black","given":"NA","non-dropping-particle":"","parse-names":false,"suffix":""},{"dropping-particle":"","family":"Lamping","given":"DL","non-dropping-particle":"","parse-names":false,"suffix":""},{"dropping-particle":"","family":"McKee","given":"CM","non-dropping-particle":"","parse-names":false,"suffix":""},{"dropping-particle":"","family":"Sanderson","given":"CF","non-dropping-particle":"","parse-names":false,"suffix":""},{"dropping-particle":"","family":"Askham","given":"J","non-dropping-particle":"","parse-names":false,"suffix":""},{"dropping-particle":"","family":"Chiarotto","given":"A","non-dropping-particle":"","parse-names":false,"suffix":""},{"dropping-particle":"","family":"Deyo","given":"RA","non-dropping-particle":"","parse-names":false,"suffix":""},{"dropping-particle":"","family":"Terwee","given":"CB","non-dropping-particle":"","parse-names":false,"suffix":""},{"dropping-particle":"","family":"Boers","given":"M","non-dropping-particle":"","parse-names":false,"suffix":""},{"dropping-particle":"","family":"Buchbinder","given":"R","non-dropping-particle":"","parse-names":false,"suffix":""},{"dropping-particle":"","family":"Corbin","given":"TP","non-dropping-particle":"","parse-names":false,"suffix":""},{"dropping-particle":"","family":"Verhagen","given":"AP","non-dropping-particle":"","parse-names":false,"suffix":""},{"dropping-particle":"","family":"Vet","given":"HC","non-dropping-particle":"","parse-names":false,"suffix":""},{"dropping-particle":"","family":"Bie","given":"RA","non-dropping-particle":"","parse-names":false,"suffix":""},{"dropping-particle":"","family":"Kessels","given":"AG","non-dropping-particle":"","parse-names":false,"suffix":""},{"dropping-particle":"","family":"Boers","given":"M","non-dropping-particle":"","parse-names":false,"suffix":""},{"dropping-particle":"","family":"Bouter","given":"LM","non-dropping-particle":"","parse-names":false,"suffix":""},{"dropping-particle":"","family":"Jones","given":"J","non-dropping-particle":"","parse-names":false,"suffix":""},{"dropping-particle":"","family":"Hunter","given":"D","non-dropping-particle":"","parse-names":false,"suffix":""},{"dropping-particle":"","family":"Terwee","given":"CB","non-dropping-particle":"","parse-names":false,"suffix":""},{"dropping-particle":"","family":"Bot","given":"SD","non-dropping-particle":"","parse-names":false,"suffix":""},{"dropping-particle":"","family":"Boer","given":"MR","non-dropping-particle":"","parse-names":false,"suffix":""},{"dropping-particle":"","family":"Windt","given":"DA","non-dropping-particle":"","parse-names":false,"suffix":""},{"dropping-particle":"","family":"Knol","given":"DL","non-dropping-particle":"","parse-names":false,"suffix":""},{"dropping-particle":"","family":"Dekker","given":"J","non-dropping-particle":"","parse-names":false,"suffix":""},{"dropping-particle":"","family":"Gargon","given":"E","non-dropping-particle":"","parse-names":false,"suffix":""},{"dropping-particle":"","family":"Gurung","given":"B","non-dropping-particle":"","parse-names":false,"suffix":""},{"dropping-particle":"","family":"Medley","given":"N","non-dropping-particle":"","parse-names":false,"suffix":""},{"dropping-particle":"","family":"Altman","given":"DG","non-dropping-particle":"","parse-names":false,"suffix":""},{"dropping-particle":"","family":"Blazeby","given":"JM","non-dropping-particle":"","parse-names":false,"suffix":""},{"dropping-particle":"","family":"Clarke","given":"M","non-dropping-particle":"","parse-names":false,"suffix":""}],"container-title":"Trials","id":"ITEM-1","issue":"1","issued":{"date-parts":[["2016"]]},"page":"449","publisher":"Trials","title":"How to select outcome measurement instruments for outcomes included in a “Core Outcome Set” – a practical guideline","type":"article-journal","volume":"17"},"uris":["http://www.mendeley.com/documents/?uuid=38c0ba24-ed3e-4cee-8309-c032b7f49027"]}],"mendeley":{"formattedCitation":"{12}","plainTextFormattedCitation":"{12}","previouslyFormattedCitation":"{12}"},"properties":{"noteIndex":0},"schema":"https://github.com/citation-style-language/schema/raw/master/csl-citation.json"}</w:instrText>
      </w:r>
      <w:r w:rsidRPr="006A476C">
        <w:rPr>
          <w:rFonts w:ascii="Arial" w:hAnsi="Arial"/>
        </w:rPr>
        <w:fldChar w:fldCharType="separate"/>
      </w:r>
      <w:r w:rsidR="0028131B" w:rsidRPr="0028131B">
        <w:rPr>
          <w:rFonts w:ascii="Arial" w:hAnsi="Arial"/>
          <w:noProof/>
        </w:rPr>
        <w:t>{12}</w:t>
      </w:r>
      <w:r w:rsidRPr="006A476C">
        <w:rPr>
          <w:rFonts w:ascii="Arial" w:hAnsi="Arial"/>
        </w:rPr>
        <w:fldChar w:fldCharType="end"/>
      </w:r>
      <w:r>
        <w:rPr>
          <w:rFonts w:ascii="Arial" w:hAnsi="Arial"/>
        </w:rPr>
        <w:t>. It is criti</w:t>
      </w:r>
      <w:r w:rsidR="00B11763">
        <w:rPr>
          <w:rFonts w:ascii="Arial" w:hAnsi="Arial"/>
        </w:rPr>
        <w:t>cal that measures</w:t>
      </w:r>
      <w:r w:rsidR="00EA1200">
        <w:rPr>
          <w:rFonts w:ascii="Arial" w:hAnsi="Arial"/>
        </w:rPr>
        <w:t xml:space="preserve"> </w:t>
      </w:r>
      <w:r w:rsidR="00B11763">
        <w:rPr>
          <w:rFonts w:ascii="Arial" w:hAnsi="Arial"/>
        </w:rPr>
        <w:t xml:space="preserve">have high </w:t>
      </w:r>
      <w:r w:rsidR="00EC238B">
        <w:rPr>
          <w:rFonts w:ascii="Arial" w:hAnsi="Arial"/>
        </w:rPr>
        <w:t>content</w:t>
      </w:r>
      <w:r w:rsidR="00B11763">
        <w:rPr>
          <w:rFonts w:ascii="Arial" w:hAnsi="Arial"/>
        </w:rPr>
        <w:t xml:space="preserve"> (including</w:t>
      </w:r>
      <w:r w:rsidR="00EC238B">
        <w:rPr>
          <w:rFonts w:ascii="Arial" w:hAnsi="Arial"/>
        </w:rPr>
        <w:t xml:space="preserve"> face</w:t>
      </w:r>
      <w:r w:rsidR="00B11763">
        <w:rPr>
          <w:rFonts w:ascii="Arial" w:hAnsi="Arial"/>
        </w:rPr>
        <w:t>)</w:t>
      </w:r>
      <w:r w:rsidR="00EC238B">
        <w:rPr>
          <w:rFonts w:ascii="Arial" w:hAnsi="Arial"/>
        </w:rPr>
        <w:t xml:space="preserve"> validity</w:t>
      </w:r>
      <w:r>
        <w:rPr>
          <w:rFonts w:ascii="Arial" w:hAnsi="Arial"/>
        </w:rPr>
        <w:t xml:space="preserve">, i.e. </w:t>
      </w:r>
      <w:r w:rsidR="008A6F1C">
        <w:rPr>
          <w:rFonts w:ascii="Arial" w:hAnsi="Arial"/>
        </w:rPr>
        <w:t xml:space="preserve">are </w:t>
      </w:r>
      <w:r w:rsidRPr="006A476C">
        <w:rPr>
          <w:rFonts w:ascii="Arial" w:hAnsi="Arial"/>
        </w:rPr>
        <w:t>r</w:t>
      </w:r>
      <w:r w:rsidR="00EC238B">
        <w:rPr>
          <w:rFonts w:ascii="Arial" w:hAnsi="Arial"/>
        </w:rPr>
        <w:t>epresentative of the disorder</w:t>
      </w:r>
      <w:r>
        <w:rPr>
          <w:rFonts w:ascii="Arial" w:hAnsi="Arial"/>
        </w:rPr>
        <w:t>, to patients as well as other key</w:t>
      </w:r>
      <w:r w:rsidR="004E4D59">
        <w:rPr>
          <w:rFonts w:ascii="Arial" w:hAnsi="Arial"/>
        </w:rPr>
        <w:t xml:space="preserve"> stakeholders such as carers,</w:t>
      </w:r>
      <w:r>
        <w:rPr>
          <w:rFonts w:ascii="Arial" w:hAnsi="Arial"/>
        </w:rPr>
        <w:t xml:space="preserve"> relevant h</w:t>
      </w:r>
      <w:r w:rsidR="00B11763">
        <w:rPr>
          <w:rFonts w:ascii="Arial" w:hAnsi="Arial"/>
        </w:rPr>
        <w:t>ealthcare professionals</w:t>
      </w:r>
      <w:r w:rsidR="002130B2">
        <w:rPr>
          <w:rFonts w:ascii="Arial" w:hAnsi="Arial"/>
        </w:rPr>
        <w:t>,</w:t>
      </w:r>
      <w:r w:rsidR="004E4D59">
        <w:rPr>
          <w:rFonts w:ascii="Arial" w:hAnsi="Arial"/>
        </w:rPr>
        <w:t xml:space="preserve"> healthcare commissioners and funders</w:t>
      </w:r>
      <w:r w:rsidR="00B11763">
        <w:rPr>
          <w:rFonts w:ascii="Arial" w:hAnsi="Arial"/>
        </w:rPr>
        <w:t>. Other key features are that m</w:t>
      </w:r>
      <w:r>
        <w:rPr>
          <w:rFonts w:ascii="Arial" w:hAnsi="Arial"/>
        </w:rPr>
        <w:t>easures should also</w:t>
      </w:r>
      <w:r w:rsidR="00B11763">
        <w:rPr>
          <w:rFonts w:ascii="Arial" w:hAnsi="Arial"/>
        </w:rPr>
        <w:t xml:space="preserve"> be reliable (have low measurement error)</w:t>
      </w:r>
      <w:r w:rsidR="008A6F1C">
        <w:rPr>
          <w:rFonts w:ascii="Arial" w:hAnsi="Arial"/>
        </w:rPr>
        <w:t>, replicable</w:t>
      </w:r>
      <w:r w:rsidR="000845A9">
        <w:rPr>
          <w:rFonts w:ascii="Arial" w:hAnsi="Arial"/>
        </w:rPr>
        <w:t xml:space="preserve"> over time and/or between </w:t>
      </w:r>
      <w:proofErr w:type="spellStart"/>
      <w:r w:rsidR="000845A9">
        <w:rPr>
          <w:rFonts w:ascii="Arial" w:hAnsi="Arial"/>
        </w:rPr>
        <w:t>raters</w:t>
      </w:r>
      <w:proofErr w:type="spellEnd"/>
      <w:r w:rsidR="00B11763">
        <w:rPr>
          <w:rFonts w:ascii="Arial" w:hAnsi="Arial"/>
        </w:rPr>
        <w:t>, responsive (s</w:t>
      </w:r>
      <w:r w:rsidRPr="006A476C">
        <w:rPr>
          <w:rFonts w:ascii="Arial" w:hAnsi="Arial"/>
        </w:rPr>
        <w:t>ensitive to change</w:t>
      </w:r>
      <w:r w:rsidR="00B11763">
        <w:rPr>
          <w:rFonts w:ascii="Arial" w:hAnsi="Arial"/>
        </w:rPr>
        <w:t>)</w:t>
      </w:r>
      <w:r w:rsidR="004D6838">
        <w:rPr>
          <w:rFonts w:ascii="Arial" w:hAnsi="Arial"/>
        </w:rPr>
        <w:t>, culturally sensitive and relevant,</w:t>
      </w:r>
      <w:r w:rsidR="00B11763">
        <w:rPr>
          <w:rFonts w:ascii="Arial" w:hAnsi="Arial"/>
        </w:rPr>
        <w:t xml:space="preserve"> and internally consistent (items are inter-related)</w:t>
      </w:r>
      <w:r>
        <w:rPr>
          <w:rFonts w:ascii="Arial" w:hAnsi="Arial"/>
        </w:rPr>
        <w:t>.</w:t>
      </w:r>
      <w:r w:rsidRPr="006A476C">
        <w:rPr>
          <w:rFonts w:ascii="Arial" w:hAnsi="Arial"/>
        </w:rPr>
        <w:t xml:space="preserve"> </w:t>
      </w:r>
      <w:r>
        <w:rPr>
          <w:rFonts w:ascii="Arial" w:hAnsi="Arial"/>
        </w:rPr>
        <w:t>Finally</w:t>
      </w:r>
      <w:r w:rsidR="00636922">
        <w:rPr>
          <w:rFonts w:ascii="Arial" w:hAnsi="Arial"/>
        </w:rPr>
        <w:t>,</w:t>
      </w:r>
      <w:r>
        <w:rPr>
          <w:rFonts w:ascii="Arial" w:hAnsi="Arial"/>
        </w:rPr>
        <w:t xml:space="preserve"> t</w:t>
      </w:r>
      <w:r w:rsidR="009948D7">
        <w:rPr>
          <w:rFonts w:ascii="Arial" w:hAnsi="Arial"/>
        </w:rPr>
        <w:t xml:space="preserve">hey should be practical </w:t>
      </w:r>
      <w:r w:rsidR="002130B2">
        <w:rPr>
          <w:rFonts w:ascii="Arial" w:hAnsi="Arial"/>
        </w:rPr>
        <w:t xml:space="preserve">and </w:t>
      </w:r>
      <w:r>
        <w:rPr>
          <w:rFonts w:ascii="Arial" w:hAnsi="Arial"/>
        </w:rPr>
        <w:t xml:space="preserve">easy </w:t>
      </w:r>
      <w:r w:rsidRPr="006A476C">
        <w:rPr>
          <w:rFonts w:ascii="Arial" w:hAnsi="Arial"/>
        </w:rPr>
        <w:t>to administer</w:t>
      </w:r>
      <w:r w:rsidR="002130B2">
        <w:rPr>
          <w:rFonts w:ascii="Arial" w:hAnsi="Arial"/>
        </w:rPr>
        <w:t xml:space="preserve"> to minimize patient and clinician burden and keep costs low. </w:t>
      </w:r>
    </w:p>
    <w:p w14:paraId="4629B34C" w14:textId="4FACAE5F" w:rsidR="0059479C" w:rsidRDefault="0021190C" w:rsidP="0034334C">
      <w:pPr>
        <w:spacing w:line="480" w:lineRule="auto"/>
        <w:ind w:firstLine="720"/>
        <w:jc w:val="both"/>
        <w:rPr>
          <w:rFonts w:ascii="Arial" w:hAnsi="Arial"/>
        </w:rPr>
      </w:pPr>
      <w:r>
        <w:rPr>
          <w:rFonts w:ascii="Arial" w:hAnsi="Arial"/>
        </w:rPr>
        <w:t>It is then use</w:t>
      </w:r>
      <w:r w:rsidR="00987252">
        <w:rPr>
          <w:rFonts w:ascii="Arial" w:hAnsi="Arial"/>
        </w:rPr>
        <w:t xml:space="preserve">ful </w:t>
      </w:r>
      <w:r w:rsidR="00966B20">
        <w:rPr>
          <w:rFonts w:ascii="Arial" w:hAnsi="Arial"/>
        </w:rPr>
        <w:t xml:space="preserve">to </w:t>
      </w:r>
      <w:r w:rsidR="00987252">
        <w:rPr>
          <w:rFonts w:ascii="Arial" w:hAnsi="Arial"/>
        </w:rPr>
        <w:t xml:space="preserve">separate this task </w:t>
      </w:r>
      <w:r w:rsidR="00F26557">
        <w:rPr>
          <w:rFonts w:ascii="Arial" w:hAnsi="Arial"/>
        </w:rPr>
        <w:t>into two key decisions</w:t>
      </w:r>
      <w:r w:rsidR="00713986">
        <w:rPr>
          <w:rFonts w:ascii="Arial" w:hAnsi="Arial"/>
        </w:rPr>
        <w:t>: what to measure and</w:t>
      </w:r>
      <w:r w:rsidR="008572E3">
        <w:rPr>
          <w:rFonts w:ascii="Arial" w:hAnsi="Arial"/>
        </w:rPr>
        <w:t xml:space="preserve"> how best</w:t>
      </w:r>
      <w:r w:rsidR="00126633">
        <w:rPr>
          <w:rFonts w:ascii="Arial" w:hAnsi="Arial"/>
        </w:rPr>
        <w:t xml:space="preserve"> to measure it. </w:t>
      </w:r>
      <w:r w:rsidR="00CD47C9">
        <w:rPr>
          <w:rFonts w:ascii="Arial" w:hAnsi="Arial"/>
        </w:rPr>
        <w:t>While b</w:t>
      </w:r>
      <w:r w:rsidR="00126633">
        <w:rPr>
          <w:rFonts w:ascii="Arial" w:hAnsi="Arial"/>
        </w:rPr>
        <w:t>oth aspects</w:t>
      </w:r>
      <w:r w:rsidR="00713986">
        <w:rPr>
          <w:rFonts w:ascii="Arial" w:hAnsi="Arial"/>
        </w:rPr>
        <w:t xml:space="preserve"> may differ significantly between disorders, there are key principles that apply to all. </w:t>
      </w:r>
    </w:p>
    <w:p w14:paraId="141E0778" w14:textId="77777777" w:rsidR="00713986" w:rsidRDefault="00713986" w:rsidP="002579C0">
      <w:pPr>
        <w:spacing w:line="480" w:lineRule="auto"/>
        <w:rPr>
          <w:rFonts w:ascii="Arial" w:hAnsi="Arial"/>
        </w:rPr>
      </w:pPr>
    </w:p>
    <w:p w14:paraId="5EF64DDF" w14:textId="2A164D36" w:rsidR="007D7353" w:rsidRPr="00074D34" w:rsidRDefault="007D7353" w:rsidP="002579C0">
      <w:pPr>
        <w:spacing w:line="480" w:lineRule="auto"/>
        <w:rPr>
          <w:rFonts w:ascii="Arial" w:hAnsi="Arial"/>
          <w:i/>
        </w:rPr>
      </w:pPr>
      <w:r w:rsidRPr="00BA6CA4">
        <w:rPr>
          <w:rFonts w:ascii="Arial" w:hAnsi="Arial"/>
          <w:i/>
        </w:rPr>
        <w:t>What</w:t>
      </w:r>
      <w:r w:rsidRPr="00074D34">
        <w:rPr>
          <w:rFonts w:ascii="Arial" w:hAnsi="Arial"/>
          <w:i/>
        </w:rPr>
        <w:t xml:space="preserve"> to measure</w:t>
      </w:r>
    </w:p>
    <w:p w14:paraId="003EB026" w14:textId="14E5B369" w:rsidR="002579C0" w:rsidRPr="004343C3" w:rsidRDefault="00F155D6" w:rsidP="00BA6CA4">
      <w:pPr>
        <w:spacing w:line="480" w:lineRule="auto"/>
        <w:ind w:firstLine="720"/>
        <w:jc w:val="both"/>
        <w:rPr>
          <w:rFonts w:ascii="Arial" w:hAnsi="Arial"/>
        </w:rPr>
      </w:pPr>
      <w:r>
        <w:rPr>
          <w:rFonts w:ascii="Arial" w:hAnsi="Arial"/>
        </w:rPr>
        <w:t>S</w:t>
      </w:r>
      <w:r w:rsidR="006F7938">
        <w:rPr>
          <w:rFonts w:ascii="Arial" w:hAnsi="Arial"/>
        </w:rPr>
        <w:t>ymptoms</w:t>
      </w:r>
      <w:r>
        <w:rPr>
          <w:rFonts w:ascii="Arial" w:hAnsi="Arial"/>
        </w:rPr>
        <w:t xml:space="preserve"> of the disorder</w:t>
      </w:r>
      <w:r w:rsidR="006F7938">
        <w:rPr>
          <w:rFonts w:ascii="Arial" w:hAnsi="Arial"/>
        </w:rPr>
        <w:t xml:space="preserve"> are usually t</w:t>
      </w:r>
      <w:r w:rsidR="00126633">
        <w:rPr>
          <w:rFonts w:ascii="Arial" w:hAnsi="Arial"/>
        </w:rPr>
        <w:t xml:space="preserve">he most intuitive </w:t>
      </w:r>
      <w:r w:rsidR="00D330CC">
        <w:rPr>
          <w:rFonts w:ascii="Arial" w:hAnsi="Arial"/>
        </w:rPr>
        <w:t xml:space="preserve">aspect </w:t>
      </w:r>
      <w:r w:rsidR="006F7938">
        <w:rPr>
          <w:rFonts w:ascii="Arial" w:hAnsi="Arial"/>
        </w:rPr>
        <w:t xml:space="preserve">(domain) of disorders </w:t>
      </w:r>
      <w:r w:rsidR="00D330CC">
        <w:rPr>
          <w:rFonts w:ascii="Arial" w:hAnsi="Arial"/>
        </w:rPr>
        <w:t>to measure</w:t>
      </w:r>
      <w:r w:rsidR="00D37437">
        <w:rPr>
          <w:rFonts w:ascii="Arial" w:hAnsi="Arial"/>
        </w:rPr>
        <w:t>;</w:t>
      </w:r>
      <w:r w:rsidR="00D330CC">
        <w:rPr>
          <w:rFonts w:ascii="Arial" w:hAnsi="Arial"/>
        </w:rPr>
        <w:t xml:space="preserve"> </w:t>
      </w:r>
      <w:r w:rsidR="00CD47C9">
        <w:rPr>
          <w:rFonts w:ascii="Arial" w:hAnsi="Arial"/>
        </w:rPr>
        <w:t>however,</w:t>
      </w:r>
      <w:r w:rsidR="006C346F">
        <w:rPr>
          <w:rFonts w:ascii="Arial" w:hAnsi="Arial"/>
        </w:rPr>
        <w:t xml:space="preserve"> several other </w:t>
      </w:r>
      <w:r w:rsidR="007D7353">
        <w:rPr>
          <w:rFonts w:ascii="Arial" w:hAnsi="Arial"/>
        </w:rPr>
        <w:t xml:space="preserve">domains </w:t>
      </w:r>
      <w:r w:rsidR="002E22B5">
        <w:rPr>
          <w:rFonts w:ascii="Arial" w:hAnsi="Arial"/>
        </w:rPr>
        <w:t>may be</w:t>
      </w:r>
      <w:r w:rsidR="006F7938">
        <w:rPr>
          <w:rFonts w:ascii="Arial" w:hAnsi="Arial"/>
        </w:rPr>
        <w:t xml:space="preserve"> as </w:t>
      </w:r>
      <w:r w:rsidR="002E22B5">
        <w:rPr>
          <w:rFonts w:ascii="Arial" w:hAnsi="Arial"/>
        </w:rPr>
        <w:t xml:space="preserve">or more </w:t>
      </w:r>
      <w:r w:rsidR="00D330CC">
        <w:rPr>
          <w:rFonts w:ascii="Arial" w:hAnsi="Arial"/>
        </w:rPr>
        <w:t>meaningful</w:t>
      </w:r>
      <w:r w:rsidR="006C346F">
        <w:rPr>
          <w:rFonts w:ascii="Arial" w:hAnsi="Arial"/>
        </w:rPr>
        <w:t xml:space="preserve">. </w:t>
      </w:r>
      <w:r w:rsidR="00D330CC">
        <w:rPr>
          <w:rFonts w:ascii="Arial" w:hAnsi="Arial"/>
        </w:rPr>
        <w:t>At the</w:t>
      </w:r>
      <w:r w:rsidR="006F7938">
        <w:rPr>
          <w:rFonts w:ascii="Arial" w:hAnsi="Arial"/>
        </w:rPr>
        <w:t xml:space="preserve"> mechanistic </w:t>
      </w:r>
      <w:r w:rsidR="00D330CC">
        <w:rPr>
          <w:rFonts w:ascii="Arial" w:hAnsi="Arial"/>
        </w:rPr>
        <w:t>level</w:t>
      </w:r>
      <w:r w:rsidR="00966B20">
        <w:rPr>
          <w:rFonts w:ascii="Arial" w:hAnsi="Arial"/>
        </w:rPr>
        <w:t>,</w:t>
      </w:r>
      <w:r w:rsidR="00D330CC">
        <w:rPr>
          <w:rFonts w:ascii="Arial" w:hAnsi="Arial"/>
        </w:rPr>
        <w:t xml:space="preserve"> </w:t>
      </w:r>
      <w:r w:rsidR="006C346F">
        <w:rPr>
          <w:rFonts w:ascii="Arial" w:hAnsi="Arial"/>
        </w:rPr>
        <w:t>biomarkers of</w:t>
      </w:r>
      <w:r w:rsidR="006F7938">
        <w:rPr>
          <w:rFonts w:ascii="Arial" w:hAnsi="Arial"/>
        </w:rPr>
        <w:t xml:space="preserve"> </w:t>
      </w:r>
      <w:r w:rsidR="006C346F">
        <w:rPr>
          <w:rFonts w:ascii="Arial" w:hAnsi="Arial"/>
        </w:rPr>
        <w:t>dis</w:t>
      </w:r>
      <w:r w:rsidR="006F7938">
        <w:rPr>
          <w:rFonts w:ascii="Arial" w:hAnsi="Arial"/>
        </w:rPr>
        <w:t>orders</w:t>
      </w:r>
      <w:r w:rsidR="00F26557">
        <w:rPr>
          <w:rFonts w:ascii="Arial" w:hAnsi="Arial"/>
        </w:rPr>
        <w:t>, if known,</w:t>
      </w:r>
      <w:r w:rsidR="006F7938">
        <w:rPr>
          <w:rFonts w:ascii="Arial" w:hAnsi="Arial"/>
        </w:rPr>
        <w:t xml:space="preserve"> can</w:t>
      </w:r>
      <w:r w:rsidR="00D330CC">
        <w:rPr>
          <w:rFonts w:ascii="Arial" w:hAnsi="Arial"/>
        </w:rPr>
        <w:t xml:space="preserve"> be measured</w:t>
      </w:r>
      <w:r w:rsidR="00F26557">
        <w:rPr>
          <w:rFonts w:ascii="Arial" w:hAnsi="Arial"/>
        </w:rPr>
        <w:t>, e.g.</w:t>
      </w:r>
      <w:r w:rsidR="00D330CC">
        <w:rPr>
          <w:rFonts w:ascii="Arial" w:hAnsi="Arial"/>
        </w:rPr>
        <w:t xml:space="preserve"> </w:t>
      </w:r>
      <w:r w:rsidR="006F7938">
        <w:rPr>
          <w:rFonts w:ascii="Arial" w:hAnsi="Arial"/>
        </w:rPr>
        <w:t>acetylc</w:t>
      </w:r>
      <w:r w:rsidR="00D330CC">
        <w:rPr>
          <w:rFonts w:ascii="Arial" w:hAnsi="Arial"/>
        </w:rPr>
        <w:t>holine receptor antibod</w:t>
      </w:r>
      <w:r w:rsidR="006F7938">
        <w:rPr>
          <w:rFonts w:ascii="Arial" w:hAnsi="Arial"/>
        </w:rPr>
        <w:t>y level</w:t>
      </w:r>
      <w:r w:rsidR="00F26557">
        <w:rPr>
          <w:rFonts w:ascii="Arial" w:hAnsi="Arial"/>
        </w:rPr>
        <w:t>s in myasthenia gravis</w:t>
      </w:r>
      <w:r w:rsidR="006F7938">
        <w:rPr>
          <w:rFonts w:ascii="Arial" w:hAnsi="Arial"/>
        </w:rPr>
        <w:t xml:space="preserve">. Many </w:t>
      </w:r>
      <w:r w:rsidR="008F17AC">
        <w:rPr>
          <w:rFonts w:ascii="Arial" w:hAnsi="Arial"/>
        </w:rPr>
        <w:t>‘</w:t>
      </w:r>
      <w:r w:rsidR="006F7938">
        <w:rPr>
          <w:rFonts w:ascii="Arial" w:hAnsi="Arial"/>
        </w:rPr>
        <w:t>downstream</w:t>
      </w:r>
      <w:r w:rsidR="008F17AC">
        <w:rPr>
          <w:rFonts w:ascii="Arial" w:hAnsi="Arial"/>
        </w:rPr>
        <w:t>’</w:t>
      </w:r>
      <w:r w:rsidR="006F7938">
        <w:rPr>
          <w:rFonts w:ascii="Arial" w:hAnsi="Arial"/>
        </w:rPr>
        <w:t xml:space="preserve"> effects can also be measured </w:t>
      </w:r>
      <w:r w:rsidR="00F26557">
        <w:rPr>
          <w:rFonts w:ascii="Arial" w:hAnsi="Arial"/>
        </w:rPr>
        <w:t>in terms of how the disorder</w:t>
      </w:r>
      <w:r w:rsidR="006F7938">
        <w:rPr>
          <w:rFonts w:ascii="Arial" w:hAnsi="Arial"/>
        </w:rPr>
        <w:t xml:space="preserve"> affect</w:t>
      </w:r>
      <w:r w:rsidR="00F26557">
        <w:rPr>
          <w:rFonts w:ascii="Arial" w:hAnsi="Arial"/>
        </w:rPr>
        <w:t>s</w:t>
      </w:r>
      <w:r w:rsidR="006F7938">
        <w:rPr>
          <w:rFonts w:ascii="Arial" w:hAnsi="Arial"/>
        </w:rPr>
        <w:t xml:space="preserve"> physical function (e.g. ability to do daily tasks), social function</w:t>
      </w:r>
      <w:r w:rsidR="00CD47C9">
        <w:rPr>
          <w:rFonts w:ascii="Arial" w:hAnsi="Arial"/>
        </w:rPr>
        <w:t>,</w:t>
      </w:r>
      <w:r w:rsidR="006F7938">
        <w:rPr>
          <w:rFonts w:ascii="Arial" w:hAnsi="Arial"/>
        </w:rPr>
        <w:t xml:space="preserve"> and</w:t>
      </w:r>
      <w:r w:rsidR="006C346F">
        <w:rPr>
          <w:rFonts w:ascii="Arial" w:hAnsi="Arial"/>
        </w:rPr>
        <w:t xml:space="preserve"> quality of life</w:t>
      </w:r>
      <w:r w:rsidR="006F7938">
        <w:rPr>
          <w:rFonts w:ascii="Arial" w:hAnsi="Arial"/>
        </w:rPr>
        <w:t>.</w:t>
      </w:r>
    </w:p>
    <w:p w14:paraId="7083F6E9" w14:textId="7CEB6151" w:rsidR="002579C0" w:rsidRPr="002F3AF0" w:rsidRDefault="002579C0" w:rsidP="002F3AF0">
      <w:pPr>
        <w:spacing w:line="480" w:lineRule="auto"/>
        <w:ind w:firstLine="720"/>
        <w:jc w:val="both"/>
        <w:rPr>
          <w:rFonts w:ascii="Arial" w:hAnsi="Arial"/>
        </w:rPr>
      </w:pPr>
      <w:r>
        <w:rPr>
          <w:rFonts w:ascii="Arial" w:hAnsi="Arial"/>
        </w:rPr>
        <w:lastRenderedPageBreak/>
        <w:t xml:space="preserve">Since the inception of the biopsychosocial </w:t>
      </w:r>
      <w:r w:rsidR="006F7938">
        <w:rPr>
          <w:rFonts w:ascii="Arial" w:hAnsi="Arial"/>
        </w:rPr>
        <w:t>approach</w:t>
      </w:r>
      <w:r>
        <w:rPr>
          <w:rFonts w:ascii="Arial" w:hAnsi="Arial"/>
        </w:rPr>
        <w:t xml:space="preserve">, </w:t>
      </w:r>
      <w:r w:rsidR="006D6D00">
        <w:rPr>
          <w:rFonts w:ascii="Arial" w:hAnsi="Arial"/>
        </w:rPr>
        <w:t>populari</w:t>
      </w:r>
      <w:r w:rsidR="00D37437">
        <w:rPr>
          <w:rFonts w:ascii="Arial" w:hAnsi="Arial"/>
        </w:rPr>
        <w:t>z</w:t>
      </w:r>
      <w:r w:rsidR="006D6D00">
        <w:rPr>
          <w:rFonts w:ascii="Arial" w:hAnsi="Arial"/>
        </w:rPr>
        <w:t>ed by</w:t>
      </w:r>
      <w:r>
        <w:rPr>
          <w:rFonts w:ascii="Arial" w:hAnsi="Arial"/>
        </w:rPr>
        <w:t xml:space="preserve"> Engel’s classic paper in 1977</w:t>
      </w:r>
      <w:r>
        <w:rPr>
          <w:rFonts w:ascii="Arial" w:hAnsi="Arial"/>
        </w:rPr>
        <w:fldChar w:fldCharType="begin" w:fldLock="1"/>
      </w:r>
      <w:r w:rsidR="00763A14">
        <w:rPr>
          <w:rFonts w:ascii="Arial" w:hAnsi="Arial"/>
        </w:rPr>
        <w:instrText>ADDIN CSL_CITATION {"citationItems":[{"id":"ITEM-1","itemData":{"DOI":"10.1126/science.847460","ISSN":"00368075","abstract":"The dominant model of disease today is biomedical, and it leaves no room within tis framework for the social, psychological, and behavioral dimensions of illness. A biopsychosocial model is proposed that provides a blueprint for research, a framework for teaching, and a design for action in the real world of health care.","author":[{"dropping-particle":"","family":"Engel","given":"George L.","non-dropping-particle":"","parse-names":false,"suffix":""}],"container-title":"Science","id":"ITEM-1","issued":{"date-parts":[["1977"]]},"title":"The need for a new medical model: A challenge for biomedicine","type":"article-journal"},"uris":["http://www.mendeley.com/documents/?uuid=86ac38c8-4f07-4191-8e1b-0d03ef5d2617"]}],"mendeley":{"formattedCitation":"{17}","plainTextFormattedCitation":"{17}","previouslyFormattedCitation":"{17}"},"properties":{"noteIndex":0},"schema":"https://github.com/citation-style-language/schema/raw/master/csl-citation.json"}</w:instrText>
      </w:r>
      <w:r>
        <w:rPr>
          <w:rFonts w:ascii="Arial" w:hAnsi="Arial"/>
        </w:rPr>
        <w:fldChar w:fldCharType="separate"/>
      </w:r>
      <w:r w:rsidR="0028131B" w:rsidRPr="0028131B">
        <w:rPr>
          <w:rFonts w:ascii="Arial" w:hAnsi="Arial"/>
          <w:noProof/>
        </w:rPr>
        <w:t>{17}</w:t>
      </w:r>
      <w:r>
        <w:rPr>
          <w:rFonts w:ascii="Arial" w:hAnsi="Arial"/>
        </w:rPr>
        <w:fldChar w:fldCharType="end"/>
      </w:r>
      <w:r w:rsidR="006F7938">
        <w:rPr>
          <w:rFonts w:ascii="Arial" w:hAnsi="Arial"/>
        </w:rPr>
        <w:t>,</w:t>
      </w:r>
      <w:r>
        <w:rPr>
          <w:rFonts w:ascii="Arial" w:hAnsi="Arial"/>
        </w:rPr>
        <w:t xml:space="preserve"> there have been </w:t>
      </w:r>
      <w:r w:rsidR="006F7938">
        <w:rPr>
          <w:rFonts w:ascii="Arial" w:hAnsi="Arial"/>
        </w:rPr>
        <w:t>several</w:t>
      </w:r>
      <w:r>
        <w:rPr>
          <w:rFonts w:ascii="Arial" w:hAnsi="Arial"/>
        </w:rPr>
        <w:t xml:space="preserve"> attempts to classify outcomes</w:t>
      </w:r>
      <w:r w:rsidR="006D6D00">
        <w:rPr>
          <w:rFonts w:ascii="Arial" w:hAnsi="Arial"/>
        </w:rPr>
        <w:t xml:space="preserve"> in this manner</w:t>
      </w:r>
      <w:r>
        <w:rPr>
          <w:rFonts w:ascii="Arial" w:hAnsi="Arial"/>
        </w:rPr>
        <w:t xml:space="preserve">. </w:t>
      </w:r>
      <w:r w:rsidRPr="006A476C">
        <w:rPr>
          <w:rFonts w:ascii="Arial" w:hAnsi="Arial"/>
          <w:lang w:val="en-US"/>
        </w:rPr>
        <w:t>Wilson and Cleary'</w:t>
      </w:r>
      <w:r w:rsidR="006F7938">
        <w:rPr>
          <w:rFonts w:ascii="Arial" w:hAnsi="Arial"/>
          <w:lang w:val="en-US"/>
        </w:rPr>
        <w:t>s</w:t>
      </w:r>
      <w:r w:rsidRPr="006A476C">
        <w:rPr>
          <w:rFonts w:ascii="Arial" w:hAnsi="Arial"/>
          <w:lang w:val="en-US"/>
        </w:rPr>
        <w:t xml:space="preserve"> </w:t>
      </w:r>
      <w:r w:rsidR="006F7938">
        <w:rPr>
          <w:rFonts w:ascii="Arial" w:hAnsi="Arial"/>
          <w:lang w:val="en-US"/>
        </w:rPr>
        <w:t>‘</w:t>
      </w:r>
      <w:r w:rsidRPr="006A476C">
        <w:rPr>
          <w:rFonts w:ascii="Arial" w:hAnsi="Arial"/>
          <w:lang w:val="en-US"/>
        </w:rPr>
        <w:t>taxonomy</w:t>
      </w:r>
      <w:r w:rsidR="006F7938">
        <w:rPr>
          <w:rFonts w:ascii="Arial" w:hAnsi="Arial"/>
          <w:lang w:val="en-US"/>
        </w:rPr>
        <w:t>’</w:t>
      </w:r>
      <w:r w:rsidRPr="006A476C">
        <w:rPr>
          <w:rFonts w:ascii="Arial" w:hAnsi="Arial"/>
          <w:lang w:val="en-US"/>
        </w:rPr>
        <w:fldChar w:fldCharType="begin" w:fldLock="1"/>
      </w:r>
      <w:r w:rsidR="00763A14">
        <w:rPr>
          <w:rFonts w:ascii="Arial" w:hAnsi="Arial"/>
          <w:lang w:val="en-US"/>
        </w:rPr>
        <w:instrText>ADDIN CSL_CITATION {"citationItems":[{"id":"ITEM-1","itemData":{"DOI":"10.1001/jama.1995.03520250075037","ISSN":"0098-7484","author":[{"dropping-particle":"","family":"Wilson","given":"Ira B.","non-dropping-particle":"","parse-names":false,"suffix":""},{"dropping-particle":"","family":"Cleary","given":"Paul D.","non-dropping-particle":"","parse-names":false,"suffix":""},{"dropping-particle":"","family":"McDowell  I","given":"Newell C","non-dropping-particle":"","parse-names":false,"suffix":""},{"dropping-particle":"al","family":"Croog  SH","given":"Levine S, Testa MA, et","non-dropping-particle":"","parse-names":false,"suffix":""},{"dropping-particle":"al","family":"Bombardier  C","given":"Ware J, Russell IJ, et","non-dropping-particle":"","parse-names":false,"suffix":""},{"dropping-particle":"","family":"Group","given":"Canadian Erythropoietin Study","non-dropping-particle":"","parse-names":false,"suffix":""},{"dropping-particle":"al","family":"Cleary  PD","given":"Epstein AM, Oster G, et","non-dropping-particle":"","parse-names":false,"suffix":""},{"dropping-particle":"","family":"Parkerson  GR","given":"Broadhead WE, Tse CJ","non-dropping-particle":"","parse-names":false,"suffix":""},{"dropping-particle":"","family":"Hunt  SM","given":"McEwen J, McKenna SP","non-dropping-particle":"","parse-names":false,"suffix":""},{"dropping-particle":"","family":"Nelson  EC","given":"Wasson JH, Krik JW","non-dropping-particle":"","parse-names":false,"suffix":""},{"dropping-particle":"","family":"Stewart  AL","given":"Hays RD, Ware JE Jr","non-dropping-particle":"","parse-names":false,"suffix":""},{"dropping-particle":"","family":"McHorney  CA","given":"Ware JE, Rogers W, Raczek AE, Lu JFR","non-dropping-particle":"","parse-names":false,"suffix":""},{"dropping-particle":"","family":"Ware  JE","given":"Sherbourne CD","non-dropping-particle":"","parse-names":false,"suffix":""},{"dropping-particle":"","family":"McHorney  CA","given":"Ware JE Jr, Raczek AE","non-dropping-particle":"","parse-names":false,"suffix":""},{"dropping-particle":"","family":"McHorney  CA","given":"Ware JE, Lu JFR, Sherbourne CD","non-dropping-particle":"","parse-names":false,"suffix":""},{"dropping-particle":"","family":"M","given":"Bergner","non-dropping-particle":"","parse-names":false,"suffix":""},{"dropping-particle":"","family":"S","given":"Nagi","non-dropping-particle":"","parse-names":false,"suffix":""},{"dropping-particle":"","family":"Read  JL","given":"Quinn RJ, Hoefer MA","non-dropping-particle":"","parse-names":false,"suffix":""},{"dropping-particle":"","family":"Patrick  DL","given":"Bergner M","non-dropping-particle":"","parse-names":false,"suffix":""},{"dropping-particle":"","family":"LM","given":"Verbrugge","non-dropping-particle":"","parse-names":false,"suffix":""},{"dropping-particle":"","family":"Johnson  RJ","given":"Wolinsky FD","non-dropping-particle":"","parse-names":false,"suffix":""},{"dropping-particle":"","family":"Andrews  FM","given":"Withey SB","non-dropping-particle":"","parse-names":false,"suffix":""},{"dropping-particle":"","family":"Berg  RL","given":"Hallauer DS, Berk SN","non-dropping-particle":"","parse-names":false,"suffix":""},{"dropping-particle":"","family":"Burt  RS","given":"Wiley JA, Minor MJ, Murray JR","non-dropping-particle":"","parse-names":false,"suffix":""},{"dropping-particle":"","family":"JC","given":"Flanagan","non-dropping-particle":"","parse-names":false,"suffix":""},{"dropping-particle":"","family":"Patrick  DL","given":"Erickson P","non-dropping-particle":"","parse-names":false,"suffix":""},{"dropping-particle":"","family":"GW","given":"Torrance","non-dropping-particle":"","parse-names":false,"suffix":""},{"dropping-particle":"","family":"Guyatt  GH","given":"Feeny DH, Patrick DL","non-dropping-particle":"","parse-names":false,"suffix":""},{"dropping-particle":"","family":"JE","given":"Ware","non-dropping-particle":"","parse-names":false,"suffix":""},{"dropping-particle":"","family":"M","given":"Bergner","non-dropping-particle":"","parse-names":false,"suffix":""},{"dropping-particle":"","family":"Cleary  PD","given":"Greenfield S, McNeil BJ","non-dropping-particle":"","parse-names":false,"suffix":""},{"dropping-particle":"","family":"AL","given":"Stewart","non-dropping-particle":"","parse-names":false,"suffix":""},{"dropping-particle":"","family":"Guyatt  G","given":"Patrick D, Feeny D","non-dropping-particle":"","parse-names":false,"suffix":""},{"dropping-particle":"","family":"Guyatt  G","given":"Patrick D, Feeny D","non-dropping-particle":"","parse-names":false,"suffix":""},{"dropping-particle":"","family":"Ware  JE","given":"Brook RH, Davies AR, Lohr KN","non-dropping-particle":"","parse-names":false,"suffix":""},{"dropping-particle":"al","family":"Jette  AM","given":"Davies AR, Cleary PD, et","non-dropping-particle":"","parse-names":false,"suffix":""},{"dropping-particle":"","family":"JF","given":"Fries","non-dropping-particle":"","parse-names":false,"suffix":""},{"dropping-particle":"","family":"AR","given":"Feinstein","non-dropping-particle":"","parse-names":false,"suffix":""},{"dropping-particle":"","family":"JW","given":"Pennebaker","non-dropping-particle":"","parse-names":false,"suffix":""},{"dropping-particle":"","family":"Sherbourne  CD","given":"Allen HM, Kamberg CJ, Wells KB","non-dropping-particle":"","parse-names":false,"suffix":""},{"dropping-particle":"","family":"D","given":"Mechanic","non-dropping-particle":"","parse-names":false,"suffix":""},{"dropping-particle":"","family":"Mechanic  D","given":"Cleary PD, Greenley JR","non-dropping-particle":"","parse-names":false,"suffix":""},{"dropping-particle":"","family":"D","given":"Mechanic","non-dropping-particle":"","parse-names":false,"suffix":""},{"dropping-particle":"","family":"D","given":"Mechanic","non-dropping-particle":"","parse-names":false,"suffix":""},{"dropping-particle":"","family":"D","given":"Mechanic","non-dropping-particle":"","parse-names":false,"suffix":""},{"dropping-particle":"","family":"Cleary  PD","given":"Mechanic D, Greenley, JR","non-dropping-particle":"","parse-names":false,"suffix":""},{"dropping-particle":"","family":"Angel  R","given":"Cleary PD","non-dropping-particle":"","parse-names":false,"suffix":""},{"dropping-particle":"","family":"Barsky  AJ","given":"Cleary PD, Klerman GL","non-dropping-particle":"","parse-names":false,"suffix":""},{"dropping-particle":"","family":"Barsky  AJ","given":"Cleary PD, Sarnie MK, Klerman GL","non-dropping-particle":"","parse-names":false,"suffix":""},{"dropping-particle":"","family":"R","given":"Kellner","non-dropping-particle":"","parse-names":false,"suffix":""},{"dropping-particle":"","family":"Frimodt-Moller  PC","given":"Jensen KM, Iversen P, Madsen PO, Bruskewitz RC","non-dropping-particle":"","parse-names":false,"suffix":""},{"dropping-particle":"al","family":"Dwosh  IL","given":"Giles AR, Ford PM, et","non-dropping-particle":"","parse-names":false,"suffix":""},{"dropping-particle":"","family":"Alonso  J","given":"Anto JM, Gonzalez M, Fiz JA, Izquierdo J, Morera J","non-dropping-particle":"","parse-names":false,"suffix":""},{"dropping-particle":"","family":"Burdon  JGW","given":"Juniper EF, Killian KJ, Hargreave FE, Campbell EJM","non-dropping-particle":"","parse-names":false,"suffix":""},{"dropping-particle":"","family":"Mahler  DA","given":"Weinberg DH, Wells CK, Feinstein AR","non-dropping-particle":"","parse-names":false,"suffix":""},{"dropping-particle":"","family":"Mahler  DA","given":"Matthay RA, Snyder PE, Wells CK, Loke J","non-dropping-particle":"","parse-names":false,"suffix":""},{"dropping-particle":"","family":"Barsky  AJ","given":"Cleary PD, Sarnie MK, Ruskin JN","non-dropping-particle":"","parse-names":false,"suffix":""},{"dropping-particle":"","family":"Barsky  AJ","given":"Cleary PD, Barnett MA, Christiansen C, Ruskin JN","non-dropping-particle":"","parse-names":false,"suffix":""},{"dropping-particle":"","family":"Barsky  AJ","given":"Cleary PD, Brener J, Ruskin JN","non-dropping-particle":"","parse-names":false,"suffix":""},{"dropping-particle":"al","family":"Peterson  WL","given":"Sturdevant RAL, Frankl HD, et","non-dropping-particle":"","parse-names":false,"suffix":""},{"dropping-particle":"","family":"Hussar  AE","given":"Guller EJ","non-dropping-particle":"","parse-names":false,"suffix":""},{"dropping-particle":"","family":"Wiesel  SW","given":"Tsourmas N, Feffer HL, Citrin CM, Patronas N","non-dropping-particle":"","parse-names":false,"suffix":""},{"dropping-particle":"","family":"Boden  SD","given":"Davis DO, Dina TS, Patronas NJ, Wiesel SW","non-dropping-particle":"","parse-names":false,"suffix":""},{"dropping-particle":"","family":"Levkoff  SE","given":"Cleary PD, Wetle T","non-dropping-particle":"","parse-names":false,"suffix":""},{"dropping-particle":"","family":"DL","given":"Patrick","non-dropping-particle":"","parse-names":false,"suffix":""},{"dropping-particle":"","family":"Greenfield  S","given":"Nelson EC","non-dropping-particle":"","parse-names":false,"suffix":""},{"dropping-particle":"","family":"Laupacis  A","given":"Wong C, Churchill D","non-dropping-particle":"","parse-names":false,"suffix":""},{"dropping-particle":"","family":"Bombardier  C","given":"Raboud J","non-dropping-particle":"","parse-names":false,"suffix":""},{"dropping-particle":"","family":"Kaplan  RM","given":"Anderson JP, Wu AW, Mathews WC, Kozin F, Orenstein D","non-dropping-particle":"","parse-names":false,"suffix":""},{"dropping-particle":"al","family":"Cleary  PD","given":"Greenfield S, Mulley AG, et","non-dropping-particle":"","parse-names":false,"suffix":""},{"dropping-particle":"al","family":"Meenan  RM","given":"Anderson JJ, Kazis LE, et","non-dropping-particle":"","parse-names":false,"suffix":""},{"dropping-particle":"al","family":"Tugwell  P","given":"Bombardier C, Buchanan WW, et","non-dropping-particle":"","parse-names":false,"suffix":""},{"dropping-particle":"al","family":"Tugwell  P","given":"Bombardier C, Buchanan WW, et","non-dropping-particle":"","parse-names":false,"suffix":""},{"dropping-particle":"al","family":"Wassertheil-Smoller  S","given":"Blaufox D, Oberman A, et","non-dropping-particle":"","parse-names":false,"suffix":""},{"dropping-particle":"al","family":"Wachtel  T","given":"Piette J, Mor V, et","non-dropping-particle":"","parse-names":false,"suffix":""},{"dropping-particle":"","family":"Gelber  RD","given":"Goldhirsch A, Cavalli F","non-dropping-particle":"","parse-names":false,"suffix":""},{"dropping-particle":"al","family":"Gelber  RD","given":"Lenderking WR, Cotton DJ, et","non-dropping-particle":"","parse-names":false,"suffix":""},{"dropping-particle":"","family":"Lurie  N","given":"Ward NB, Shapiro MF, Brook RH","non-dropping-particle":"","parse-names":false,"suffix":""},{"dropping-particle":"","family":"Fowler  FJ","given":"Wennberg JE, Timothy RP, Barry MJ, Mulley AG, Hanley D","non-dropping-particle":"","parse-names":false,"suffix":""},{"dropping-particle":"","family":"Nerenz  DR","given":"Repasky DP, Whitehouse FW, Kahkonen DM","non-dropping-particle":"","parse-names":false,"suffix":""},{"dropping-particle":"al","family":"Cleary  PD","given":"Fowler FJ, Weissman J, et","non-dropping-particle":"","parse-names":false,"suffix":""},{"dropping-particle":"al","family":"Lenderking  WR","given":"Gelber RD, Cotton DJ, et","non-dropping-particle":"","parse-names":false,"suffix":""},{"dropping-particle":"","family":"Stewart  AL","given":"Ware JE Jr, eds","non-dropping-particle":"","parse-names":false,"suffix":""},{"dropping-particle":"","family":"Patrick  DL","given":"Erickson P","non-dropping-particle":"","parse-names":false,"suffix":""},{"dropping-particle":"","family":"Connelly  JE","given":"Philbrick JT, Smith GR, Kaiser DL, Wymer A","non-dropping-particle":"","parse-names":false,"suffix":""},{"dropping-particle":"","family":"Manning  WG","given":"Newhouse JP, Ware JE","non-dropping-particle":"","parse-names":false,"suffix":""},{"dropping-particle":"","family":"Wells  KB","given":"Manning WG, Duan N, Newhouse JP, Ware JE","non-dropping-particle":"","parse-names":false,"suffix":""},{"dropping-particle":"","family":"Berki  SE","given":"Ashcraft ML","non-dropping-particle":"","parse-names":false,"suffix":""},{"dropping-particle":"","family":"Idler  EL","given":"Kasl S","non-dropping-particle":"","parse-names":false,"suffix":""},{"dropping-particle":"","family":"Kaplan  GA","given":"Camacho T","non-dropping-particle":"","parse-names":false,"suffix":""},{"dropping-particle":"","family":"Idler  E","given":"Angel R","non-dropping-particle":"","parse-names":false,"suffix":""},{"dropping-particle":"","family":"Mossey  JM","given":"Shapiro E","non-dropping-particle":"","parse-names":false,"suffix":""},{"dropping-particle":"","family":"Idler  E","given":"Kasl SV, Lemke JH","non-dropping-particle":"","parse-names":false,"suffix":""},{"dropping-particle":"","family":"Kaplan  G","given":"Barell V, Lusky A","non-dropping-particle":"","parse-names":false,"suffix":""},{"dropping-particle":"","family":"TTH","given":"Wan","non-dropping-particle":"","parse-names":false,"suffix":""},{"dropping-particle":"","family":"Aneshensel  CS","given":"Frerichs RR, Huba GJ","non-dropping-particle":"","parse-names":false,"suffix":""},{"dropping-particle":"","family":"Blazer  DG","given":"Houpt JL","non-dropping-particle":"","parse-names":false,"suffix":""},{"dropping-particle":"","family":"Garrity  TF","given":"Somes GW, Marx MB","non-dropping-particle":"","parse-names":false,"suffix":""},{"dropping-particle":"","family":"GG","given":"Fillenbaum","non-dropping-particle":"","parse-names":false,"suffix":""},{"dropping-particle":"","family":"McCrae  RR","given":"Bartone PT, Costa PT","non-dropping-particle":"","parse-names":false,"suffix":""},{"dropping-particle":"","family":"Hessler  RM","given":"Kubish P, New PK, Ellison DL, Taylor FH","non-dropping-particle":"","parse-names":false,"suffix":""},{"dropping-particle":"","family":"Parkerson  GR","given":"Connis RT, Broadhead WE, Patrick DL, Taylor TR, Tse CJ","non-dropping-particle":"","parse-names":false,"suffix":""},{"dropping-particle":"","family":"E","given":"Diener","non-dropping-particle":"","parse-names":false,"suffix":""},{"dropping-particle":"","family":"CD","given":"Ryff","non-dropping-particle":"","parse-names":false,"suffix":""},{"dropping-particle":"","family":"R","given":"Veenhoven","non-dropping-particle":"","parse-names":false,"suffix":""},{"dropping-particle":"","family":"A","given":"Campbell","non-dropping-particle":"","parse-names":false,"suffix":""},{"dropping-particle":"","family":"Schwarz  N","given":"Strack F","non-dropping-particle":"","parse-names":false,"suffix":""},{"dropping-particle":"","family":"Patrick  DL","given":"Danis M, Doutherland LI, Hong G","non-dropping-particle":"","parse-names":false,"suffix":""},{"dropping-particle":"","family":"FJ","given":"Fowler","non-dropping-particle":"","parse-names":false,"suffix":""},{"dropping-particle":"","family":"JC","given":"Robinson","non-dropping-particle":"","parse-names":false,"suffix":""},{"dropping-particle":"","family":"B","given":"Fischhoff","non-dropping-particle":"","parse-names":false,"suffix":""},{"dropping-particle":"","family":"Froberg  DG","given":"Kane RL","non-dropping-particle":"","parse-names":false,"suffix":""},{"dropping-particle":"","family":"DA","given":"Revicki","non-dropping-particle":"","parse-names":false,"suffix":""},{"dropping-particle":"al","family":"Tsevat  J","given":"Goldman L, Lamas GA, et","non-dropping-particle":"","parse-names":false,"suffix":""},{"dropping-particle":"al","family":"Tsevat  J","given":"Weeks JC, Guadagnoli E, et","non-dropping-particle":"","parse-names":false,"suffix":""},{"dropping-particle":"","family":"Jr","given":"Mulley AG","non-dropping-particle":"","parse-names":false,"suffix":""},{"dropping-particle":"","family":"DA","given":"Lane","non-dropping-particle":"","parse-names":false,"suffix":""},{"dropping-particle":"","family":"Fowler  FJ Jr","given":"Cleary PD, Massagli MP, Weissman J, Epstein A","non-dropping-particle":"","parse-names":false,"suffix":""},{"dropping-particle":"","family":"SH","given":"Kaplan","non-dropping-particle":"","parse-names":false,"suffix":""},{"dropping-particle":"","family":"P","given":"Ellwood","non-dropping-particle":"","parse-names":false,"suffix":""},{"dropping-particle":"","family":"SO","given":"Thier","non-dropping-particle":"","parse-names":false,"suffix":""},{"dropping-particle":"","family":"Physicians","given":"American College of","non-dropping-particle":"","parse-names":false,"suffix":""},{"dropping-particle":"","family":"KN","given":"Lohr","non-dropping-particle":"","parse-names":false,"suffix":""},{"dropping-particle":"","family":"Nelson  EC","given":"Conger B, Douglass R","non-dropping-particle":"","parse-names":false,"suffix":""},{"dropping-particle":"al","family":"Calkins  DR","given":"Rubenstein LV, Cleary PD, et","non-dropping-particle":"","parse-names":false,"suffix":""},{"dropping-particle":"al","family":"Wasson  J","given":"Keller A, Rubenstein L, et","non-dropping-particle":"","parse-names":false,"suffix":""},{"dropping-particle":"","family":"Lefton  E","given":"Bonstelle S, Frengley JD","non-dropping-particle":"","parse-names":false,"suffix":""},{"dropping-particle":"","family":"Rubenstein  LZ","given":"Josephson KR, Wieland GD, English PA, Sayre JA, Kane RL","non-dropping-particle":"","parse-names":false,"suffix":""},{"dropping-particle":"","family":"Liem  PH","given":"Chernof FR, Carter WJ","non-dropping-particle":"","parse-names":false,"suffix":""},{"dropping-particle":"DE","family":"Applegate  WB","given":"Miller ST, Graney MJ, Elam JT, Burns R, Akins","non-dropping-particle":"","parse-names":false,"suffix":""},{"dropping-particle":"al","family":"Rubenstein  LV","given":"Calkins DR, Young RT, et","non-dropping-particle":"","parse-names":false,"suffix":""},{"dropping-particle":"","family":"Kazis  LE","given":"Callahan LF, Meenan RF, Pincus T","non-dropping-particle":"","parse-names":false,"suffix":""},{"dropping-particle":"","family":"Nelson  EC","given":"Berwick DM","non-dropping-particle":"","parse-names":false,"suffix":""}],"container-title":"JAMA","id":"ITEM-1","issue":"1","issued":{"date-parts":[["1995","1","4"]]},"page":"59","publisher":"American Medical Association","title":"Linking Clinical Variables With Health-Related Quality of Life","type":"article-journal","volume":"273"},"uris":["http://www.mendeley.com/documents/?uuid=3ab69277-b502-353f-974a-348a0a70d3fb"]}],"mendeley":{"formattedCitation":"{18}","plainTextFormattedCitation":"{18}","previouslyFormattedCitation":"{18}"},"properties":{"noteIndex":0},"schema":"https://github.com/citation-style-language/schema/raw/master/csl-citation.json"}</w:instrText>
      </w:r>
      <w:r w:rsidRPr="006A476C">
        <w:rPr>
          <w:rFonts w:ascii="Arial" w:hAnsi="Arial"/>
          <w:lang w:val="en-US"/>
        </w:rPr>
        <w:fldChar w:fldCharType="separate"/>
      </w:r>
      <w:r w:rsidR="0028131B" w:rsidRPr="0028131B">
        <w:rPr>
          <w:rFonts w:ascii="Arial" w:hAnsi="Arial"/>
          <w:noProof/>
          <w:lang w:val="en-US"/>
        </w:rPr>
        <w:t>{18}</w:t>
      </w:r>
      <w:r w:rsidRPr="006A476C">
        <w:rPr>
          <w:rFonts w:ascii="Arial" w:hAnsi="Arial"/>
          <w:lang w:val="en-US"/>
        </w:rPr>
        <w:fldChar w:fldCharType="end"/>
      </w:r>
      <w:r w:rsidR="0007421E">
        <w:rPr>
          <w:rFonts w:ascii="Arial" w:hAnsi="Arial"/>
        </w:rPr>
        <w:t xml:space="preserve"> identified</w:t>
      </w:r>
      <w:r w:rsidR="006F7938">
        <w:rPr>
          <w:rFonts w:ascii="Arial" w:hAnsi="Arial"/>
        </w:rPr>
        <w:t xml:space="preserve"> five domains</w:t>
      </w:r>
      <w:r w:rsidR="00E41C01">
        <w:rPr>
          <w:rFonts w:ascii="Arial" w:hAnsi="Arial"/>
        </w:rPr>
        <w:t>:</w:t>
      </w:r>
      <w:r w:rsidR="006F7938">
        <w:rPr>
          <w:rFonts w:ascii="Arial" w:hAnsi="Arial"/>
        </w:rPr>
        <w:t xml:space="preserve"> </w:t>
      </w:r>
      <w:r w:rsidR="0007421E">
        <w:rPr>
          <w:rFonts w:ascii="Arial" w:hAnsi="Arial"/>
        </w:rPr>
        <w:t>‘</w:t>
      </w:r>
      <w:r w:rsidRPr="006A476C">
        <w:rPr>
          <w:rFonts w:ascii="Arial" w:hAnsi="Arial"/>
        </w:rPr>
        <w:t xml:space="preserve">biological </w:t>
      </w:r>
      <w:r w:rsidR="006F7938">
        <w:rPr>
          <w:rFonts w:ascii="Arial" w:hAnsi="Arial"/>
        </w:rPr>
        <w:t>/</w:t>
      </w:r>
      <w:r w:rsidRPr="006A476C">
        <w:rPr>
          <w:rFonts w:ascii="Arial" w:hAnsi="Arial"/>
        </w:rPr>
        <w:t xml:space="preserve"> physiological</w:t>
      </w:r>
      <w:r w:rsidR="0007421E">
        <w:rPr>
          <w:rFonts w:ascii="Arial" w:hAnsi="Arial"/>
        </w:rPr>
        <w:t>’</w:t>
      </w:r>
      <w:r w:rsidR="006F7938">
        <w:rPr>
          <w:rFonts w:ascii="Arial" w:hAnsi="Arial"/>
        </w:rPr>
        <w:t xml:space="preserve">, </w:t>
      </w:r>
      <w:r w:rsidR="0007421E">
        <w:rPr>
          <w:rFonts w:ascii="Arial" w:hAnsi="Arial"/>
        </w:rPr>
        <w:t>‘</w:t>
      </w:r>
      <w:r w:rsidR="006F7938">
        <w:rPr>
          <w:rFonts w:ascii="Arial" w:hAnsi="Arial"/>
        </w:rPr>
        <w:t>symptom</w:t>
      </w:r>
      <w:r w:rsidR="0007421E">
        <w:rPr>
          <w:rFonts w:ascii="Arial" w:hAnsi="Arial"/>
        </w:rPr>
        <w:t>’</w:t>
      </w:r>
      <w:r w:rsidR="006F7938">
        <w:rPr>
          <w:rFonts w:ascii="Arial" w:hAnsi="Arial"/>
        </w:rPr>
        <w:t xml:space="preserve">, </w:t>
      </w:r>
      <w:r w:rsidR="0007421E">
        <w:rPr>
          <w:rFonts w:ascii="Arial" w:hAnsi="Arial"/>
        </w:rPr>
        <w:t>‘</w:t>
      </w:r>
      <w:r w:rsidR="006F7938">
        <w:rPr>
          <w:rFonts w:ascii="Arial" w:hAnsi="Arial"/>
        </w:rPr>
        <w:t>function</w:t>
      </w:r>
      <w:r w:rsidR="0007421E">
        <w:rPr>
          <w:rFonts w:ascii="Arial" w:hAnsi="Arial"/>
        </w:rPr>
        <w:t>’</w:t>
      </w:r>
      <w:r w:rsidR="006F7938">
        <w:rPr>
          <w:rFonts w:ascii="Arial" w:hAnsi="Arial"/>
        </w:rPr>
        <w:t xml:space="preserve">, </w:t>
      </w:r>
      <w:r w:rsidR="0007421E">
        <w:rPr>
          <w:rFonts w:ascii="Arial" w:hAnsi="Arial"/>
        </w:rPr>
        <w:t>‘</w:t>
      </w:r>
      <w:r w:rsidR="006F7938">
        <w:rPr>
          <w:rFonts w:ascii="Arial" w:hAnsi="Arial"/>
        </w:rPr>
        <w:t>health perception</w:t>
      </w:r>
      <w:r w:rsidR="0007421E">
        <w:rPr>
          <w:rFonts w:ascii="Arial" w:hAnsi="Arial"/>
        </w:rPr>
        <w:t>’</w:t>
      </w:r>
      <w:r w:rsidR="006F7938">
        <w:rPr>
          <w:rFonts w:ascii="Arial" w:hAnsi="Arial"/>
        </w:rPr>
        <w:t xml:space="preserve"> and </w:t>
      </w:r>
      <w:r w:rsidR="0007421E">
        <w:rPr>
          <w:rFonts w:ascii="Arial" w:hAnsi="Arial"/>
        </w:rPr>
        <w:t>‘</w:t>
      </w:r>
      <w:r w:rsidR="006F7938">
        <w:rPr>
          <w:rFonts w:ascii="Arial" w:hAnsi="Arial"/>
        </w:rPr>
        <w:t>quality of life</w:t>
      </w:r>
      <w:r w:rsidR="0007421E">
        <w:rPr>
          <w:rFonts w:ascii="Arial" w:hAnsi="Arial"/>
        </w:rPr>
        <w:t>’</w:t>
      </w:r>
      <w:r w:rsidR="006F7938">
        <w:rPr>
          <w:rFonts w:ascii="Arial" w:hAnsi="Arial"/>
        </w:rPr>
        <w:t>.</w:t>
      </w:r>
      <w:r w:rsidRPr="006A476C">
        <w:rPr>
          <w:rFonts w:ascii="Arial" w:hAnsi="Arial"/>
        </w:rPr>
        <w:t xml:space="preserve"> </w:t>
      </w:r>
      <w:r w:rsidRPr="00295734">
        <w:rPr>
          <w:rFonts w:ascii="Arial" w:hAnsi="Arial" w:cs="Arial"/>
        </w:rPr>
        <w:t>The</w:t>
      </w:r>
      <w:r w:rsidR="006F7938">
        <w:rPr>
          <w:rFonts w:ascii="Arial" w:hAnsi="Arial" w:cs="Arial"/>
        </w:rPr>
        <w:t xml:space="preserve"> </w:t>
      </w:r>
      <w:r w:rsidR="006F7938" w:rsidRPr="00295734">
        <w:rPr>
          <w:rFonts w:ascii="Arial" w:hAnsi="Arial" w:cs="Arial"/>
          <w:color w:val="000000"/>
          <w:lang w:val="en-US"/>
        </w:rPr>
        <w:t>W</w:t>
      </w:r>
      <w:r w:rsidR="006F7938">
        <w:rPr>
          <w:rFonts w:ascii="Arial" w:hAnsi="Arial" w:cs="Arial"/>
          <w:color w:val="000000"/>
          <w:lang w:val="en-US"/>
        </w:rPr>
        <w:t>orld Health Organization (W</w:t>
      </w:r>
      <w:r w:rsidR="006F7938" w:rsidRPr="00295734">
        <w:rPr>
          <w:rFonts w:ascii="Arial" w:hAnsi="Arial" w:cs="Arial"/>
          <w:color w:val="000000"/>
          <w:lang w:val="en-US"/>
        </w:rPr>
        <w:t>HO</w:t>
      </w:r>
      <w:r w:rsidR="006F7938">
        <w:rPr>
          <w:rFonts w:ascii="Arial" w:hAnsi="Arial" w:cs="Arial"/>
          <w:color w:val="000000"/>
          <w:lang w:val="en-US"/>
        </w:rPr>
        <w:t xml:space="preserve">) </w:t>
      </w:r>
      <w:r w:rsidR="008F17AC">
        <w:rPr>
          <w:rFonts w:ascii="Arial" w:hAnsi="Arial" w:cs="Arial"/>
          <w:color w:val="000000"/>
          <w:lang w:val="en-US"/>
        </w:rPr>
        <w:t xml:space="preserve">has </w:t>
      </w:r>
      <w:r w:rsidR="006F7938">
        <w:rPr>
          <w:rFonts w:ascii="Arial" w:hAnsi="Arial" w:cs="Arial"/>
          <w:color w:val="000000"/>
          <w:lang w:val="en-US"/>
        </w:rPr>
        <w:t>developed the</w:t>
      </w:r>
      <w:r w:rsidRPr="00295734">
        <w:rPr>
          <w:rFonts w:ascii="Arial" w:hAnsi="Arial" w:cs="Arial"/>
        </w:rPr>
        <w:t xml:space="preserve"> </w:t>
      </w:r>
      <w:r w:rsidRPr="00295734">
        <w:rPr>
          <w:rFonts w:ascii="Arial" w:hAnsi="Arial" w:cs="Arial"/>
          <w:color w:val="000000"/>
          <w:lang w:val="en-US"/>
        </w:rPr>
        <w:t>International Classification of Functioning, Disability and Healt</w:t>
      </w:r>
      <w:r w:rsidR="006F7938">
        <w:rPr>
          <w:rFonts w:ascii="Arial" w:hAnsi="Arial" w:cs="Arial"/>
          <w:color w:val="000000"/>
          <w:lang w:val="en-US"/>
        </w:rPr>
        <w:t>h</w:t>
      </w:r>
      <w:r w:rsidR="00966B20">
        <w:rPr>
          <w:rFonts w:ascii="Arial" w:hAnsi="Arial" w:cs="Arial"/>
          <w:color w:val="000000"/>
          <w:lang w:val="en-US"/>
        </w:rPr>
        <w:t>,</w:t>
      </w:r>
      <w:r w:rsidR="00A83066">
        <w:rPr>
          <w:rFonts w:ascii="Arial" w:hAnsi="Arial" w:cs="Arial"/>
          <w:color w:val="000000"/>
          <w:lang w:val="en-US"/>
        </w:rPr>
        <w:t xml:space="preserve"> which is</w:t>
      </w:r>
      <w:r w:rsidR="006F7938">
        <w:rPr>
          <w:rFonts w:ascii="Arial" w:hAnsi="Arial" w:cs="Arial"/>
          <w:color w:val="000000"/>
          <w:lang w:val="en-US"/>
        </w:rPr>
        <w:t xml:space="preserve"> </w:t>
      </w:r>
      <w:r w:rsidR="00D64EC7">
        <w:rPr>
          <w:rFonts w:ascii="Arial" w:hAnsi="Arial" w:cs="Arial"/>
          <w:color w:val="000000"/>
          <w:lang w:val="en-US"/>
        </w:rPr>
        <w:t>known as the ‘</w:t>
      </w:r>
      <w:r w:rsidRPr="00295734">
        <w:rPr>
          <w:rFonts w:ascii="Arial" w:hAnsi="Arial" w:cs="Arial"/>
          <w:color w:val="000000"/>
          <w:lang w:val="en-US"/>
        </w:rPr>
        <w:t>ICF</w:t>
      </w:r>
      <w:r w:rsidR="00D64EC7">
        <w:rPr>
          <w:rFonts w:ascii="Arial" w:hAnsi="Arial" w:cs="Arial"/>
          <w:color w:val="000000"/>
          <w:lang w:val="en-US"/>
        </w:rPr>
        <w:t>’</w:t>
      </w:r>
      <w:r w:rsidR="00A83066">
        <w:rPr>
          <w:rFonts w:ascii="Arial" w:hAnsi="Arial" w:cs="Arial"/>
          <w:color w:val="000000"/>
          <w:lang w:val="en-US"/>
        </w:rPr>
        <w:t xml:space="preserve"> to</w:t>
      </w:r>
      <w:r w:rsidR="00813B77">
        <w:rPr>
          <w:rFonts w:ascii="Arial" w:hAnsi="Arial" w:cs="Arial"/>
          <w:color w:val="000000"/>
          <w:lang w:val="en-US"/>
        </w:rPr>
        <w:t xml:space="preserve"> highlight its intended</w:t>
      </w:r>
      <w:r w:rsidR="00A83066">
        <w:rPr>
          <w:rFonts w:ascii="Arial" w:hAnsi="Arial" w:cs="Arial"/>
          <w:color w:val="000000"/>
          <w:lang w:val="en-US"/>
        </w:rPr>
        <w:t xml:space="preserve"> focus on function (rather than disability)</w:t>
      </w:r>
      <w:r w:rsidR="006F7938" w:rsidRPr="00295734">
        <w:rPr>
          <w:rFonts w:ascii="Arial" w:hAnsi="Arial" w:cs="Arial"/>
          <w:color w:val="000000"/>
          <w:lang w:val="en-US"/>
        </w:rPr>
        <w:fldChar w:fldCharType="begin" w:fldLock="1"/>
      </w:r>
      <w:r w:rsidR="00763A14">
        <w:rPr>
          <w:rFonts w:ascii="Arial" w:hAnsi="Arial" w:cs="Arial"/>
          <w:color w:val="000000"/>
          <w:lang w:val="en-US"/>
        </w:rPr>
        <w:instrText>ADDIN CSL_CITATION {"citationItems":[{"id":"ITEM-1","itemData":{"ISBN":"0963-8288 (Print)","PMID":"15164957","abstract":"PURPOSE: This paper describes the conceptual foundation and systematic framework of the International Classification of Functioning, Disability, and Health (ICF) as a mechanism for understanding the course and consequences of various health related states. The specific application of the ICF with persons with cognitive dysfunction is also presented. METHOD: A comprehensive literature review related to the conceptualization of the ICF, its classification scheme and coding process is presented. Information on cognitive disorders including prevalence, functional manifestations and the assessment of a person's cognitive functioning and the applicability of the ICF's holistic classification and coding of cognitive dysfunction within the components of body structure and function, activity and participation, and environmental attributes is also reviewed. CONCLUSION: The ICF has the potential to classify and interpret cognitive deficits on a global level and thereby reflects upon the overall health and functioning of the individual in major life activities. The coding system systematically organizes measures related to the person's cognitive status and the resulting functional outcomes. The ICF focuses on individuals' performance of activities in all aspects of life and validates the independence and well-being of persons with disabilities making it an important instrument to be used by rehabilitation professionals.","author":[{"dropping-particle":"","family":"Arthanat","given":"S","non-dropping-particle":"","parse-names":false,"suffix":""},{"dropping-particle":"","family":"Nochajski","given":"S M","non-dropping-particle":"","parse-names":false,"suffix":""},{"dropping-particle":"","family":"Stone","given":"J","non-dropping-particle":"","parse-names":false,"suffix":""}],"container-title":"Disabil Rehabil","edition":"2004/05/29","id":"ITEM-1","issue":"4","issued":{"date-parts":[["2004"]]},"language":"eng","note":"Arthanat, Sajay\nNochajski, Susan M\nStone, John\nReview\nEngland\nDisability and rehabilitation\nDisabil Rehabil. 2004 Feb 18;26(4):235-45.","page":"235-245","title":"The international classification of functioning, disability and health and its application to cognitive disorders","type":"article-journal","volume":"26"},"uris":["http://www.mendeley.com/documents/?uuid=b2fc934c-8744-46b1-b986-c610ae5d9ab4"]}],"mendeley":{"formattedCitation":"{19}","plainTextFormattedCitation":"{19}","previouslyFormattedCitation":"{19}"},"properties":{"noteIndex":0},"schema":"https://github.com/citation-style-language/schema/raw/master/csl-citation.json"}</w:instrText>
      </w:r>
      <w:r w:rsidR="006F7938" w:rsidRPr="00295734">
        <w:rPr>
          <w:rFonts w:ascii="Arial" w:hAnsi="Arial" w:cs="Arial"/>
          <w:color w:val="000000"/>
          <w:lang w:val="en-US"/>
        </w:rPr>
        <w:fldChar w:fldCharType="separate"/>
      </w:r>
      <w:r w:rsidR="0028131B" w:rsidRPr="0028131B">
        <w:rPr>
          <w:rFonts w:ascii="Arial" w:hAnsi="Arial" w:cs="Arial"/>
          <w:noProof/>
          <w:color w:val="000000"/>
          <w:lang w:val="en-US"/>
        </w:rPr>
        <w:t>{19}</w:t>
      </w:r>
      <w:r w:rsidR="006F7938" w:rsidRPr="00295734">
        <w:rPr>
          <w:rFonts w:ascii="Arial" w:hAnsi="Arial" w:cs="Arial"/>
          <w:color w:val="000000"/>
          <w:lang w:val="en-US"/>
        </w:rPr>
        <w:fldChar w:fldCharType="end"/>
      </w:r>
      <w:r w:rsidR="00813B77">
        <w:rPr>
          <w:rFonts w:ascii="Arial" w:hAnsi="Arial" w:cs="Arial"/>
          <w:color w:val="000000"/>
          <w:lang w:val="en-US"/>
        </w:rPr>
        <w:t>. The ICF</w:t>
      </w:r>
      <w:r w:rsidR="006F7938">
        <w:rPr>
          <w:rFonts w:ascii="Arial" w:hAnsi="Arial" w:cs="Arial"/>
          <w:color w:val="000000"/>
          <w:lang w:val="en-US"/>
        </w:rPr>
        <w:t xml:space="preserve"> </w:t>
      </w:r>
      <w:r w:rsidRPr="00295734">
        <w:rPr>
          <w:rFonts w:ascii="Arial" w:hAnsi="Arial" w:cs="Arial"/>
          <w:color w:val="000000"/>
          <w:lang w:val="en-US"/>
        </w:rPr>
        <w:t xml:space="preserve">describes three </w:t>
      </w:r>
      <w:r w:rsidR="00967FB7">
        <w:rPr>
          <w:rFonts w:ascii="Arial" w:hAnsi="Arial" w:cs="Arial"/>
          <w:color w:val="000000"/>
          <w:lang w:val="en-US"/>
        </w:rPr>
        <w:t xml:space="preserve">similar </w:t>
      </w:r>
      <w:r w:rsidRPr="00295734">
        <w:rPr>
          <w:rFonts w:ascii="Arial" w:hAnsi="Arial" w:cs="Arial"/>
          <w:color w:val="000000"/>
          <w:lang w:val="en-US"/>
        </w:rPr>
        <w:t>domains</w:t>
      </w:r>
      <w:r w:rsidR="00813B77">
        <w:rPr>
          <w:rFonts w:ascii="Arial" w:hAnsi="Arial" w:cs="Arial"/>
          <w:color w:val="000000"/>
          <w:lang w:val="en-US"/>
        </w:rPr>
        <w:t xml:space="preserve"> to Wilson and Cleary</w:t>
      </w:r>
      <w:r w:rsidR="00966B20">
        <w:rPr>
          <w:rFonts w:ascii="Arial" w:hAnsi="Arial" w:cs="Arial"/>
          <w:color w:val="000000"/>
          <w:lang w:val="en-US"/>
        </w:rPr>
        <w:t>:</w:t>
      </w:r>
      <w:r w:rsidRPr="00295734">
        <w:rPr>
          <w:rFonts w:ascii="Arial" w:hAnsi="Arial" w:cs="Arial"/>
          <w:color w:val="000000"/>
          <w:lang w:val="en-US"/>
        </w:rPr>
        <w:t xml:space="preserve"> </w:t>
      </w:r>
      <w:r w:rsidR="00967FB7">
        <w:rPr>
          <w:rFonts w:ascii="Arial" w:hAnsi="Arial" w:cs="Arial"/>
          <w:color w:val="000000"/>
          <w:lang w:val="en-US"/>
        </w:rPr>
        <w:t>‘body function / structure’ (</w:t>
      </w:r>
      <w:r w:rsidR="00047879">
        <w:rPr>
          <w:rFonts w:ascii="Arial" w:hAnsi="Arial" w:cs="Arial"/>
          <w:color w:val="000000"/>
          <w:lang w:val="en-US"/>
        </w:rPr>
        <w:t>corresponding</w:t>
      </w:r>
      <w:r w:rsidR="00967FB7">
        <w:rPr>
          <w:rFonts w:ascii="Arial" w:hAnsi="Arial" w:cs="Arial"/>
          <w:color w:val="000000"/>
          <w:lang w:val="en-US"/>
        </w:rPr>
        <w:t xml:space="preserve"> to biological / physiological), </w:t>
      </w:r>
      <w:r w:rsidRPr="00295734">
        <w:rPr>
          <w:rFonts w:ascii="Arial" w:hAnsi="Arial" w:cs="Arial"/>
          <w:color w:val="000000"/>
          <w:lang w:val="en-US"/>
        </w:rPr>
        <w:t>impairment</w:t>
      </w:r>
      <w:r w:rsidR="006F7938">
        <w:rPr>
          <w:rFonts w:ascii="Arial" w:hAnsi="Arial" w:cs="Arial"/>
          <w:color w:val="000000"/>
          <w:lang w:val="en-US"/>
        </w:rPr>
        <w:t xml:space="preserve"> (</w:t>
      </w:r>
      <w:r w:rsidR="00047879">
        <w:rPr>
          <w:rFonts w:ascii="Arial" w:hAnsi="Arial" w:cs="Arial"/>
          <w:color w:val="000000"/>
          <w:lang w:val="en-US"/>
        </w:rPr>
        <w:t>corresponding</w:t>
      </w:r>
      <w:r w:rsidR="006F7938">
        <w:rPr>
          <w:rFonts w:ascii="Arial" w:hAnsi="Arial" w:cs="Arial"/>
          <w:color w:val="000000"/>
          <w:lang w:val="en-US"/>
        </w:rPr>
        <w:t xml:space="preserve"> to symptoms)</w:t>
      </w:r>
      <w:r w:rsidRPr="00295734">
        <w:rPr>
          <w:rFonts w:ascii="Arial" w:hAnsi="Arial" w:cs="Arial"/>
          <w:color w:val="000000"/>
          <w:lang w:val="en-US"/>
        </w:rPr>
        <w:t xml:space="preserve">, </w:t>
      </w:r>
      <w:r w:rsidR="00967FB7">
        <w:rPr>
          <w:rFonts w:ascii="Arial" w:hAnsi="Arial" w:cs="Arial"/>
          <w:color w:val="000000"/>
          <w:lang w:val="en-US"/>
        </w:rPr>
        <w:t>‘</w:t>
      </w:r>
      <w:r w:rsidRPr="00295734">
        <w:rPr>
          <w:rFonts w:ascii="Arial" w:hAnsi="Arial" w:cs="Arial"/>
          <w:color w:val="000000"/>
          <w:lang w:val="en-US"/>
        </w:rPr>
        <w:t xml:space="preserve">activity </w:t>
      </w:r>
      <w:r>
        <w:rPr>
          <w:rFonts w:ascii="Arial" w:hAnsi="Arial" w:cs="Arial"/>
          <w:color w:val="000000"/>
          <w:lang w:val="en-US"/>
        </w:rPr>
        <w:t>limitation</w:t>
      </w:r>
      <w:r w:rsidR="00967FB7">
        <w:rPr>
          <w:rFonts w:ascii="Arial" w:hAnsi="Arial" w:cs="Arial"/>
          <w:color w:val="000000"/>
          <w:lang w:val="en-US"/>
        </w:rPr>
        <w:t>’</w:t>
      </w:r>
      <w:r w:rsidR="006F7938">
        <w:rPr>
          <w:rFonts w:ascii="Arial" w:hAnsi="Arial" w:cs="Arial"/>
          <w:color w:val="000000"/>
          <w:lang w:val="en-US"/>
        </w:rPr>
        <w:t xml:space="preserve"> (</w:t>
      </w:r>
      <w:r w:rsidR="00047879">
        <w:rPr>
          <w:rFonts w:ascii="Arial" w:hAnsi="Arial" w:cs="Arial"/>
          <w:color w:val="000000"/>
          <w:lang w:val="en-US"/>
        </w:rPr>
        <w:t>corresponding</w:t>
      </w:r>
      <w:r w:rsidR="006F7938">
        <w:rPr>
          <w:rFonts w:ascii="Arial" w:hAnsi="Arial" w:cs="Arial"/>
          <w:color w:val="000000"/>
          <w:lang w:val="en-US"/>
        </w:rPr>
        <w:t xml:space="preserve"> to function)</w:t>
      </w:r>
      <w:r w:rsidR="006D41BB">
        <w:rPr>
          <w:rFonts w:ascii="Arial" w:hAnsi="Arial" w:cs="Arial"/>
          <w:color w:val="000000"/>
          <w:lang w:val="en-US"/>
        </w:rPr>
        <w:t>. It also describes</w:t>
      </w:r>
      <w:r>
        <w:rPr>
          <w:rFonts w:ascii="Arial" w:hAnsi="Arial" w:cs="Arial"/>
          <w:color w:val="000000"/>
          <w:lang w:val="en-US"/>
        </w:rPr>
        <w:t xml:space="preserve"> </w:t>
      </w:r>
      <w:r w:rsidR="006D41BB">
        <w:rPr>
          <w:rFonts w:ascii="Arial" w:hAnsi="Arial" w:cs="Arial"/>
          <w:color w:val="000000"/>
          <w:lang w:val="en-US"/>
        </w:rPr>
        <w:t>the</w:t>
      </w:r>
      <w:r w:rsidR="00967FB7">
        <w:rPr>
          <w:rFonts w:ascii="Arial" w:hAnsi="Arial" w:cs="Arial"/>
          <w:color w:val="000000"/>
          <w:lang w:val="en-US"/>
        </w:rPr>
        <w:t xml:space="preserve"> additional domain of </w:t>
      </w:r>
      <w:r w:rsidR="006F7938">
        <w:rPr>
          <w:rFonts w:ascii="Arial" w:hAnsi="Arial" w:cs="Arial"/>
          <w:color w:val="000000"/>
          <w:lang w:val="en-US"/>
        </w:rPr>
        <w:t>‘</w:t>
      </w:r>
      <w:r>
        <w:rPr>
          <w:rFonts w:ascii="Arial" w:hAnsi="Arial" w:cs="Arial"/>
          <w:color w:val="000000"/>
          <w:lang w:val="en-US"/>
        </w:rPr>
        <w:t xml:space="preserve">participation </w:t>
      </w:r>
      <w:r w:rsidRPr="00295734">
        <w:rPr>
          <w:rFonts w:ascii="Arial" w:hAnsi="Arial" w:cs="Arial"/>
          <w:color w:val="000000"/>
          <w:lang w:val="en-US"/>
        </w:rPr>
        <w:t>restri</w:t>
      </w:r>
      <w:r>
        <w:rPr>
          <w:rFonts w:ascii="Arial" w:hAnsi="Arial" w:cs="Arial"/>
          <w:color w:val="000000"/>
          <w:lang w:val="en-US"/>
        </w:rPr>
        <w:t>ction</w:t>
      </w:r>
      <w:r w:rsidR="006F7938">
        <w:rPr>
          <w:rFonts w:ascii="Arial" w:hAnsi="Arial" w:cs="Arial"/>
          <w:color w:val="000000"/>
          <w:lang w:val="en-US"/>
        </w:rPr>
        <w:t>’</w:t>
      </w:r>
      <w:r w:rsidR="00967FB7">
        <w:rPr>
          <w:rFonts w:ascii="Arial" w:hAnsi="Arial" w:cs="Arial"/>
          <w:color w:val="000000"/>
          <w:lang w:val="en-US"/>
        </w:rPr>
        <w:t xml:space="preserve"> referring to</w:t>
      </w:r>
      <w:r w:rsidR="00813B77">
        <w:rPr>
          <w:rFonts w:ascii="Arial" w:hAnsi="Arial" w:cs="Arial"/>
          <w:color w:val="000000"/>
          <w:lang w:val="en-US"/>
        </w:rPr>
        <w:t xml:space="preserve"> the</w:t>
      </w:r>
      <w:r w:rsidR="00967FB7">
        <w:rPr>
          <w:rFonts w:ascii="Arial" w:hAnsi="Arial" w:cs="Arial"/>
          <w:color w:val="000000"/>
          <w:lang w:val="en-US"/>
        </w:rPr>
        <w:t xml:space="preserve"> inability to be involved in life situations – </w:t>
      </w:r>
      <w:r w:rsidR="006F7938">
        <w:rPr>
          <w:rFonts w:ascii="Arial" w:hAnsi="Arial" w:cs="Arial"/>
          <w:color w:val="000000"/>
          <w:lang w:val="en-US"/>
        </w:rPr>
        <w:t>for which</w:t>
      </w:r>
      <w:r w:rsidR="00CF59A1">
        <w:rPr>
          <w:rFonts w:ascii="Arial" w:hAnsi="Arial" w:cs="Arial"/>
          <w:color w:val="000000"/>
          <w:lang w:val="en-US"/>
        </w:rPr>
        <w:t xml:space="preserve"> both</w:t>
      </w:r>
      <w:r w:rsidR="006F7938">
        <w:rPr>
          <w:rFonts w:ascii="Arial" w:hAnsi="Arial" w:cs="Arial"/>
          <w:color w:val="000000"/>
          <w:lang w:val="en-US"/>
        </w:rPr>
        <w:t xml:space="preserve"> </w:t>
      </w:r>
      <w:r w:rsidR="0021190C">
        <w:rPr>
          <w:rFonts w:ascii="Arial" w:hAnsi="Arial" w:cs="Arial"/>
          <w:color w:val="000000"/>
          <w:lang w:val="en-US"/>
        </w:rPr>
        <w:t>neurological</w:t>
      </w:r>
      <w:r>
        <w:rPr>
          <w:rFonts w:ascii="Arial" w:hAnsi="Arial" w:cs="Arial"/>
          <w:color w:val="000000"/>
          <w:lang w:val="en-US"/>
        </w:rPr>
        <w:t xml:space="preserve"> and psychiatric examples are</w:t>
      </w:r>
      <w:r w:rsidR="006F7938">
        <w:rPr>
          <w:rFonts w:ascii="Arial" w:hAnsi="Arial" w:cs="Arial"/>
          <w:color w:val="000000"/>
          <w:lang w:val="en-US"/>
        </w:rPr>
        <w:t xml:space="preserve"> helpfully</w:t>
      </w:r>
      <w:r>
        <w:rPr>
          <w:rFonts w:ascii="Arial" w:hAnsi="Arial" w:cs="Arial"/>
          <w:color w:val="000000"/>
          <w:lang w:val="en-US"/>
        </w:rPr>
        <w:t xml:space="preserve"> given</w:t>
      </w:r>
      <w:r w:rsidR="00B2432E">
        <w:rPr>
          <w:rFonts w:ascii="Arial" w:hAnsi="Arial" w:cs="Arial"/>
          <w:color w:val="000000"/>
          <w:lang w:val="en-US"/>
        </w:rPr>
        <w:fldChar w:fldCharType="begin" w:fldLock="1"/>
      </w:r>
      <w:r w:rsidR="00763A14">
        <w:rPr>
          <w:rFonts w:ascii="Arial" w:hAnsi="Arial" w:cs="Arial"/>
          <w:color w:val="000000"/>
          <w:lang w:val="en-US"/>
        </w:rPr>
        <w:instrText>ADDIN CSL_CITATION {"citationItems":[{"id":"ITEM-1","itemData":{"URL":"https://www.who.int/classifications/icf/icfbeginnersguide.pdf","accessed":{"date-parts":[["2019","5","28"]]},"author":[{"dropping-particle":"","family":"WHO","given":"","non-dropping-particle":"","parse-names":false,"suffix":""}],"id":"ITEM-1","issued":{"date-parts":[["2002"]]},"title":"ICF Beginners Guide","type":"webpage"},"uris":["http://www.mendeley.com/documents/?uuid=7c8f0c1c-295c-4824-a08e-c7a29d9b191c","http://www.mendeley.com/documents/?uuid=5b19367c-4295-4095-a1d3-0d2afb640dc6"]}],"mendeley":{"formattedCitation":"{20}","plainTextFormattedCitation":"{20}","previouslyFormattedCitation":"{20}"},"properties":{"noteIndex":0},"schema":"https://github.com/citation-style-language/schema/raw/master/csl-citation.json"}</w:instrText>
      </w:r>
      <w:r w:rsidR="00B2432E">
        <w:rPr>
          <w:rFonts w:ascii="Arial" w:hAnsi="Arial" w:cs="Arial"/>
          <w:color w:val="000000"/>
          <w:lang w:val="en-US"/>
        </w:rPr>
        <w:fldChar w:fldCharType="separate"/>
      </w:r>
      <w:r w:rsidR="0028131B" w:rsidRPr="0028131B">
        <w:rPr>
          <w:rFonts w:ascii="Arial" w:hAnsi="Arial" w:cs="Arial"/>
          <w:noProof/>
          <w:color w:val="000000"/>
          <w:lang w:val="en-US"/>
        </w:rPr>
        <w:t>{20}</w:t>
      </w:r>
      <w:r w:rsidR="00B2432E">
        <w:rPr>
          <w:rFonts w:ascii="Arial" w:hAnsi="Arial" w:cs="Arial"/>
          <w:color w:val="000000"/>
          <w:lang w:val="en-US"/>
        </w:rPr>
        <w:fldChar w:fldCharType="end"/>
      </w:r>
      <w:r w:rsidR="006F7938">
        <w:rPr>
          <w:rFonts w:ascii="Arial" w:hAnsi="Arial" w:cs="Arial"/>
          <w:color w:val="000000"/>
          <w:lang w:val="en-US"/>
        </w:rPr>
        <w:t xml:space="preserve">. </w:t>
      </w:r>
      <w:r>
        <w:rPr>
          <w:rFonts w:ascii="Arial" w:hAnsi="Arial" w:cs="Arial"/>
          <w:color w:val="000000"/>
          <w:lang w:val="en-US"/>
        </w:rPr>
        <w:t xml:space="preserve"> </w:t>
      </w:r>
      <w:r w:rsidR="006F7938">
        <w:rPr>
          <w:rFonts w:ascii="Arial" w:hAnsi="Arial" w:cs="Arial"/>
          <w:color w:val="000000"/>
          <w:lang w:val="en-US"/>
        </w:rPr>
        <w:t>S</w:t>
      </w:r>
      <w:r>
        <w:rPr>
          <w:rFonts w:ascii="Arial" w:hAnsi="Arial" w:cs="Arial"/>
          <w:color w:val="000000"/>
          <w:lang w:val="en-US"/>
        </w:rPr>
        <w:t xml:space="preserve">pinal injury </w:t>
      </w:r>
      <w:r w:rsidR="00000952">
        <w:rPr>
          <w:rFonts w:ascii="Arial" w:hAnsi="Arial" w:cs="Arial"/>
          <w:color w:val="000000"/>
          <w:lang w:val="en-US"/>
        </w:rPr>
        <w:t>associated</w:t>
      </w:r>
      <w:r>
        <w:rPr>
          <w:rFonts w:ascii="Arial" w:hAnsi="Arial" w:cs="Arial"/>
          <w:color w:val="000000"/>
          <w:lang w:val="en-US"/>
        </w:rPr>
        <w:t xml:space="preserve"> paralysis</w:t>
      </w:r>
      <w:r w:rsidR="00D64EC7">
        <w:rPr>
          <w:rFonts w:ascii="Arial" w:hAnsi="Arial" w:cs="Arial"/>
          <w:color w:val="000000"/>
          <w:lang w:val="en-US"/>
        </w:rPr>
        <w:t xml:space="preserve"> can</w:t>
      </w:r>
      <w:r w:rsidR="006F7938">
        <w:rPr>
          <w:rFonts w:ascii="Arial" w:hAnsi="Arial" w:cs="Arial"/>
          <w:color w:val="000000"/>
          <w:lang w:val="en-US"/>
        </w:rPr>
        <w:t xml:space="preserve"> </w:t>
      </w:r>
      <w:r>
        <w:rPr>
          <w:rFonts w:ascii="Arial" w:hAnsi="Arial" w:cs="Arial"/>
          <w:color w:val="000000"/>
          <w:lang w:val="en-US"/>
        </w:rPr>
        <w:t>l</w:t>
      </w:r>
      <w:r w:rsidR="00D64EC7">
        <w:rPr>
          <w:rFonts w:ascii="Arial" w:hAnsi="Arial" w:cs="Arial"/>
          <w:color w:val="000000"/>
          <w:lang w:val="en-US"/>
        </w:rPr>
        <w:t>imit</w:t>
      </w:r>
      <w:r>
        <w:rPr>
          <w:rFonts w:ascii="Arial" w:hAnsi="Arial" w:cs="Arial"/>
          <w:color w:val="000000"/>
          <w:lang w:val="en-US"/>
        </w:rPr>
        <w:t xml:space="preserve"> activit</w:t>
      </w:r>
      <w:r w:rsidR="006F7938">
        <w:rPr>
          <w:rFonts w:ascii="Arial" w:hAnsi="Arial" w:cs="Arial"/>
          <w:color w:val="000000"/>
          <w:lang w:val="en-US"/>
        </w:rPr>
        <w:t>ies</w:t>
      </w:r>
      <w:r>
        <w:rPr>
          <w:rFonts w:ascii="Arial" w:hAnsi="Arial" w:cs="Arial"/>
          <w:color w:val="000000"/>
          <w:lang w:val="en-US"/>
        </w:rPr>
        <w:t xml:space="preserve"> such as </w:t>
      </w:r>
      <w:r w:rsidR="006F7938">
        <w:rPr>
          <w:rFonts w:ascii="Arial" w:hAnsi="Arial" w:cs="Arial"/>
          <w:color w:val="000000"/>
          <w:lang w:val="en-US"/>
        </w:rPr>
        <w:t>using</w:t>
      </w:r>
      <w:r>
        <w:rPr>
          <w:rFonts w:ascii="Arial" w:hAnsi="Arial" w:cs="Arial"/>
          <w:color w:val="000000"/>
          <w:lang w:val="en-US"/>
        </w:rPr>
        <w:t xml:space="preserve"> public transport</w:t>
      </w:r>
      <w:r w:rsidR="00000952">
        <w:rPr>
          <w:rFonts w:ascii="Arial" w:hAnsi="Arial" w:cs="Arial"/>
          <w:color w:val="000000"/>
          <w:lang w:val="en-US"/>
        </w:rPr>
        <w:t>ation</w:t>
      </w:r>
      <w:r>
        <w:rPr>
          <w:rFonts w:ascii="Arial" w:hAnsi="Arial" w:cs="Arial"/>
          <w:color w:val="000000"/>
          <w:lang w:val="en-US"/>
        </w:rPr>
        <w:t xml:space="preserve"> and</w:t>
      </w:r>
      <w:r w:rsidR="006D41BB">
        <w:rPr>
          <w:rFonts w:ascii="Arial" w:hAnsi="Arial" w:cs="Arial"/>
          <w:color w:val="000000"/>
          <w:lang w:val="en-US"/>
        </w:rPr>
        <w:t xml:space="preserve"> therefore</w:t>
      </w:r>
      <w:r w:rsidR="005E5368">
        <w:rPr>
          <w:rFonts w:ascii="Arial" w:hAnsi="Arial" w:cs="Arial"/>
          <w:color w:val="000000"/>
          <w:lang w:val="en-US"/>
        </w:rPr>
        <w:t xml:space="preserve"> </w:t>
      </w:r>
      <w:r>
        <w:rPr>
          <w:rFonts w:ascii="Arial" w:hAnsi="Arial" w:cs="Arial"/>
          <w:color w:val="000000"/>
          <w:lang w:val="en-US"/>
        </w:rPr>
        <w:t xml:space="preserve">participation </w:t>
      </w:r>
      <w:r w:rsidR="006F7938">
        <w:rPr>
          <w:rFonts w:ascii="Arial" w:hAnsi="Arial" w:cs="Arial"/>
          <w:color w:val="000000"/>
          <w:lang w:val="en-US"/>
        </w:rPr>
        <w:t>in</w:t>
      </w:r>
      <w:r w:rsidR="00967FB7">
        <w:rPr>
          <w:rFonts w:ascii="Arial" w:hAnsi="Arial" w:cs="Arial"/>
          <w:color w:val="000000"/>
          <w:lang w:val="en-US"/>
        </w:rPr>
        <w:t xml:space="preserve"> religious</w:t>
      </w:r>
      <w:r>
        <w:rPr>
          <w:rFonts w:ascii="Arial" w:hAnsi="Arial" w:cs="Arial"/>
          <w:color w:val="000000"/>
          <w:lang w:val="en-US"/>
        </w:rPr>
        <w:t xml:space="preserve"> activities</w:t>
      </w:r>
      <w:r w:rsidR="00824164">
        <w:rPr>
          <w:rFonts w:ascii="Arial" w:hAnsi="Arial" w:cs="Arial"/>
          <w:color w:val="000000"/>
          <w:lang w:val="en-US"/>
        </w:rPr>
        <w:t>. P</w:t>
      </w:r>
      <w:r>
        <w:rPr>
          <w:rFonts w:ascii="Arial" w:hAnsi="Arial" w:cs="Arial"/>
          <w:color w:val="000000"/>
          <w:lang w:val="en-US"/>
        </w:rPr>
        <w:t>anic disorder</w:t>
      </w:r>
      <w:r w:rsidR="00D64EC7">
        <w:rPr>
          <w:rFonts w:ascii="Arial" w:hAnsi="Arial" w:cs="Arial"/>
          <w:color w:val="000000"/>
          <w:lang w:val="en-US"/>
        </w:rPr>
        <w:t xml:space="preserve"> can</w:t>
      </w:r>
      <w:r>
        <w:rPr>
          <w:rFonts w:ascii="Arial" w:hAnsi="Arial" w:cs="Arial"/>
          <w:color w:val="000000"/>
          <w:lang w:val="en-US"/>
        </w:rPr>
        <w:t xml:space="preserve"> </w:t>
      </w:r>
      <w:r w:rsidR="00D64EC7">
        <w:rPr>
          <w:rFonts w:ascii="Arial" w:hAnsi="Arial" w:cs="Arial"/>
          <w:color w:val="000000"/>
          <w:lang w:val="en-US"/>
        </w:rPr>
        <w:t>limit</w:t>
      </w:r>
      <w:r w:rsidR="006F7938">
        <w:rPr>
          <w:rFonts w:ascii="Arial" w:hAnsi="Arial" w:cs="Arial"/>
          <w:color w:val="000000"/>
          <w:lang w:val="en-US"/>
        </w:rPr>
        <w:t xml:space="preserve"> activities such as</w:t>
      </w:r>
      <w:r>
        <w:rPr>
          <w:rFonts w:ascii="Arial" w:hAnsi="Arial" w:cs="Arial"/>
          <w:color w:val="000000"/>
          <w:lang w:val="en-US"/>
        </w:rPr>
        <w:t xml:space="preserve"> being able to go out and</w:t>
      </w:r>
      <w:r w:rsidR="006D41BB">
        <w:rPr>
          <w:rFonts w:ascii="Arial" w:hAnsi="Arial" w:cs="Arial"/>
          <w:color w:val="000000"/>
          <w:lang w:val="en-US"/>
        </w:rPr>
        <w:t xml:space="preserve"> therefore</w:t>
      </w:r>
      <w:r>
        <w:rPr>
          <w:rFonts w:ascii="Arial" w:hAnsi="Arial" w:cs="Arial"/>
          <w:color w:val="000000"/>
          <w:lang w:val="en-US"/>
        </w:rPr>
        <w:t xml:space="preserve"> participation </w:t>
      </w:r>
      <w:r w:rsidR="006F7938">
        <w:rPr>
          <w:rFonts w:ascii="Arial" w:hAnsi="Arial" w:cs="Arial"/>
          <w:color w:val="000000"/>
          <w:lang w:val="en-US"/>
        </w:rPr>
        <w:t>in</w:t>
      </w:r>
      <w:r>
        <w:rPr>
          <w:rFonts w:ascii="Arial" w:hAnsi="Arial" w:cs="Arial"/>
          <w:color w:val="000000"/>
          <w:lang w:val="en-US"/>
        </w:rPr>
        <w:t xml:space="preserve"> social relationships</w:t>
      </w:r>
      <w:r w:rsidR="00966B20">
        <w:rPr>
          <w:rFonts w:ascii="Arial" w:hAnsi="Arial" w:cs="Arial"/>
          <w:color w:val="000000"/>
          <w:lang w:val="en-US"/>
        </w:rPr>
        <w:t>,</w:t>
      </w:r>
      <w:r w:rsidR="006F7938">
        <w:rPr>
          <w:rFonts w:ascii="Arial" w:hAnsi="Arial" w:cs="Arial"/>
          <w:color w:val="000000"/>
          <w:lang w:val="en-US"/>
        </w:rPr>
        <w:t xml:space="preserve"> both</w:t>
      </w:r>
      <w:r>
        <w:rPr>
          <w:rFonts w:ascii="Arial" w:hAnsi="Arial" w:cs="Arial"/>
          <w:color w:val="000000"/>
          <w:lang w:val="en-US"/>
        </w:rPr>
        <w:t xml:space="preserve"> </w:t>
      </w:r>
      <w:r w:rsidR="006F7938">
        <w:rPr>
          <w:rFonts w:ascii="Arial" w:hAnsi="Arial" w:cs="Arial"/>
          <w:color w:val="000000"/>
          <w:lang w:val="en-US"/>
        </w:rPr>
        <w:t>due to symptoms themselves</w:t>
      </w:r>
      <w:r w:rsidR="005E5368">
        <w:rPr>
          <w:rFonts w:ascii="Arial" w:hAnsi="Arial" w:cs="Arial"/>
          <w:color w:val="000000"/>
          <w:lang w:val="en-US"/>
        </w:rPr>
        <w:t xml:space="preserve"> </w:t>
      </w:r>
      <w:r w:rsidR="00966B20">
        <w:rPr>
          <w:rFonts w:ascii="Arial" w:hAnsi="Arial" w:cs="Arial"/>
          <w:color w:val="000000"/>
          <w:lang w:val="en-US"/>
        </w:rPr>
        <w:t xml:space="preserve">and </w:t>
      </w:r>
      <w:r w:rsidR="006F7938">
        <w:rPr>
          <w:rFonts w:ascii="Arial" w:hAnsi="Arial" w:cs="Arial"/>
          <w:color w:val="000000"/>
          <w:lang w:val="en-US"/>
        </w:rPr>
        <w:t>also people’s reactions to them</w:t>
      </w:r>
      <w:r w:rsidR="006D41BB">
        <w:rPr>
          <w:rFonts w:ascii="Arial" w:hAnsi="Arial" w:cs="Arial"/>
          <w:color w:val="000000"/>
          <w:lang w:val="en-US"/>
        </w:rPr>
        <w:t xml:space="preserve"> -</w:t>
      </w:r>
      <w:r w:rsidR="00D64EC7">
        <w:rPr>
          <w:rFonts w:ascii="Arial" w:hAnsi="Arial" w:cs="Arial"/>
          <w:color w:val="000000"/>
          <w:lang w:val="en-US"/>
        </w:rPr>
        <w:t xml:space="preserve"> thereby accounting for more complex so</w:t>
      </w:r>
      <w:r w:rsidR="008F17AC">
        <w:rPr>
          <w:rFonts w:ascii="Arial" w:hAnsi="Arial" w:cs="Arial"/>
          <w:color w:val="000000"/>
          <w:lang w:val="en-US"/>
        </w:rPr>
        <w:t>cial factors and</w:t>
      </w:r>
      <w:r w:rsidR="00D64EC7">
        <w:rPr>
          <w:rFonts w:ascii="Arial" w:hAnsi="Arial" w:cs="Arial"/>
          <w:color w:val="000000"/>
          <w:lang w:val="en-US"/>
        </w:rPr>
        <w:t xml:space="preserve"> interactions</w:t>
      </w:r>
      <w:r w:rsidR="006F7938">
        <w:rPr>
          <w:rFonts w:ascii="Arial" w:hAnsi="Arial" w:cs="Arial"/>
          <w:color w:val="000000"/>
          <w:lang w:val="en-US"/>
        </w:rPr>
        <w:t>.</w:t>
      </w:r>
      <w:r w:rsidR="009974CA">
        <w:rPr>
          <w:rFonts w:ascii="Arial" w:hAnsi="Arial" w:cs="Arial"/>
          <w:color w:val="000000"/>
          <w:lang w:val="en-US"/>
        </w:rPr>
        <w:t xml:space="preserve"> </w:t>
      </w:r>
    </w:p>
    <w:p w14:paraId="373843F7" w14:textId="2C023493" w:rsidR="002579C0" w:rsidRPr="00A83066" w:rsidRDefault="00E00CB4" w:rsidP="00C33CA7">
      <w:pPr>
        <w:spacing w:line="480" w:lineRule="auto"/>
        <w:ind w:firstLine="720"/>
        <w:jc w:val="both"/>
        <w:rPr>
          <w:rFonts w:ascii="Arial" w:hAnsi="Arial"/>
        </w:rPr>
      </w:pPr>
      <w:r>
        <w:rPr>
          <w:rFonts w:ascii="Arial" w:hAnsi="Arial"/>
        </w:rPr>
        <w:t xml:space="preserve">The </w:t>
      </w:r>
      <w:r w:rsidR="0032751C" w:rsidRPr="006A476C">
        <w:rPr>
          <w:rFonts w:ascii="Arial" w:hAnsi="Arial"/>
        </w:rPr>
        <w:t>COMET</w:t>
      </w:r>
      <w:r w:rsidR="005A5ED7">
        <w:rPr>
          <w:rFonts w:ascii="Arial" w:hAnsi="Arial"/>
        </w:rPr>
        <w:t xml:space="preserve"> </w:t>
      </w:r>
      <w:r>
        <w:rPr>
          <w:rFonts w:ascii="Arial" w:hAnsi="Arial"/>
        </w:rPr>
        <w:t xml:space="preserve">initiative </w:t>
      </w:r>
      <w:r w:rsidR="005A5ED7">
        <w:rPr>
          <w:rFonts w:ascii="Arial" w:hAnsi="Arial"/>
        </w:rPr>
        <w:t>recently reviewed existing outcome measure systems</w:t>
      </w:r>
      <w:r>
        <w:rPr>
          <w:rFonts w:ascii="Arial" w:hAnsi="Arial"/>
        </w:rPr>
        <w:t xml:space="preserve"> with a focus on</w:t>
      </w:r>
      <w:r w:rsidR="004D37A1">
        <w:rPr>
          <w:rFonts w:ascii="Arial" w:hAnsi="Arial"/>
        </w:rPr>
        <w:t xml:space="preserve"> use in</w:t>
      </w:r>
      <w:r>
        <w:rPr>
          <w:rFonts w:ascii="Arial" w:hAnsi="Arial"/>
        </w:rPr>
        <w:t xml:space="preserve"> </w:t>
      </w:r>
      <w:r w:rsidR="007A0E81">
        <w:rPr>
          <w:rFonts w:ascii="Arial" w:hAnsi="Arial"/>
        </w:rPr>
        <w:t>clinical</w:t>
      </w:r>
      <w:r>
        <w:rPr>
          <w:rFonts w:ascii="Arial" w:hAnsi="Arial"/>
        </w:rPr>
        <w:t xml:space="preserve"> trials</w:t>
      </w:r>
      <w:r w:rsidR="0032751C" w:rsidRPr="006A476C">
        <w:rPr>
          <w:rFonts w:ascii="Arial" w:hAnsi="Arial"/>
        </w:rPr>
        <w:fldChar w:fldCharType="begin" w:fldLock="1"/>
      </w:r>
      <w:r w:rsidR="00763A14">
        <w:rPr>
          <w:rFonts w:ascii="Arial" w:hAnsi="Arial"/>
        </w:rPr>
        <w:instrText>ADDIN CSL_CITATION {"citationItems":[{"id":"ITEM-1","itemData":{"DOI":"10.1016/j.jclinepi.2017.12.020","ISSN":"18785921","PMID":"29288712","abstract":"Objectives: There is increasing recognition that insufficient attention has been paid to the choice of outcomes measured in clinical trials. The lack of a standardized outcome classification system results in inconsistencies due to ambiguity and variation in how outcomes are described across different studies. Being able to classify by outcome would increase efficiency in searching sources such as clinical trial registries, patient registries, the Cochrane Database of Systematic Reviews, and the Core Outcome Measures in Effectiveness Trials (COMET) database of core outcome sets (COS), thus aiding knowledge discovery. Study Design and Setting: A literature review was carried out to determine existing outcome classification systems, none of which were sufficiently comprehensive or granular for classification of all potential outcomes from clinical trials. A new taxonomy for outcome classification was developed, and as proof of principle, outcomes extracted from all published COS in the COMET database, selected Cochrane reviews, and clinical trial registry entries were classified using this new system. Results: Application of this new taxonomy to COS in the COMET database revealed that 274/299 (92%) COS include at least one physiological outcome, whereas only 177 (59%) include at least one measure of impact (global quality of life or some measure of functioning) and only 105 (35%) made reference to adverse events. Conclusions: This outcome taxonomy will be used to annotate outcomes included in COS within the COMET database and is currently being piloted for use in Cochrane Reviews within the Cochrane Linked Data Project. Wider implementation of this standard taxonomy in trial and systematic review databases and registries will further promote efficient searching, reporting, and classification of trial outcomes.","author":[{"dropping-particle":"","family":"Dodd","given":"Susanna","non-dropping-particle":"","parse-names":false,"suffix":""},{"dropping-particle":"","family":"Clarke","given":"Mike","non-dropping-particle":"","parse-names":false,"suffix":""},{"dropping-particle":"","family":"Becker","given":"Lorne","non-dropping-particle":"","parse-names":false,"suffix":""},{"dropping-particle":"","family":"Mavergames","given":"Chris","non-dropping-particle":"","parse-names":false,"suffix":""},{"dropping-particle":"","family":"Fish","given":"Rebecca","non-dropping-particle":"","parse-names":false,"suffix":""},{"dropping-particle":"","family":"Williamson","given":"Paula R.","non-dropping-particle":"","parse-names":false,"suffix":""}],"container-title":"Journal of Clinical Epidemiology","id":"ITEM-1","issued":{"date-parts":[["2018"]]},"title":"A taxonomy has been developed for outcomes in medical research to help improve knowledge discovery","type":"article-journal"},"uris":["http://www.mendeley.com/documents/?uuid=a0abefdd-18e8-4637-bf37-3e80462f9bcd"]}],"mendeley":{"formattedCitation":"{21}","plainTextFormattedCitation":"{21}","previouslyFormattedCitation":"{21}"},"properties":{"noteIndex":0},"schema":"https://github.com/citation-style-language/schema/raw/master/csl-citation.json"}</w:instrText>
      </w:r>
      <w:r w:rsidR="0032751C" w:rsidRPr="006A476C">
        <w:rPr>
          <w:rFonts w:ascii="Arial" w:hAnsi="Arial"/>
        </w:rPr>
        <w:fldChar w:fldCharType="separate"/>
      </w:r>
      <w:r w:rsidR="0028131B" w:rsidRPr="0028131B">
        <w:rPr>
          <w:rFonts w:ascii="Arial" w:hAnsi="Arial"/>
          <w:noProof/>
        </w:rPr>
        <w:t>{21}</w:t>
      </w:r>
      <w:r w:rsidR="0032751C" w:rsidRPr="006A476C">
        <w:rPr>
          <w:rFonts w:ascii="Arial" w:hAnsi="Arial"/>
        </w:rPr>
        <w:fldChar w:fldCharType="end"/>
      </w:r>
      <w:r w:rsidR="005A5ED7">
        <w:rPr>
          <w:rFonts w:ascii="Arial" w:hAnsi="Arial"/>
        </w:rPr>
        <w:t xml:space="preserve"> and proposed </w:t>
      </w:r>
      <w:r w:rsidR="0032751C" w:rsidRPr="006A476C">
        <w:rPr>
          <w:rFonts w:ascii="Arial" w:hAnsi="Arial"/>
        </w:rPr>
        <w:t xml:space="preserve">a new </w:t>
      </w:r>
      <w:r w:rsidR="005A5ED7">
        <w:rPr>
          <w:rFonts w:ascii="Arial" w:hAnsi="Arial"/>
        </w:rPr>
        <w:t>taxonomy with</w:t>
      </w:r>
      <w:r w:rsidR="0032751C" w:rsidRPr="006A476C">
        <w:rPr>
          <w:rFonts w:ascii="Arial" w:hAnsi="Arial"/>
        </w:rPr>
        <w:t xml:space="preserve"> </w:t>
      </w:r>
      <w:r w:rsidR="0032751C">
        <w:rPr>
          <w:rFonts w:ascii="Arial" w:hAnsi="Arial"/>
        </w:rPr>
        <w:t>five</w:t>
      </w:r>
      <w:r w:rsidR="0032751C" w:rsidRPr="006A476C">
        <w:rPr>
          <w:rFonts w:ascii="Arial" w:hAnsi="Arial"/>
        </w:rPr>
        <w:t xml:space="preserve"> </w:t>
      </w:r>
      <w:r w:rsidR="005A5ED7">
        <w:rPr>
          <w:rFonts w:ascii="Arial" w:hAnsi="Arial"/>
        </w:rPr>
        <w:t>domains</w:t>
      </w:r>
      <w:r w:rsidR="00267CE8">
        <w:rPr>
          <w:rFonts w:ascii="Arial" w:hAnsi="Arial" w:cs="Arial"/>
        </w:rPr>
        <w:t>, two of which overlap</w:t>
      </w:r>
      <w:r>
        <w:rPr>
          <w:rFonts w:ascii="Arial" w:hAnsi="Arial" w:cs="Arial"/>
        </w:rPr>
        <w:t xml:space="preserve"> with</w:t>
      </w:r>
      <w:r w:rsidR="00DA08B5">
        <w:rPr>
          <w:rFonts w:ascii="Arial" w:hAnsi="Arial" w:cs="Arial"/>
        </w:rPr>
        <w:t xml:space="preserve"> the other classification systems (</w:t>
      </w:r>
      <w:r>
        <w:rPr>
          <w:rFonts w:ascii="Arial" w:hAnsi="Arial" w:cs="Arial"/>
        </w:rPr>
        <w:t>Wilson and Clear</w:t>
      </w:r>
      <w:r w:rsidR="00267CE8">
        <w:rPr>
          <w:rFonts w:ascii="Arial" w:hAnsi="Arial" w:cs="Arial"/>
        </w:rPr>
        <w:t>y’s taxon</w:t>
      </w:r>
      <w:r w:rsidR="00DA08B5">
        <w:rPr>
          <w:rFonts w:ascii="Arial" w:hAnsi="Arial" w:cs="Arial"/>
        </w:rPr>
        <w:t xml:space="preserve">omy and the WHO </w:t>
      </w:r>
      <w:r w:rsidR="00267CE8">
        <w:rPr>
          <w:rFonts w:ascii="Arial" w:hAnsi="Arial" w:cs="Arial"/>
        </w:rPr>
        <w:t>ICF</w:t>
      </w:r>
      <w:r w:rsidR="00DA08B5">
        <w:rPr>
          <w:rFonts w:ascii="Arial" w:hAnsi="Arial" w:cs="Arial"/>
        </w:rPr>
        <w:t>)</w:t>
      </w:r>
      <w:r w:rsidR="00267CE8">
        <w:rPr>
          <w:rFonts w:ascii="Arial" w:hAnsi="Arial" w:cs="Arial"/>
        </w:rPr>
        <w:t>. T</w:t>
      </w:r>
      <w:r w:rsidR="0007421E">
        <w:rPr>
          <w:rFonts w:ascii="Arial" w:hAnsi="Arial" w:cs="Arial"/>
        </w:rPr>
        <w:t xml:space="preserve">he first </w:t>
      </w:r>
      <w:r w:rsidR="00267CE8">
        <w:rPr>
          <w:rFonts w:ascii="Arial" w:hAnsi="Arial" w:cs="Arial"/>
        </w:rPr>
        <w:t xml:space="preserve">is </w:t>
      </w:r>
      <w:r>
        <w:rPr>
          <w:rFonts w:ascii="Arial" w:hAnsi="Arial"/>
        </w:rPr>
        <w:t>‘</w:t>
      </w:r>
      <w:r w:rsidR="0007421E">
        <w:rPr>
          <w:rFonts w:ascii="Arial" w:hAnsi="Arial"/>
        </w:rPr>
        <w:t>p</w:t>
      </w:r>
      <w:r w:rsidR="00322BD8">
        <w:rPr>
          <w:rFonts w:ascii="Arial" w:hAnsi="Arial"/>
        </w:rPr>
        <w:t>hysiological or clinical</w:t>
      </w:r>
      <w:r w:rsidR="009974CA">
        <w:rPr>
          <w:rFonts w:ascii="Arial" w:hAnsi="Arial"/>
        </w:rPr>
        <w:t>’ which</w:t>
      </w:r>
      <w:r w:rsidR="0060518F">
        <w:rPr>
          <w:rFonts w:ascii="Arial" w:hAnsi="Arial"/>
        </w:rPr>
        <w:t xml:space="preserve"> is</w:t>
      </w:r>
      <w:r w:rsidR="009974CA">
        <w:rPr>
          <w:rFonts w:ascii="Arial" w:hAnsi="Arial"/>
        </w:rPr>
        <w:t xml:space="preserve"> </w:t>
      </w:r>
      <w:r w:rsidR="00813B77">
        <w:rPr>
          <w:rFonts w:ascii="Arial" w:hAnsi="Arial"/>
        </w:rPr>
        <w:t xml:space="preserve">a combination </w:t>
      </w:r>
      <w:r w:rsidR="00966B20">
        <w:rPr>
          <w:rFonts w:ascii="Arial" w:hAnsi="Arial"/>
        </w:rPr>
        <w:t xml:space="preserve">of </w:t>
      </w:r>
      <w:r w:rsidR="00813B77">
        <w:rPr>
          <w:rFonts w:ascii="Arial" w:hAnsi="Arial"/>
        </w:rPr>
        <w:t>the</w:t>
      </w:r>
      <w:r w:rsidR="0060518F">
        <w:rPr>
          <w:rFonts w:ascii="Arial" w:hAnsi="Arial"/>
        </w:rPr>
        <w:t xml:space="preserve"> first two domains</w:t>
      </w:r>
      <w:r w:rsidR="00813B77">
        <w:rPr>
          <w:rFonts w:ascii="Arial" w:hAnsi="Arial"/>
        </w:rPr>
        <w:t xml:space="preserve"> of</w:t>
      </w:r>
      <w:r w:rsidR="00DA08B5">
        <w:rPr>
          <w:rFonts w:ascii="Arial" w:hAnsi="Arial"/>
        </w:rPr>
        <w:t xml:space="preserve"> the other classifications and </w:t>
      </w:r>
      <w:r w:rsidR="00C217DA">
        <w:rPr>
          <w:rFonts w:ascii="Arial" w:hAnsi="Arial"/>
        </w:rPr>
        <w:t>is subdivided into 23 categories of physiological</w:t>
      </w:r>
      <w:r w:rsidR="00DA08B5">
        <w:rPr>
          <w:rFonts w:ascii="Arial" w:hAnsi="Arial"/>
        </w:rPr>
        <w:t xml:space="preserve"> or</w:t>
      </w:r>
      <w:r w:rsidR="0017795F">
        <w:rPr>
          <w:rFonts w:ascii="Arial" w:hAnsi="Arial"/>
        </w:rPr>
        <w:t xml:space="preserve"> anatomical systems (cardiac, endocrine, </w:t>
      </w:r>
      <w:r w:rsidR="0021190C">
        <w:rPr>
          <w:rFonts w:ascii="Arial" w:hAnsi="Arial"/>
        </w:rPr>
        <w:t>neurological</w:t>
      </w:r>
      <w:r w:rsidR="0017795F">
        <w:rPr>
          <w:rFonts w:ascii="Arial" w:hAnsi="Arial"/>
        </w:rPr>
        <w:t xml:space="preserve">, psychiatric etc.). </w:t>
      </w:r>
      <w:r w:rsidR="00C217DA">
        <w:rPr>
          <w:rFonts w:ascii="Arial" w:hAnsi="Arial"/>
        </w:rPr>
        <w:t xml:space="preserve"> </w:t>
      </w:r>
      <w:r w:rsidR="0060518F">
        <w:rPr>
          <w:rFonts w:ascii="Arial" w:hAnsi="Arial"/>
        </w:rPr>
        <w:t>The second is</w:t>
      </w:r>
      <w:r w:rsidR="00322BD8">
        <w:rPr>
          <w:rFonts w:ascii="Arial" w:hAnsi="Arial"/>
        </w:rPr>
        <w:t xml:space="preserve"> </w:t>
      </w:r>
      <w:r w:rsidR="00F52893">
        <w:rPr>
          <w:rFonts w:ascii="Arial" w:hAnsi="Arial"/>
        </w:rPr>
        <w:t>‘</w:t>
      </w:r>
      <w:r w:rsidR="0060518F">
        <w:rPr>
          <w:rFonts w:ascii="Arial" w:hAnsi="Arial"/>
        </w:rPr>
        <w:t>l</w:t>
      </w:r>
      <w:r w:rsidR="00322BD8">
        <w:rPr>
          <w:rFonts w:ascii="Arial" w:hAnsi="Arial"/>
        </w:rPr>
        <w:t>ife impact</w:t>
      </w:r>
      <w:r w:rsidR="00267CE8">
        <w:rPr>
          <w:rFonts w:ascii="Arial" w:hAnsi="Arial"/>
        </w:rPr>
        <w:t>’</w:t>
      </w:r>
      <w:r w:rsidR="00966B20">
        <w:rPr>
          <w:rFonts w:ascii="Arial" w:hAnsi="Arial"/>
        </w:rPr>
        <w:t>,</w:t>
      </w:r>
      <w:r w:rsidR="00267CE8">
        <w:rPr>
          <w:rFonts w:ascii="Arial" w:hAnsi="Arial"/>
        </w:rPr>
        <w:t xml:space="preserve"> which is equivalent</w:t>
      </w:r>
      <w:r w:rsidR="0017795F">
        <w:rPr>
          <w:rFonts w:ascii="Arial" w:hAnsi="Arial"/>
        </w:rPr>
        <w:t xml:space="preserve"> to the</w:t>
      </w:r>
      <w:r w:rsidR="0060518F">
        <w:rPr>
          <w:rFonts w:ascii="Arial" w:hAnsi="Arial"/>
        </w:rPr>
        <w:t xml:space="preserve"> </w:t>
      </w:r>
      <w:r w:rsidR="006D41BB">
        <w:rPr>
          <w:rFonts w:ascii="Arial" w:hAnsi="Arial"/>
        </w:rPr>
        <w:t>function, quality of life and</w:t>
      </w:r>
      <w:r w:rsidR="00C217DA">
        <w:rPr>
          <w:rFonts w:ascii="Arial" w:hAnsi="Arial"/>
        </w:rPr>
        <w:t xml:space="preserve"> health perception </w:t>
      </w:r>
      <w:r w:rsidR="0017795F">
        <w:rPr>
          <w:rFonts w:ascii="Arial" w:hAnsi="Arial"/>
        </w:rPr>
        <w:t>domains of Wilson and Cleary</w:t>
      </w:r>
      <w:r w:rsidR="006D41BB">
        <w:rPr>
          <w:rFonts w:ascii="Arial" w:hAnsi="Arial"/>
        </w:rPr>
        <w:t xml:space="preserve">’s </w:t>
      </w:r>
      <w:r w:rsidR="006D41BB">
        <w:rPr>
          <w:rFonts w:ascii="Arial" w:hAnsi="Arial"/>
        </w:rPr>
        <w:lastRenderedPageBreak/>
        <w:t>taxonomy,</w:t>
      </w:r>
      <w:r w:rsidR="0017795F">
        <w:rPr>
          <w:rFonts w:ascii="Arial" w:hAnsi="Arial"/>
        </w:rPr>
        <w:t xml:space="preserve"> </w:t>
      </w:r>
      <w:r w:rsidR="00C217DA">
        <w:rPr>
          <w:rFonts w:ascii="Arial" w:hAnsi="Arial"/>
        </w:rPr>
        <w:t>but also includes other concepts such as patient adherence and satisfaction</w:t>
      </w:r>
      <w:r w:rsidR="0032751C" w:rsidRPr="006A476C">
        <w:rPr>
          <w:rFonts w:ascii="Arial" w:hAnsi="Arial"/>
        </w:rPr>
        <w:t>.</w:t>
      </w:r>
      <w:r w:rsidR="00F52893">
        <w:rPr>
          <w:rFonts w:ascii="Arial" w:hAnsi="Arial"/>
        </w:rPr>
        <w:t xml:space="preserve"> Three other domains are not </w:t>
      </w:r>
      <w:r w:rsidR="00DA08B5">
        <w:rPr>
          <w:rFonts w:ascii="Arial" w:hAnsi="Arial"/>
        </w:rPr>
        <w:t>included in the other classifications</w:t>
      </w:r>
      <w:r w:rsidR="00954398">
        <w:rPr>
          <w:rFonts w:ascii="Arial" w:hAnsi="Arial"/>
        </w:rPr>
        <w:t>.</w:t>
      </w:r>
      <w:r w:rsidR="00D6133F">
        <w:rPr>
          <w:rFonts w:ascii="Arial" w:hAnsi="Arial"/>
        </w:rPr>
        <w:t xml:space="preserve"> </w:t>
      </w:r>
      <w:r w:rsidR="00954398">
        <w:rPr>
          <w:rFonts w:ascii="Arial" w:hAnsi="Arial"/>
        </w:rPr>
        <w:t>T</w:t>
      </w:r>
      <w:r w:rsidR="0060518F">
        <w:rPr>
          <w:rFonts w:ascii="Arial" w:hAnsi="Arial"/>
        </w:rPr>
        <w:t>hese are ‘</w:t>
      </w:r>
      <w:r w:rsidR="00F52893">
        <w:rPr>
          <w:rFonts w:ascii="Arial" w:hAnsi="Arial"/>
        </w:rPr>
        <w:t>r</w:t>
      </w:r>
      <w:r w:rsidR="00F52893" w:rsidRPr="006A476C">
        <w:rPr>
          <w:rFonts w:ascii="Arial" w:hAnsi="Arial"/>
        </w:rPr>
        <w:t>esource us</w:t>
      </w:r>
      <w:r w:rsidR="00F52893">
        <w:rPr>
          <w:rFonts w:ascii="Arial" w:hAnsi="Arial"/>
        </w:rPr>
        <w:t>e</w:t>
      </w:r>
      <w:r w:rsidR="0060518F">
        <w:rPr>
          <w:rFonts w:ascii="Arial" w:hAnsi="Arial"/>
        </w:rPr>
        <w:t>’</w:t>
      </w:r>
      <w:r w:rsidR="00F52893">
        <w:rPr>
          <w:rFonts w:ascii="Arial" w:hAnsi="Arial"/>
        </w:rPr>
        <w:t xml:space="preserve">, </w:t>
      </w:r>
      <w:r w:rsidR="0060518F">
        <w:rPr>
          <w:rFonts w:ascii="Arial" w:hAnsi="Arial"/>
        </w:rPr>
        <w:t>‘</w:t>
      </w:r>
      <w:r w:rsidR="00F52893">
        <w:rPr>
          <w:rFonts w:ascii="Arial" w:hAnsi="Arial"/>
        </w:rPr>
        <w:t>adverse events</w:t>
      </w:r>
      <w:r w:rsidR="0060518F">
        <w:rPr>
          <w:rFonts w:ascii="Arial" w:hAnsi="Arial"/>
        </w:rPr>
        <w:t>’</w:t>
      </w:r>
      <w:r w:rsidR="00F52893">
        <w:rPr>
          <w:rFonts w:ascii="Arial" w:hAnsi="Arial"/>
        </w:rPr>
        <w:t xml:space="preserve"> and </w:t>
      </w:r>
      <w:r w:rsidR="0060518F">
        <w:rPr>
          <w:rFonts w:ascii="Arial" w:hAnsi="Arial"/>
        </w:rPr>
        <w:t>‘</w:t>
      </w:r>
      <w:r w:rsidR="00F52893">
        <w:rPr>
          <w:rFonts w:ascii="Arial" w:hAnsi="Arial"/>
        </w:rPr>
        <w:t>m</w:t>
      </w:r>
      <w:r w:rsidR="00F52893" w:rsidRPr="006A476C">
        <w:rPr>
          <w:rFonts w:ascii="Arial" w:hAnsi="Arial"/>
        </w:rPr>
        <w:t>ortality</w:t>
      </w:r>
      <w:r w:rsidR="0060518F">
        <w:rPr>
          <w:rFonts w:ascii="Arial" w:hAnsi="Arial"/>
        </w:rPr>
        <w:t>’</w:t>
      </w:r>
      <w:r w:rsidR="00954398">
        <w:rPr>
          <w:rFonts w:ascii="Arial" w:hAnsi="Arial"/>
        </w:rPr>
        <w:t>,</w:t>
      </w:r>
      <w:r w:rsidR="00967FB7">
        <w:rPr>
          <w:rFonts w:ascii="Arial" w:hAnsi="Arial"/>
        </w:rPr>
        <w:t xml:space="preserve"> which are often measure</w:t>
      </w:r>
      <w:r w:rsidR="006D41BB">
        <w:rPr>
          <w:rFonts w:ascii="Arial" w:hAnsi="Arial"/>
        </w:rPr>
        <w:t>d</w:t>
      </w:r>
      <w:r w:rsidR="00967FB7">
        <w:rPr>
          <w:rFonts w:ascii="Arial" w:hAnsi="Arial"/>
        </w:rPr>
        <w:t xml:space="preserve"> in clinical trials</w:t>
      </w:r>
      <w:r w:rsidR="0060518F">
        <w:rPr>
          <w:rFonts w:ascii="Arial" w:hAnsi="Arial"/>
        </w:rPr>
        <w:t>.</w:t>
      </w:r>
      <w:r w:rsidR="00C217DA">
        <w:rPr>
          <w:rFonts w:ascii="Arial" w:hAnsi="Arial"/>
        </w:rPr>
        <w:t xml:space="preserve">  </w:t>
      </w:r>
      <w:r w:rsidR="00C33CA7">
        <w:rPr>
          <w:rFonts w:ascii="Arial" w:hAnsi="Arial"/>
        </w:rPr>
        <w:t xml:space="preserve">See </w:t>
      </w:r>
      <w:r w:rsidR="006675C8">
        <w:rPr>
          <w:rFonts w:ascii="Arial" w:hAnsi="Arial"/>
        </w:rPr>
        <w:t>T</w:t>
      </w:r>
      <w:r w:rsidR="00C33CA7">
        <w:rPr>
          <w:rFonts w:ascii="Arial" w:hAnsi="Arial"/>
        </w:rPr>
        <w:t>able</w:t>
      </w:r>
      <w:r w:rsidR="006675C8">
        <w:rPr>
          <w:rFonts w:ascii="Arial" w:hAnsi="Arial"/>
        </w:rPr>
        <w:t xml:space="preserve"> 1</w:t>
      </w:r>
      <w:r w:rsidR="00C33CA7">
        <w:rPr>
          <w:rFonts w:ascii="Arial" w:hAnsi="Arial"/>
        </w:rPr>
        <w:t xml:space="preserve"> for</w:t>
      </w:r>
      <w:r w:rsidR="00DA08B5">
        <w:rPr>
          <w:rFonts w:ascii="Arial" w:hAnsi="Arial"/>
        </w:rPr>
        <w:t xml:space="preserve"> a</w:t>
      </w:r>
      <w:r w:rsidR="00C33CA7">
        <w:rPr>
          <w:rFonts w:ascii="Arial" w:hAnsi="Arial"/>
        </w:rPr>
        <w:t xml:space="preserve"> summary of </w:t>
      </w:r>
      <w:r w:rsidR="00C217DA">
        <w:rPr>
          <w:rFonts w:ascii="Arial" w:hAnsi="Arial"/>
        </w:rPr>
        <w:t>how</w:t>
      </w:r>
      <w:r w:rsidR="0007421E">
        <w:rPr>
          <w:rFonts w:ascii="Arial" w:hAnsi="Arial"/>
        </w:rPr>
        <w:t xml:space="preserve"> these different outcome</w:t>
      </w:r>
      <w:r w:rsidR="00BE3EF6">
        <w:rPr>
          <w:rFonts w:ascii="Arial" w:hAnsi="Arial"/>
        </w:rPr>
        <w:t xml:space="preserve"> domain</w:t>
      </w:r>
      <w:r w:rsidR="0007421E">
        <w:rPr>
          <w:rFonts w:ascii="Arial" w:hAnsi="Arial"/>
        </w:rPr>
        <w:t xml:space="preserve"> </w:t>
      </w:r>
      <w:r w:rsidR="00C217DA">
        <w:rPr>
          <w:rFonts w:ascii="Arial" w:hAnsi="Arial"/>
        </w:rPr>
        <w:t>taxonomies map onto each other in terms of terminology and concepts.</w:t>
      </w:r>
    </w:p>
    <w:p w14:paraId="524C88E5" w14:textId="77777777" w:rsidR="00850DA5" w:rsidRDefault="00850DA5" w:rsidP="00FE2C54">
      <w:pPr>
        <w:spacing w:line="480" w:lineRule="auto"/>
        <w:rPr>
          <w:rFonts w:ascii="Arial" w:hAnsi="Arial" w:cs="Arial"/>
          <w:b/>
        </w:rPr>
      </w:pPr>
    </w:p>
    <w:p w14:paraId="6DA2198A" w14:textId="5FA575CF" w:rsidR="00814408" w:rsidRDefault="00814408" w:rsidP="00FE2C54">
      <w:pPr>
        <w:spacing w:line="480" w:lineRule="auto"/>
        <w:rPr>
          <w:rFonts w:ascii="Arial" w:hAnsi="Arial" w:cs="Arial"/>
          <w:b/>
        </w:rPr>
      </w:pPr>
      <w:r>
        <w:rPr>
          <w:rFonts w:ascii="Arial" w:hAnsi="Arial" w:cs="Arial"/>
          <w:b/>
        </w:rPr>
        <w:t>&lt;&lt; Insert Table 1 &gt;&gt;</w:t>
      </w:r>
      <w:r w:rsidR="00AD3B45">
        <w:rPr>
          <w:rFonts w:ascii="Arial" w:hAnsi="Arial" w:cs="Arial"/>
          <w:b/>
        </w:rPr>
        <w:t>:  Comparison of outcome domain classifications</w:t>
      </w:r>
    </w:p>
    <w:p w14:paraId="389BF778" w14:textId="6046C924" w:rsidR="00710245" w:rsidRDefault="00710245">
      <w:pPr>
        <w:rPr>
          <w:rFonts w:ascii="Arial" w:hAnsi="Arial"/>
          <w:b/>
        </w:rPr>
      </w:pPr>
    </w:p>
    <w:p w14:paraId="169F4D83" w14:textId="77777777" w:rsidR="008A6F1C" w:rsidRDefault="008A6F1C" w:rsidP="00551CD4">
      <w:pPr>
        <w:rPr>
          <w:rFonts w:ascii="Arial" w:hAnsi="Arial"/>
          <w:b/>
        </w:rPr>
      </w:pPr>
    </w:p>
    <w:p w14:paraId="50C78A75" w14:textId="654FDB6A" w:rsidR="002106F6" w:rsidRPr="00AC6E07" w:rsidRDefault="002106F6" w:rsidP="00AC6E07">
      <w:pPr>
        <w:spacing w:line="480" w:lineRule="auto"/>
        <w:ind w:firstLine="720"/>
        <w:rPr>
          <w:rFonts w:ascii="Arial" w:hAnsi="Arial"/>
        </w:rPr>
      </w:pPr>
      <w:bookmarkStart w:id="1" w:name="_Hlk18586657"/>
      <w:r>
        <w:rPr>
          <w:rFonts w:ascii="Arial" w:hAnsi="Arial"/>
        </w:rPr>
        <w:t xml:space="preserve">In the last few decades there has also been increasing interest in </w:t>
      </w:r>
      <w:r w:rsidR="00C768EC">
        <w:rPr>
          <w:rFonts w:ascii="Arial" w:hAnsi="Arial"/>
        </w:rPr>
        <w:t>patient-generated, also known as</w:t>
      </w:r>
      <w:r>
        <w:rPr>
          <w:rFonts w:ascii="Arial" w:hAnsi="Arial"/>
        </w:rPr>
        <w:t xml:space="preserve"> individualized</w:t>
      </w:r>
      <w:r w:rsidR="00C768EC">
        <w:rPr>
          <w:rFonts w:ascii="Arial" w:hAnsi="Arial"/>
        </w:rPr>
        <w:t xml:space="preserve"> or ‘idiographic’</w:t>
      </w:r>
      <w:r>
        <w:rPr>
          <w:rFonts w:ascii="Arial" w:hAnsi="Arial"/>
        </w:rPr>
        <w:t>, outcome measures as opposed to</w:t>
      </w:r>
      <w:r w:rsidR="00C768EC">
        <w:rPr>
          <w:rFonts w:ascii="Arial" w:hAnsi="Arial"/>
        </w:rPr>
        <w:t xml:space="preserve"> the traditional generalized or ‘</w:t>
      </w:r>
      <w:proofErr w:type="spellStart"/>
      <w:r w:rsidR="00C768EC">
        <w:rPr>
          <w:rFonts w:ascii="Arial" w:hAnsi="Arial"/>
        </w:rPr>
        <w:t>normothetic</w:t>
      </w:r>
      <w:proofErr w:type="spellEnd"/>
      <w:r w:rsidR="00C768EC">
        <w:rPr>
          <w:rFonts w:ascii="Arial" w:hAnsi="Arial"/>
        </w:rPr>
        <w:t>’</w:t>
      </w:r>
      <w:r>
        <w:rPr>
          <w:rFonts w:ascii="Arial" w:hAnsi="Arial"/>
        </w:rPr>
        <w:t xml:space="preserve"> </w:t>
      </w:r>
      <w:r w:rsidR="00C768EC">
        <w:rPr>
          <w:rFonts w:ascii="Arial" w:hAnsi="Arial"/>
        </w:rPr>
        <w:t xml:space="preserve">measures validated against population norms. Such individualized measures might better capture issues </w:t>
      </w:r>
      <w:r w:rsidR="003818F6">
        <w:rPr>
          <w:rFonts w:ascii="Arial" w:hAnsi="Arial"/>
        </w:rPr>
        <w:t xml:space="preserve">associated </w:t>
      </w:r>
      <w:r w:rsidR="00347297">
        <w:rPr>
          <w:rFonts w:ascii="Arial" w:hAnsi="Arial"/>
        </w:rPr>
        <w:t>with</w:t>
      </w:r>
      <w:r w:rsidR="003818F6">
        <w:rPr>
          <w:rFonts w:ascii="Arial" w:hAnsi="Arial"/>
        </w:rPr>
        <w:t xml:space="preserve"> personal </w:t>
      </w:r>
      <w:r w:rsidR="00C768EC">
        <w:rPr>
          <w:rFonts w:ascii="Arial" w:hAnsi="Arial"/>
        </w:rPr>
        <w:t>relationship</w:t>
      </w:r>
      <w:r w:rsidR="00347297">
        <w:rPr>
          <w:rFonts w:ascii="Arial" w:hAnsi="Arial"/>
        </w:rPr>
        <w:t>s</w:t>
      </w:r>
      <w:r w:rsidR="00C768EC">
        <w:rPr>
          <w:rFonts w:ascii="Arial" w:hAnsi="Arial"/>
        </w:rPr>
        <w:t xml:space="preserve"> and employment </w:t>
      </w:r>
      <w:r w:rsidR="001A33F5">
        <w:rPr>
          <w:rFonts w:ascii="Arial" w:hAnsi="Arial"/>
        </w:rPr>
        <w:t>difficulties,</w:t>
      </w:r>
      <w:r w:rsidR="00C768EC">
        <w:rPr>
          <w:rFonts w:ascii="Arial" w:hAnsi="Arial"/>
        </w:rPr>
        <w:t xml:space="preserve"> and as such can be seen as an alternative or complimentary type of measure.</w:t>
      </w:r>
      <w:r w:rsidR="00B6039F">
        <w:rPr>
          <w:rFonts w:ascii="Arial" w:hAnsi="Arial"/>
        </w:rPr>
        <w:fldChar w:fldCharType="begin" w:fldLock="1"/>
      </w:r>
      <w:r w:rsidR="00763A14">
        <w:rPr>
          <w:rFonts w:ascii="Arial" w:hAnsi="Arial"/>
        </w:rPr>
        <w:instrText>ADDIN CSL_CITATION {"citationItems":[{"id":"ITEM-1","itemData":{"DOI":"10.1007/s10488-019-00928-z","ISSN":"15733289","abstract":"Mental health outcome measurement is conflicted between two different schools of thought which underlie the division between standardised (nomothetic) and individualised or patient-generated (idiographic) measures. The underpinning philosophies of both approaches have very different starting points in terms of how we understand the world. And yet the strengths of both may contribute something useful for patients and mental health services. We suggest a convergence of approaches with new thinking on options for co-habitation.","author":[{"dropping-particle":"","family":"Ashworth","given":"Mark","non-dropping-particle":"","parse-names":false,"suffix":""},{"dropping-particle":"","family":"Guerra","given":"Daniel","non-dropping-particle":"","parse-names":false,"suffix":""},{"dropping-particle":"","family":"Kordowicz","given":"Maria","non-dropping-particle":"","parse-names":false,"suffix":""}],"container-title":"Administration and Policy in Mental Health and Mental Health Services Research","id":"ITEM-1","issued":{"date-parts":[["2019"]]},"title":"Individualised or Standardised Outcome Measures: A Co-habitation?","type":"article-journal"},"uris":["http://www.mendeley.com/documents/?uuid=62f57511-554b-4f45-b015-fd422c26aeec"]}],"mendeley":{"formattedCitation":"{22}","plainTextFormattedCitation":"{22}","previouslyFormattedCitation":"{22}"},"properties":{"noteIndex":0},"schema":"https://github.com/citation-style-language/schema/raw/master/csl-citation.json"}</w:instrText>
      </w:r>
      <w:r w:rsidR="00B6039F">
        <w:rPr>
          <w:rFonts w:ascii="Arial" w:hAnsi="Arial"/>
        </w:rPr>
        <w:fldChar w:fldCharType="separate"/>
      </w:r>
      <w:r w:rsidR="0028131B" w:rsidRPr="0028131B">
        <w:rPr>
          <w:rFonts w:ascii="Arial" w:hAnsi="Arial"/>
          <w:noProof/>
        </w:rPr>
        <w:t>{22}</w:t>
      </w:r>
      <w:r w:rsidR="00B6039F">
        <w:rPr>
          <w:rFonts w:ascii="Arial" w:hAnsi="Arial"/>
        </w:rPr>
        <w:fldChar w:fldCharType="end"/>
      </w:r>
      <w:r w:rsidR="00C768EC">
        <w:rPr>
          <w:rFonts w:ascii="Arial" w:hAnsi="Arial"/>
        </w:rPr>
        <w:t xml:space="preserve"> Examples</w:t>
      </w:r>
      <w:r w:rsidR="00763A14">
        <w:rPr>
          <w:rFonts w:ascii="Arial" w:hAnsi="Arial"/>
        </w:rPr>
        <w:t xml:space="preserve"> used across disorders</w:t>
      </w:r>
      <w:r w:rsidR="00C768EC">
        <w:rPr>
          <w:rFonts w:ascii="Arial" w:hAnsi="Arial"/>
        </w:rPr>
        <w:t xml:space="preserve"> inclu</w:t>
      </w:r>
      <w:r w:rsidR="00194223">
        <w:rPr>
          <w:rFonts w:ascii="Arial" w:hAnsi="Arial"/>
        </w:rPr>
        <w:t>de the Canadian Occupational Pe</w:t>
      </w:r>
      <w:r w:rsidR="00C768EC">
        <w:rPr>
          <w:rFonts w:ascii="Arial" w:hAnsi="Arial"/>
        </w:rPr>
        <w:t>r</w:t>
      </w:r>
      <w:r w:rsidR="00194223">
        <w:rPr>
          <w:rFonts w:ascii="Arial" w:hAnsi="Arial"/>
        </w:rPr>
        <w:t>f</w:t>
      </w:r>
      <w:r w:rsidR="00C768EC">
        <w:rPr>
          <w:rFonts w:ascii="Arial" w:hAnsi="Arial"/>
        </w:rPr>
        <w:t>o</w:t>
      </w:r>
      <w:r w:rsidR="00194223">
        <w:rPr>
          <w:rFonts w:ascii="Arial" w:hAnsi="Arial"/>
        </w:rPr>
        <w:t>r</w:t>
      </w:r>
      <w:r w:rsidR="00C768EC">
        <w:rPr>
          <w:rFonts w:ascii="Arial" w:hAnsi="Arial"/>
        </w:rPr>
        <w:t>mance Measure (COPM)</w:t>
      </w:r>
      <w:r w:rsidR="00737E55">
        <w:rPr>
          <w:rFonts w:ascii="Arial" w:hAnsi="Arial"/>
        </w:rPr>
        <w:fldChar w:fldCharType="begin" w:fldLock="1"/>
      </w:r>
      <w:r w:rsidR="00763A14">
        <w:rPr>
          <w:rFonts w:ascii="Arial" w:hAnsi="Arial"/>
        </w:rPr>
        <w:instrText>ADDIN CSL_CITATION {"citationItems":[{"id":"ITEM-1","itemData":{"DOI":"10.1177/000841749005700207","ISSN":"19119828","abstract":"The Canadian Association of Occupational Therapists, in collaboration with Health and Welfare Canada have developed and published a conceptual model for occupational therapy, the Occupational Performance model. This paper describes the development of an outcome measure, The Canadian Occupational Performance Measure (COPM), which is designed to be used with these guidelines for client-centred clinical practice. The COPM is an outcome measure designed for use by occupational therapists to assess client outcomes in the areas of self-care, productivity and leisure. Using a semi-structured interview, the COPM is a five step process which measures individual, client-identified problem areas in daily function. Two scores, for performance and satisfaction with performance are obtained. This paper describes the rationale and development of the COPM as well as information about its use for therapists.","author":[{"dropping-particle":"","family":"Law","given":"Mary","non-dropping-particle":"","parse-names":false,"suffix":""},{"dropping-particle":"","family":"Baptiste","given":"Sue","non-dropping-particle":"","parse-names":false,"suffix":""},{"dropping-particle":"","family":"Mccoll","given":"Maryann","non-dropping-particle":"","parse-names":false,"suffix":""},{"dropping-particle":"","family":"Opzoomer","given":"Anne","non-dropping-particle":"","parse-names":false,"suffix":""},{"dropping-particle":"","family":"Polatajko","given":"Helene","non-dropping-particle":"","parse-names":false,"suffix":""},{"dropping-particle":"","family":"Pollock","given":"Nancy","non-dropping-particle":"","parse-names":false,"suffix":""}],"container-title":"Canadian Journal of Occupational Therapy","id":"ITEM-1","issued":{"date-parts":[["1990"]]},"title":"The Canadian Occupational Performance Measure: An Outcome Measure for Occupational Therapy","type":"article-journal"},"uris":["http://www.mendeley.com/documents/?uuid=8de52b58-9b2c-4d1b-87a8-47bf0a93e807"]}],"mendeley":{"formattedCitation":"{23}","plainTextFormattedCitation":"{23}","previouslyFormattedCitation":"{23}"},"properties":{"noteIndex":0},"schema":"https://github.com/citation-style-language/schema/raw/master/csl-citation.json"}</w:instrText>
      </w:r>
      <w:r w:rsidR="00737E55">
        <w:rPr>
          <w:rFonts w:ascii="Arial" w:hAnsi="Arial"/>
        </w:rPr>
        <w:fldChar w:fldCharType="separate"/>
      </w:r>
      <w:r w:rsidR="0028131B" w:rsidRPr="0028131B">
        <w:rPr>
          <w:rFonts w:ascii="Arial" w:hAnsi="Arial"/>
          <w:noProof/>
        </w:rPr>
        <w:t>{23}</w:t>
      </w:r>
      <w:r w:rsidR="00737E55">
        <w:rPr>
          <w:rFonts w:ascii="Arial" w:hAnsi="Arial"/>
        </w:rPr>
        <w:fldChar w:fldCharType="end"/>
      </w:r>
      <w:r w:rsidR="00C768EC">
        <w:rPr>
          <w:rFonts w:ascii="Arial" w:hAnsi="Arial"/>
        </w:rPr>
        <w:t xml:space="preserve"> and the </w:t>
      </w:r>
      <w:r w:rsidR="00684A62">
        <w:rPr>
          <w:rFonts w:ascii="Arial" w:hAnsi="Arial"/>
        </w:rPr>
        <w:t>Psychological Outcome Profiles (PSYCHLOPS) measur</w:t>
      </w:r>
      <w:r w:rsidR="00763A14">
        <w:rPr>
          <w:rFonts w:ascii="Arial" w:hAnsi="Arial"/>
        </w:rPr>
        <w:t>e</w:t>
      </w:r>
      <w:r w:rsidR="00684A62">
        <w:rPr>
          <w:rFonts w:ascii="Arial" w:hAnsi="Arial"/>
        </w:rPr>
        <w:t>.</w:t>
      </w:r>
      <w:r w:rsidR="00684A62">
        <w:rPr>
          <w:rFonts w:ascii="Arial" w:hAnsi="Arial"/>
        </w:rPr>
        <w:fldChar w:fldCharType="begin" w:fldLock="1"/>
      </w:r>
      <w:r w:rsidR="00763A14">
        <w:rPr>
          <w:rFonts w:ascii="Arial" w:hAnsi="Arial"/>
        </w:rPr>
        <w:instrText>ADDIN CSL_CITATION {"citationItems":[{"id":"ITEM-1","itemData":{"ISSN":"14764717","abstract":"Background: Patient-generated outcome measures are rarely used in evaluating talking therapies in primary care but in other contexts they show high sensitivity to change. We have devised a novel patient-generated measure called 'PSYCHLOPS' ('Psychological Outcome Profiles'). This paper describes the psychometric properties of PSYCHLOPS. Method: Standardised responses to PSYCHLOPS, pre- and post-therapy, were compared with responses to an established measure, CORE-OM. Results: Data were obtained from 110 patients. The effect size, a measure of sensitivity to change, was -1.53 for PSYCHLOPS and -1.06 for CORE-OM (t = 5.10, P &lt; 0.001). Pre-therapy alpha scores were 0.79 and 0.94, respectively. Change scores of both instruments correlated strongly (Spearman's rho = 0.61; P &lt; 0.001). Detailed validity testing is reported. Conclusion: PSYCHLOPS is a sensitive measure of change after therapy. Alpha scores suggest satisfactory internal reliability. Evidence of convergent, concurrent and construct validity has been obtained. Further work is required to establish test-retest reliability. © 2005 Radcliffe Publishing.","author":[{"dropping-particle":"","family":"Ashworth","given":"Mark","non-dropping-particle":"","parse-names":false,"suffix":""},{"dropping-particle":"","family":"Robinson","given":"Susan I.","non-dropping-particle":"","parse-names":false,"suffix":""},{"dropping-particle":"","family":"Godfrey","given":"Emma","non-dropping-particle":"","parse-names":false,"suffix":""},{"dropping-particle":"","family":"Shepherd","given":"Melanie","non-dropping-particle":"","parse-names":false,"suffix":""},{"dropping-particle":"","family":"Evans","given":"Chris","non-dropping-particle":"","parse-names":false,"suffix":""},{"dropping-particle":"","family":"Seed","given":"Paul","non-dropping-particle":"","parse-names":false,"suffix":""},{"dropping-particle":"","family":"Parmentier","given":"Henk","non-dropping-particle":"","parse-names":false,"suffix":""},{"dropping-particle":"","family":"Tylee","given":"André","non-dropping-particle":"","parse-names":false,"suffix":""}],"container-title":"Primary Care Mental Health","id":"ITEM-1","issued":{"date-parts":[["2005"]]},"title":"Measuring mental health outcomes in primary care: The psychometric properties of a new patient-generated outcome measure, 'PSYCHLOPS' ('psychological outcome profiles')","type":"article-journal"},"uris":["http://www.mendeley.com/documents/?uuid=787314b0-a27a-4dce-bd83-3e8376bb7cef"]}],"mendeley":{"formattedCitation":"{24}","plainTextFormattedCitation":"{24}","previouslyFormattedCitation":"{24}"},"properties":{"noteIndex":0},"schema":"https://github.com/citation-style-language/schema/raw/master/csl-citation.json"}</w:instrText>
      </w:r>
      <w:r w:rsidR="00684A62">
        <w:rPr>
          <w:rFonts w:ascii="Arial" w:hAnsi="Arial"/>
        </w:rPr>
        <w:fldChar w:fldCharType="separate"/>
      </w:r>
      <w:r w:rsidR="0028131B" w:rsidRPr="0028131B">
        <w:rPr>
          <w:rFonts w:ascii="Arial" w:hAnsi="Arial"/>
          <w:noProof/>
        </w:rPr>
        <w:t>{24}</w:t>
      </w:r>
      <w:r w:rsidR="00684A62">
        <w:rPr>
          <w:rFonts w:ascii="Arial" w:hAnsi="Arial"/>
        </w:rPr>
        <w:fldChar w:fldCharType="end"/>
      </w:r>
      <w:r w:rsidR="00C768EC">
        <w:rPr>
          <w:rFonts w:ascii="Arial" w:hAnsi="Arial"/>
        </w:rPr>
        <w:t xml:space="preserve"> </w:t>
      </w:r>
      <w:r w:rsidR="00763A14">
        <w:rPr>
          <w:rFonts w:ascii="Arial" w:hAnsi="Arial"/>
        </w:rPr>
        <w:t>An individualised measure has also been developed specifically for assessing physiotherapy in Parkinson’s disease – the Patient Specific Index for Physiotherapy in Parkinson’s Disease (PSI-PD)</w:t>
      </w:r>
      <w:r w:rsidR="00763A14">
        <w:rPr>
          <w:rFonts w:ascii="Arial" w:hAnsi="Arial"/>
        </w:rPr>
        <w:fldChar w:fldCharType="begin" w:fldLock="1"/>
      </w:r>
      <w:r w:rsidR="00F24E13">
        <w:rPr>
          <w:rFonts w:ascii="Arial" w:hAnsi="Arial"/>
        </w:rPr>
        <w:instrText>ADDIN CSL_CITATION {"citationItems":[{"id":"ITEM-1","itemData":{"ISSN":"19739087","abstract":"AIM: The aim of this paper was to develop and evaluate a patient-specific index for physiotherapy in Parkinson's disease (PSI-PD). METHODS: In the PSI-PD, patients 1) select problematic activities out of a predefined list, with one self-report item; 2) rank selected items in order of importance; and 3) rate severity for each ranked item. To examine test-retest reliability, a cohort of patients was asked to complete the PSI-PD twice. Afterwards, validity was evaluated using a telephone interview. RESULTS: The PSI-PD was completed twice by 81 patients. Test-retest agreement for the selection of activity limitations was 73% to 94%. Items ranked by patients were categorized into domains, of which gait, transfers and dexterity were rated most frequently (41%-70%). Test-retest agreement for ranked domains ranged from 74% to 82%. Interviews confirmed that the PSI-PD reliably identified problem areas. CONCLUSIONS: The PSI-PD is a relevant, reliable and valid instrument to identify limitations in everyday activities that are important for both PD patients and physiotherapists.","author":[{"dropping-particle":"","family":"Nijkrake","given":"M. J.","non-dropping-particle":"","parse-names":false,"suffix":""},{"dropping-particle":"","family":"Keus","given":"S. H J","non-dropping-particle":"","parse-names":false,"suffix":""},{"dropping-particle":"","family":"Quist-Anholts","given":"G. W L","non-dropping-particle":"","parse-names":false,"suffix":""},{"dropping-particle":"","family":"Overeem","given":"S.","non-dropping-particle":"","parse-names":false,"suffix":""},{"dropping-particle":"","family":"Roode","given":"M. H.","non-dropping-particle":"De","parse-names":false,"suffix":""},{"dropping-particle":"","family":"Lindeboom","given":"R.","non-dropping-particle":"","parse-names":false,"suffix":""},{"dropping-particle":"","family":"Mulleners","given":"W.","non-dropping-particle":"","parse-names":false,"suffix":""},{"dropping-particle":"","family":"Bloem","given":"B. R.","non-dropping-particle":"","parse-names":false,"suffix":""},{"dropping-particle":"","family":"Munneke","given":"M.","non-dropping-particle":"","parse-names":false,"suffix":""}],"container-title":"European Journal of Physical and Rehabilitation Medicine","id":"ITEM-1","issued":{"date-parts":[["2009"]]},"title":"Evaluation of a patient-specific index as an outcome measure for physiotherapy in Parkinson's disease","type":"article-journal"},"uris":["http://www.mendeley.com/documents/?uuid=6c108c29-87ed-468b-b052-8ca9d9f01ce3"]}],"mendeley":{"formattedCitation":"{25}","plainTextFormattedCitation":"{25}","previouslyFormattedCitation":"{25}"},"properties":{"noteIndex":0},"schema":"https://github.com/citation-style-language/schema/raw/master/csl-citation.json"}</w:instrText>
      </w:r>
      <w:r w:rsidR="00763A14">
        <w:rPr>
          <w:rFonts w:ascii="Arial" w:hAnsi="Arial"/>
        </w:rPr>
        <w:fldChar w:fldCharType="separate"/>
      </w:r>
      <w:r w:rsidR="00763A14" w:rsidRPr="00763A14">
        <w:rPr>
          <w:rFonts w:ascii="Arial" w:hAnsi="Arial"/>
          <w:noProof/>
        </w:rPr>
        <w:t>{25}</w:t>
      </w:r>
      <w:r w:rsidR="00763A14">
        <w:rPr>
          <w:rFonts w:ascii="Arial" w:hAnsi="Arial"/>
        </w:rPr>
        <w:fldChar w:fldCharType="end"/>
      </w:r>
      <w:r w:rsidR="00F24E13">
        <w:rPr>
          <w:rFonts w:ascii="Arial" w:hAnsi="Arial"/>
        </w:rPr>
        <w:t xml:space="preserve"> which has been used in a large trial.</w:t>
      </w:r>
      <w:r w:rsidR="00F24E13">
        <w:rPr>
          <w:rFonts w:ascii="Arial" w:hAnsi="Arial"/>
        </w:rPr>
        <w:fldChar w:fldCharType="begin" w:fldLock="1"/>
      </w:r>
      <w:r w:rsidR="00F24E13">
        <w:rPr>
          <w:rFonts w:ascii="Arial" w:hAnsi="Arial"/>
        </w:rPr>
        <w:instrText>ADDIN CSL_CITATION {"citationItems":[{"id":"ITEM-1","itemData":{"DOI":"10.1016/S1474-4422(09)70327-8","ISSN":"14744422","abstract":"Background: Many patients with Parkinson's disease are treated with physiotherapy. We have developed a community-based professional network (ParkinsonNet) that involves training of a selected number of expert physiotherapists to work according to evidence-based recommendations, and structured referrals to these trained physiotherapists to increase the numbers of patients they treat. We aimed to assess the efficacy of this approach for improving health-care outcomes. Methods: Between February, 2005, and August, 2007, we did a cluster-randomised trial with 16 clusters (defined as community hospitals and their catchment area). Clusters were randomly allocated by use of a variance minimisation algorithm to ParkinsonNet care (n=8) or usual care (n=8). Patients were assessed at baseline and at 8, 16, and 24 weeks of follow-up. The primary outcome was a patient preference disability score, the patient-specific index score, at 16 weeks. Health secondary outcomes were functional mobility, mobility-related quality of life, and total societal costs over 24 weeks. Analysis was by intention to treat. This trial is registered, number NCT00330694. Findings: We included 699 patients. Baseline characteristics of the patients were comparable between the ParkinsonNet clusters (n=358) and usual-care clusters (n=341). The primary endpoint was similar for patients within the ParkinsonNet clusters (mean 47·7, SD 21·9) and control clusters (48·3, 22·4). Health secondary endpoints were also similar for patients in both study groups. Total costs over 24 weeks were lower in ParkinsonNet clusters compared with usual-care clusters (difference €727; 95% CI 56-1399). Interpretation: Implementation of ParkinsonNet networks did not change health outcomes for patients living in ParkinsonNet clusters. However, health-care costs were reduced in ParkinsonNet clusters compared with usual-care clusters. Funding: ZonMw; Netherlands Organisation for Scientific Research; Dutch Parkinson's Disease Society; National Parkinson Foundation; Stichting Robuust. © 2010 Elsevier Ltd. All rights reserved.","author":[{"dropping-particle":"","family":"Munneke","given":"Marten","non-dropping-particle":"","parse-names":false,"suffix":""},{"dropping-particle":"","family":"Nijkrake","given":"Maarten J.","non-dropping-particle":"","parse-names":false,"suffix":""},{"dropping-particle":"","family":"Keus","given":"Samyra HJ","non-dropping-particle":"","parse-names":false,"suffix":""},{"dropping-particle":"","family":"Kwakkel","given":"Gert","non-dropping-particle":"","parse-names":false,"suffix":""},{"dropping-particle":"","family":"Berendse","given":"Henk W.","non-dropping-particle":"","parse-names":false,"suffix":""},{"dropping-particle":"","family":"Roos","given":"Raymund AC","non-dropping-particle":"","parse-names":false,"suffix":""},{"dropping-particle":"","family":"Borm","given":"George F.","non-dropping-particle":"","parse-names":false,"suffix":""},{"dropping-particle":"","family":"Adang","given":"Eddy M.","non-dropping-particle":"","parse-names":false,"suffix":""},{"dropping-particle":"","family":"Overeem","given":"Sebastiaan","non-dropping-particle":"","parse-names":false,"suffix":""},{"dropping-particle":"","family":"Bloem","given":"Bastiaan R.","non-dropping-particle":"","parse-names":false,"suffix":""}],"container-title":"The Lancet Neurology","id":"ITEM-1","issued":{"date-parts":[["2010"]]},"title":"Efficacy of community-based physiotherapy networks for patients with Parkinson's disease: a cluster-randomised trial","type":"article-journal"},"uris":["http://www.mendeley.com/documents/?uuid=5e17e363-053b-4258-b1dd-1b97fca76fcd"]}],"mendeley":{"formattedCitation":"{26}","plainTextFormattedCitation":"{26}"},"properties":{"noteIndex":0},"schema":"https://github.com/citation-style-language/schema/raw/master/csl-citation.json"}</w:instrText>
      </w:r>
      <w:r w:rsidR="00F24E13">
        <w:rPr>
          <w:rFonts w:ascii="Arial" w:hAnsi="Arial"/>
        </w:rPr>
        <w:fldChar w:fldCharType="separate"/>
      </w:r>
      <w:r w:rsidR="00F24E13" w:rsidRPr="00F24E13">
        <w:rPr>
          <w:rFonts w:ascii="Arial" w:hAnsi="Arial"/>
          <w:noProof/>
        </w:rPr>
        <w:t>{26}</w:t>
      </w:r>
      <w:r w:rsidR="00F24E13">
        <w:rPr>
          <w:rFonts w:ascii="Arial" w:hAnsi="Arial"/>
        </w:rPr>
        <w:fldChar w:fldCharType="end"/>
      </w:r>
    </w:p>
    <w:bookmarkEnd w:id="1"/>
    <w:p w14:paraId="12178BFD" w14:textId="77777777" w:rsidR="002106F6" w:rsidRDefault="002106F6" w:rsidP="00AC6E07">
      <w:pPr>
        <w:spacing w:line="480" w:lineRule="auto"/>
        <w:rPr>
          <w:rFonts w:ascii="Arial" w:hAnsi="Arial"/>
          <w:i/>
        </w:rPr>
      </w:pPr>
    </w:p>
    <w:p w14:paraId="2C622873" w14:textId="77777777" w:rsidR="002106F6" w:rsidRDefault="002106F6">
      <w:pPr>
        <w:rPr>
          <w:rFonts w:ascii="Arial" w:hAnsi="Arial"/>
          <w:i/>
        </w:rPr>
      </w:pPr>
    </w:p>
    <w:p w14:paraId="4CB69ED1" w14:textId="77777777" w:rsidR="002106F6" w:rsidRDefault="002106F6">
      <w:pPr>
        <w:rPr>
          <w:rFonts w:ascii="Arial" w:hAnsi="Arial"/>
          <w:i/>
        </w:rPr>
      </w:pPr>
    </w:p>
    <w:p w14:paraId="566BFA52" w14:textId="244FF325" w:rsidR="007D7353" w:rsidRPr="00074D34" w:rsidRDefault="004343C3">
      <w:pPr>
        <w:rPr>
          <w:rFonts w:ascii="Arial" w:hAnsi="Arial"/>
          <w:i/>
        </w:rPr>
      </w:pPr>
      <w:r w:rsidRPr="00D6133F">
        <w:rPr>
          <w:rFonts w:ascii="Arial" w:hAnsi="Arial"/>
          <w:i/>
        </w:rPr>
        <w:t>How</w:t>
      </w:r>
      <w:r w:rsidRPr="00074D34">
        <w:rPr>
          <w:rFonts w:ascii="Arial" w:hAnsi="Arial"/>
          <w:i/>
        </w:rPr>
        <w:t xml:space="preserve"> to measure </w:t>
      </w:r>
    </w:p>
    <w:p w14:paraId="6DB46866" w14:textId="77777777" w:rsidR="007D7353" w:rsidRPr="001B6571" w:rsidRDefault="007D7353">
      <w:pPr>
        <w:rPr>
          <w:rFonts w:ascii="Arial" w:hAnsi="Arial"/>
        </w:rPr>
      </w:pPr>
    </w:p>
    <w:p w14:paraId="497551F8" w14:textId="1F4FD5EF" w:rsidR="002106F6" w:rsidRDefault="00D113C8" w:rsidP="00CB3298">
      <w:pPr>
        <w:spacing w:line="480" w:lineRule="auto"/>
        <w:ind w:firstLine="720"/>
        <w:jc w:val="both"/>
        <w:rPr>
          <w:rFonts w:ascii="Arial" w:hAnsi="Arial"/>
        </w:rPr>
      </w:pPr>
      <w:r>
        <w:rPr>
          <w:rFonts w:ascii="Arial" w:hAnsi="Arial"/>
        </w:rPr>
        <w:t>There are</w:t>
      </w:r>
      <w:r w:rsidR="00D6133F">
        <w:rPr>
          <w:rFonts w:ascii="Arial" w:hAnsi="Arial"/>
        </w:rPr>
        <w:t xml:space="preserve"> </w:t>
      </w:r>
      <w:r w:rsidR="005D259E">
        <w:rPr>
          <w:rFonts w:ascii="Arial" w:hAnsi="Arial"/>
        </w:rPr>
        <w:t xml:space="preserve">often </w:t>
      </w:r>
      <w:r>
        <w:rPr>
          <w:rFonts w:ascii="Arial" w:hAnsi="Arial"/>
        </w:rPr>
        <w:t>many</w:t>
      </w:r>
      <w:r w:rsidR="004A5D17">
        <w:rPr>
          <w:rFonts w:ascii="Arial" w:hAnsi="Arial"/>
        </w:rPr>
        <w:t xml:space="preserve"> different</w:t>
      </w:r>
      <w:r>
        <w:rPr>
          <w:rFonts w:ascii="Arial" w:hAnsi="Arial"/>
        </w:rPr>
        <w:t xml:space="preserve"> ways to measure the same </w:t>
      </w:r>
      <w:r w:rsidR="004A5D17">
        <w:rPr>
          <w:rFonts w:ascii="Arial" w:hAnsi="Arial"/>
        </w:rPr>
        <w:t>outcome</w:t>
      </w:r>
      <w:r w:rsidR="00FC620F">
        <w:rPr>
          <w:rFonts w:ascii="Arial" w:hAnsi="Arial"/>
        </w:rPr>
        <w:t>. F</w:t>
      </w:r>
      <w:r>
        <w:rPr>
          <w:rFonts w:ascii="Arial" w:hAnsi="Arial"/>
        </w:rPr>
        <w:t xml:space="preserve">or </w:t>
      </w:r>
      <w:r w:rsidR="00FC620F">
        <w:rPr>
          <w:rFonts w:ascii="Arial" w:hAnsi="Arial"/>
        </w:rPr>
        <w:t>example</w:t>
      </w:r>
      <w:r w:rsidR="00AD1408">
        <w:rPr>
          <w:rFonts w:ascii="Arial" w:hAnsi="Arial"/>
        </w:rPr>
        <w:t>,</w:t>
      </w:r>
      <w:r w:rsidR="00FC620F">
        <w:rPr>
          <w:rFonts w:ascii="Arial" w:hAnsi="Arial"/>
        </w:rPr>
        <w:t xml:space="preserve"> grip strength can be measured</w:t>
      </w:r>
      <w:r w:rsidR="00EA1A39">
        <w:rPr>
          <w:rFonts w:ascii="Arial" w:hAnsi="Arial"/>
        </w:rPr>
        <w:t xml:space="preserve"> using </w:t>
      </w:r>
      <w:r w:rsidR="008F663C">
        <w:rPr>
          <w:rFonts w:ascii="Arial" w:hAnsi="Arial"/>
        </w:rPr>
        <w:t>a variety of</w:t>
      </w:r>
      <w:r w:rsidR="00EA1A39">
        <w:rPr>
          <w:rFonts w:ascii="Arial" w:hAnsi="Arial"/>
        </w:rPr>
        <w:t xml:space="preserve"> methods and from </w:t>
      </w:r>
      <w:r w:rsidR="001A33F5">
        <w:rPr>
          <w:rFonts w:ascii="Arial" w:hAnsi="Arial"/>
        </w:rPr>
        <w:t xml:space="preserve">several </w:t>
      </w:r>
      <w:r w:rsidR="00EA1A39">
        <w:rPr>
          <w:rFonts w:ascii="Arial" w:hAnsi="Arial"/>
        </w:rPr>
        <w:t>perspectives that</w:t>
      </w:r>
      <w:r w:rsidR="00FC620F">
        <w:rPr>
          <w:rFonts w:ascii="Arial" w:hAnsi="Arial"/>
        </w:rPr>
        <w:t xml:space="preserve"> </w:t>
      </w:r>
      <w:r w:rsidR="00EA1A39">
        <w:rPr>
          <w:rFonts w:ascii="Arial" w:hAnsi="Arial"/>
        </w:rPr>
        <w:t>are of variable objectivity</w:t>
      </w:r>
      <w:r w:rsidR="00D6133F">
        <w:rPr>
          <w:rFonts w:ascii="Arial" w:hAnsi="Arial"/>
        </w:rPr>
        <w:t>:</w:t>
      </w:r>
      <w:r w:rsidR="00EA1A39">
        <w:rPr>
          <w:rFonts w:ascii="Arial" w:hAnsi="Arial"/>
        </w:rPr>
        <w:t xml:space="preserve"> an instrument measuring</w:t>
      </w:r>
      <w:r w:rsidR="00FC620F">
        <w:rPr>
          <w:rFonts w:ascii="Arial" w:hAnsi="Arial"/>
        </w:rPr>
        <w:t xml:space="preserve"> </w:t>
      </w:r>
      <w:r w:rsidR="006B0544">
        <w:rPr>
          <w:rFonts w:ascii="Arial" w:hAnsi="Arial"/>
        </w:rPr>
        <w:t>grip force (</w:t>
      </w:r>
      <w:r w:rsidR="008F663C">
        <w:rPr>
          <w:rFonts w:ascii="Arial" w:hAnsi="Arial"/>
        </w:rPr>
        <w:t xml:space="preserve">a </w:t>
      </w:r>
      <w:r w:rsidR="006B0544">
        <w:rPr>
          <w:rFonts w:ascii="Arial" w:hAnsi="Arial"/>
        </w:rPr>
        <w:lastRenderedPageBreak/>
        <w:t>dynamometer)</w:t>
      </w:r>
      <w:r w:rsidR="00833366">
        <w:rPr>
          <w:rFonts w:ascii="Arial" w:hAnsi="Arial"/>
        </w:rPr>
        <w:t>;</w:t>
      </w:r>
      <w:r w:rsidR="006B0544">
        <w:rPr>
          <w:rFonts w:ascii="Arial" w:hAnsi="Arial"/>
        </w:rPr>
        <w:t xml:space="preserve"> </w:t>
      </w:r>
      <w:r w:rsidR="008F663C">
        <w:rPr>
          <w:rFonts w:ascii="Arial" w:hAnsi="Arial"/>
        </w:rPr>
        <w:t xml:space="preserve">routine </w:t>
      </w:r>
      <w:r w:rsidR="0021190C">
        <w:rPr>
          <w:rFonts w:ascii="Arial" w:hAnsi="Arial"/>
        </w:rPr>
        <w:t>neurological</w:t>
      </w:r>
      <w:r w:rsidR="006B0544">
        <w:rPr>
          <w:rFonts w:ascii="Arial" w:hAnsi="Arial"/>
        </w:rPr>
        <w:t xml:space="preserve"> examination (clinici</w:t>
      </w:r>
      <w:r w:rsidR="00841F00">
        <w:rPr>
          <w:rFonts w:ascii="Arial" w:hAnsi="Arial"/>
        </w:rPr>
        <w:t>an grading</w:t>
      </w:r>
      <w:r w:rsidR="005D259E">
        <w:rPr>
          <w:rFonts w:ascii="Arial" w:hAnsi="Arial"/>
        </w:rPr>
        <w:t xml:space="preserve"> of power</w:t>
      </w:r>
      <w:r w:rsidR="00841F00">
        <w:rPr>
          <w:rFonts w:ascii="Arial" w:hAnsi="Arial"/>
        </w:rPr>
        <w:t xml:space="preserve">), </w:t>
      </w:r>
      <w:r w:rsidR="006B0544">
        <w:rPr>
          <w:rFonts w:ascii="Arial" w:hAnsi="Arial"/>
        </w:rPr>
        <w:t>impression of strength on observing function</w:t>
      </w:r>
      <w:r w:rsidR="00783E4C">
        <w:rPr>
          <w:rFonts w:ascii="Arial" w:hAnsi="Arial"/>
        </w:rPr>
        <w:t xml:space="preserve"> (clinician or carer</w:t>
      </w:r>
      <w:r w:rsidR="001A33F5">
        <w:rPr>
          <w:rFonts w:ascii="Arial" w:hAnsi="Arial"/>
        </w:rPr>
        <w:t>-</w:t>
      </w:r>
      <w:r w:rsidR="00783E4C">
        <w:rPr>
          <w:rFonts w:ascii="Arial" w:hAnsi="Arial"/>
        </w:rPr>
        <w:t>rated</w:t>
      </w:r>
      <w:r w:rsidR="00841F00">
        <w:rPr>
          <w:rFonts w:ascii="Arial" w:hAnsi="Arial"/>
        </w:rPr>
        <w:t>)</w:t>
      </w:r>
      <w:r w:rsidR="00833366">
        <w:rPr>
          <w:rFonts w:ascii="Arial" w:hAnsi="Arial"/>
        </w:rPr>
        <w:t>;</w:t>
      </w:r>
      <w:r w:rsidR="006B0544">
        <w:rPr>
          <w:rFonts w:ascii="Arial" w:hAnsi="Arial"/>
        </w:rPr>
        <w:t xml:space="preserve"> or patient </w:t>
      </w:r>
      <w:r w:rsidR="005D259E">
        <w:rPr>
          <w:rFonts w:ascii="Arial" w:hAnsi="Arial"/>
        </w:rPr>
        <w:t>self-</w:t>
      </w:r>
      <w:r w:rsidR="006B0544">
        <w:rPr>
          <w:rFonts w:ascii="Arial" w:hAnsi="Arial"/>
        </w:rPr>
        <w:t xml:space="preserve">report of </w:t>
      </w:r>
      <w:r w:rsidR="00783E4C">
        <w:rPr>
          <w:rFonts w:ascii="Arial" w:hAnsi="Arial"/>
        </w:rPr>
        <w:t xml:space="preserve">their </w:t>
      </w:r>
      <w:r w:rsidR="006B0544">
        <w:rPr>
          <w:rFonts w:ascii="Arial" w:hAnsi="Arial"/>
        </w:rPr>
        <w:t>strength</w:t>
      </w:r>
      <w:r w:rsidR="005D259E">
        <w:rPr>
          <w:rFonts w:ascii="Arial" w:hAnsi="Arial"/>
        </w:rPr>
        <w:t xml:space="preserve"> (by impression or activities)</w:t>
      </w:r>
      <w:r w:rsidR="00EA1A39">
        <w:rPr>
          <w:rFonts w:ascii="Arial" w:hAnsi="Arial"/>
        </w:rPr>
        <w:t>. Similarly</w:t>
      </w:r>
      <w:r w:rsidR="00954398">
        <w:rPr>
          <w:rFonts w:ascii="Arial" w:hAnsi="Arial"/>
        </w:rPr>
        <w:t>,</w:t>
      </w:r>
      <w:r w:rsidR="00EA1A39">
        <w:rPr>
          <w:rFonts w:ascii="Arial" w:hAnsi="Arial"/>
        </w:rPr>
        <w:t xml:space="preserve"> seizure frequency can</w:t>
      </w:r>
      <w:r w:rsidR="007B59FD">
        <w:rPr>
          <w:rFonts w:ascii="Arial" w:hAnsi="Arial"/>
        </w:rPr>
        <w:t xml:space="preserve"> theoretically</w:t>
      </w:r>
      <w:r w:rsidR="00EA1A39">
        <w:rPr>
          <w:rFonts w:ascii="Arial" w:hAnsi="Arial"/>
        </w:rPr>
        <w:t xml:space="preserve"> be measure</w:t>
      </w:r>
      <w:r w:rsidR="007B59FD">
        <w:rPr>
          <w:rFonts w:ascii="Arial" w:hAnsi="Arial"/>
        </w:rPr>
        <w:t xml:space="preserve">d </w:t>
      </w:r>
      <w:r w:rsidR="00954398">
        <w:rPr>
          <w:rFonts w:ascii="Arial" w:hAnsi="Arial"/>
        </w:rPr>
        <w:t xml:space="preserve">either </w:t>
      </w:r>
      <w:r w:rsidR="007B59FD">
        <w:rPr>
          <w:rFonts w:ascii="Arial" w:hAnsi="Arial"/>
        </w:rPr>
        <w:t>objectively</w:t>
      </w:r>
      <w:r w:rsidR="00954398">
        <w:rPr>
          <w:rFonts w:ascii="Arial" w:hAnsi="Arial"/>
        </w:rPr>
        <w:t>,</w:t>
      </w:r>
      <w:r w:rsidR="003608D5">
        <w:rPr>
          <w:rFonts w:ascii="Arial" w:hAnsi="Arial"/>
        </w:rPr>
        <w:t xml:space="preserve"> </w:t>
      </w:r>
      <w:r w:rsidR="005D259E">
        <w:rPr>
          <w:rFonts w:ascii="Arial" w:hAnsi="Arial"/>
        </w:rPr>
        <w:t xml:space="preserve">conventionally </w:t>
      </w:r>
      <w:r w:rsidR="0052625A">
        <w:rPr>
          <w:rFonts w:ascii="Arial" w:hAnsi="Arial"/>
        </w:rPr>
        <w:t xml:space="preserve">during </w:t>
      </w:r>
      <w:r w:rsidR="007B59FD">
        <w:rPr>
          <w:rFonts w:ascii="Arial" w:hAnsi="Arial"/>
        </w:rPr>
        <w:t>continuous EEG and video monitoring</w:t>
      </w:r>
      <w:r w:rsidR="0026070F">
        <w:rPr>
          <w:rFonts w:ascii="Arial" w:hAnsi="Arial"/>
        </w:rPr>
        <w:t xml:space="preserve"> (telemetry)</w:t>
      </w:r>
      <w:r w:rsidR="00487EE4">
        <w:rPr>
          <w:rFonts w:ascii="Arial" w:hAnsi="Arial"/>
        </w:rPr>
        <w:t xml:space="preserve"> but also potentially</w:t>
      </w:r>
      <w:r w:rsidR="005D259E">
        <w:rPr>
          <w:rFonts w:ascii="Arial" w:hAnsi="Arial"/>
        </w:rPr>
        <w:t xml:space="preserve"> by</w:t>
      </w:r>
      <w:r w:rsidR="00487EE4">
        <w:rPr>
          <w:rFonts w:ascii="Arial" w:hAnsi="Arial"/>
        </w:rPr>
        <w:t xml:space="preserve"> other</w:t>
      </w:r>
      <w:r w:rsidR="005D259E">
        <w:rPr>
          <w:rFonts w:ascii="Arial" w:hAnsi="Arial"/>
        </w:rPr>
        <w:t xml:space="preserve"> physiologic</w:t>
      </w:r>
      <w:r w:rsidR="00487EE4">
        <w:rPr>
          <w:rFonts w:ascii="Arial" w:hAnsi="Arial"/>
        </w:rPr>
        <w:t>al</w:t>
      </w:r>
      <w:r w:rsidR="005D259E">
        <w:rPr>
          <w:rFonts w:ascii="Arial" w:hAnsi="Arial"/>
        </w:rPr>
        <w:t xml:space="preserve"> monitoring (e.g., wearable devices</w:t>
      </w:r>
      <w:r w:rsidR="0026070F">
        <w:rPr>
          <w:rFonts w:ascii="Arial" w:hAnsi="Arial"/>
        </w:rPr>
        <w:t>)</w:t>
      </w:r>
      <w:r w:rsidR="00954398">
        <w:rPr>
          <w:rFonts w:ascii="Arial" w:hAnsi="Arial"/>
        </w:rPr>
        <w:t>,</w:t>
      </w:r>
      <w:r w:rsidR="00EA1A39">
        <w:rPr>
          <w:rFonts w:ascii="Arial" w:hAnsi="Arial"/>
        </w:rPr>
        <w:t xml:space="preserve"> </w:t>
      </w:r>
      <w:r w:rsidR="003608D5">
        <w:rPr>
          <w:rFonts w:ascii="Arial" w:hAnsi="Arial"/>
        </w:rPr>
        <w:t xml:space="preserve">or </w:t>
      </w:r>
      <w:r w:rsidR="008F663C">
        <w:rPr>
          <w:rFonts w:ascii="Arial" w:hAnsi="Arial"/>
        </w:rPr>
        <w:t>subjectively</w:t>
      </w:r>
      <w:r w:rsidR="0062190D">
        <w:rPr>
          <w:rFonts w:ascii="Arial" w:hAnsi="Arial"/>
        </w:rPr>
        <w:t xml:space="preserve"> </w:t>
      </w:r>
      <w:r w:rsidR="003608D5">
        <w:rPr>
          <w:rFonts w:ascii="Arial" w:hAnsi="Arial"/>
        </w:rPr>
        <w:t>by</w:t>
      </w:r>
      <w:r w:rsidR="00EA1A39">
        <w:rPr>
          <w:rFonts w:ascii="Arial" w:hAnsi="Arial"/>
        </w:rPr>
        <w:t xml:space="preserve"> patien</w:t>
      </w:r>
      <w:r w:rsidR="008F663C">
        <w:rPr>
          <w:rFonts w:ascii="Arial" w:hAnsi="Arial"/>
        </w:rPr>
        <w:t>t recall of seizure</w:t>
      </w:r>
      <w:r w:rsidR="00B5259D">
        <w:rPr>
          <w:rFonts w:ascii="Arial" w:hAnsi="Arial"/>
        </w:rPr>
        <w:t xml:space="preserve"> episode</w:t>
      </w:r>
      <w:r w:rsidR="008F663C">
        <w:rPr>
          <w:rFonts w:ascii="Arial" w:hAnsi="Arial"/>
        </w:rPr>
        <w:t>s</w:t>
      </w:r>
      <w:r w:rsidR="005D259E">
        <w:rPr>
          <w:rFonts w:ascii="Arial" w:hAnsi="Arial"/>
        </w:rPr>
        <w:t xml:space="preserve"> (e.g., seizure log)</w:t>
      </w:r>
      <w:r w:rsidR="003608D5">
        <w:rPr>
          <w:rFonts w:ascii="Arial" w:hAnsi="Arial"/>
        </w:rPr>
        <w:t xml:space="preserve">. </w:t>
      </w:r>
    </w:p>
    <w:p w14:paraId="09F7BE8E" w14:textId="24E5971B" w:rsidR="00BC49B7" w:rsidRDefault="00783E4C" w:rsidP="00CB3298">
      <w:pPr>
        <w:spacing w:line="480" w:lineRule="auto"/>
        <w:ind w:firstLine="720"/>
        <w:jc w:val="both"/>
        <w:rPr>
          <w:rFonts w:ascii="Arial" w:hAnsi="Arial"/>
        </w:rPr>
      </w:pPr>
      <w:r>
        <w:rPr>
          <w:rFonts w:ascii="Arial" w:hAnsi="Arial"/>
        </w:rPr>
        <w:t>O</w:t>
      </w:r>
      <w:r w:rsidR="003608D5">
        <w:rPr>
          <w:rFonts w:ascii="Arial" w:hAnsi="Arial"/>
        </w:rPr>
        <w:t>bjective measures</w:t>
      </w:r>
      <w:r w:rsidR="008F663C">
        <w:rPr>
          <w:rFonts w:ascii="Arial" w:hAnsi="Arial"/>
        </w:rPr>
        <w:t xml:space="preserve"> are </w:t>
      </w:r>
      <w:r w:rsidR="0026070F">
        <w:rPr>
          <w:rFonts w:ascii="Arial" w:hAnsi="Arial"/>
        </w:rPr>
        <w:t xml:space="preserve">usually </w:t>
      </w:r>
      <w:r w:rsidR="008F663C">
        <w:rPr>
          <w:rFonts w:ascii="Arial" w:hAnsi="Arial"/>
        </w:rPr>
        <w:t>considered more reliable</w:t>
      </w:r>
      <w:r>
        <w:rPr>
          <w:rFonts w:ascii="Arial" w:hAnsi="Arial"/>
        </w:rPr>
        <w:t xml:space="preserve"> (having lower measurement error)</w:t>
      </w:r>
      <w:r w:rsidR="008F663C">
        <w:rPr>
          <w:rFonts w:ascii="Arial" w:hAnsi="Arial"/>
        </w:rPr>
        <w:t xml:space="preserve"> </w:t>
      </w:r>
      <w:r w:rsidR="0026070F">
        <w:rPr>
          <w:rFonts w:ascii="Arial" w:hAnsi="Arial"/>
        </w:rPr>
        <w:t>and</w:t>
      </w:r>
      <w:r>
        <w:rPr>
          <w:rFonts w:ascii="Arial" w:hAnsi="Arial"/>
        </w:rPr>
        <w:t xml:space="preserve"> therefore generally</w:t>
      </w:r>
      <w:r w:rsidR="0026070F">
        <w:rPr>
          <w:rFonts w:ascii="Arial" w:hAnsi="Arial"/>
        </w:rPr>
        <w:t xml:space="preserve"> prioriti</w:t>
      </w:r>
      <w:r w:rsidR="00D37437">
        <w:rPr>
          <w:rFonts w:ascii="Arial" w:hAnsi="Arial"/>
        </w:rPr>
        <w:t>z</w:t>
      </w:r>
      <w:r w:rsidR="0026070F">
        <w:rPr>
          <w:rFonts w:ascii="Arial" w:hAnsi="Arial"/>
        </w:rPr>
        <w:t>ed in clinical trials</w:t>
      </w:r>
      <w:r w:rsidR="008F663C">
        <w:rPr>
          <w:rFonts w:ascii="Arial" w:hAnsi="Arial"/>
        </w:rPr>
        <w:t xml:space="preserve">. </w:t>
      </w:r>
      <w:r w:rsidR="00B5259D">
        <w:rPr>
          <w:rFonts w:ascii="Arial" w:hAnsi="Arial"/>
        </w:rPr>
        <w:t>Objective measures are usually measured by clinicians, but</w:t>
      </w:r>
      <w:r w:rsidR="00C47E5C">
        <w:rPr>
          <w:rFonts w:ascii="Arial" w:hAnsi="Arial"/>
        </w:rPr>
        <w:t xml:space="preserve"> it is important to clarify that</w:t>
      </w:r>
      <w:r w:rsidR="00CB3298">
        <w:rPr>
          <w:rFonts w:ascii="Arial" w:hAnsi="Arial"/>
        </w:rPr>
        <w:t xml:space="preserve"> the converse does</w:t>
      </w:r>
      <w:r w:rsidR="00833366">
        <w:rPr>
          <w:rFonts w:ascii="Arial" w:hAnsi="Arial"/>
        </w:rPr>
        <w:t xml:space="preserve"> </w:t>
      </w:r>
      <w:r w:rsidR="00CB3298">
        <w:rPr>
          <w:rFonts w:ascii="Arial" w:hAnsi="Arial"/>
        </w:rPr>
        <w:t>n</w:t>
      </w:r>
      <w:r w:rsidR="00833366">
        <w:rPr>
          <w:rFonts w:ascii="Arial" w:hAnsi="Arial"/>
        </w:rPr>
        <w:t>o</w:t>
      </w:r>
      <w:r w:rsidR="00CB3298">
        <w:rPr>
          <w:rFonts w:ascii="Arial" w:hAnsi="Arial"/>
        </w:rPr>
        <w:t>t necessarily apply</w:t>
      </w:r>
      <w:r w:rsidR="00954398">
        <w:rPr>
          <w:rFonts w:ascii="Arial" w:hAnsi="Arial"/>
        </w:rPr>
        <w:t>,</w:t>
      </w:r>
      <w:r w:rsidR="00CB3298">
        <w:rPr>
          <w:rFonts w:ascii="Arial" w:hAnsi="Arial"/>
        </w:rPr>
        <w:t xml:space="preserve"> in that</w:t>
      </w:r>
      <w:r w:rsidR="00B5259D">
        <w:rPr>
          <w:rFonts w:ascii="Arial" w:hAnsi="Arial"/>
        </w:rPr>
        <w:t xml:space="preserve"> some clinician rated measurements are not </w:t>
      </w:r>
      <w:r w:rsidR="00C47E5C">
        <w:rPr>
          <w:rFonts w:ascii="Arial" w:hAnsi="Arial"/>
        </w:rPr>
        <w:t xml:space="preserve">truly </w:t>
      </w:r>
      <w:r w:rsidR="00B5259D">
        <w:rPr>
          <w:rFonts w:ascii="Arial" w:hAnsi="Arial"/>
        </w:rPr>
        <w:t xml:space="preserve">objective – for example </w:t>
      </w:r>
      <w:r>
        <w:rPr>
          <w:rFonts w:ascii="Arial" w:hAnsi="Arial"/>
        </w:rPr>
        <w:t xml:space="preserve">the </w:t>
      </w:r>
      <w:r w:rsidR="0026070F">
        <w:rPr>
          <w:rFonts w:ascii="Arial" w:hAnsi="Arial"/>
        </w:rPr>
        <w:t xml:space="preserve">clinician grading of strength </w:t>
      </w:r>
      <w:r w:rsidR="00CB3298">
        <w:rPr>
          <w:rFonts w:ascii="Arial" w:hAnsi="Arial"/>
        </w:rPr>
        <w:t xml:space="preserve">during </w:t>
      </w:r>
      <w:r w:rsidR="0021190C">
        <w:rPr>
          <w:rFonts w:ascii="Arial" w:hAnsi="Arial"/>
        </w:rPr>
        <w:t>neurological</w:t>
      </w:r>
      <w:r w:rsidR="00CB3298">
        <w:rPr>
          <w:rFonts w:ascii="Arial" w:hAnsi="Arial"/>
        </w:rPr>
        <w:t xml:space="preserve"> examination </w:t>
      </w:r>
      <w:r w:rsidR="0026070F">
        <w:rPr>
          <w:rFonts w:ascii="Arial" w:hAnsi="Arial"/>
        </w:rPr>
        <w:t xml:space="preserve">has a degree of subjectivity to the grade </w:t>
      </w:r>
      <w:r w:rsidR="005B22D5">
        <w:rPr>
          <w:rFonts w:ascii="Arial" w:hAnsi="Arial"/>
        </w:rPr>
        <w:t>allocation</w:t>
      </w:r>
      <w:r w:rsidR="00487EE4">
        <w:rPr>
          <w:rFonts w:ascii="Arial" w:hAnsi="Arial"/>
        </w:rPr>
        <w:t xml:space="preserve"> and has corresponding poor inter-rater reliability</w:t>
      </w:r>
      <w:r w:rsidR="00487EE4">
        <w:rPr>
          <w:rFonts w:ascii="Arial" w:hAnsi="Arial"/>
        </w:rPr>
        <w:fldChar w:fldCharType="begin" w:fldLock="1"/>
      </w:r>
      <w:r w:rsidR="00F24E13">
        <w:rPr>
          <w:rFonts w:ascii="Arial" w:hAnsi="Arial"/>
        </w:rPr>
        <w:instrText>ADDIN CSL_CITATION {"citationItems":[{"id":"ITEM-1","itemData":{"DOI":"10.1093/brain/awr318","ISSN":"14602156","abstract":"The Medical Research Council grading system has served through decades for the evaluation of muscle strength and has been recognized as a cardinal feature of daily neurological, rehabilitation and general medicine examination of patients, despite being respectfully criticized due to the unequal width of its response options. No study has systematically examined, through modern psychometric approach, whether physicians are able to properly use the Medical Research Council grades. The objectives of this study were: (i) to investigate physicians' ability to discriminate among the Medical Research Council categories in patients with different neuromuscular disorders and with various degrees of weakness through thresholds examination using Rasch analysis as a modern psychometric method; (ii) to examine possible factors influencing physicians' ability to apply the Medical Research Council categories through differential item function analyses; and (iii) to examine whether the widely used Medical Research Council 12 muscles sum score in patients with Guillain-Barré syndrome and chronic inflammatory demyelinating polyradiculoneuropathy would meet Rasch model's expectations. A total of 1065 patients were included from nine cohorts with the following diseases: Guillain-Barré syndrome (n = 480); myotonic dystrophy type-1 (n = 169); chronic inflammatory demyelinating polyradiculoneuropathy (n = 139); limb-girdle muscular dystrophy (n = 105); multifocal motor neuropathy (n = 102); Pompe's disease (n = 62) and monoclonal gammopathy of undetermined related polyneuropathy (n = 8). Medical Research Council data of 72 muscles were collected. Rasch analyses were performed on Medical Research Council data for each cohort separately and after pooling data at the muscle level to increase category frequencies, and on the Medical Research Council sum score in patients with Guillain-Barré syndrome and chronic inflammatory demyelinating polyradiculoneuropathy. Disordered thresholds were demonstrated in 74-79% of the muscles examined, indicating physicians' inability to discriminate between most Medical Research Council categories. Factors such as physicians' experience or illness type did not influence these findings. Thresholds were restored after rescoring the Medical Research Council grades from six to four options (0, paralysis; 1, severe weakness; 2, slight weakness; 3, normal strength). The Medical Research Council sum score acceptably fulfilled Rasch model expectations af…","author":[{"dropping-particle":"","family":"Vanhoutte","given":"Els Karla","non-dropping-particle":"","parse-names":false,"suffix":""},{"dropping-particle":"","family":"Faber","given":"Catharina Gerritdina","non-dropping-particle":"","parse-names":false,"suffix":""},{"dropping-particle":"","family":"Nes","given":"Sonja Ingrid","non-dropping-particle":"Van","parse-names":false,"suffix":""},{"dropping-particle":"","family":"Jacobs","given":"Bart Casper","non-dropping-particle":"","parse-names":false,"suffix":""},{"dropping-particle":"","family":"Doorn","given":"Pieter Antoon","non-dropping-particle":"Van","parse-names":false,"suffix":""},{"dropping-particle":"","family":"Koningsveld","given":"Rinske","non-dropping-particle":"Van","parse-names":false,"suffix":""},{"dropping-particle":"","family":"Cornblath","given":"David Reid","non-dropping-particle":"","parse-names":false,"suffix":""},{"dropping-particle":"","family":"Kooi","given":"Anneke Jelly","non-dropping-particle":"Van Der","parse-names":false,"suffix":""},{"dropping-particle":"","family":"Cats","given":"Elisabeth Aviva","non-dropping-particle":"","parse-names":false,"suffix":""},{"dropping-particle":"","family":"Berg","given":"Leonard Hendrik","non-dropping-particle":"Van Den","parse-names":false,"suffix":""},{"dropping-particle":"","family":"Notermans","given":"Nicolette Claudia","non-dropping-particle":"","parse-names":false,"suffix":""},{"dropping-particle":"","family":"Pol","given":"Willem Lodewijk","non-dropping-particle":"Van Der","parse-names":false,"suffix":""},{"dropping-particle":"","family":"Hermans","given":"Mieke Catharina Elisabeth","non-dropping-particle":"","parse-names":false,"suffix":""},{"dropping-particle":"","family":"Beek","given":"Nadine Anna Maria Elisabeth","non-dropping-particle":"Van Der","parse-names":false,"suffix":""},{"dropping-particle":"","family":"Gorson","given":"Kenneth Craig","non-dropping-particle":"","parse-names":false,"suffix":""},{"dropping-particle":"","family":"Eurelings","given":"Marijke","non-dropping-particle":"","parse-names":false,"suffix":""},{"dropping-particle":"","family":"Engelsman","given":"Jeroen","non-dropping-particle":"","parse-names":false,"suffix":""},{"dropping-particle":"","family":"Boot","given":"Hendrik","non-dropping-particle":"","parse-names":false,"suffix":""},{"dropping-particle":"","family":"Meijer","given":"Ronaldus Jacobus","non-dropping-particle":"","parse-names":false,"suffix":""},{"dropping-particle":"","family":"Lauria","given":"Giuseppe","non-dropping-particle":"","parse-names":false,"suffix":""},{"dropping-particle":"","family":"Tennant","given":"Alan","non-dropping-particle":"","parse-names":false,"suffix":""},{"dropping-particle":"","family":"Merkies","given":"Ingemar Sergio José","non-dropping-particle":"","parse-names":false,"suffix":""}],"container-title":"Brain","id":"ITEM-1","issued":{"date-parts":[["2012"]]},"title":"Modifying the Medical Research Council grading system through Rasch analyses","type":"article-journal"},"uris":["http://www.mendeley.com/documents/?uuid=aef5368f-85c5-45ce-97c4-13e57db39656","http://www.mendeley.com/documents/?uuid=9b835867-0c23-4d73-addd-cb994522be80"]}],"mendeley":{"formattedCitation":"{27}","plainTextFormattedCitation":"{27}","previouslyFormattedCitation":"{26}"},"properties":{"noteIndex":0},"schema":"https://github.com/citation-style-language/schema/raw/master/csl-citation.json"}</w:instrText>
      </w:r>
      <w:r w:rsidR="00487EE4">
        <w:rPr>
          <w:rFonts w:ascii="Arial" w:hAnsi="Arial"/>
        </w:rPr>
        <w:fldChar w:fldCharType="separate"/>
      </w:r>
      <w:r w:rsidR="00F24E13" w:rsidRPr="00F24E13">
        <w:rPr>
          <w:rFonts w:ascii="Arial" w:hAnsi="Arial"/>
          <w:noProof/>
        </w:rPr>
        <w:t>{27}</w:t>
      </w:r>
      <w:r w:rsidR="00487EE4">
        <w:rPr>
          <w:rFonts w:ascii="Arial" w:hAnsi="Arial"/>
        </w:rPr>
        <w:fldChar w:fldCharType="end"/>
      </w:r>
      <w:r w:rsidR="005B22D5">
        <w:rPr>
          <w:rFonts w:ascii="Arial" w:hAnsi="Arial"/>
        </w:rPr>
        <w:t>, as does a grading based on observation rather t</w:t>
      </w:r>
      <w:r w:rsidR="00CB3298">
        <w:rPr>
          <w:rFonts w:ascii="Arial" w:hAnsi="Arial"/>
        </w:rPr>
        <w:t xml:space="preserve">han clinical examination. </w:t>
      </w:r>
      <w:r w:rsidR="00D113C8">
        <w:rPr>
          <w:rFonts w:ascii="Arial" w:hAnsi="Arial"/>
        </w:rPr>
        <w:t>Some measure</w:t>
      </w:r>
      <w:r w:rsidR="00B5259D">
        <w:rPr>
          <w:rFonts w:ascii="Arial" w:hAnsi="Arial"/>
        </w:rPr>
        <w:t>ments</w:t>
      </w:r>
      <w:r w:rsidR="00D113C8">
        <w:rPr>
          <w:rFonts w:ascii="Arial" w:hAnsi="Arial"/>
        </w:rPr>
        <w:t xml:space="preserve"> are inherently subjective, </w:t>
      </w:r>
      <w:r w:rsidR="00CB3298">
        <w:rPr>
          <w:rFonts w:ascii="Arial" w:hAnsi="Arial"/>
        </w:rPr>
        <w:t>such as</w:t>
      </w:r>
      <w:r w:rsidR="00D113C8">
        <w:rPr>
          <w:rFonts w:ascii="Arial" w:hAnsi="Arial"/>
        </w:rPr>
        <w:t xml:space="preserve"> quality of life</w:t>
      </w:r>
      <w:r>
        <w:rPr>
          <w:rFonts w:ascii="Arial" w:hAnsi="Arial"/>
        </w:rPr>
        <w:t xml:space="preserve">, but it can be argued that such measures may be at least as important as objective </w:t>
      </w:r>
      <w:r w:rsidR="001A33F5">
        <w:rPr>
          <w:rFonts w:ascii="Arial" w:hAnsi="Arial"/>
        </w:rPr>
        <w:t xml:space="preserve">data points </w:t>
      </w:r>
      <w:r w:rsidR="00487EE4">
        <w:rPr>
          <w:rFonts w:ascii="Arial" w:hAnsi="Arial"/>
        </w:rPr>
        <w:t xml:space="preserve">as </w:t>
      </w:r>
      <w:r w:rsidR="00F80BE9">
        <w:rPr>
          <w:rFonts w:ascii="Arial" w:hAnsi="Arial"/>
        </w:rPr>
        <w:t>they could be more meaningful to patients and correlate more closely to other important factors such as socio-economic outcomes</w:t>
      </w:r>
      <w:r>
        <w:rPr>
          <w:rFonts w:ascii="Arial" w:hAnsi="Arial"/>
        </w:rPr>
        <w:t>.</w:t>
      </w:r>
      <w:r w:rsidR="005D259E">
        <w:rPr>
          <w:rFonts w:ascii="Arial" w:hAnsi="Arial"/>
        </w:rPr>
        <w:t xml:space="preserve"> </w:t>
      </w:r>
    </w:p>
    <w:p w14:paraId="224CCBC6" w14:textId="5220F452" w:rsidR="002106F6" w:rsidRDefault="002106F6" w:rsidP="00CB3298">
      <w:pPr>
        <w:spacing w:line="480" w:lineRule="auto"/>
        <w:ind w:firstLine="720"/>
        <w:jc w:val="both"/>
        <w:rPr>
          <w:rFonts w:ascii="Arial" w:hAnsi="Arial"/>
        </w:rPr>
      </w:pPr>
    </w:p>
    <w:p w14:paraId="4DA5F3C4" w14:textId="77777777" w:rsidR="00BC49B7" w:rsidRDefault="00BC49B7" w:rsidP="006A476C">
      <w:pPr>
        <w:spacing w:line="480" w:lineRule="auto"/>
        <w:jc w:val="both"/>
        <w:rPr>
          <w:rFonts w:ascii="Arial" w:hAnsi="Arial" w:cs="Arial"/>
        </w:rPr>
      </w:pPr>
    </w:p>
    <w:p w14:paraId="4F353CC0" w14:textId="77777777" w:rsidR="00783E4C" w:rsidRDefault="00783E4C">
      <w:pPr>
        <w:rPr>
          <w:rFonts w:ascii="Arial" w:hAnsi="Arial" w:cs="Arial"/>
          <w:b/>
          <w:sz w:val="28"/>
        </w:rPr>
      </w:pPr>
      <w:r>
        <w:rPr>
          <w:rFonts w:ascii="Arial" w:hAnsi="Arial" w:cs="Arial"/>
          <w:b/>
          <w:sz w:val="28"/>
        </w:rPr>
        <w:br w:type="page"/>
      </w:r>
    </w:p>
    <w:p w14:paraId="4C88FF08" w14:textId="2F1B8E77" w:rsidR="00113231" w:rsidRPr="00783E4C" w:rsidRDefault="00113231" w:rsidP="00422718">
      <w:pPr>
        <w:rPr>
          <w:rFonts w:ascii="Arial" w:hAnsi="Arial" w:cs="Arial"/>
          <w:sz w:val="28"/>
        </w:rPr>
      </w:pPr>
      <w:r w:rsidRPr="00783E4C">
        <w:rPr>
          <w:rFonts w:ascii="Arial" w:hAnsi="Arial" w:cs="Arial"/>
          <w:b/>
          <w:sz w:val="28"/>
        </w:rPr>
        <w:lastRenderedPageBreak/>
        <w:t>Key features of FND influenc</w:t>
      </w:r>
      <w:r w:rsidR="00850DA5" w:rsidRPr="00783E4C">
        <w:rPr>
          <w:rFonts w:ascii="Arial" w:hAnsi="Arial" w:cs="Arial"/>
          <w:b/>
          <w:sz w:val="28"/>
        </w:rPr>
        <w:t>ing</w:t>
      </w:r>
      <w:r w:rsidRPr="00783E4C">
        <w:rPr>
          <w:rFonts w:ascii="Arial" w:hAnsi="Arial" w:cs="Arial"/>
          <w:b/>
          <w:sz w:val="28"/>
        </w:rPr>
        <w:t xml:space="preserve"> outcome measurement</w:t>
      </w:r>
    </w:p>
    <w:p w14:paraId="3EACB391" w14:textId="77777777" w:rsidR="00113231" w:rsidRDefault="00113231" w:rsidP="00113231">
      <w:pPr>
        <w:spacing w:line="480" w:lineRule="auto"/>
        <w:jc w:val="both"/>
        <w:rPr>
          <w:rFonts w:ascii="Arial" w:hAnsi="Arial" w:cs="Arial"/>
          <w:b/>
        </w:rPr>
      </w:pPr>
    </w:p>
    <w:p w14:paraId="41C95AE8" w14:textId="77777777" w:rsidR="00E05F7D" w:rsidRPr="00531E0D" w:rsidRDefault="00E05F7D" w:rsidP="00113231">
      <w:pPr>
        <w:spacing w:line="480" w:lineRule="auto"/>
        <w:jc w:val="both"/>
        <w:rPr>
          <w:rFonts w:ascii="Arial" w:hAnsi="Arial" w:cs="Arial"/>
          <w:b/>
        </w:rPr>
      </w:pPr>
    </w:p>
    <w:p w14:paraId="02719D78" w14:textId="51B4C783" w:rsidR="00113231" w:rsidRPr="00472CBD" w:rsidRDefault="00113231" w:rsidP="00113231">
      <w:pPr>
        <w:spacing w:line="480" w:lineRule="auto"/>
        <w:jc w:val="both"/>
        <w:rPr>
          <w:rFonts w:ascii="Arial" w:hAnsi="Arial"/>
        </w:rPr>
      </w:pPr>
      <w:r>
        <w:rPr>
          <w:rFonts w:ascii="Arial" w:hAnsi="Arial" w:cs="Arial"/>
        </w:rPr>
        <w:tab/>
      </w:r>
      <w:r w:rsidRPr="00472CBD">
        <w:rPr>
          <w:rFonts w:ascii="Arial" w:hAnsi="Arial" w:cs="Arial"/>
        </w:rPr>
        <w:t>S</w:t>
      </w:r>
      <w:r w:rsidR="00E22CD7">
        <w:rPr>
          <w:rFonts w:ascii="Arial" w:hAnsi="Arial" w:cs="Arial"/>
        </w:rPr>
        <w:t>everal</w:t>
      </w:r>
      <w:r w:rsidRPr="00472CBD">
        <w:rPr>
          <w:rFonts w:ascii="Arial" w:hAnsi="Arial"/>
        </w:rPr>
        <w:t xml:space="preserve"> features of FND are </w:t>
      </w:r>
      <w:r w:rsidR="00833366">
        <w:rPr>
          <w:rFonts w:ascii="Arial" w:hAnsi="Arial"/>
        </w:rPr>
        <w:t>particularly</w:t>
      </w:r>
      <w:r w:rsidR="00D31BA5">
        <w:rPr>
          <w:rFonts w:ascii="Arial" w:hAnsi="Arial"/>
        </w:rPr>
        <w:t xml:space="preserve"> important</w:t>
      </w:r>
      <w:r w:rsidRPr="00472CBD">
        <w:rPr>
          <w:rFonts w:ascii="Arial" w:hAnsi="Arial"/>
        </w:rPr>
        <w:t xml:space="preserve"> in </w:t>
      </w:r>
      <w:r w:rsidR="00D31BA5">
        <w:rPr>
          <w:rFonts w:ascii="Arial" w:hAnsi="Arial"/>
        </w:rPr>
        <w:t>guiding</w:t>
      </w:r>
      <w:r w:rsidRPr="00472CBD">
        <w:rPr>
          <w:rFonts w:ascii="Arial" w:hAnsi="Arial"/>
        </w:rPr>
        <w:t xml:space="preserve"> outcome </w:t>
      </w:r>
      <w:r w:rsidR="00A91BB6">
        <w:rPr>
          <w:rFonts w:ascii="Arial" w:hAnsi="Arial"/>
        </w:rPr>
        <w:t xml:space="preserve">measure </w:t>
      </w:r>
      <w:r w:rsidR="00E22CD7">
        <w:rPr>
          <w:rFonts w:ascii="Arial" w:hAnsi="Arial"/>
        </w:rPr>
        <w:t>design and selecti</w:t>
      </w:r>
      <w:r w:rsidR="00F94DCC">
        <w:rPr>
          <w:rFonts w:ascii="Arial" w:hAnsi="Arial"/>
        </w:rPr>
        <w:t xml:space="preserve">on. </w:t>
      </w:r>
      <w:r w:rsidRPr="00472CBD">
        <w:rPr>
          <w:rFonts w:ascii="Arial" w:hAnsi="Arial"/>
        </w:rPr>
        <w:t>We</w:t>
      </w:r>
      <w:r w:rsidR="00D31BA5">
        <w:rPr>
          <w:rFonts w:ascii="Arial" w:hAnsi="Arial"/>
        </w:rPr>
        <w:t xml:space="preserve"> </w:t>
      </w:r>
      <w:r w:rsidR="0065530C">
        <w:rPr>
          <w:rFonts w:ascii="Arial" w:hAnsi="Arial"/>
        </w:rPr>
        <w:t>review</w:t>
      </w:r>
      <w:r w:rsidRPr="00472CBD">
        <w:rPr>
          <w:rFonts w:ascii="Arial" w:hAnsi="Arial"/>
        </w:rPr>
        <w:t xml:space="preserve"> </w:t>
      </w:r>
      <w:r w:rsidR="00F94DCC">
        <w:rPr>
          <w:rFonts w:ascii="Arial" w:hAnsi="Arial"/>
        </w:rPr>
        <w:t xml:space="preserve">how </w:t>
      </w:r>
      <w:r w:rsidR="00833366">
        <w:rPr>
          <w:rFonts w:ascii="Arial" w:hAnsi="Arial"/>
        </w:rPr>
        <w:t xml:space="preserve">a diagnosis of </w:t>
      </w:r>
      <w:r w:rsidRPr="00472CBD">
        <w:rPr>
          <w:rFonts w:ascii="Arial" w:hAnsi="Arial" w:cs="Arial"/>
        </w:rPr>
        <w:t>FND</w:t>
      </w:r>
      <w:r w:rsidRPr="00472CBD">
        <w:rPr>
          <w:rFonts w:ascii="Arial" w:hAnsi="Arial"/>
        </w:rPr>
        <w:t xml:space="preserve"> </w:t>
      </w:r>
      <w:r w:rsidR="00CD4405">
        <w:rPr>
          <w:rFonts w:ascii="Arial" w:hAnsi="Arial"/>
        </w:rPr>
        <w:t xml:space="preserve">is </w:t>
      </w:r>
      <w:r w:rsidR="00833366">
        <w:rPr>
          <w:rFonts w:ascii="Arial" w:hAnsi="Arial"/>
        </w:rPr>
        <w:t>made</w:t>
      </w:r>
      <w:r w:rsidR="00D42B7A">
        <w:rPr>
          <w:rFonts w:ascii="Arial" w:hAnsi="Arial"/>
        </w:rPr>
        <w:t xml:space="preserve"> before</w:t>
      </w:r>
      <w:r w:rsidR="00CD4405">
        <w:rPr>
          <w:rFonts w:ascii="Arial" w:hAnsi="Arial"/>
        </w:rPr>
        <w:t xml:space="preserve"> </w:t>
      </w:r>
      <w:r w:rsidR="0065530C">
        <w:rPr>
          <w:rFonts w:ascii="Arial" w:hAnsi="Arial"/>
        </w:rPr>
        <w:t xml:space="preserve">focusing on the wide variety of </w:t>
      </w:r>
      <w:r w:rsidR="00833366">
        <w:rPr>
          <w:rFonts w:ascii="Arial" w:hAnsi="Arial"/>
        </w:rPr>
        <w:t xml:space="preserve">presenting </w:t>
      </w:r>
      <w:r w:rsidR="0065530C">
        <w:rPr>
          <w:rFonts w:ascii="Arial" w:hAnsi="Arial"/>
        </w:rPr>
        <w:t>symptoms</w:t>
      </w:r>
      <w:r w:rsidR="00954398">
        <w:rPr>
          <w:rFonts w:ascii="Arial" w:hAnsi="Arial"/>
        </w:rPr>
        <w:t>,</w:t>
      </w:r>
      <w:r w:rsidR="0065530C">
        <w:rPr>
          <w:rFonts w:ascii="Arial" w:hAnsi="Arial"/>
        </w:rPr>
        <w:t xml:space="preserve"> and how </w:t>
      </w:r>
      <w:r w:rsidR="00CD4405">
        <w:rPr>
          <w:rFonts w:ascii="Arial" w:hAnsi="Arial"/>
        </w:rPr>
        <w:t>specific ‘positive clinical signs’</w:t>
      </w:r>
      <w:r w:rsidR="0065530C">
        <w:rPr>
          <w:rFonts w:ascii="Arial" w:hAnsi="Arial"/>
        </w:rPr>
        <w:t xml:space="preserve"> not only allow its differentiation from other </w:t>
      </w:r>
      <w:r w:rsidR="00CD4405">
        <w:rPr>
          <w:rFonts w:ascii="Arial" w:hAnsi="Arial"/>
        </w:rPr>
        <w:t>disorder</w:t>
      </w:r>
      <w:r w:rsidR="0065530C">
        <w:rPr>
          <w:rFonts w:ascii="Arial" w:hAnsi="Arial"/>
        </w:rPr>
        <w:t>s but</w:t>
      </w:r>
      <w:r w:rsidR="00CD4405">
        <w:rPr>
          <w:rFonts w:ascii="Arial" w:hAnsi="Arial"/>
        </w:rPr>
        <w:t xml:space="preserve"> </w:t>
      </w:r>
      <w:r w:rsidR="0065530C">
        <w:rPr>
          <w:rFonts w:ascii="Arial" w:hAnsi="Arial"/>
        </w:rPr>
        <w:t xml:space="preserve">also explain </w:t>
      </w:r>
      <w:r w:rsidR="00D42B7A">
        <w:rPr>
          <w:rFonts w:ascii="Arial" w:hAnsi="Arial"/>
        </w:rPr>
        <w:t xml:space="preserve">high rates of </w:t>
      </w:r>
      <w:r w:rsidR="0065530C">
        <w:rPr>
          <w:rFonts w:ascii="Arial" w:hAnsi="Arial"/>
        </w:rPr>
        <w:t>symptom variability</w:t>
      </w:r>
      <w:r w:rsidR="00954398">
        <w:rPr>
          <w:rFonts w:ascii="Arial" w:hAnsi="Arial"/>
        </w:rPr>
        <w:t>,</w:t>
      </w:r>
      <w:r w:rsidR="00D42B7A">
        <w:rPr>
          <w:rFonts w:ascii="Arial" w:hAnsi="Arial"/>
        </w:rPr>
        <w:t xml:space="preserve"> why patient report of symptoms can differ from those of clinicians</w:t>
      </w:r>
      <w:r w:rsidR="00265662">
        <w:rPr>
          <w:rFonts w:ascii="Arial" w:hAnsi="Arial"/>
        </w:rPr>
        <w:t>,</w:t>
      </w:r>
      <w:r w:rsidR="00D42B7A">
        <w:rPr>
          <w:rFonts w:ascii="Arial" w:hAnsi="Arial"/>
        </w:rPr>
        <w:t xml:space="preserve"> and the implications of these features.</w:t>
      </w:r>
    </w:p>
    <w:p w14:paraId="5BB2A543" w14:textId="77777777" w:rsidR="00113231" w:rsidRPr="00472CBD" w:rsidRDefault="00113231" w:rsidP="00113231">
      <w:pPr>
        <w:spacing w:line="480" w:lineRule="auto"/>
        <w:jc w:val="both"/>
        <w:rPr>
          <w:rFonts w:ascii="Arial" w:hAnsi="Arial"/>
        </w:rPr>
      </w:pPr>
    </w:p>
    <w:p w14:paraId="6F7ADCAC" w14:textId="5762E55B" w:rsidR="00113231" w:rsidRPr="00472CBD" w:rsidRDefault="00113231" w:rsidP="00113231">
      <w:pPr>
        <w:spacing w:line="480" w:lineRule="auto"/>
        <w:jc w:val="both"/>
        <w:rPr>
          <w:rFonts w:ascii="Arial" w:hAnsi="Arial"/>
        </w:rPr>
      </w:pPr>
      <w:r w:rsidRPr="00472CBD">
        <w:rPr>
          <w:rFonts w:ascii="Arial" w:hAnsi="Arial"/>
          <w:i/>
        </w:rPr>
        <w:t>Diagnos</w:t>
      </w:r>
      <w:r w:rsidR="00F80BE9">
        <w:rPr>
          <w:rFonts w:ascii="Arial" w:hAnsi="Arial"/>
          <w:i/>
        </w:rPr>
        <w:t>tic features</w:t>
      </w:r>
    </w:p>
    <w:p w14:paraId="385C91CE" w14:textId="06BFCC9B" w:rsidR="00E955AB" w:rsidRDefault="001447F6" w:rsidP="00E955AB">
      <w:pPr>
        <w:spacing w:line="480" w:lineRule="auto"/>
        <w:ind w:firstLine="720"/>
        <w:jc w:val="both"/>
        <w:rPr>
          <w:rFonts w:ascii="Arial" w:hAnsi="Arial"/>
        </w:rPr>
      </w:pPr>
      <w:r>
        <w:rPr>
          <w:rFonts w:ascii="Arial" w:hAnsi="Arial"/>
        </w:rPr>
        <w:t>K</w:t>
      </w:r>
      <w:r w:rsidR="00F94DCC">
        <w:rPr>
          <w:rFonts w:ascii="Arial" w:hAnsi="Arial"/>
        </w:rPr>
        <w:t>ey development</w:t>
      </w:r>
      <w:r>
        <w:rPr>
          <w:rFonts w:ascii="Arial" w:hAnsi="Arial"/>
        </w:rPr>
        <w:t>s occurred</w:t>
      </w:r>
      <w:r w:rsidR="00F94DCC">
        <w:rPr>
          <w:rFonts w:ascii="Arial" w:hAnsi="Arial"/>
        </w:rPr>
        <w:t xml:space="preserve"> in </w:t>
      </w:r>
      <w:r>
        <w:rPr>
          <w:rFonts w:ascii="Arial" w:hAnsi="Arial"/>
        </w:rPr>
        <w:t xml:space="preserve">the update from the DSM-IV to the </w:t>
      </w:r>
      <w:r w:rsidR="00F94DCC">
        <w:rPr>
          <w:rFonts w:ascii="Arial" w:hAnsi="Arial"/>
        </w:rPr>
        <w:t>current</w:t>
      </w:r>
      <w:r w:rsidR="00113231" w:rsidRPr="00472CBD">
        <w:rPr>
          <w:rFonts w:ascii="Arial" w:hAnsi="Arial"/>
        </w:rPr>
        <w:t xml:space="preserve"> </w:t>
      </w:r>
      <w:r>
        <w:rPr>
          <w:rFonts w:ascii="Arial" w:hAnsi="Arial"/>
        </w:rPr>
        <w:t xml:space="preserve">DSM 5 </w:t>
      </w:r>
      <w:r w:rsidR="00113231">
        <w:rPr>
          <w:rFonts w:ascii="Arial" w:hAnsi="Arial" w:cs="Arial"/>
        </w:rPr>
        <w:t>diagnostic</w:t>
      </w:r>
      <w:r w:rsidR="00113231" w:rsidRPr="00472CBD">
        <w:rPr>
          <w:rFonts w:ascii="Arial" w:hAnsi="Arial" w:cs="Arial"/>
        </w:rPr>
        <w:t xml:space="preserve"> criteria</w:t>
      </w:r>
      <w:r w:rsidR="00DF291C">
        <w:rPr>
          <w:rFonts w:ascii="Arial" w:hAnsi="Arial" w:cs="Arial"/>
        </w:rPr>
        <w:t xml:space="preserve"> of FND</w:t>
      </w:r>
      <w:r w:rsidR="00113231" w:rsidRPr="00472CBD">
        <w:rPr>
          <w:rFonts w:ascii="Arial" w:hAnsi="Arial"/>
        </w:rPr>
        <w:fldChar w:fldCharType="begin" w:fldLock="1"/>
      </w:r>
      <w:r w:rsidR="00F24E13">
        <w:rPr>
          <w:rFonts w:ascii="Arial" w:hAnsi="Arial"/>
        </w:rPr>
        <w:instrText>ADDIN CSL_CITATION {"citationItems":[{"id":"ITEM-1","itemData":{"author":[{"dropping-particle":"","family":"APA","given":"","non-dropping-particle":"","parse-names":false,"suffix":""}],"edition":"5th","id":"ITEM-1","issued":{"date-parts":[["2013"]]},"publisher":"American Psychiatric Association","publisher-place":"Washington, DC","title":"Diagnostic and statistical manual of mental disorders : DSM-5","type":"book"},"uris":["http://www.mendeley.com/documents/?uuid=cb0a4059-9b67-4399-b135-52b97bcc8e4d"]}],"mendeley":{"formattedCitation":"{28}","plainTextFormattedCitation":"{28}","previouslyFormattedCitation":"{27}"},"properties":{"noteIndex":0},"schema":"https://github.com/citation-style-language/schema/raw/master/csl-citation.json"}</w:instrText>
      </w:r>
      <w:r w:rsidR="00113231" w:rsidRPr="00472CBD">
        <w:rPr>
          <w:rFonts w:ascii="Arial" w:hAnsi="Arial"/>
        </w:rPr>
        <w:fldChar w:fldCharType="separate"/>
      </w:r>
      <w:r w:rsidR="00F24E13" w:rsidRPr="00F24E13">
        <w:rPr>
          <w:rFonts w:ascii="Arial" w:hAnsi="Arial"/>
          <w:noProof/>
        </w:rPr>
        <w:t>{28}</w:t>
      </w:r>
      <w:r w:rsidR="00113231" w:rsidRPr="00472CBD">
        <w:rPr>
          <w:rFonts w:ascii="Arial" w:hAnsi="Arial"/>
        </w:rPr>
        <w:fldChar w:fldCharType="end"/>
      </w:r>
      <w:r>
        <w:rPr>
          <w:rFonts w:ascii="Arial" w:hAnsi="Arial"/>
        </w:rPr>
        <w:t>. A major advance is that the diagnosis is now a “rule in” diagnosis, based on</w:t>
      </w:r>
      <w:r w:rsidR="00DF291C">
        <w:rPr>
          <w:rFonts w:ascii="Arial" w:hAnsi="Arial"/>
        </w:rPr>
        <w:t xml:space="preserve">  the</w:t>
      </w:r>
      <w:r w:rsidR="00113231" w:rsidRPr="00472CBD">
        <w:rPr>
          <w:rFonts w:ascii="Arial" w:hAnsi="Arial"/>
        </w:rPr>
        <w:t xml:space="preserve"> </w:t>
      </w:r>
      <w:r w:rsidR="00113231">
        <w:rPr>
          <w:rFonts w:ascii="Arial" w:hAnsi="Arial"/>
        </w:rPr>
        <w:t>require</w:t>
      </w:r>
      <w:r w:rsidR="00DF291C">
        <w:rPr>
          <w:rFonts w:ascii="Arial" w:hAnsi="Arial"/>
        </w:rPr>
        <w:t>ment</w:t>
      </w:r>
      <w:r w:rsidR="00113231">
        <w:rPr>
          <w:rFonts w:ascii="Arial" w:hAnsi="Arial"/>
        </w:rPr>
        <w:t xml:space="preserve"> that</w:t>
      </w:r>
      <w:r w:rsidR="00113231">
        <w:rPr>
          <w:rFonts w:ascii="Arial" w:hAnsi="Arial" w:cs="Arial"/>
        </w:rPr>
        <w:t xml:space="preserve"> </w:t>
      </w:r>
      <w:r w:rsidR="00DF291C">
        <w:rPr>
          <w:rFonts w:ascii="Arial" w:hAnsi="Arial" w:cs="Arial"/>
        </w:rPr>
        <w:t xml:space="preserve">the </w:t>
      </w:r>
      <w:r w:rsidR="0021190C">
        <w:rPr>
          <w:rFonts w:ascii="Arial" w:hAnsi="Arial"/>
        </w:rPr>
        <w:t>neurological</w:t>
      </w:r>
      <w:r w:rsidR="00113231" w:rsidRPr="00472CBD">
        <w:rPr>
          <w:rFonts w:ascii="Arial" w:hAnsi="Arial"/>
        </w:rPr>
        <w:t xml:space="preserve"> symptoms </w:t>
      </w:r>
      <w:r w:rsidR="00113231">
        <w:rPr>
          <w:rFonts w:ascii="Arial" w:hAnsi="Arial"/>
        </w:rPr>
        <w:t>are associated with</w:t>
      </w:r>
      <w:r w:rsidR="00113231" w:rsidRPr="00472CBD">
        <w:rPr>
          <w:rFonts w:ascii="Arial" w:hAnsi="Arial"/>
        </w:rPr>
        <w:t xml:space="preserve"> “clinical evidence of incompatibility between symptoms and recogni</w:t>
      </w:r>
      <w:r w:rsidR="001E7A9C">
        <w:rPr>
          <w:rFonts w:ascii="Arial" w:hAnsi="Arial"/>
        </w:rPr>
        <w:t>z</w:t>
      </w:r>
      <w:r w:rsidR="00113231" w:rsidRPr="00472CBD">
        <w:rPr>
          <w:rFonts w:ascii="Arial" w:hAnsi="Arial"/>
        </w:rPr>
        <w:t xml:space="preserve">ed </w:t>
      </w:r>
      <w:r w:rsidR="0021190C">
        <w:rPr>
          <w:rFonts w:ascii="Arial" w:hAnsi="Arial"/>
        </w:rPr>
        <w:t>neurological</w:t>
      </w:r>
      <w:r w:rsidR="00113231" w:rsidRPr="00472CBD">
        <w:rPr>
          <w:rFonts w:ascii="Arial" w:hAnsi="Arial"/>
        </w:rPr>
        <w:t xml:space="preserve"> or medical conditions”</w:t>
      </w:r>
      <w:r w:rsidR="00113231">
        <w:rPr>
          <w:rFonts w:ascii="Arial" w:hAnsi="Arial"/>
        </w:rPr>
        <w:fldChar w:fldCharType="begin" w:fldLock="1"/>
      </w:r>
      <w:r w:rsidR="00F24E13">
        <w:rPr>
          <w:rFonts w:ascii="Arial" w:hAnsi="Arial"/>
        </w:rPr>
        <w:instrText>ADDIN CSL_CITATION {"citationItems":[{"id":"ITEM-1","itemData":{"DOI":"10.1016/j.jpsychores.2011.07.005","ISSN":"00223999","abstract":"Conversion disorder in the Diagnostic and Statistical Manual of Mental Disorders (DSM-IV-TR) describes neurological symptoms, including weakness, numbness and events resembling epilepsy or syncope, which can be positively identified as not being due to recognised neurological disease. This review combines perspectives from psychiatry, psychology and neurology to identify and discuss key problems with the current diagnostic DSM-IV criteria for conversion disorder and to make the following proposals for DSM-5: (a) abandoning the label \"conversion disorder\" and replacing it with an alternative term that is both theoretically neutral and potentially more acceptable to patients and practitioners; (b) relegating the requirements for \"association of psychological factors\" and the \"exclusion of feigning\" to the accompanying text; (c) adding a criterion requiring clinical findings of internal inconsistency or incongruity with recognised neurological or medical disease and altering the current 'disease exclusion' criteria to one in which the symptom must not be 'better explained' by a disease if present, (d) adding a 'cognitive symptoms' subtype. We also discuss whether conversion symptoms are better classified with other somatic symptom disorders or with dissociative disorders and how we might address the potential heterogeneity of conversion symptoms in classification. © 2011 Elsevier Inc..","author":[{"dropping-particle":"","family":"Stone","given":"Jon","non-dropping-particle":"","parse-names":false,"suffix":""},{"dropping-particle":"","family":"LaFrance","given":"W. Curt","non-dropping-particle":"","parse-names":false,"suffix":""},{"dropping-particle":"","family":"Brown","given":"Richard","non-dropping-particle":"","parse-names":false,"suffix":""},{"dropping-particle":"","family":"Spiegel","given":"David","non-dropping-particle":"","parse-names":false,"suffix":""},{"dropping-particle":"","family":"Levenson","given":"James L.","non-dropping-particle":"","parse-names":false,"suffix":""},{"dropping-particle":"","family":"Sharpe","given":"Michael","non-dropping-particle":"","parse-names":false,"suffix":""}],"container-title":"Journal of Psychosomatic Research","id":"ITEM-1","issued":{"date-parts":[["2011"]]},"title":"Conversion disorder: Current problems and potential solutions for DSM-5","type":"article"},"uris":["http://www.mendeley.com/documents/?uuid=6465f9c0-5448-4f67-b5c5-a8fd36c1537e"]}],"mendeley":{"formattedCitation":"{29}","plainTextFormattedCitation":"{29}","previouslyFormattedCitation":"{28}"},"properties":{"noteIndex":0},"schema":"https://github.com/citation-style-language/schema/raw/master/csl-citation.json"}</w:instrText>
      </w:r>
      <w:r w:rsidR="00113231">
        <w:rPr>
          <w:rFonts w:ascii="Arial" w:hAnsi="Arial"/>
        </w:rPr>
        <w:fldChar w:fldCharType="separate"/>
      </w:r>
      <w:r w:rsidR="00F24E13" w:rsidRPr="00F24E13">
        <w:rPr>
          <w:rFonts w:ascii="Arial" w:hAnsi="Arial"/>
          <w:noProof/>
        </w:rPr>
        <w:t>{29}</w:t>
      </w:r>
      <w:r w:rsidR="00113231">
        <w:rPr>
          <w:rFonts w:ascii="Arial" w:hAnsi="Arial"/>
        </w:rPr>
        <w:fldChar w:fldCharType="end"/>
      </w:r>
      <w:r>
        <w:rPr>
          <w:rFonts w:ascii="Arial" w:hAnsi="Arial"/>
        </w:rPr>
        <w:t xml:space="preserve">, using </w:t>
      </w:r>
      <w:r w:rsidR="00113231" w:rsidRPr="00472CBD">
        <w:rPr>
          <w:rFonts w:ascii="Arial" w:hAnsi="Arial" w:cs="Arial"/>
        </w:rPr>
        <w:t xml:space="preserve"> </w:t>
      </w:r>
      <w:r w:rsidR="00113231">
        <w:rPr>
          <w:rFonts w:ascii="Arial" w:hAnsi="Arial"/>
        </w:rPr>
        <w:t xml:space="preserve">clinical </w:t>
      </w:r>
      <w:r>
        <w:rPr>
          <w:rFonts w:ascii="Arial" w:hAnsi="Arial"/>
        </w:rPr>
        <w:t xml:space="preserve">exam </w:t>
      </w:r>
      <w:r w:rsidR="00A33DE4">
        <w:rPr>
          <w:rFonts w:ascii="Arial" w:hAnsi="Arial"/>
        </w:rPr>
        <w:t>signs’</w:t>
      </w:r>
      <w:r w:rsidR="00A33DE4">
        <w:rPr>
          <w:rFonts w:ascii="Arial" w:hAnsi="Arial"/>
        </w:rPr>
        <w:fldChar w:fldCharType="begin" w:fldLock="1"/>
      </w:r>
      <w:r w:rsidR="00F24E13">
        <w:rPr>
          <w:rFonts w:ascii="Arial" w:hAnsi="Arial"/>
        </w:rPr>
        <w:instrText>ADDIN CSL_CITATION {"citationItems":[{"id":"ITEM-1","itemData":{"DOI":"jnnp-2012-304607 [pii]\r10.1136/jnnp-2012-304607","ISBN":"1468-330X (Electronic)\r0022-3050 (Linking)","PMID":"23467417","abstract":"Experts in the field of conversion disorder have suggested for the upcoming DSM-V edition to put less weight on the associated psychological factors and to emphasise the role of clinical findings. Indeed, a critical step in reaching a diagnosis of conversion disorder is careful bedside neurological examination, aimed at excluding organic signs and identifying 'positive' signs suggestive of a functional disorder. These positive signs are well known to all trained neurologists but their validity is still not established. The aim of this study is to provide current evidence regarding their sensitivity and specificity. We conducted a systematic search on motor, sensory and gait functional signs in Embase, Medline, PsycINfo from 1965 to June 2012. Studies in English, German or French reporting objective data on more than 10 participants in a controlled design were included in a systematic review. Other relevant signs are discussed in a narrative review. Eleven controlled studies (out of 147 eligible articles) describing 14 signs (7 motor, 5 sensory, 2 gait) reported low sensitivity of 8-100% but high specificity of 92-100%. Studies were evidence class III, only two had a blinded design and none reported on inter-rater reliability of the signs. Clinical signs for functional neurological symptoms are numerous but only 14 have been validated; overall they have low sensitivity but high specificity and their use should thus be recommended, especially with the introduction of the new DSM-V criteria.","author":[{"dropping-particle":"","family":"Daum","given":"C","non-dropping-particle":"","parse-names":false,"suffix":""},{"dropping-particle":"","family":"Hubschmid","given":"M","non-dropping-particle":"","parse-names":false,"suffix":""},{"dropping-particle":"","family":"Aybek","given":"S","non-dropping-particle":"","parse-names":false,"suffix":""}],"container-title":"J Neurol Neurosurg Psychiatry","edition":"2013/03/08","id":"ITEM-1","issued":{"date-parts":[["0"]]},"language":"Eng","note":"Daum, Corinna\nHubschmid, Monica\nAybek, Selma\nJournal article\nJournal of neurology, neurosurgery, and psychiatry\nJ Neurol Neurosurg Psychiatry. 2013 Mar 6.","title":"The value of 'positive' clinical signs for weakness, sensory and gait disorders in conversion disorder: a systematic and narrative review","type":"article-journal"},"uris":["http://www.mendeley.com/documents/?uuid=67313bb0-e58b-48a8-8feb-e424bbf72c3f"]}],"mendeley":{"formattedCitation":"{30}","plainTextFormattedCitation":"{30}","previouslyFormattedCitation":"{29}"},"properties":{"noteIndex":0},"schema":"https://github.com/citation-style-language/schema/raw/master/csl-citation.json"}</w:instrText>
      </w:r>
      <w:r w:rsidR="00A33DE4">
        <w:rPr>
          <w:rFonts w:ascii="Arial" w:hAnsi="Arial"/>
        </w:rPr>
        <w:fldChar w:fldCharType="separate"/>
      </w:r>
      <w:r w:rsidR="00F24E13" w:rsidRPr="00F24E13">
        <w:rPr>
          <w:rFonts w:ascii="Arial" w:hAnsi="Arial"/>
          <w:noProof/>
        </w:rPr>
        <w:t>{30}</w:t>
      </w:r>
      <w:r w:rsidR="00A33DE4">
        <w:rPr>
          <w:rFonts w:ascii="Arial" w:hAnsi="Arial"/>
        </w:rPr>
        <w:fldChar w:fldCharType="end"/>
      </w:r>
      <w:r w:rsidR="001E7A9C">
        <w:rPr>
          <w:rFonts w:ascii="Arial" w:hAnsi="Arial"/>
        </w:rPr>
        <w:t>,</w:t>
      </w:r>
      <w:r w:rsidR="00113231" w:rsidRPr="00472CBD">
        <w:rPr>
          <w:rFonts w:ascii="Arial" w:hAnsi="Arial"/>
        </w:rPr>
        <w:t xml:space="preserve"> </w:t>
      </w:r>
      <w:r>
        <w:rPr>
          <w:rFonts w:ascii="Arial" w:hAnsi="Arial"/>
        </w:rPr>
        <w:t>that</w:t>
      </w:r>
      <w:r w:rsidR="00113231" w:rsidRPr="00472CBD">
        <w:rPr>
          <w:rFonts w:ascii="Arial" w:hAnsi="Arial"/>
        </w:rPr>
        <w:t xml:space="preserve"> allow FND to be positively differentiated from other disorders, rather than defined by the absence of another </w:t>
      </w:r>
      <w:r w:rsidR="00113231">
        <w:rPr>
          <w:rFonts w:ascii="Arial" w:hAnsi="Arial" w:cs="Arial"/>
        </w:rPr>
        <w:t>condition</w:t>
      </w:r>
      <w:r w:rsidR="000B7CD5">
        <w:rPr>
          <w:rFonts w:ascii="Arial" w:hAnsi="Arial" w:cs="Arial"/>
        </w:rPr>
        <w:t xml:space="preserve">, and </w:t>
      </w:r>
      <w:r>
        <w:rPr>
          <w:rFonts w:ascii="Arial" w:hAnsi="Arial" w:cs="Arial"/>
        </w:rPr>
        <w:t xml:space="preserve">that </w:t>
      </w:r>
      <w:r w:rsidR="000B7CD5">
        <w:rPr>
          <w:rFonts w:ascii="Arial" w:hAnsi="Arial" w:cs="Arial"/>
        </w:rPr>
        <w:t xml:space="preserve">have </w:t>
      </w:r>
      <w:r w:rsidR="000B7CD5" w:rsidRPr="00587EA4">
        <w:rPr>
          <w:rFonts w:ascii="Arial" w:hAnsi="Arial"/>
        </w:rPr>
        <w:t>high rates of inter-rater reliability</w:t>
      </w:r>
      <w:r w:rsidR="000B7CD5" w:rsidRPr="00587EA4">
        <w:rPr>
          <w:rFonts w:ascii="Arial" w:hAnsi="Arial"/>
        </w:rPr>
        <w:fldChar w:fldCharType="begin" w:fldLock="1"/>
      </w:r>
      <w:r w:rsidR="00F24E13">
        <w:rPr>
          <w:rFonts w:ascii="Arial" w:hAnsi="Arial"/>
        </w:rPr>
        <w:instrText>ADDIN CSL_CITATION {"citationItems":[{"id":"ITEM-1","itemData":{"DOI":"10.1136/jnnp-2013-307381","ISBN":"2013307381","ISSN":"1468330X","PMID":"24994927","abstract":"BACKGROUND Conversion disorder (CD) is no longer a diagnosis of exclusion. The new DSM-V criteria highlight the importance of 'positive signs' on neurological examination. Only few signs have been validated, and little is known about their reliability. OBJECTIVE The aim was to examine the clinical value of bedside positive signs in the diagnosis of CD presenting with weakness, gait or sensory symptoms by assessing their specificity, sensitivity and their inter-rater reliability. PATIENTS AND METHODS Standardised video recorded neurological examinations were performed in 20 consecutive patients with CD and 20 'organic' controls. Ten previously validated sensory and motor signs were grouped in a scale. Thirteen additional motor/sensory 'positive signs', 14 gait patterns and 1 general sign were assessed in a pilot validation study. In addition, two blinded independent neurologists rated the video recordings to assess the inter-rater reliability (Cohen's κ) of each sign. RESULTS A score of ≥ 4/14 on the sensory motor scale showed a 100% specificity (CI 85 to 100) and a 95% sensitivity (CI 85 to 100). Among the additional tested signs, 10 were significantly more frequent in CD than controls. The interobserver agreement was acceptable for 23/38 signs (2 excellent, 10 good, 11 moderate). CONCLUSIONS Our study confirms that six bedside 'positive signs' are highly specific for CD with good-excellent inter-rater reliability; we propose to consider them as 'highly reliable signs'. In addition 13 signs could be considered as 'reliable signs' and six further signs as 'suggestive signs' while all others should be used with caution until further validation is available.","author":[{"dropping-particle":"","family":"Daum","given":"Corinna","non-dropping-particle":"","parse-names":false,"suffix":""},{"dropping-particle":"","family":"Gheorghita","given":"Fulvia","non-dropping-particle":"","parse-names":false,"suffix":""},{"dropping-particle":"","family":"Spatola","given":"Marianna","non-dropping-particle":"","parse-names":false,"suffix":""},{"dropping-particle":"","family":"Stojanova","given":"Vesna","non-dropping-particle":"","parse-names":false,"suffix":""},{"dropping-particle":"","family":"Medlin","given":"Friedrich","non-dropping-particle":"","parse-names":false,"suffix":""},{"dropping-particle":"","family":"Vingerhoets","given":"Franc¸ois","non-dropping-particle":"","parse-names":false,"suffix":""},{"dropping-particle":"","family":"Berney","given":"Alexandre","non-dropping-particle":"","parse-names":false,"suffix":""},{"dropping-particle":"","family":"Gholam-Rezaee","given":"Mehdi","non-dropping-particle":"","parse-names":false,"suffix":""},{"dropping-particle":"","family":"Maccaferri","given":"Giorgio E.","non-dropping-particle":"","parse-names":false,"suffix":""},{"dropping-particle":"","family":"Hubschmid","given":"Monica","non-dropping-particle":"","parse-names":false,"suffix":""},{"dropping-particle":"","family":"Aybek","given":"Selma","non-dropping-particle":"","parse-names":false,"suffix":""}],"container-title":"Journal of Neurology, Neurosurgery and Psychiatry","id":"ITEM-1","issued":{"date-parts":[["2015"]]},"title":"Interobserver agreement and validity of bedside 'positive signs' for functional weakness, sensory and gait disorders in conversion disorder: A pilot study","type":"article-journal"},"uris":["http://www.mendeley.com/documents/?uuid=fb489b3e-3bb5-400a-bd5c-5488242da9a3"]}],"mendeley":{"formattedCitation":"{31}","plainTextFormattedCitation":"{31}","previouslyFormattedCitation":"{30}"},"properties":{"noteIndex":0},"schema":"https://github.com/citation-style-language/schema/raw/master/csl-citation.json"}</w:instrText>
      </w:r>
      <w:r w:rsidR="000B7CD5" w:rsidRPr="00587EA4">
        <w:rPr>
          <w:rFonts w:ascii="Arial" w:hAnsi="Arial"/>
        </w:rPr>
        <w:fldChar w:fldCharType="separate"/>
      </w:r>
      <w:r w:rsidR="00F24E13" w:rsidRPr="00F24E13">
        <w:rPr>
          <w:rFonts w:ascii="Arial" w:hAnsi="Arial"/>
          <w:noProof/>
        </w:rPr>
        <w:t>{31}</w:t>
      </w:r>
      <w:r w:rsidR="000B7CD5" w:rsidRPr="00587EA4">
        <w:rPr>
          <w:rFonts w:ascii="Arial" w:hAnsi="Arial"/>
        </w:rPr>
        <w:fldChar w:fldCharType="end"/>
      </w:r>
      <w:r w:rsidR="00113231" w:rsidRPr="00472CBD">
        <w:rPr>
          <w:rFonts w:ascii="Arial" w:hAnsi="Arial" w:cs="Arial"/>
        </w:rPr>
        <w:t>.</w:t>
      </w:r>
      <w:r w:rsidR="00E955AB">
        <w:rPr>
          <w:rFonts w:ascii="Arial" w:hAnsi="Arial" w:cs="Arial"/>
        </w:rPr>
        <w:t xml:space="preserve"> </w:t>
      </w:r>
      <w:r w:rsidR="00E955AB" w:rsidRPr="00472CBD">
        <w:rPr>
          <w:rFonts w:ascii="Arial" w:hAnsi="Arial" w:cs="Arial"/>
        </w:rPr>
        <w:t>A</w:t>
      </w:r>
      <w:r w:rsidR="00E955AB">
        <w:rPr>
          <w:rFonts w:ascii="Arial" w:hAnsi="Arial" w:cs="Arial"/>
        </w:rPr>
        <w:t>nother</w:t>
      </w:r>
      <w:r w:rsidR="00E955AB" w:rsidRPr="009B6435">
        <w:rPr>
          <w:rFonts w:ascii="Arial" w:hAnsi="Arial"/>
        </w:rPr>
        <w:t xml:space="preserve"> key change introduced in </w:t>
      </w:r>
      <w:r w:rsidR="00E955AB" w:rsidRPr="009B6435">
        <w:rPr>
          <w:rFonts w:ascii="Arial" w:hAnsi="Arial" w:cs="Arial"/>
        </w:rPr>
        <w:t>DSM</w:t>
      </w:r>
      <w:r w:rsidR="00E955AB">
        <w:rPr>
          <w:rFonts w:ascii="Arial" w:hAnsi="Arial" w:cs="Arial"/>
        </w:rPr>
        <w:t>-</w:t>
      </w:r>
      <w:r w:rsidR="00E955AB" w:rsidRPr="009B6435">
        <w:rPr>
          <w:rFonts w:ascii="Arial" w:hAnsi="Arial" w:cs="Arial"/>
        </w:rPr>
        <w:t>5</w:t>
      </w:r>
      <w:r w:rsidR="00E955AB" w:rsidRPr="009B6435">
        <w:rPr>
          <w:rFonts w:ascii="Arial" w:hAnsi="Arial"/>
        </w:rPr>
        <w:t xml:space="preserve"> in comparison to </w:t>
      </w:r>
      <w:r w:rsidR="0019702F">
        <w:rPr>
          <w:rFonts w:ascii="Arial" w:hAnsi="Arial"/>
        </w:rPr>
        <w:t>the</w:t>
      </w:r>
      <w:r w:rsidR="00E955AB" w:rsidRPr="009B6435">
        <w:rPr>
          <w:rFonts w:ascii="Arial" w:hAnsi="Arial"/>
        </w:rPr>
        <w:t xml:space="preserve"> previous </w:t>
      </w:r>
      <w:r w:rsidR="00E955AB">
        <w:rPr>
          <w:rFonts w:ascii="Arial" w:hAnsi="Arial"/>
        </w:rPr>
        <w:t xml:space="preserve">edition </w:t>
      </w:r>
      <w:r w:rsidR="00E955AB" w:rsidRPr="009B6435">
        <w:rPr>
          <w:rFonts w:ascii="Arial" w:hAnsi="Arial"/>
        </w:rPr>
        <w:t xml:space="preserve">was </w:t>
      </w:r>
      <w:r w:rsidR="0019702F">
        <w:rPr>
          <w:rFonts w:ascii="Arial" w:hAnsi="Arial"/>
        </w:rPr>
        <w:t>moving</w:t>
      </w:r>
      <w:r w:rsidR="00E955AB">
        <w:rPr>
          <w:rFonts w:ascii="Arial" w:hAnsi="Arial" w:cs="Arial"/>
        </w:rPr>
        <w:t xml:space="preserve"> </w:t>
      </w:r>
      <w:r w:rsidR="0019702F">
        <w:rPr>
          <w:rFonts w:ascii="Arial" w:hAnsi="Arial" w:cs="Arial"/>
        </w:rPr>
        <w:t xml:space="preserve">the requirement of identifying preceding </w:t>
      </w:r>
      <w:r w:rsidR="00E955AB" w:rsidRPr="009B6435">
        <w:rPr>
          <w:rFonts w:ascii="Arial" w:hAnsi="Arial"/>
        </w:rPr>
        <w:t xml:space="preserve">psychological stressors </w:t>
      </w:r>
      <w:r w:rsidR="0019702F">
        <w:rPr>
          <w:rFonts w:ascii="Arial" w:hAnsi="Arial"/>
        </w:rPr>
        <w:t>to a clinical note for the condition</w:t>
      </w:r>
      <w:r w:rsidR="00E955AB" w:rsidRPr="009B6435">
        <w:rPr>
          <w:rFonts w:ascii="Arial" w:hAnsi="Arial"/>
        </w:rPr>
        <w:t xml:space="preserve"> </w:t>
      </w:r>
      <w:r w:rsidR="00347297">
        <w:rPr>
          <w:rFonts w:ascii="Arial" w:hAnsi="Arial"/>
        </w:rPr>
        <w:t>–</w:t>
      </w:r>
      <w:r w:rsidR="00E955AB" w:rsidRPr="009B6435">
        <w:rPr>
          <w:rFonts w:ascii="Arial" w:hAnsi="Arial"/>
        </w:rPr>
        <w:t xml:space="preserve"> </w:t>
      </w:r>
      <w:r w:rsidR="00347297">
        <w:rPr>
          <w:rFonts w:ascii="Arial" w:hAnsi="Arial"/>
        </w:rPr>
        <w:t>such that</w:t>
      </w:r>
      <w:r w:rsidR="00E955AB" w:rsidRPr="009B6435">
        <w:rPr>
          <w:rFonts w:ascii="Arial" w:hAnsi="Arial"/>
        </w:rPr>
        <w:t xml:space="preserve"> this</w:t>
      </w:r>
      <w:r w:rsidR="00347297">
        <w:rPr>
          <w:rFonts w:ascii="Arial" w:hAnsi="Arial"/>
        </w:rPr>
        <w:t xml:space="preserve"> feature</w:t>
      </w:r>
      <w:r w:rsidR="00E955AB" w:rsidRPr="009B6435">
        <w:rPr>
          <w:rFonts w:ascii="Arial" w:hAnsi="Arial"/>
        </w:rPr>
        <w:t xml:space="preserve"> is still retained as </w:t>
      </w:r>
      <w:r w:rsidR="00954398">
        <w:rPr>
          <w:rFonts w:ascii="Arial" w:hAnsi="Arial"/>
        </w:rPr>
        <w:t xml:space="preserve">a </w:t>
      </w:r>
      <w:r w:rsidR="00E955AB" w:rsidRPr="009B6435">
        <w:rPr>
          <w:rFonts w:ascii="Arial" w:hAnsi="Arial"/>
        </w:rPr>
        <w:t>specifier. The recently published ICD-11 criteria have endorsed</w:t>
      </w:r>
      <w:r w:rsidR="00E955AB">
        <w:rPr>
          <w:rFonts w:ascii="Arial" w:hAnsi="Arial"/>
        </w:rPr>
        <w:t xml:space="preserve"> </w:t>
      </w:r>
      <w:r w:rsidR="00E955AB" w:rsidRPr="009B6435">
        <w:rPr>
          <w:rFonts w:ascii="Arial" w:hAnsi="Arial"/>
        </w:rPr>
        <w:t>similar changes</w:t>
      </w:r>
      <w:r w:rsidR="00E955AB" w:rsidRPr="009B6435">
        <w:rPr>
          <w:rFonts w:ascii="Arial" w:hAnsi="Arial"/>
        </w:rPr>
        <w:fldChar w:fldCharType="begin" w:fldLock="1"/>
      </w:r>
      <w:r w:rsidR="00F24E13">
        <w:rPr>
          <w:rFonts w:ascii="Arial" w:hAnsi="Arial"/>
        </w:rPr>
        <w:instrText>ADDIN CSL_CITATION {"citationItems":[{"id":"ITEM-1","itemData":{"author":[{"dropping-particle":"","family":"WHO","given":"","non-dropping-particle":"","parse-names":false,"suffix":""}],"id":"ITEM-1","issued":{"date-parts":[["2018"]]},"title":"ICD-11","type":"book"},"uris":["http://www.mendeley.com/documents/?uuid=8c7c6326-92b2-44ed-8010-fb13938787f4"]}],"mendeley":{"formattedCitation":"{32}","plainTextFormattedCitation":"{32}","previouslyFormattedCitation":"{31}"},"properties":{"noteIndex":0},"schema":"https://github.com/citation-style-language/schema/raw/master/csl-citation.json"}</w:instrText>
      </w:r>
      <w:r w:rsidR="00E955AB" w:rsidRPr="009B6435">
        <w:rPr>
          <w:rFonts w:ascii="Arial" w:hAnsi="Arial"/>
        </w:rPr>
        <w:fldChar w:fldCharType="separate"/>
      </w:r>
      <w:r w:rsidR="00F24E13" w:rsidRPr="00F24E13">
        <w:rPr>
          <w:rFonts w:ascii="Arial" w:hAnsi="Arial"/>
          <w:noProof/>
        </w:rPr>
        <w:t>{32}</w:t>
      </w:r>
      <w:r w:rsidR="00E955AB" w:rsidRPr="009B6435">
        <w:rPr>
          <w:rFonts w:ascii="Arial" w:hAnsi="Arial"/>
        </w:rPr>
        <w:fldChar w:fldCharType="end"/>
      </w:r>
      <w:r w:rsidR="00E955AB" w:rsidRPr="009B6435">
        <w:rPr>
          <w:rFonts w:ascii="Arial" w:hAnsi="Arial"/>
        </w:rPr>
        <w:t>.</w:t>
      </w:r>
      <w:r w:rsidR="00074D34">
        <w:rPr>
          <w:rFonts w:ascii="Arial" w:hAnsi="Arial"/>
        </w:rPr>
        <w:t xml:space="preserve"> S</w:t>
      </w:r>
      <w:r w:rsidR="00074D34" w:rsidRPr="00472CBD">
        <w:rPr>
          <w:rFonts w:ascii="Arial" w:hAnsi="Arial"/>
        </w:rPr>
        <w:t>ee Box 1</w:t>
      </w:r>
      <w:r w:rsidR="00074D34">
        <w:rPr>
          <w:rFonts w:ascii="Arial" w:hAnsi="Arial"/>
        </w:rPr>
        <w:t xml:space="preserve"> for the DSM-5 diagnostic criteria.</w:t>
      </w:r>
    </w:p>
    <w:p w14:paraId="7BDDE31A" w14:textId="77777777" w:rsidR="00F664FD" w:rsidRDefault="00F664FD" w:rsidP="00135B69">
      <w:pPr>
        <w:pBdr>
          <w:bottom w:val="single" w:sz="12" w:space="1" w:color="auto"/>
        </w:pBdr>
        <w:spacing w:line="480" w:lineRule="auto"/>
        <w:ind w:firstLine="720"/>
        <w:jc w:val="both"/>
        <w:rPr>
          <w:rFonts w:ascii="Arial" w:hAnsi="Arial"/>
        </w:rPr>
      </w:pPr>
    </w:p>
    <w:p w14:paraId="31C27685" w14:textId="77777777" w:rsidR="00074D34" w:rsidRDefault="00074D34" w:rsidP="00135B69">
      <w:pPr>
        <w:pBdr>
          <w:bottom w:val="single" w:sz="12" w:space="1" w:color="auto"/>
        </w:pBdr>
        <w:spacing w:line="480" w:lineRule="auto"/>
        <w:ind w:firstLine="720"/>
        <w:jc w:val="both"/>
        <w:rPr>
          <w:rFonts w:ascii="Arial" w:hAnsi="Arial"/>
        </w:rPr>
      </w:pPr>
    </w:p>
    <w:p w14:paraId="5C1EFC50" w14:textId="786D4F7C" w:rsidR="00074D34" w:rsidRDefault="00074D34" w:rsidP="00F80BE9">
      <w:pPr>
        <w:pBdr>
          <w:bottom w:val="single" w:sz="12" w:space="1" w:color="auto"/>
        </w:pBdr>
        <w:spacing w:line="480" w:lineRule="auto"/>
        <w:jc w:val="both"/>
        <w:rPr>
          <w:rFonts w:ascii="Arial" w:hAnsi="Arial"/>
        </w:rPr>
      </w:pPr>
    </w:p>
    <w:p w14:paraId="148F5165" w14:textId="77777777" w:rsidR="008A6F1C" w:rsidRPr="00472CBD" w:rsidRDefault="008A6F1C" w:rsidP="00F80BE9">
      <w:pPr>
        <w:pBdr>
          <w:bottom w:val="single" w:sz="12" w:space="1" w:color="auto"/>
        </w:pBdr>
        <w:spacing w:line="480" w:lineRule="auto"/>
        <w:jc w:val="both"/>
        <w:rPr>
          <w:rFonts w:ascii="Arial" w:hAnsi="Arial"/>
        </w:rPr>
      </w:pPr>
    </w:p>
    <w:p w14:paraId="6453BF47" w14:textId="77777777" w:rsidR="00F664FD" w:rsidRDefault="00F664FD" w:rsidP="00F664FD">
      <w:pPr>
        <w:widowControl w:val="0"/>
        <w:autoSpaceDE w:val="0"/>
        <w:autoSpaceDN w:val="0"/>
        <w:adjustRightInd w:val="0"/>
        <w:contextualSpacing/>
        <w:rPr>
          <w:rFonts w:ascii="Arial" w:hAnsi="Arial"/>
        </w:rPr>
      </w:pPr>
    </w:p>
    <w:p w14:paraId="15C0944C" w14:textId="7608926C" w:rsidR="00113231" w:rsidRPr="009B6435" w:rsidRDefault="00113231" w:rsidP="00113231">
      <w:pPr>
        <w:widowControl w:val="0"/>
        <w:autoSpaceDE w:val="0"/>
        <w:autoSpaceDN w:val="0"/>
        <w:adjustRightInd w:val="0"/>
        <w:spacing w:line="480" w:lineRule="auto"/>
        <w:contextualSpacing/>
        <w:jc w:val="both"/>
        <w:rPr>
          <w:rFonts w:ascii="Arial" w:hAnsi="Arial"/>
        </w:rPr>
      </w:pPr>
      <w:r w:rsidRPr="00FE2C54">
        <w:rPr>
          <w:rFonts w:ascii="Arial" w:hAnsi="Arial"/>
          <w:b/>
        </w:rPr>
        <w:t>Box 1:</w:t>
      </w:r>
      <w:r w:rsidRPr="009B6435">
        <w:rPr>
          <w:rFonts w:ascii="Arial" w:hAnsi="Arial"/>
        </w:rPr>
        <w:t xml:space="preserve"> DSM-5 functional </w:t>
      </w:r>
      <w:r w:rsidR="0021190C">
        <w:rPr>
          <w:rFonts w:ascii="Arial" w:hAnsi="Arial"/>
        </w:rPr>
        <w:t>neurological</w:t>
      </w:r>
      <w:r w:rsidRPr="009B6435">
        <w:rPr>
          <w:rFonts w:ascii="Arial" w:hAnsi="Arial"/>
        </w:rPr>
        <w:t xml:space="preserve"> </w:t>
      </w:r>
      <w:r w:rsidR="00FE2C54">
        <w:rPr>
          <w:rFonts w:ascii="Arial" w:hAnsi="Arial"/>
        </w:rPr>
        <w:t>(</w:t>
      </w:r>
      <w:r w:rsidRPr="009B6435">
        <w:rPr>
          <w:rFonts w:ascii="Arial" w:hAnsi="Arial"/>
        </w:rPr>
        <w:t>symptom</w:t>
      </w:r>
      <w:r w:rsidR="00FE2C54">
        <w:rPr>
          <w:rFonts w:ascii="Arial" w:hAnsi="Arial"/>
        </w:rPr>
        <w:t xml:space="preserve">) disorder </w:t>
      </w:r>
      <w:r w:rsidRPr="009B6435">
        <w:rPr>
          <w:rFonts w:ascii="Arial" w:hAnsi="Arial"/>
        </w:rPr>
        <w:t>diagnostic criteria</w:t>
      </w:r>
      <w:r w:rsidRPr="009B6435">
        <w:rPr>
          <w:rFonts w:ascii="Arial" w:hAnsi="Arial"/>
        </w:rPr>
        <w:fldChar w:fldCharType="begin" w:fldLock="1"/>
      </w:r>
      <w:r w:rsidR="00F24E13">
        <w:rPr>
          <w:rFonts w:ascii="Arial" w:hAnsi="Arial"/>
        </w:rPr>
        <w:instrText>ADDIN CSL_CITATION {"citationItems":[{"id":"ITEM-1","itemData":{"author":[{"dropping-particle":"","family":"APA","given":"","non-dropping-particle":"","parse-names":false,"suffix":""}],"edition":"5th","id":"ITEM-1","issued":{"date-parts":[["2013"]]},"publisher":"American Psychiatric Association","publisher-place":"Washington, DC","title":"Diagnostic and statistical manual of mental disorders : DSM-5","type":"book"},"uris":["http://www.mendeley.com/documents/?uuid=cb0a4059-9b67-4399-b135-52b97bcc8e4d"]}],"mendeley":{"formattedCitation":"{28}","plainTextFormattedCitation":"{28}","previouslyFormattedCitation":"{27}"},"properties":{"noteIndex":0},"schema":"https://github.com/citation-style-language/schema/raw/master/csl-citation.json"}</w:instrText>
      </w:r>
      <w:r w:rsidRPr="009B6435">
        <w:rPr>
          <w:rFonts w:ascii="Arial" w:hAnsi="Arial"/>
        </w:rPr>
        <w:fldChar w:fldCharType="separate"/>
      </w:r>
      <w:r w:rsidR="00F24E13" w:rsidRPr="00F24E13">
        <w:rPr>
          <w:rFonts w:ascii="Arial" w:hAnsi="Arial"/>
          <w:noProof/>
        </w:rPr>
        <w:t>{28}</w:t>
      </w:r>
      <w:r w:rsidRPr="009B6435">
        <w:rPr>
          <w:rFonts w:ascii="Arial" w:hAnsi="Arial"/>
        </w:rPr>
        <w:fldChar w:fldCharType="end"/>
      </w:r>
    </w:p>
    <w:p w14:paraId="1805D1B9" w14:textId="77777777" w:rsidR="00113231" w:rsidRPr="009B6435" w:rsidRDefault="00113231" w:rsidP="00113231">
      <w:pPr>
        <w:widowControl w:val="0"/>
        <w:autoSpaceDE w:val="0"/>
        <w:autoSpaceDN w:val="0"/>
        <w:adjustRightInd w:val="0"/>
        <w:spacing w:line="480" w:lineRule="auto"/>
        <w:contextualSpacing/>
        <w:jc w:val="both"/>
        <w:rPr>
          <w:rFonts w:ascii="Arial" w:hAnsi="Arial"/>
        </w:rPr>
      </w:pPr>
    </w:p>
    <w:p w14:paraId="324B5CD5" w14:textId="77777777" w:rsidR="00113231" w:rsidRPr="009B6435" w:rsidRDefault="00113231" w:rsidP="00113231">
      <w:pPr>
        <w:numPr>
          <w:ilvl w:val="0"/>
          <w:numId w:val="11"/>
        </w:numPr>
        <w:spacing w:line="480" w:lineRule="auto"/>
        <w:ind w:left="867" w:hanging="357"/>
        <w:contextualSpacing/>
        <w:jc w:val="both"/>
        <w:rPr>
          <w:rFonts w:ascii="Arial" w:hAnsi="Arial"/>
        </w:rPr>
      </w:pPr>
      <w:r w:rsidRPr="009B6435">
        <w:rPr>
          <w:rFonts w:ascii="Arial" w:hAnsi="Arial"/>
        </w:rPr>
        <w:t xml:space="preserve"> ≥ 1 symptom of altered voluntary motor or sensory function.</w:t>
      </w:r>
    </w:p>
    <w:p w14:paraId="10351AD1" w14:textId="6F3712C0" w:rsidR="00113231" w:rsidRPr="009B6435" w:rsidRDefault="00113231" w:rsidP="00113231">
      <w:pPr>
        <w:numPr>
          <w:ilvl w:val="0"/>
          <w:numId w:val="11"/>
        </w:numPr>
        <w:spacing w:line="480" w:lineRule="auto"/>
        <w:ind w:left="867" w:hanging="357"/>
        <w:contextualSpacing/>
        <w:jc w:val="both"/>
        <w:rPr>
          <w:rFonts w:ascii="Arial" w:hAnsi="Arial"/>
        </w:rPr>
      </w:pPr>
      <w:r w:rsidRPr="009B6435">
        <w:rPr>
          <w:rFonts w:ascii="Arial" w:hAnsi="Arial"/>
        </w:rPr>
        <w:t xml:space="preserve"> Clinical evidence of incompatibility between symptom(s) and recognized </w:t>
      </w:r>
      <w:r w:rsidR="0021190C">
        <w:rPr>
          <w:rFonts w:ascii="Arial" w:hAnsi="Arial"/>
        </w:rPr>
        <w:t>neurological</w:t>
      </w:r>
      <w:r w:rsidRPr="009B6435">
        <w:rPr>
          <w:rFonts w:ascii="Arial" w:hAnsi="Arial"/>
        </w:rPr>
        <w:t xml:space="preserve"> or medical conditions </w:t>
      </w:r>
      <w:r>
        <w:rPr>
          <w:rFonts w:ascii="Arial" w:hAnsi="Arial"/>
        </w:rPr>
        <w:t>[</w:t>
      </w:r>
      <w:r w:rsidRPr="009B6435">
        <w:rPr>
          <w:rFonts w:ascii="Arial" w:hAnsi="Arial"/>
        </w:rPr>
        <w:t>‘</w:t>
      </w:r>
      <w:r w:rsidRPr="008519E5">
        <w:rPr>
          <w:rFonts w:ascii="Arial" w:hAnsi="Arial"/>
          <w:i/>
        </w:rPr>
        <w:t>positive clinical signs’</w:t>
      </w:r>
      <w:r>
        <w:rPr>
          <w:rFonts w:ascii="Arial" w:hAnsi="Arial"/>
        </w:rPr>
        <w:t>]</w:t>
      </w:r>
    </w:p>
    <w:p w14:paraId="605289AF" w14:textId="77777777" w:rsidR="00113231" w:rsidRPr="009B6435" w:rsidRDefault="00113231" w:rsidP="00113231">
      <w:pPr>
        <w:numPr>
          <w:ilvl w:val="0"/>
          <w:numId w:val="11"/>
        </w:numPr>
        <w:spacing w:line="480" w:lineRule="auto"/>
        <w:ind w:left="867" w:hanging="357"/>
        <w:contextualSpacing/>
        <w:jc w:val="both"/>
        <w:rPr>
          <w:rFonts w:ascii="Arial" w:hAnsi="Arial"/>
        </w:rPr>
      </w:pPr>
      <w:r w:rsidRPr="009B6435">
        <w:rPr>
          <w:rFonts w:ascii="Arial" w:hAnsi="Arial"/>
        </w:rPr>
        <w:t>Symptom or deficit is not better explained by another medical or mental disorder.</w:t>
      </w:r>
    </w:p>
    <w:p w14:paraId="5978DC88" w14:textId="77777777" w:rsidR="00113231" w:rsidRPr="009B6435" w:rsidRDefault="00113231" w:rsidP="00113231">
      <w:pPr>
        <w:numPr>
          <w:ilvl w:val="0"/>
          <w:numId w:val="11"/>
        </w:numPr>
        <w:spacing w:line="480" w:lineRule="auto"/>
        <w:ind w:left="867" w:hanging="357"/>
        <w:contextualSpacing/>
        <w:jc w:val="both"/>
        <w:rPr>
          <w:rFonts w:ascii="Arial" w:hAnsi="Arial"/>
        </w:rPr>
      </w:pPr>
      <w:r w:rsidRPr="009B6435">
        <w:rPr>
          <w:rFonts w:ascii="Arial" w:hAnsi="Arial"/>
        </w:rPr>
        <w:t>Symptom or deficit causes clinically significant distress or impairment in social, occupational, or other important areas of functioning or warrants medical evaluation.</w:t>
      </w:r>
    </w:p>
    <w:p w14:paraId="0CB14512" w14:textId="77777777" w:rsidR="00113231" w:rsidRPr="009B6435" w:rsidRDefault="00113231" w:rsidP="00113231">
      <w:pPr>
        <w:spacing w:line="480" w:lineRule="auto"/>
        <w:ind w:left="867"/>
        <w:contextualSpacing/>
        <w:jc w:val="both"/>
        <w:rPr>
          <w:rFonts w:ascii="Arial" w:hAnsi="Arial"/>
        </w:rPr>
      </w:pPr>
    </w:p>
    <w:p w14:paraId="07B37A17" w14:textId="77777777" w:rsidR="00113231" w:rsidRPr="009B6435" w:rsidRDefault="00113231" w:rsidP="00113231">
      <w:pPr>
        <w:spacing w:line="480" w:lineRule="auto"/>
        <w:contextualSpacing/>
        <w:jc w:val="both"/>
        <w:rPr>
          <w:rFonts w:ascii="Arial" w:hAnsi="Arial"/>
        </w:rPr>
      </w:pPr>
      <w:r w:rsidRPr="009B6435">
        <w:rPr>
          <w:rFonts w:ascii="Arial" w:hAnsi="Arial"/>
        </w:rPr>
        <w:t>Specify:</w:t>
      </w:r>
    </w:p>
    <w:p w14:paraId="0B5F80D3" w14:textId="77777777" w:rsidR="00113231" w:rsidRPr="009B6435" w:rsidRDefault="00113231" w:rsidP="00113231">
      <w:pPr>
        <w:numPr>
          <w:ilvl w:val="0"/>
          <w:numId w:val="12"/>
        </w:numPr>
        <w:spacing w:line="480" w:lineRule="auto"/>
        <w:ind w:left="495"/>
        <w:contextualSpacing/>
        <w:jc w:val="both"/>
        <w:rPr>
          <w:rFonts w:ascii="Arial" w:hAnsi="Arial"/>
        </w:rPr>
      </w:pPr>
      <w:r w:rsidRPr="009B6435">
        <w:rPr>
          <w:rFonts w:ascii="Arial" w:hAnsi="Arial"/>
        </w:rPr>
        <w:t xml:space="preserve">Symptom type: </w:t>
      </w:r>
    </w:p>
    <w:p w14:paraId="69DDE888" w14:textId="77777777" w:rsidR="00113231" w:rsidRPr="009B6435" w:rsidRDefault="00113231" w:rsidP="00113231">
      <w:pPr>
        <w:numPr>
          <w:ilvl w:val="0"/>
          <w:numId w:val="14"/>
        </w:numPr>
        <w:spacing w:line="480" w:lineRule="auto"/>
        <w:contextualSpacing/>
        <w:jc w:val="both"/>
        <w:rPr>
          <w:rFonts w:ascii="Arial" w:hAnsi="Arial"/>
        </w:rPr>
      </w:pPr>
      <w:r w:rsidRPr="009B6435">
        <w:rPr>
          <w:rFonts w:ascii="Arial" w:hAnsi="Arial"/>
        </w:rPr>
        <w:t>Weakness or paralysis</w:t>
      </w:r>
    </w:p>
    <w:p w14:paraId="012E86FF" w14:textId="77777777" w:rsidR="00113231" w:rsidRPr="009B6435" w:rsidRDefault="00113231" w:rsidP="00113231">
      <w:pPr>
        <w:numPr>
          <w:ilvl w:val="0"/>
          <w:numId w:val="14"/>
        </w:numPr>
        <w:spacing w:line="480" w:lineRule="auto"/>
        <w:contextualSpacing/>
        <w:jc w:val="both"/>
        <w:rPr>
          <w:rFonts w:ascii="Arial" w:hAnsi="Arial"/>
        </w:rPr>
      </w:pPr>
      <w:r w:rsidRPr="009B6435">
        <w:rPr>
          <w:rFonts w:ascii="Arial" w:hAnsi="Arial"/>
        </w:rPr>
        <w:t>Abnormal movement (e.g. tremor, dystonia, myoclonus, gait disorder)</w:t>
      </w:r>
    </w:p>
    <w:p w14:paraId="70FD9317" w14:textId="77777777" w:rsidR="00113231" w:rsidRPr="009B6435" w:rsidRDefault="00113231" w:rsidP="00113231">
      <w:pPr>
        <w:numPr>
          <w:ilvl w:val="0"/>
          <w:numId w:val="14"/>
        </w:numPr>
        <w:spacing w:line="480" w:lineRule="auto"/>
        <w:contextualSpacing/>
        <w:jc w:val="both"/>
        <w:rPr>
          <w:rFonts w:ascii="Arial" w:hAnsi="Arial"/>
        </w:rPr>
      </w:pPr>
      <w:r w:rsidRPr="009B6435">
        <w:rPr>
          <w:rFonts w:ascii="Arial" w:hAnsi="Arial"/>
        </w:rPr>
        <w:t>Swallowing symptoms</w:t>
      </w:r>
    </w:p>
    <w:p w14:paraId="4B00CADF" w14:textId="77777777" w:rsidR="00113231" w:rsidRPr="009B6435" w:rsidRDefault="00113231" w:rsidP="00113231">
      <w:pPr>
        <w:numPr>
          <w:ilvl w:val="0"/>
          <w:numId w:val="14"/>
        </w:numPr>
        <w:spacing w:line="480" w:lineRule="auto"/>
        <w:contextualSpacing/>
        <w:jc w:val="both"/>
        <w:rPr>
          <w:rFonts w:ascii="Arial" w:hAnsi="Arial"/>
        </w:rPr>
      </w:pPr>
      <w:r w:rsidRPr="009B6435">
        <w:rPr>
          <w:rFonts w:ascii="Arial" w:hAnsi="Arial"/>
        </w:rPr>
        <w:t>Speech symptoms</w:t>
      </w:r>
    </w:p>
    <w:p w14:paraId="7873B994" w14:textId="77777777" w:rsidR="00113231" w:rsidRPr="009B6435" w:rsidRDefault="00113231" w:rsidP="00113231">
      <w:pPr>
        <w:numPr>
          <w:ilvl w:val="0"/>
          <w:numId w:val="14"/>
        </w:numPr>
        <w:spacing w:line="480" w:lineRule="auto"/>
        <w:contextualSpacing/>
        <w:jc w:val="both"/>
        <w:rPr>
          <w:rFonts w:ascii="Arial" w:hAnsi="Arial"/>
        </w:rPr>
      </w:pPr>
      <w:r w:rsidRPr="009B6435">
        <w:rPr>
          <w:rFonts w:ascii="Arial" w:hAnsi="Arial"/>
        </w:rPr>
        <w:t>Attacks or seizures</w:t>
      </w:r>
    </w:p>
    <w:p w14:paraId="0AA36A8A" w14:textId="77777777" w:rsidR="00113231" w:rsidRPr="009B6435" w:rsidRDefault="00113231" w:rsidP="00113231">
      <w:pPr>
        <w:numPr>
          <w:ilvl w:val="0"/>
          <w:numId w:val="14"/>
        </w:numPr>
        <w:spacing w:line="480" w:lineRule="auto"/>
        <w:contextualSpacing/>
        <w:jc w:val="both"/>
        <w:rPr>
          <w:rFonts w:ascii="Arial" w:hAnsi="Arial"/>
        </w:rPr>
      </w:pPr>
      <w:r w:rsidRPr="009B6435">
        <w:rPr>
          <w:rFonts w:ascii="Arial" w:hAnsi="Arial"/>
        </w:rPr>
        <w:t>Anaesthesia or sensory loss</w:t>
      </w:r>
    </w:p>
    <w:p w14:paraId="3A3AE8B4" w14:textId="77777777" w:rsidR="00113231" w:rsidRPr="009B6435" w:rsidRDefault="00113231" w:rsidP="00113231">
      <w:pPr>
        <w:numPr>
          <w:ilvl w:val="0"/>
          <w:numId w:val="14"/>
        </w:numPr>
        <w:spacing w:line="480" w:lineRule="auto"/>
        <w:contextualSpacing/>
        <w:jc w:val="both"/>
        <w:rPr>
          <w:rFonts w:ascii="Arial" w:hAnsi="Arial"/>
        </w:rPr>
      </w:pPr>
      <w:r w:rsidRPr="009B6435">
        <w:rPr>
          <w:rFonts w:ascii="Arial" w:hAnsi="Arial"/>
        </w:rPr>
        <w:t>Special sensory symptom (e.g. visual, olfactory or auditory)</w:t>
      </w:r>
    </w:p>
    <w:p w14:paraId="00FE208E" w14:textId="77777777" w:rsidR="00113231" w:rsidRPr="009B6435" w:rsidRDefault="00113231" w:rsidP="00113231">
      <w:pPr>
        <w:numPr>
          <w:ilvl w:val="0"/>
          <w:numId w:val="14"/>
        </w:numPr>
        <w:spacing w:line="480" w:lineRule="auto"/>
        <w:contextualSpacing/>
        <w:jc w:val="both"/>
        <w:rPr>
          <w:rFonts w:ascii="Arial" w:hAnsi="Arial"/>
        </w:rPr>
      </w:pPr>
      <w:r w:rsidRPr="009B6435">
        <w:rPr>
          <w:rFonts w:ascii="Arial" w:hAnsi="Arial"/>
        </w:rPr>
        <w:t>Mixed symptoms</w:t>
      </w:r>
    </w:p>
    <w:p w14:paraId="30338EED" w14:textId="77777777" w:rsidR="00113231" w:rsidRPr="009B6435" w:rsidRDefault="00113231" w:rsidP="00113231">
      <w:pPr>
        <w:numPr>
          <w:ilvl w:val="0"/>
          <w:numId w:val="13"/>
        </w:numPr>
        <w:spacing w:line="480" w:lineRule="auto"/>
        <w:ind w:left="495"/>
        <w:contextualSpacing/>
        <w:jc w:val="both"/>
        <w:rPr>
          <w:rFonts w:ascii="Arial" w:hAnsi="Arial"/>
        </w:rPr>
      </w:pPr>
      <w:r w:rsidRPr="009B6435">
        <w:rPr>
          <w:rFonts w:ascii="Arial" w:hAnsi="Arial"/>
        </w:rPr>
        <w:t>Acute (&lt; 6 months) or persistent (&gt; 6 months).</w:t>
      </w:r>
    </w:p>
    <w:p w14:paraId="44FEDB70" w14:textId="77777777" w:rsidR="00113231" w:rsidRPr="009B6435" w:rsidRDefault="00113231" w:rsidP="00113231">
      <w:pPr>
        <w:numPr>
          <w:ilvl w:val="0"/>
          <w:numId w:val="13"/>
        </w:numPr>
        <w:spacing w:line="480" w:lineRule="auto"/>
        <w:ind w:left="495"/>
        <w:contextualSpacing/>
        <w:jc w:val="both"/>
        <w:rPr>
          <w:rFonts w:ascii="Arial" w:hAnsi="Arial"/>
        </w:rPr>
      </w:pPr>
      <w:r w:rsidRPr="009B6435">
        <w:rPr>
          <w:rFonts w:ascii="Arial" w:hAnsi="Arial"/>
        </w:rPr>
        <w:t>With or without psychological stressor (associated with onset of symptoms).</w:t>
      </w:r>
    </w:p>
    <w:p w14:paraId="003525A8" w14:textId="59324138" w:rsidR="00113231" w:rsidRPr="008A6F1C" w:rsidRDefault="00F664FD" w:rsidP="008A6F1C">
      <w:pPr>
        <w:widowControl w:val="0"/>
        <w:autoSpaceDE w:val="0"/>
        <w:autoSpaceDN w:val="0"/>
        <w:adjustRightInd w:val="0"/>
        <w:rPr>
          <w:rFonts w:ascii="Arial" w:hAnsi="Arial"/>
        </w:rPr>
      </w:pPr>
      <w:r w:rsidRPr="00E05F7D">
        <w:rPr>
          <w:rFonts w:ascii="Arial" w:hAnsi="Arial"/>
        </w:rPr>
        <w:t>_________________________________________________</w:t>
      </w:r>
      <w:r w:rsidR="00E05F7D">
        <w:rPr>
          <w:rFonts w:ascii="Arial" w:hAnsi="Arial"/>
        </w:rPr>
        <w:t>_________________</w:t>
      </w:r>
      <w:r w:rsidRPr="00E05F7D">
        <w:rPr>
          <w:rFonts w:ascii="Arial" w:hAnsi="Arial"/>
        </w:rPr>
        <w:t>_</w:t>
      </w:r>
    </w:p>
    <w:p w14:paraId="50D06AB1" w14:textId="77777777" w:rsidR="00E955AB" w:rsidRDefault="00E955AB" w:rsidP="00113231">
      <w:pPr>
        <w:rPr>
          <w:rFonts w:ascii="Arial" w:hAnsi="Arial" w:cs="Arial"/>
        </w:rPr>
      </w:pPr>
    </w:p>
    <w:p w14:paraId="11F23E41" w14:textId="64B3E21E" w:rsidR="00113231" w:rsidRDefault="00074D34" w:rsidP="001D5026">
      <w:pPr>
        <w:spacing w:line="480" w:lineRule="auto"/>
        <w:ind w:firstLine="720"/>
        <w:jc w:val="both"/>
        <w:rPr>
          <w:rFonts w:ascii="Arial" w:hAnsi="Arial" w:cs="Arial"/>
        </w:rPr>
      </w:pPr>
      <w:r>
        <w:rPr>
          <w:rFonts w:ascii="Arial" w:hAnsi="Arial" w:cs="Arial"/>
        </w:rPr>
        <w:t xml:space="preserve">There are positive clinical signs for </w:t>
      </w:r>
      <w:r w:rsidR="0019702F">
        <w:rPr>
          <w:rFonts w:ascii="Arial" w:hAnsi="Arial" w:cs="Arial"/>
        </w:rPr>
        <w:t xml:space="preserve">the various </w:t>
      </w:r>
      <w:r>
        <w:rPr>
          <w:rFonts w:ascii="Arial" w:hAnsi="Arial" w:cs="Arial"/>
        </w:rPr>
        <w:t xml:space="preserve">symptom </w:t>
      </w:r>
      <w:r w:rsidR="0019702F">
        <w:rPr>
          <w:rFonts w:ascii="Arial" w:hAnsi="Arial" w:cs="Arial"/>
        </w:rPr>
        <w:t>presentations</w:t>
      </w:r>
      <w:r w:rsidR="004D5C96">
        <w:rPr>
          <w:rFonts w:ascii="Arial" w:hAnsi="Arial" w:cs="Arial"/>
        </w:rPr>
        <w:t>, each with varying degrees of usefulness</w:t>
      </w:r>
      <w:r>
        <w:rPr>
          <w:rFonts w:ascii="Arial" w:hAnsi="Arial" w:cs="Arial"/>
        </w:rPr>
        <w:t>.</w:t>
      </w:r>
      <w:r w:rsidRPr="00074D34">
        <w:rPr>
          <w:rFonts w:ascii="Arial" w:hAnsi="Arial" w:cs="Arial"/>
        </w:rPr>
        <w:t xml:space="preserve"> Hoover’s sign of functional leg weakness</w:t>
      </w:r>
      <w:r w:rsidR="004D5C96">
        <w:rPr>
          <w:rFonts w:ascii="Arial" w:hAnsi="Arial" w:cs="Arial"/>
        </w:rPr>
        <w:t xml:space="preserve">, is </w:t>
      </w:r>
      <w:r w:rsidR="00047879">
        <w:rPr>
          <w:rFonts w:ascii="Arial" w:hAnsi="Arial" w:cs="Arial"/>
        </w:rPr>
        <w:t>a good example of a</w:t>
      </w:r>
      <w:r w:rsidR="004D5C96">
        <w:rPr>
          <w:rFonts w:ascii="Arial" w:hAnsi="Arial" w:cs="Arial"/>
        </w:rPr>
        <w:t xml:space="preserve"> clinically useful sign with good reliability and specificity</w:t>
      </w:r>
      <w:r w:rsidR="001D5026" w:rsidRPr="00587EA4">
        <w:rPr>
          <w:rFonts w:ascii="Arial" w:hAnsi="Arial"/>
        </w:rPr>
        <w:fldChar w:fldCharType="begin" w:fldLock="1"/>
      </w:r>
      <w:r w:rsidR="00F24E13">
        <w:rPr>
          <w:rFonts w:ascii="Arial" w:hAnsi="Arial"/>
        </w:rPr>
        <w:instrText>ADDIN CSL_CITATION {"citationItems":[{"id":"ITEM-1","itemData":{"DOI":"10.1136/jnnp-2013-307381","ISBN":"2013307381","ISSN":"1468330X","PMID":"24994927","abstract":"BACKGROUND Conversion disorder (CD) is no longer a diagnosis of exclusion. The new DSM-V criteria highlight the importance of 'positive signs' on neurological examination. Only few signs have been validated, and little is known about their reliability. OBJECTIVE The aim was to examine the clinical value of bedside positive signs in the diagnosis of CD presenting with weakness, gait or sensory symptoms by assessing their specificity, sensitivity and their inter-rater reliability. PATIENTS AND METHODS Standardised video recorded neurological examinations were performed in 20 consecutive patients with CD and 20 'organic' controls. Ten previously validated sensory and motor signs were grouped in a scale. Thirteen additional motor/sensory 'positive signs', 14 gait patterns and 1 general sign were assessed in a pilot validation study. In addition, two blinded independent neurologists rated the video recordings to assess the inter-rater reliability (Cohen's κ) of each sign. RESULTS A score of ≥ 4/14 on the sensory motor scale showed a 100% specificity (CI 85 to 100) and a 95% sensitivity (CI 85 to 100). Among the additional tested signs, 10 were significantly more frequent in CD than controls. The interobserver agreement was acceptable for 23/38 signs (2 excellent, 10 good, 11 moderate). CONCLUSIONS Our study confirms that six bedside 'positive signs' are highly specific for CD with good-excellent inter-rater reliability; we propose to consider them as 'highly reliable signs'. In addition 13 signs could be considered as 'reliable signs' and six further signs as 'suggestive signs' while all others should be used with caution until further validation is available.","author":[{"dropping-particle":"","family":"Daum","given":"Corinna","non-dropping-particle":"","parse-names":false,"suffix":""},{"dropping-particle":"","family":"Gheorghita","given":"Fulvia","non-dropping-particle":"","parse-names":false,"suffix":""},{"dropping-particle":"","family":"Spatola","given":"Marianna","non-dropping-particle":"","parse-names":false,"suffix":""},{"dropping-particle":"","family":"Stojanova","given":"Vesna","non-dropping-particle":"","parse-names":false,"suffix":""},{"dropping-particle":"","family":"Medlin","given":"Friedrich","non-dropping-particle":"","parse-names":false,"suffix":""},{"dropping-particle":"","family":"Vingerhoets","given":"Franc¸ois","non-dropping-particle":"","parse-names":false,"suffix":""},{"dropping-particle":"","family":"Berney","given":"Alexandre","non-dropping-particle":"","parse-names":false,"suffix":""},{"dropping-particle":"","family":"Gholam-Rezaee","given":"Mehdi","non-dropping-particle":"","parse-names":false,"suffix":""},{"dropping-particle":"","family":"Maccaferri","given":"Giorgio E.","non-dropping-particle":"","parse-names":false,"suffix":""},{"dropping-particle":"","family":"Hubschmid","given":"Monica","non-dropping-particle":"","parse-names":false,"suffix":""},{"dropping-particle":"","family":"Aybek","given":"Selma","non-dropping-particle":"","parse-names":false,"suffix":""}],"container-title":"Journal of Neurology, Neurosurgery and Psychiatry","id":"ITEM-1","issued":{"date-parts":[["2015"]]},"title":"Interobserver agreement and validity of bedside 'positive signs' for functional weakness, sensory and gait disorders in conversion disorder: A pilot study","type":"article-journal"},"uris":["http://www.mendeley.com/documents/?uuid=fb489b3e-3bb5-400a-bd5c-5488242da9a3"]}],"mendeley":{"formattedCitation":"{31}","plainTextFormattedCitation":"{31}","previouslyFormattedCitation":"{30}"},"properties":{"noteIndex":0},"schema":"https://github.com/citation-style-language/schema/raw/master/csl-citation.json"}</w:instrText>
      </w:r>
      <w:r w:rsidR="001D5026" w:rsidRPr="00587EA4">
        <w:rPr>
          <w:rFonts w:ascii="Arial" w:hAnsi="Arial"/>
        </w:rPr>
        <w:fldChar w:fldCharType="separate"/>
      </w:r>
      <w:r w:rsidR="00F24E13" w:rsidRPr="00F24E13">
        <w:rPr>
          <w:rFonts w:ascii="Arial" w:hAnsi="Arial"/>
          <w:noProof/>
        </w:rPr>
        <w:t>{31}</w:t>
      </w:r>
      <w:r w:rsidR="001D5026" w:rsidRPr="00587EA4">
        <w:rPr>
          <w:rFonts w:ascii="Arial" w:hAnsi="Arial"/>
        </w:rPr>
        <w:fldChar w:fldCharType="end"/>
      </w:r>
      <w:r w:rsidR="00347297">
        <w:rPr>
          <w:rFonts w:ascii="Arial" w:hAnsi="Arial" w:cs="Arial"/>
        </w:rPr>
        <w:t xml:space="preserve"> and</w:t>
      </w:r>
      <w:r w:rsidR="001D5026">
        <w:rPr>
          <w:rFonts w:ascii="Arial" w:hAnsi="Arial" w:cs="Arial"/>
        </w:rPr>
        <w:t xml:space="preserve"> </w:t>
      </w:r>
      <w:r w:rsidRPr="00074D34">
        <w:rPr>
          <w:rFonts w:ascii="Arial" w:hAnsi="Arial" w:cs="Arial"/>
        </w:rPr>
        <w:t>describes hip extension weakness that normali</w:t>
      </w:r>
      <w:r w:rsidR="00361ED3">
        <w:rPr>
          <w:rFonts w:ascii="Arial" w:hAnsi="Arial" w:cs="Arial"/>
        </w:rPr>
        <w:t>z</w:t>
      </w:r>
      <w:r w:rsidRPr="00074D34">
        <w:rPr>
          <w:rFonts w:ascii="Arial" w:hAnsi="Arial" w:cs="Arial"/>
        </w:rPr>
        <w:t xml:space="preserve">es when it is triggered (automatically) by contralateral hip flexion. </w:t>
      </w:r>
      <w:r w:rsidR="0019702F">
        <w:rPr>
          <w:rFonts w:ascii="Arial" w:hAnsi="Arial" w:cs="Arial"/>
        </w:rPr>
        <w:t>A f</w:t>
      </w:r>
      <w:r w:rsidRPr="00074D34">
        <w:rPr>
          <w:rFonts w:ascii="Arial" w:hAnsi="Arial" w:cs="Arial"/>
        </w:rPr>
        <w:t xml:space="preserve">unctional tremor </w:t>
      </w:r>
      <w:r w:rsidR="0019702F">
        <w:rPr>
          <w:rFonts w:ascii="Arial" w:hAnsi="Arial" w:cs="Arial"/>
        </w:rPr>
        <w:t>sign is elicited in</w:t>
      </w:r>
      <w:r w:rsidRPr="00074D34">
        <w:rPr>
          <w:rFonts w:ascii="Arial" w:hAnsi="Arial" w:cs="Arial"/>
        </w:rPr>
        <w:t xml:space="preserve"> response to a</w:t>
      </w:r>
      <w:r w:rsidR="001D5026">
        <w:rPr>
          <w:rFonts w:ascii="Arial" w:hAnsi="Arial" w:cs="Arial"/>
        </w:rPr>
        <w:t>n</w:t>
      </w:r>
      <w:r w:rsidRPr="00074D34">
        <w:rPr>
          <w:rFonts w:ascii="Arial" w:hAnsi="Arial" w:cs="Arial"/>
        </w:rPr>
        <w:t xml:space="preserve"> externally cued rhythmic movement, which may lead to tremor ‘entrainment’ or cessation.  Patterns of </w:t>
      </w:r>
      <w:r w:rsidR="001D5026">
        <w:rPr>
          <w:rFonts w:ascii="Arial" w:hAnsi="Arial" w:cs="Arial"/>
        </w:rPr>
        <w:t>PNES</w:t>
      </w:r>
      <w:r w:rsidRPr="00074D34">
        <w:rPr>
          <w:rFonts w:ascii="Arial" w:hAnsi="Arial" w:cs="Arial"/>
        </w:rPr>
        <w:t xml:space="preserve"> can also be differentiated from epileptic seizures based on </w:t>
      </w:r>
      <w:proofErr w:type="spellStart"/>
      <w:r w:rsidRPr="00074D34">
        <w:rPr>
          <w:rFonts w:ascii="Arial" w:hAnsi="Arial" w:cs="Arial"/>
        </w:rPr>
        <w:t>semiological</w:t>
      </w:r>
      <w:proofErr w:type="spellEnd"/>
      <w:r w:rsidRPr="00074D34">
        <w:rPr>
          <w:rFonts w:ascii="Arial" w:hAnsi="Arial" w:cs="Arial"/>
        </w:rPr>
        <w:t xml:space="preserve"> features</w:t>
      </w:r>
      <w:r w:rsidRPr="00074D34">
        <w:rPr>
          <w:rFonts w:ascii="Arial" w:hAnsi="Arial" w:cs="Arial"/>
        </w:rPr>
        <w:fldChar w:fldCharType="begin" w:fldLock="1"/>
      </w:r>
      <w:r w:rsidR="00F24E13">
        <w:rPr>
          <w:rFonts w:ascii="Arial" w:hAnsi="Arial" w:cs="Arial"/>
        </w:rPr>
        <w:instrText>ADDIN CSL_CITATION {"citationItems":[{"id":"ITEM-1","itemData":{"DOI":"10.1002/ana.22345","ISSN":"03645134","abstract":"OBJECTIVE Reducing health and economic burdens from diagnostic delay of psychogenic nonepileptic seizures (PNES) requires prompt referral for video electroencephalography (VEEG) monitoring, the diagnostic gold standard. Practitioners make VEEG referrals when semiology suggests PNES, although few semiological signs are supported by well-designed studies, and most VEEG studies neglect to concurrently measure how accurately seizure witnesses can ascertain semiology. In this study, we estimate the value of eyewitness-reported and video-documented semiology for predicting PNES, and we measure accuracy of eyewitness reports. METHODS We prospectively interviewed eyewitnesses of seizures in patients referred for VEEG monitoring, to inquire about 48 putative PNES and ES signs. Multiple, EEG-blinded, epileptologists independently evaluated seizure videos and documented the presence/absence of signs. We used generalized estimating equations to identify reliable video-documented PNES and ES signs, and we compared eyewitness reports with video findings to assess how accurately signs are reported. We used logistic regression to determine whether eyewitness reports could predict VEEG-ascertained seizure type. RESULTS We analyzed 120 seizures (36 PNES, 84 ES) from 35 consecutive subjects. Of 45 video-documented signs, only 3 PNES signs (\"preserved awareness,\" \"eye flutter,\" and \"bystanders can intensify or alleviate\") and 3 ES signs (\"abrupt onset,\" \"eye-opening/widening,\" and postictal \"confusion/sleep\") were significant and reliable indicators of seizure type. Eyewitness reports of these 6 signs were inaccurate and not statistically different from guessing. Consequentially, eyewitness reports of signs did not predict VEEG-ascertained diagnosis. We validated our findings in a second, prospective cohort of 36 consecutive subjects. INTERPRETATION We identified 6 semiological signs that reliably distinguish PNES and ES, and found that eyewitness reports of these signs are unreliable. We offer suggestions to improve the accuracy of eyewitness reports.","author":[{"dropping-particle":"","family":"Syed","given":"Tanvir U.","non-dropping-particle":"","parse-names":false,"suffix":""},{"dropping-particle":"","family":"Lafrance","given":"W. Curt","non-dropping-particle":"","parse-names":false,"suffix":""},{"dropping-particle":"","family":"Kahriman","given":"Emine S.","non-dropping-particle":"","parse-names":false,"suffix":""},{"dropping-particle":"","family":"Hasan","given":"Saba N.","non-dropping-particle":"","parse-names":false,"suffix":""},{"dropping-particle":"","family":"Rajasekaran","given":"Vijayalakshmi","non-dropping-particle":"","parse-names":false,"suffix":""},{"dropping-particle":"","family":"Gulati","given":"Deepak","non-dropping-particle":"","parse-names":false,"suffix":""},{"dropping-particle":"","family":"Borad","given":"Samip","non-dropping-particle":"","parse-names":false,"suffix":""},{"dropping-particle":"","family":"Shahid","given":"Asim","non-dropping-particle":"","parse-names":false,"suffix":""},{"dropping-particle":"","family":"Fernandez-Baca","given":"Guadalupe","non-dropping-particle":"","parse-names":false,"suffix":""},{"dropping-particle":"","family":"Garcia","given":"Naiara","non-dropping-particle":"","parse-names":false,"suffix":""},{"dropping-particle":"","family":"Pawlowski","given":"Matthias","non-dropping-particle":"","parse-names":false,"suffix":""},{"dropping-particle":"","family":"Loddenkemper","given":"Tobias","non-dropping-particle":"","parse-names":false,"suffix":""},{"dropping-particle":"","family":"Amina","given":"Shahram","non-dropping-particle":"","parse-names":false,"suffix":""},{"dropping-particle":"","family":"Koubeissi","given":"Mohamad Z.","non-dropping-particle":"","parse-names":false,"suffix":""}],"container-title":"Annals of Neurology","id":"ITEM-1","issued":{"date-parts":[["2011"]]},"title":"Can semiology predict psychogenic nonepileptic seizures? a prospective study","type":"article-journal"},"uris":["http://www.mendeley.com/documents/?uuid=98600095-3ee7-473c-beca-c1f177626b16"]}],"mendeley":{"formattedCitation":"{33}","plainTextFormattedCitation":"{33}","previouslyFormattedCitation":"{32}"},"properties":{"noteIndex":0},"schema":"https://github.com/citation-style-language/schema/raw/master/csl-citation.json"}</w:instrText>
      </w:r>
      <w:r w:rsidRPr="00074D34">
        <w:rPr>
          <w:rFonts w:ascii="Arial" w:hAnsi="Arial" w:cs="Arial"/>
        </w:rPr>
        <w:fldChar w:fldCharType="separate"/>
      </w:r>
      <w:r w:rsidR="00F24E13" w:rsidRPr="00F24E13">
        <w:rPr>
          <w:rFonts w:ascii="Arial" w:hAnsi="Arial" w:cs="Arial"/>
          <w:noProof/>
        </w:rPr>
        <w:t>{33}</w:t>
      </w:r>
      <w:r w:rsidRPr="00074D34">
        <w:rPr>
          <w:rFonts w:ascii="Arial" w:hAnsi="Arial" w:cs="Arial"/>
        </w:rPr>
        <w:fldChar w:fldCharType="end"/>
      </w:r>
      <w:r w:rsidRPr="00074D34">
        <w:rPr>
          <w:rFonts w:ascii="Arial" w:hAnsi="Arial" w:cs="Arial"/>
        </w:rPr>
        <w:fldChar w:fldCharType="begin" w:fldLock="1"/>
      </w:r>
      <w:r w:rsidR="00F24E13">
        <w:rPr>
          <w:rFonts w:ascii="Arial" w:hAnsi="Arial" w:cs="Arial"/>
        </w:rPr>
        <w:instrText>ADDIN CSL_CITATION {"citationItems":[{"id":"ITEM-1","itemData":{"DOI":"10.1136/jnnp.2009.197996","ISSN":"00223050","abstract":"Psychogenic non-epileptic seizures (PNES) represent a diagnostic challenge. When trying to distinguish between PNES and epileptic seizures (ES), clinicians rely on the presence or absence of several clinical signs. The purpose of this review is to establish the extent to which these signs are supported by primary data from the literature. A Medline search was used to identify primary studies that used video-EEG to define the presence or absence of different clinical signs in PNES and ES. The methodological quality of the studies was assessed using the Quality Assessment of Diagnostic Accuracy Studies (QUADAS) tool. 34 studies matched the inclusion criteria. A specific sign was considered well supported by the data from the primary literature if we were able to identify at least two controlled studies demonstrating its usefulness and if the data from other studies were supportive. There is good evidence from the literature that long duration, occurrence from apparent sleep with EEG-verified wakefulness, fluctuating course, asynchronous movements, pelvic thrusting, side-to-side head or body movement, closed eyes during the episode, ictal crying, memory recall and absence of postictal confusion are signs that distinguish PNES from ES. Postictal stertorous breathing proved to distinguish convulsive PNES from generalised tonic clonic seizures (GTCS) and should be added to the list of useful clinical signs. The final clinical diagnosis should encompass all available data and should not rely on any single sign alone.","author":[{"dropping-particle":"","family":"Avbersek","given":"Andreja","non-dropping-particle":"","parse-names":false,"suffix":""},{"dropping-particle":"","family":"Sisodiya","given":"Sanjay","non-dropping-particle":"","parse-names":false,"suffix":""}],"container-title":"Journal of Neurology, Neurosurgery and Psychiatry","id":"ITEM-1","issued":{"date-parts":[["2010"]]},"title":"Does the primary literature provide support for clinical signs used to distinguish psychogenic nonepileptic seizures from epileptic seizures?","type":"article"},"uris":["http://www.mendeley.com/documents/?uuid=7946e373-340e-40af-a80c-0113e09e5329"]}],"mendeley":{"formattedCitation":"{34}","plainTextFormattedCitation":"{34}","previouslyFormattedCitation":"{33}"},"properties":{"noteIndex":0},"schema":"https://github.com/citation-style-language/schema/raw/master/csl-citation.json"}</w:instrText>
      </w:r>
      <w:r w:rsidRPr="00074D34">
        <w:rPr>
          <w:rFonts w:ascii="Arial" w:hAnsi="Arial" w:cs="Arial"/>
        </w:rPr>
        <w:fldChar w:fldCharType="separate"/>
      </w:r>
      <w:r w:rsidR="00F24E13" w:rsidRPr="00F24E13">
        <w:rPr>
          <w:rFonts w:ascii="Arial" w:hAnsi="Arial" w:cs="Arial"/>
          <w:noProof/>
        </w:rPr>
        <w:t>{34}</w:t>
      </w:r>
      <w:r w:rsidRPr="00074D34">
        <w:rPr>
          <w:rFonts w:ascii="Arial" w:hAnsi="Arial" w:cs="Arial"/>
        </w:rPr>
        <w:fldChar w:fldCharType="end"/>
      </w:r>
      <w:r w:rsidRPr="00074D34">
        <w:rPr>
          <w:rFonts w:ascii="Arial" w:hAnsi="Arial" w:cs="Arial"/>
        </w:rPr>
        <w:t xml:space="preserve">. </w:t>
      </w:r>
      <w:r w:rsidR="0019702F">
        <w:rPr>
          <w:rFonts w:ascii="Arial" w:hAnsi="Arial" w:cs="Arial"/>
        </w:rPr>
        <w:t>Functional s</w:t>
      </w:r>
      <w:r w:rsidRPr="00074D34">
        <w:rPr>
          <w:rFonts w:ascii="Arial" w:hAnsi="Arial" w:cs="Arial"/>
        </w:rPr>
        <w:t xml:space="preserve">ensory deficits are typically of a </w:t>
      </w:r>
      <w:r w:rsidR="0019702F">
        <w:rPr>
          <w:rFonts w:ascii="Arial" w:hAnsi="Arial" w:cs="Arial"/>
        </w:rPr>
        <w:t xml:space="preserve">non-neuroanatomic </w:t>
      </w:r>
      <w:r w:rsidRPr="00074D34">
        <w:rPr>
          <w:rFonts w:ascii="Arial" w:hAnsi="Arial" w:cs="Arial"/>
        </w:rPr>
        <w:t xml:space="preserve">pattern that </w:t>
      </w:r>
      <w:r w:rsidR="0019702F">
        <w:rPr>
          <w:rFonts w:ascii="Arial" w:hAnsi="Arial" w:cs="Arial"/>
        </w:rPr>
        <w:t xml:space="preserve">otherwise </w:t>
      </w:r>
      <w:r w:rsidRPr="00074D34">
        <w:rPr>
          <w:rFonts w:ascii="Arial" w:hAnsi="Arial" w:cs="Arial"/>
        </w:rPr>
        <w:t xml:space="preserve">cannot be explained by anything other than FND, e.g. a tubular visual field </w:t>
      </w:r>
      <w:r w:rsidR="00A91BB6">
        <w:rPr>
          <w:rFonts w:ascii="Arial" w:hAnsi="Arial" w:cs="Arial"/>
        </w:rPr>
        <w:t>that</w:t>
      </w:r>
      <w:r w:rsidRPr="00074D34">
        <w:rPr>
          <w:rFonts w:ascii="Arial" w:hAnsi="Arial" w:cs="Arial"/>
        </w:rPr>
        <w:t xml:space="preserve"> is incongruous with the laws of optics. Crucially</w:t>
      </w:r>
      <w:r w:rsidR="0019702F">
        <w:rPr>
          <w:rFonts w:ascii="Arial" w:hAnsi="Arial" w:cs="Arial"/>
        </w:rPr>
        <w:t>,</w:t>
      </w:r>
      <w:r w:rsidRPr="00074D34">
        <w:rPr>
          <w:rFonts w:ascii="Arial" w:hAnsi="Arial" w:cs="Arial"/>
        </w:rPr>
        <w:t xml:space="preserve"> </w:t>
      </w:r>
      <w:r w:rsidR="0019702F">
        <w:rPr>
          <w:rFonts w:ascii="Arial" w:hAnsi="Arial" w:cs="Arial"/>
        </w:rPr>
        <w:t xml:space="preserve">the presence of </w:t>
      </w:r>
      <w:r w:rsidRPr="00074D34">
        <w:rPr>
          <w:rFonts w:ascii="Arial" w:hAnsi="Arial" w:cs="Arial"/>
        </w:rPr>
        <w:t>th</w:t>
      </w:r>
      <w:r w:rsidR="0019702F">
        <w:rPr>
          <w:rFonts w:ascii="Arial" w:hAnsi="Arial" w:cs="Arial"/>
        </w:rPr>
        <w:t>ese</w:t>
      </w:r>
      <w:r w:rsidRPr="00074D34">
        <w:rPr>
          <w:rFonts w:ascii="Arial" w:hAnsi="Arial" w:cs="Arial"/>
        </w:rPr>
        <w:t xml:space="preserve"> </w:t>
      </w:r>
      <w:r w:rsidR="0019702F">
        <w:rPr>
          <w:rFonts w:ascii="Arial" w:hAnsi="Arial" w:cs="Arial"/>
        </w:rPr>
        <w:t>signs</w:t>
      </w:r>
      <w:r w:rsidRPr="00074D34">
        <w:rPr>
          <w:rFonts w:ascii="Arial" w:hAnsi="Arial" w:cs="Arial"/>
        </w:rPr>
        <w:t xml:space="preserve"> allows FND to be diagnosed</w:t>
      </w:r>
      <w:r w:rsidR="0019702F">
        <w:rPr>
          <w:rFonts w:ascii="Arial" w:hAnsi="Arial" w:cs="Arial"/>
        </w:rPr>
        <w:t>, even</w:t>
      </w:r>
      <w:r w:rsidRPr="00074D34">
        <w:rPr>
          <w:rFonts w:ascii="Arial" w:hAnsi="Arial" w:cs="Arial"/>
        </w:rPr>
        <w:t xml:space="preserve"> in the presence of another neurological condition, such as multiple sclerosis or epilepsy. These positive clinical signs are dealt with in more detail below</w:t>
      </w:r>
      <w:r w:rsidR="006D1DD2">
        <w:rPr>
          <w:rFonts w:ascii="Arial" w:hAnsi="Arial" w:cs="Arial"/>
        </w:rPr>
        <w:t>,</w:t>
      </w:r>
      <w:r w:rsidRPr="00074D34">
        <w:rPr>
          <w:rFonts w:ascii="Arial" w:hAnsi="Arial" w:cs="Arial"/>
        </w:rPr>
        <w:t xml:space="preserve"> as they, and other etiological factors, have particular implications for outcome measure selection and development.</w:t>
      </w:r>
    </w:p>
    <w:p w14:paraId="2BC25E09" w14:textId="77777777" w:rsidR="00074D34" w:rsidRDefault="00074D34" w:rsidP="00113231">
      <w:pPr>
        <w:rPr>
          <w:rFonts w:ascii="Arial" w:hAnsi="Arial" w:cs="Arial"/>
        </w:rPr>
      </w:pPr>
    </w:p>
    <w:p w14:paraId="5A9E3D75" w14:textId="77777777" w:rsidR="00074D34" w:rsidRDefault="00074D34" w:rsidP="00113231">
      <w:pPr>
        <w:rPr>
          <w:rFonts w:ascii="Arial" w:hAnsi="Arial" w:cs="Arial"/>
        </w:rPr>
      </w:pPr>
    </w:p>
    <w:p w14:paraId="154AFB24" w14:textId="153F6953" w:rsidR="00113231" w:rsidRDefault="004158D1" w:rsidP="00C633CC">
      <w:pPr>
        <w:spacing w:line="480" w:lineRule="auto"/>
        <w:jc w:val="both"/>
        <w:rPr>
          <w:rFonts w:ascii="Arial" w:hAnsi="Arial"/>
          <w:i/>
        </w:rPr>
      </w:pPr>
      <w:r>
        <w:rPr>
          <w:rFonts w:ascii="Arial" w:hAnsi="Arial"/>
          <w:i/>
        </w:rPr>
        <w:t>Core s</w:t>
      </w:r>
      <w:r w:rsidR="00113231">
        <w:rPr>
          <w:rFonts w:ascii="Arial" w:hAnsi="Arial"/>
          <w:i/>
        </w:rPr>
        <w:t>ymptom heterogeneity</w:t>
      </w:r>
    </w:p>
    <w:p w14:paraId="6699D9AC" w14:textId="2E7AD915" w:rsidR="00E955AB" w:rsidRDefault="00113231" w:rsidP="00074D34">
      <w:pPr>
        <w:spacing w:line="480" w:lineRule="auto"/>
        <w:ind w:firstLine="720"/>
        <w:jc w:val="both"/>
        <w:rPr>
          <w:rFonts w:ascii="Arial" w:hAnsi="Arial" w:cs="Arial"/>
        </w:rPr>
      </w:pPr>
      <w:r w:rsidRPr="009B6435">
        <w:rPr>
          <w:rFonts w:ascii="Arial" w:hAnsi="Arial"/>
        </w:rPr>
        <w:t>As detaile</w:t>
      </w:r>
      <w:r w:rsidR="001D5026">
        <w:rPr>
          <w:rFonts w:ascii="Arial" w:hAnsi="Arial"/>
        </w:rPr>
        <w:t>d in Box 1</w:t>
      </w:r>
      <w:r w:rsidR="006D1DD2">
        <w:rPr>
          <w:rFonts w:ascii="Arial" w:hAnsi="Arial"/>
        </w:rPr>
        <w:t>,</w:t>
      </w:r>
      <w:r w:rsidR="001D5026">
        <w:rPr>
          <w:rFonts w:ascii="Arial" w:hAnsi="Arial"/>
        </w:rPr>
        <w:t xml:space="preserve"> there are symptom </w:t>
      </w:r>
      <w:r w:rsidRPr="009B6435">
        <w:rPr>
          <w:rFonts w:ascii="Arial" w:hAnsi="Arial"/>
        </w:rPr>
        <w:t>specifiers covering the ‘core’ symptoms types</w:t>
      </w:r>
      <w:r w:rsidR="006D1DD2">
        <w:rPr>
          <w:rFonts w:ascii="Arial" w:hAnsi="Arial"/>
        </w:rPr>
        <w:t>,</w:t>
      </w:r>
      <w:r w:rsidRPr="009B6435">
        <w:rPr>
          <w:rFonts w:ascii="Arial" w:hAnsi="Arial"/>
        </w:rPr>
        <w:t xml:space="preserve"> including seizures (also </w:t>
      </w:r>
      <w:r w:rsidR="00A91BB6">
        <w:rPr>
          <w:rFonts w:ascii="Arial" w:hAnsi="Arial"/>
        </w:rPr>
        <w:t xml:space="preserve">referred to </w:t>
      </w:r>
      <w:r w:rsidRPr="009B6435">
        <w:rPr>
          <w:rFonts w:ascii="Arial" w:hAnsi="Arial"/>
        </w:rPr>
        <w:t>as attacks), weakness/paralysis</w:t>
      </w:r>
      <w:r>
        <w:rPr>
          <w:rFonts w:ascii="Arial" w:hAnsi="Arial" w:cs="Arial"/>
          <w:sz w:val="22"/>
        </w:rPr>
        <w:t>,</w:t>
      </w:r>
      <w:r w:rsidRPr="009B6435">
        <w:rPr>
          <w:rFonts w:ascii="Arial" w:hAnsi="Arial"/>
        </w:rPr>
        <w:t xml:space="preserve"> other movement disorders (e.g. tremor, dystonia</w:t>
      </w:r>
      <w:r>
        <w:rPr>
          <w:rFonts w:ascii="Arial" w:hAnsi="Arial" w:cs="Arial"/>
        </w:rPr>
        <w:t>, gait abnormalities</w:t>
      </w:r>
      <w:r w:rsidRPr="009B6435">
        <w:rPr>
          <w:rFonts w:ascii="Arial" w:hAnsi="Arial"/>
        </w:rPr>
        <w:t xml:space="preserve"> or myoclonus) and sensory dysfunction (including </w:t>
      </w:r>
      <w:r>
        <w:rPr>
          <w:rFonts w:ascii="Arial" w:hAnsi="Arial" w:cs="Arial"/>
        </w:rPr>
        <w:t xml:space="preserve">somatosensory, </w:t>
      </w:r>
      <w:r w:rsidRPr="009B6435">
        <w:rPr>
          <w:rFonts w:ascii="Arial" w:hAnsi="Arial"/>
        </w:rPr>
        <w:t>visual or auditory impairment). ICD-11 has similar symptom subtypes – the most notable difference being the inclusion of a cognitive symptom subtype</w:t>
      </w:r>
      <w:r>
        <w:rPr>
          <w:rFonts w:ascii="Arial" w:hAnsi="Arial" w:cs="Arial"/>
        </w:rPr>
        <w:t xml:space="preserve"> that is not part of the DSM-5 criteria</w:t>
      </w:r>
      <w:r>
        <w:rPr>
          <w:rFonts w:ascii="Arial" w:hAnsi="Arial" w:cs="Arial"/>
        </w:rPr>
        <w:fldChar w:fldCharType="begin" w:fldLock="1"/>
      </w:r>
      <w:r w:rsidR="00F24E13">
        <w:rPr>
          <w:rFonts w:ascii="Arial" w:hAnsi="Arial" w:cs="Arial"/>
        </w:rPr>
        <w:instrText>ADDIN CSL_CITATION {"citationItems":[{"id":"ITEM-1","itemData":{"DOI":"10.3233/JAD-150182","ISSN":"18758908","abstract":"Patients frequently present to the memory clinic with self-reported cognitive symptoms that cannot be attributed to structural, toxic, or metabolic causes, and are out of keeping with their performance on neuropsychological assessment. This can be considered to be Functional (psychosomatic) Cognitive Disorder, which results in significant patient distress and often has a major impact on social functioning and employment. We performed a retrospective analysis of the Bristol ReMemBr group cognitive clinic database to ascertain the prevalence of Functional Cognitive Disorder, review the patient characteristics, and develop new guidelines for diagnosis and management. 196 patients were screened of whom 23 were diagnosed with Functional Cognitive Disorder; the oldest patient with this diagnosis was aged 60 years at symptom onset. When considering only those presenting below the age of 60 years (total no. held on database = 69), a third were diagnosed with Functional Cognitive Disorder. On neuropsychological testing, 47% had an atypical (invalid) pattern of results, or failed tests of performance validity. Of those with valid neuropsychological results, 80% scored in the normal range. Depression and anxiety were common but did not appear to be the primary cause of cognitive symptoms. Particular characteristics seen were excessively low self-rating of memory ability, and discrepancies between perceived and actual cognitive performance. The rate of unemployment was high, often due to the cognitive symptomatology. This is an important disorder to address, being common in working adults, and carrying a risk of misdiagnosis as early neurodegeneration, with subsequent inappropriate treatment and inclusion in clinical trials.","author":[{"dropping-particle":"","family":"Pennington","given":"Catherine","non-dropping-particle":"","parse-names":false,"suffix":""},{"dropping-particle":"","family":"Hayre","given":"Amrit","non-dropping-particle":"","parse-names":false,"suffix":""},{"dropping-particle":"","family":"Newson","given":"Margaret","non-dropping-particle":"","parse-names":false,"suffix":""},{"dropping-particle":"","family":"Coulthard","given":"Elizabeth","non-dropping-particle":"","parse-names":false,"suffix":""}],"container-title":"Journal of Alzheimer's Disease","id":"ITEM-1","issued":{"date-parts":[["2015"]]},"title":"Functional Cognitive Disorder: A Common Cause of Subjective Cognitive Symptoms","type":"article-journal"},"uris":["http://www.mendeley.com/documents/?uuid=034e1d72-9596-4954-83ed-75ce2f2f173d"]}],"mendeley":{"formattedCitation":"{35}","plainTextFormattedCitation":"{35}","previouslyFormattedCitation":"{34}"},"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{35}</w:t>
      </w:r>
      <w:r>
        <w:rPr>
          <w:rFonts w:ascii="Arial" w:hAnsi="Arial" w:cs="Arial"/>
        </w:rPr>
        <w:fldChar w:fldCharType="end"/>
      </w:r>
      <w:r>
        <w:rPr>
          <w:rFonts w:ascii="Arial" w:hAnsi="Arial" w:cs="Arial"/>
        </w:rPr>
        <w:fldChar w:fldCharType="begin" w:fldLock="1"/>
      </w:r>
      <w:r w:rsidR="00F24E13">
        <w:rPr>
          <w:rFonts w:ascii="Arial" w:hAnsi="Arial" w:cs="Arial"/>
        </w:rPr>
        <w:instrText>ADDIN CSL_CITATION {"citationItems":[{"id":"ITEM-1","itemData":{"DOI":"10.3233/JAD-150430","ISBN":"1387-2877","ISSN":"18758908","PMID":"26445274","abstract":"Cognitive symptoms such as poor memory and concentration represent a common cause of morbidity among patients presenting to general practitioners and may result in referral for a neurological opinion. In many cases, these symptoms do not relate to an underlying neurological disease or dementia. In this article we present a personal perspective on the differential diagnosis of cognitive symptoms in the neurology clinic, especially as this applies to patients who seek advice about memory problems but have no neurological disease process. These overlapping categories include the following 'functional' categories: 1) cognitive symptoms as part of anxiety or depression; 2) \"normal\" cognitive symptoms that become the focus of attention; 3) isolated functional cognitive disorder in which symptoms are outwith 'normal' but not explained by anxiety; 4) health anxiety about dementia; 5) cognitive symptoms as part of another functional disorder; and 6) retrograde dissociative (psychogenic) amnesia. Other 'non-dementia' diagnoses to consider in addition are 1) cognitive symptoms secondary to prescribed medication or substance misuse; 2) diseases other than dementia causing cognitive disorders; 3) patients who appear to have functional cognitive symptoms but then go on to develop dementia/another neurological disease; and finally 4) exaggeration/malingering. We discuss previous attempts to classify the problem of functional cognitive symptoms, the importance of making a positive diagnosis for the patient, and the need for large cohort studies to better define and manage this large group of patients.","author":[{"dropping-particle":"","family":"Stone","given":"Jon","non-dropping-particle":"","parse-names":false,"suffix":""},{"dropping-particle":"","family":"Pal","given":"Suvankar","non-dropping-particle":"","parse-names":false,"suffix":""},{"dropping-particle":"","family":"Blackburn","given":"Daniel","non-dropping-particle":"","parse-names":false,"suffix":""},{"dropping-particle":"","family":"Reuber","given":"Markus","non-dropping-particle":"","parse-names":false,"suffix":""},{"dropping-particle":"","family":"Thekkumpurath","given":"Parvez","non-dropping-particle":"","parse-names":false,"suffix":""},{"dropping-particle":"","family":"Carson","given":"Alan","non-dropping-particle":"","parse-names":false,"suffix":""}],"container-title":"Journal of Alzheimer's Disease","id":"ITEM-1","issue":"S1","issued":{"date-parts":[["2015"]]},"page":"S5-S17","title":"Functional (Psychogenic) Cognitive Disorders: A Perspective from the Neurology Clinic","type":"article-journal","volume":"48"},"uris":["http://www.mendeley.com/documents/?uuid=0d659ecc-67dd-47ee-8768-a9b2d87d7095"]}],"mendeley":{"formattedCitation":"{36}","plainTextFormattedCitation":"{36}","previouslyFormattedCitation":"{35}"},"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{36}</w:t>
      </w:r>
      <w:r>
        <w:rPr>
          <w:rFonts w:ascii="Arial" w:hAnsi="Arial" w:cs="Arial"/>
        </w:rPr>
        <w:fldChar w:fldCharType="end"/>
      </w:r>
      <w:r w:rsidRPr="009B6435">
        <w:rPr>
          <w:rFonts w:ascii="Arial" w:hAnsi="Arial" w:cs="Arial"/>
        </w:rPr>
        <w:t>.</w:t>
      </w:r>
      <w:r w:rsidRPr="009B6435">
        <w:rPr>
          <w:rFonts w:ascii="Arial" w:hAnsi="Arial"/>
        </w:rPr>
        <w:t xml:space="preserve"> Many </w:t>
      </w:r>
      <w:r w:rsidR="006D1DD2">
        <w:rPr>
          <w:rFonts w:ascii="Arial" w:hAnsi="Arial"/>
        </w:rPr>
        <w:t>patients with</w:t>
      </w:r>
      <w:r w:rsidRPr="009B6435">
        <w:rPr>
          <w:rFonts w:ascii="Arial" w:hAnsi="Arial"/>
        </w:rPr>
        <w:t xml:space="preserve"> FND have several core symptoms</w:t>
      </w:r>
      <w:r w:rsidR="006D1DD2">
        <w:rPr>
          <w:rFonts w:ascii="Arial" w:hAnsi="Arial"/>
        </w:rPr>
        <w:t>,</w:t>
      </w:r>
      <w:r w:rsidRPr="009B6435">
        <w:rPr>
          <w:rFonts w:ascii="Arial" w:hAnsi="Arial"/>
        </w:rPr>
        <w:t xml:space="preserve"> either simultaneously or over time, for which the ‘mixed’ category in DSM-5 is </w:t>
      </w:r>
      <w:r w:rsidRPr="009B6435">
        <w:rPr>
          <w:rFonts w:ascii="Arial" w:hAnsi="Arial" w:cs="Arial"/>
        </w:rPr>
        <w:t>appropria</w:t>
      </w:r>
      <w:r>
        <w:rPr>
          <w:rFonts w:ascii="Arial" w:hAnsi="Arial" w:cs="Arial"/>
        </w:rPr>
        <w:t>t</w:t>
      </w:r>
      <w:r w:rsidRPr="009B6435">
        <w:rPr>
          <w:rFonts w:ascii="Arial" w:hAnsi="Arial"/>
        </w:rPr>
        <w:t>e</w:t>
      </w:r>
      <w:r w:rsidR="00E64416">
        <w:rPr>
          <w:rFonts w:ascii="Arial" w:hAnsi="Arial"/>
        </w:rPr>
        <w:t>.</w:t>
      </w:r>
      <w:r w:rsidRPr="009B6435">
        <w:rPr>
          <w:rFonts w:ascii="Arial" w:hAnsi="Arial"/>
        </w:rPr>
        <w:t xml:space="preserve"> As such</w:t>
      </w:r>
      <w:r>
        <w:rPr>
          <w:rFonts w:ascii="Arial" w:hAnsi="Arial"/>
        </w:rPr>
        <w:t>,</w:t>
      </w:r>
      <w:r w:rsidRPr="009B6435">
        <w:rPr>
          <w:rFonts w:ascii="Arial" w:hAnsi="Arial"/>
        </w:rPr>
        <w:t xml:space="preserve"> FND can present with a wide variety of </w:t>
      </w:r>
      <w:r w:rsidR="0021190C">
        <w:rPr>
          <w:rFonts w:ascii="Arial" w:hAnsi="Arial"/>
        </w:rPr>
        <w:t>neurological</w:t>
      </w:r>
      <w:r w:rsidR="009312D0">
        <w:rPr>
          <w:rFonts w:ascii="Arial" w:hAnsi="Arial"/>
        </w:rPr>
        <w:t xml:space="preserve"> </w:t>
      </w:r>
      <w:r w:rsidRPr="009B6435">
        <w:rPr>
          <w:rFonts w:ascii="Arial" w:hAnsi="Arial" w:cs="Arial"/>
        </w:rPr>
        <w:t>sympto</w:t>
      </w:r>
      <w:r>
        <w:rPr>
          <w:rFonts w:ascii="Arial" w:hAnsi="Arial" w:cs="Arial"/>
        </w:rPr>
        <w:t>ms</w:t>
      </w:r>
      <w:r w:rsidRPr="009B6435">
        <w:rPr>
          <w:rFonts w:ascii="Arial" w:hAnsi="Arial"/>
        </w:rPr>
        <w:t xml:space="preserve"> in </w:t>
      </w:r>
      <w:r>
        <w:rPr>
          <w:rFonts w:ascii="Arial" w:hAnsi="Arial" w:cs="Arial"/>
        </w:rPr>
        <w:t>many</w:t>
      </w:r>
      <w:r w:rsidRPr="009B6435">
        <w:rPr>
          <w:rFonts w:ascii="Arial" w:hAnsi="Arial"/>
        </w:rPr>
        <w:t xml:space="preserve"> different combinations</w:t>
      </w:r>
      <w:r>
        <w:rPr>
          <w:rFonts w:ascii="Arial" w:hAnsi="Arial"/>
        </w:rPr>
        <w:fldChar w:fldCharType="begin" w:fldLock="1"/>
      </w:r>
      <w:r w:rsidR="00F24E13">
        <w:rPr>
          <w:rFonts w:ascii="Arial" w:hAnsi="Arial"/>
        </w:rPr>
        <w:instrText>ADDIN CSL_CITATION {"citationItems":[{"id":"ITEM-1","itemData":{"DOI":"10.1176/appi.neuropsych.16110302","ISSN":"0895-0172","abstract":"The assessment of functional neurological disorders (FND) requires an interdisciplinary approach. The authors retrospectively reviewed charts for 100 outpatients with FND and used univariate and regression analyses to investigate neuropsychiatric associations with gender, illness duration, and work disability; secondary analyses evaluated for differences across motor FND subtypes. Men reported higher rates of cognitive complaints and functional weakness, whereas women endorsed increased past physical/sexual trauma. Number of self-reported medication allergies/sensitivities positively correlated with illness duration. Individuals with functional weakness compared with other motor FND subtypes exhibited lower rates of past psychiatric hospitalization and head trauma. This study supports the feasibility of integrating FND research.","author":[{"dropping-particle":"","family":"Matin","given":"Nassim","non-dropping-particle":"","parse-names":false,"suffix":""},{"dropping-particle":"","family":"Young","given":"Sigrid S.","non-dropping-particle":"","parse-names":false,"suffix":""},{"dropping-particle":"","family":"Williams","given":"Benjamin","non-dropping-particle":"","parse-names":false,"suffix":""},{"dropping-particle":"","family":"LaFrance","given":"W. Curt","non-dropping-particle":"","parse-names":false,"suffix":""},{"dropping-particle":"","family":"King","given":"Julie N.","non-dropping-particle":"","parse-names":false,"suffix":""},{"dropping-particle":"","family":"Caplan","given":"David","non-dropping-particle":"","parse-names":false,"suffix":""},{"dropping-particle":"","family":"Chemali","given":"Zeina","non-dropping-particle":"","parse-names":false,"suffix":""},{"dropping-particle":"","family":"Weilburg","given":"Jeffery B.","non-dropping-particle":"","parse-names":false,"suffix":""},{"dropping-particle":"","family":"Dickerson","given":"Bradford C.","non-dropping-particle":"","parse-names":false,"suffix":""},{"dropping-particle":"","family":"Perez","given":"David L.","non-dropping-particle":"","parse-names":false,"suffix":""}],"container-title":"The Journal of Neuropsychiatry and Clinical Neurosciences","id":"ITEM-1","issued":{"date-parts":[["2017"]]},"title":"Neuropsychiatric Associations With Gender, Illness Duration, Work Disability, and Motor Subtype in a U.S. Functional Neurological Disorders Clinic Population","type":"article-journal"},"uris":["http://www.mendeley.com/documents/?uuid=046a284e-785b-4e40-bc5a-6b1e0b228c8f"]}],"mendeley":{"formattedCitation":"{37}","plainTextFormattedCitation":"{37}","previouslyFormattedCitation":"{36}"},"properties":{"noteIndex":0},"schema":"https://github.com/citation-style-language/schema/raw/master/csl-citation.json"}</w:instrText>
      </w:r>
      <w:r>
        <w:rPr>
          <w:rFonts w:ascii="Arial" w:hAnsi="Arial"/>
        </w:rPr>
        <w:fldChar w:fldCharType="separate"/>
      </w:r>
      <w:r w:rsidR="00F24E13" w:rsidRPr="00F24E13">
        <w:rPr>
          <w:rFonts w:ascii="Arial" w:hAnsi="Arial"/>
          <w:noProof/>
        </w:rPr>
        <w:t>{37}</w:t>
      </w:r>
      <w:r>
        <w:rPr>
          <w:rFonts w:ascii="Arial" w:hAnsi="Arial"/>
        </w:rPr>
        <w:fldChar w:fldCharType="end"/>
      </w:r>
      <w:r w:rsidR="00105B95">
        <w:rPr>
          <w:rFonts w:ascii="Arial" w:hAnsi="Arial"/>
        </w:rPr>
        <w:t xml:space="preserve"> that are </w:t>
      </w:r>
      <w:r w:rsidR="00105B95">
        <w:rPr>
          <w:rFonts w:ascii="Arial" w:hAnsi="Arial"/>
        </w:rPr>
        <w:lastRenderedPageBreak/>
        <w:t xml:space="preserve">likely to have varying contributions to loss of function, </w:t>
      </w:r>
      <w:r w:rsidR="001D50FC">
        <w:rPr>
          <w:rFonts w:ascii="Arial" w:hAnsi="Arial"/>
        </w:rPr>
        <w:t xml:space="preserve">disability and </w:t>
      </w:r>
      <w:r w:rsidR="00105B95">
        <w:rPr>
          <w:rFonts w:ascii="Arial" w:hAnsi="Arial"/>
        </w:rPr>
        <w:t>quality of li</w:t>
      </w:r>
      <w:r w:rsidR="001D50FC">
        <w:rPr>
          <w:rFonts w:ascii="Arial" w:hAnsi="Arial"/>
        </w:rPr>
        <w:t>fe</w:t>
      </w:r>
      <w:r w:rsidRPr="009B6435">
        <w:rPr>
          <w:rFonts w:ascii="Arial" w:hAnsi="Arial"/>
        </w:rPr>
        <w:t>.</w:t>
      </w:r>
      <w:r>
        <w:rPr>
          <w:rFonts w:ascii="Arial" w:hAnsi="Arial" w:cs="Arial"/>
          <w:sz w:val="22"/>
        </w:rPr>
        <w:t xml:space="preserve"> </w:t>
      </w:r>
      <w:r w:rsidR="008144F7">
        <w:rPr>
          <w:rFonts w:ascii="Arial" w:hAnsi="Arial" w:cs="Arial"/>
        </w:rPr>
        <w:t xml:space="preserve">It is also </w:t>
      </w:r>
      <w:r w:rsidR="00FE1AA3">
        <w:rPr>
          <w:rFonts w:ascii="Arial" w:hAnsi="Arial" w:cs="Arial"/>
        </w:rPr>
        <w:t>hypothesised that</w:t>
      </w:r>
      <w:r w:rsidR="009312D0">
        <w:rPr>
          <w:rFonts w:ascii="Arial" w:hAnsi="Arial" w:cs="Arial"/>
        </w:rPr>
        <w:t xml:space="preserve"> </w:t>
      </w:r>
      <w:r>
        <w:rPr>
          <w:rFonts w:ascii="Arial" w:hAnsi="Arial" w:cs="Arial"/>
        </w:rPr>
        <w:t>symptom replacement (or substitution)</w:t>
      </w:r>
      <w:r w:rsidR="008144F7">
        <w:rPr>
          <w:rFonts w:ascii="Arial" w:hAnsi="Arial" w:cs="Arial"/>
        </w:rPr>
        <w:t xml:space="preserve"> can occur</w:t>
      </w:r>
      <w:r>
        <w:rPr>
          <w:rFonts w:ascii="Arial" w:hAnsi="Arial" w:cs="Arial"/>
        </w:rPr>
        <w:t>, in that the res</w:t>
      </w:r>
      <w:r w:rsidR="008144F7">
        <w:rPr>
          <w:rFonts w:ascii="Arial" w:hAnsi="Arial" w:cs="Arial"/>
        </w:rPr>
        <w:t>olution of one symptom can</w:t>
      </w:r>
      <w:r>
        <w:rPr>
          <w:rFonts w:ascii="Arial" w:hAnsi="Arial" w:cs="Arial"/>
        </w:rPr>
        <w:t xml:space="preserve"> be </w:t>
      </w:r>
      <w:r w:rsidR="00185073">
        <w:rPr>
          <w:rFonts w:ascii="Arial" w:hAnsi="Arial" w:cs="Arial"/>
        </w:rPr>
        <w:t>followed</w:t>
      </w:r>
      <w:r>
        <w:rPr>
          <w:rFonts w:ascii="Arial" w:hAnsi="Arial" w:cs="Arial"/>
        </w:rPr>
        <w:t xml:space="preserve"> by</w:t>
      </w:r>
      <w:r w:rsidR="00185073">
        <w:rPr>
          <w:rFonts w:ascii="Arial" w:hAnsi="Arial" w:cs="Arial"/>
        </w:rPr>
        <w:t xml:space="preserve"> the appearance of </w:t>
      </w:r>
      <w:r>
        <w:rPr>
          <w:rFonts w:ascii="Arial" w:hAnsi="Arial" w:cs="Arial"/>
        </w:rPr>
        <w:t>another</w:t>
      </w:r>
      <w:r w:rsidR="009312D0">
        <w:rPr>
          <w:rFonts w:ascii="Arial" w:hAnsi="Arial" w:cs="Arial"/>
        </w:rPr>
        <w:t>, although there is not convincing data to support this occurring</w:t>
      </w:r>
      <w:r>
        <w:rPr>
          <w:rFonts w:ascii="Arial" w:hAnsi="Arial" w:cs="Arial"/>
        </w:rPr>
        <w:fldChar w:fldCharType="begin" w:fldLock="1"/>
      </w:r>
      <w:r w:rsidR="00F24E13">
        <w:rPr>
          <w:rFonts w:ascii="Arial" w:hAnsi="Arial" w:cs="Arial"/>
        </w:rPr>
        <w:instrText>ADDIN CSL_CITATION {"citationItems":[{"id":"ITEM-1","itemData":{"DOI":"10.1136/jnnp.2010.231886","ISSN":"00223050","abstract":"BACKGROUND: In clinical practice, it is sometimes observed that patients in whom psychogenic non-epileptic seizures (PNES) cease, develop another medically unexplained symptom (MUS). METHODS: In order to determine how many patients develop new MUS post diagnosis and whether patients whose attacks cease are more likely to do so, new MUS were recorded 6-12 months after the diagnosis of PNES in 187 consecutive patients. RESULTS: Compared with baseline, the overall proportion of patients with MUS increased slightly, from 70.1% to 76.5%, with 44/187 patients (23.5%) developing new MUS. There were no significant differences between attack free and non-attack free patients. Binary logistic regression analysis showed that predictors of new MUS diverged between attack free and non-attack free patients. Among patients continuing to have attacks, those with previous health related psychological trauma were 18.00 times more likely to develop new MUS (p&lt;0.0005). In patients who became attack free, patients drawing disability benefits were 5.04 times more likely to have new MUS (p = 0.011). CONCLUSIONS: The results suggest that almost 25% of patients develop new MUS following a diagnosis of PNES, although most of those have MUS pre-diagnosis. Patients with a history of health related psychological trauma whose attacks continue after diagnosis are at particularly high risk of developing new MUS. The data do not support the hypothesis that PNES that resolve are likely to be 'replaced' by other MUS.","author":[{"dropping-particle":"","family":"McKenzie","given":"Paul S.","non-dropping-particle":"","parse-names":false,"suffix":""},{"dropping-particle":"","family":"Oto","given":"Maria","non-dropping-particle":"","parse-names":false,"suffix":""},{"dropping-particle":"","family":"Graham","given":"Christopher D.","non-dropping-particle":"","parse-names":false,"suffix":""},{"dropping-particle":"","family":"Duncan","given":"Roderick","non-dropping-particle":"","parse-names":false,"suffix":""}],"container-title":"Journal of Neurology, Neurosurgery and Psychiatry","id":"ITEM-1","issued":{"date-parts":[["2011"]]},"title":"Do patients whose psychogenic non-epileptic seizures resolve, 'replace' them with other medically unexplained symptoms? Medically unexplained symptoms arising after a diagnosis of psychogenic non-epileptic seizures","type":"article-journal"},"uris":["http://www.mendeley.com/documents/?uuid=1fe10e21-011b-493d-b04a-55b4d31630cf"]}],"mendeley":{"formattedCitation":"{38}","plainTextFormattedCitation":"{38}","previouslyFormattedCitation":"{37}"},"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{38}</w:t>
      </w:r>
      <w:r>
        <w:rPr>
          <w:rFonts w:ascii="Arial" w:hAnsi="Arial" w:cs="Arial"/>
        </w:rPr>
        <w:fldChar w:fldCharType="end"/>
      </w:r>
      <w:r w:rsidR="006D1DD2">
        <w:rPr>
          <w:rFonts w:ascii="Arial" w:hAnsi="Arial" w:cs="Arial"/>
        </w:rPr>
        <w:t>,</w:t>
      </w:r>
    </w:p>
    <w:p w14:paraId="7B4ED9D3" w14:textId="643316A4" w:rsidR="00F92068" w:rsidRDefault="00105B95" w:rsidP="00074D34">
      <w:pPr>
        <w:spacing w:line="480" w:lineRule="auto"/>
        <w:ind w:firstLine="720"/>
        <w:jc w:val="both"/>
        <w:rPr>
          <w:rFonts w:ascii="Arial" w:hAnsi="Arial" w:cs="Arial"/>
        </w:rPr>
      </w:pPr>
      <w:r>
        <w:rPr>
          <w:rFonts w:ascii="Arial" w:hAnsi="Arial" w:cs="Arial"/>
        </w:rPr>
        <w:t>Such</w:t>
      </w:r>
      <w:r w:rsidR="001729A4">
        <w:rPr>
          <w:rFonts w:ascii="Arial" w:hAnsi="Arial" w:cs="Arial"/>
        </w:rPr>
        <w:t xml:space="preserve"> symptom heterogeneity raises the question of what symptoms, or combination of symptoms</w:t>
      </w:r>
      <w:r>
        <w:rPr>
          <w:rFonts w:ascii="Arial" w:hAnsi="Arial" w:cs="Arial"/>
        </w:rPr>
        <w:t>,</w:t>
      </w:r>
      <w:r w:rsidR="001729A4">
        <w:rPr>
          <w:rFonts w:ascii="Arial" w:hAnsi="Arial" w:cs="Arial"/>
        </w:rPr>
        <w:t xml:space="preserve"> should be measured</w:t>
      </w:r>
      <w:r>
        <w:rPr>
          <w:rFonts w:ascii="Arial" w:hAnsi="Arial" w:cs="Arial"/>
        </w:rPr>
        <w:t xml:space="preserve"> in a given </w:t>
      </w:r>
      <w:r w:rsidR="00D9171D">
        <w:rPr>
          <w:rFonts w:ascii="Arial" w:hAnsi="Arial" w:cs="Arial"/>
        </w:rPr>
        <w:t>individual</w:t>
      </w:r>
      <w:r w:rsidR="006D1DD2">
        <w:rPr>
          <w:rFonts w:ascii="Arial" w:hAnsi="Arial" w:cs="Arial"/>
        </w:rPr>
        <w:t>,</w:t>
      </w:r>
      <w:r w:rsidR="00D9171D">
        <w:rPr>
          <w:rFonts w:ascii="Arial" w:hAnsi="Arial" w:cs="Arial"/>
        </w:rPr>
        <w:t xml:space="preserve"> as well as</w:t>
      </w:r>
      <w:r w:rsidR="00C260FD">
        <w:rPr>
          <w:rFonts w:ascii="Arial" w:hAnsi="Arial" w:cs="Arial"/>
        </w:rPr>
        <w:t xml:space="preserve"> in groups</w:t>
      </w:r>
      <w:r w:rsidR="006D1DD2">
        <w:rPr>
          <w:rFonts w:ascii="Arial" w:hAnsi="Arial" w:cs="Arial"/>
        </w:rPr>
        <w:t>,</w:t>
      </w:r>
      <w:r w:rsidR="00C260FD">
        <w:rPr>
          <w:rFonts w:ascii="Arial" w:hAnsi="Arial" w:cs="Arial"/>
        </w:rPr>
        <w:t xml:space="preserve"> for</w:t>
      </w:r>
      <w:r w:rsidR="00D9171D">
        <w:rPr>
          <w:rFonts w:ascii="Arial" w:hAnsi="Arial" w:cs="Arial"/>
        </w:rPr>
        <w:t xml:space="preserve"> both</w:t>
      </w:r>
      <w:r>
        <w:rPr>
          <w:rFonts w:ascii="Arial" w:hAnsi="Arial" w:cs="Arial"/>
        </w:rPr>
        <w:t xml:space="preserve"> research studies and clinical practice.</w:t>
      </w:r>
      <w:r w:rsidR="00F92068">
        <w:rPr>
          <w:rFonts w:ascii="Arial" w:hAnsi="Arial" w:cs="Arial"/>
        </w:rPr>
        <w:t xml:space="preserve"> </w:t>
      </w:r>
      <w:r w:rsidR="00B6360A">
        <w:rPr>
          <w:rFonts w:ascii="Arial" w:hAnsi="Arial" w:cs="Arial"/>
        </w:rPr>
        <w:t>In answering these questions it would be important to consider</w:t>
      </w:r>
      <w:r w:rsidR="00F92068">
        <w:rPr>
          <w:rFonts w:ascii="Arial" w:hAnsi="Arial" w:cs="Arial"/>
        </w:rPr>
        <w:t xml:space="preserve"> (</w:t>
      </w:r>
      <w:proofErr w:type="spellStart"/>
      <w:r w:rsidR="00F92068">
        <w:rPr>
          <w:rFonts w:ascii="Arial" w:hAnsi="Arial" w:cs="Arial"/>
        </w:rPr>
        <w:t>i</w:t>
      </w:r>
      <w:proofErr w:type="spellEnd"/>
      <w:r w:rsidR="00F92068">
        <w:rPr>
          <w:rFonts w:ascii="Arial" w:hAnsi="Arial" w:cs="Arial"/>
        </w:rPr>
        <w:t>) which symptoms are most troubling for the patient; (ii) if multiple symptoms are to be measured, is it possible to create a weighted global score for comparison between individuals</w:t>
      </w:r>
      <w:r w:rsidR="009312D0">
        <w:rPr>
          <w:rFonts w:ascii="Arial" w:hAnsi="Arial" w:cs="Arial"/>
        </w:rPr>
        <w:t xml:space="preserve"> and </w:t>
      </w:r>
      <w:r w:rsidR="00F92068">
        <w:rPr>
          <w:rFonts w:ascii="Arial" w:hAnsi="Arial" w:cs="Arial"/>
        </w:rPr>
        <w:t>groups; and (iii) is it possible to create a valid single measure of FND symptom severity</w:t>
      </w:r>
      <w:r w:rsidR="009312D0">
        <w:rPr>
          <w:rFonts w:ascii="Arial" w:hAnsi="Arial" w:cs="Arial"/>
        </w:rPr>
        <w:t>.</w:t>
      </w:r>
    </w:p>
    <w:p w14:paraId="2E0C4AB5" w14:textId="77777777" w:rsidR="003E6879" w:rsidRPr="00074D34" w:rsidRDefault="003E6879" w:rsidP="00AC6E07">
      <w:pPr>
        <w:spacing w:line="480" w:lineRule="auto"/>
        <w:jc w:val="both"/>
        <w:rPr>
          <w:rFonts w:ascii="Arial" w:hAnsi="Arial" w:cs="Arial"/>
          <w:sz w:val="22"/>
        </w:rPr>
      </w:pPr>
    </w:p>
    <w:p w14:paraId="00AC6233" w14:textId="39BD2EF7" w:rsidR="00113231" w:rsidRPr="009B6435" w:rsidRDefault="00750696" w:rsidP="00113231">
      <w:pPr>
        <w:spacing w:line="480" w:lineRule="auto"/>
        <w:jc w:val="both"/>
        <w:rPr>
          <w:rFonts w:ascii="Arial" w:hAnsi="Arial"/>
        </w:rPr>
      </w:pPr>
      <w:r>
        <w:rPr>
          <w:rFonts w:ascii="Arial" w:hAnsi="Arial"/>
          <w:i/>
        </w:rPr>
        <w:t>P</w:t>
      </w:r>
      <w:r w:rsidR="00113231">
        <w:rPr>
          <w:rFonts w:ascii="Arial" w:hAnsi="Arial"/>
          <w:i/>
        </w:rPr>
        <w:t>hysical and psychological comorbidities</w:t>
      </w:r>
      <w:r w:rsidR="00113231" w:rsidRPr="009B6435">
        <w:rPr>
          <w:rFonts w:ascii="Arial" w:hAnsi="Arial"/>
          <w:i/>
        </w:rPr>
        <w:t xml:space="preserve"> </w:t>
      </w:r>
    </w:p>
    <w:p w14:paraId="5F39CD49" w14:textId="11C39527" w:rsidR="00113231" w:rsidRPr="00750696" w:rsidRDefault="00113231" w:rsidP="00750696">
      <w:pPr>
        <w:spacing w:line="480" w:lineRule="auto"/>
        <w:ind w:firstLine="720"/>
        <w:jc w:val="both"/>
        <w:rPr>
          <w:rFonts w:ascii="Arial" w:hAnsi="Arial" w:cs="Arial"/>
          <w:sz w:val="22"/>
        </w:rPr>
      </w:pPr>
      <w:r w:rsidRPr="009B6435">
        <w:rPr>
          <w:rFonts w:ascii="Arial" w:hAnsi="Arial" w:cs="Arial"/>
        </w:rPr>
        <w:t xml:space="preserve">Beyond these core symptoms, many other </w:t>
      </w:r>
      <w:r>
        <w:rPr>
          <w:rFonts w:ascii="Arial" w:hAnsi="Arial" w:cs="Arial"/>
        </w:rPr>
        <w:t xml:space="preserve">physical and psychological </w:t>
      </w:r>
      <w:r w:rsidRPr="009B6435">
        <w:rPr>
          <w:rFonts w:ascii="Arial" w:hAnsi="Arial" w:cs="Arial"/>
        </w:rPr>
        <w:t>symptoms are commonly reported in FND</w:t>
      </w:r>
      <w:r>
        <w:rPr>
          <w:rFonts w:ascii="Arial" w:hAnsi="Arial" w:cs="Arial"/>
        </w:rPr>
        <w:t xml:space="preserve"> that have been shown to negatively impact</w:t>
      </w:r>
      <w:r w:rsidR="00E82F1C">
        <w:rPr>
          <w:rFonts w:ascii="Arial" w:hAnsi="Arial" w:cs="Arial"/>
        </w:rPr>
        <w:t xml:space="preserve"> </w:t>
      </w:r>
      <w:r>
        <w:rPr>
          <w:rFonts w:ascii="Arial" w:hAnsi="Arial" w:cs="Arial"/>
        </w:rPr>
        <w:t>health-related quality of life</w:t>
      </w:r>
      <w:r>
        <w:rPr>
          <w:rFonts w:ascii="Arial" w:hAnsi="Arial" w:cs="Arial"/>
        </w:rPr>
        <w:fldChar w:fldCharType="begin" w:fldLock="1"/>
      </w:r>
      <w:r w:rsidR="00F24E13">
        <w:rPr>
          <w:rFonts w:ascii="Arial" w:hAnsi="Arial" w:cs="Arial"/>
        </w:rPr>
        <w:instrText>ADDIN CSL_CITATION {"citationItems":[{"id":"ITEM-1","itemData":{"DOI":"10.1111/epi.13268","ISSN":"15281167","abstract":"Psychogenic nonepileptic seizures (PNES) often have a debilitating effect on patients' lives. Patients, family members, and clinicians have yet to fully understand the mechanisms and treatment of this disorder. Although reviews exist about epileptic seizures, there have been no systematic reviews of studies focusing on the impact of PNES. This review considers research on factors associated with the health-related quality of life (HRQoL) of patients with PNES. Searches of Medline, PsycINFO, CINAHL, and Cochrane Library were conducted. Search terms identified studies that examined factors associated with HRQoL in PNES. Factors fell into three categories: (1) seizure and somatic factors, (2) psychological factors, and (3) coping strategies and family functioning. Fourteen articles were included. The majority of studies were cross-sectional and were of weak to moderate quality. Depressive symptoms were negatively associated with HRQoL. Other factors associated with poorer HRQoL included dissociation, somatic symptoms, escape-avoidance coping strategies, and family dysfunction. Variables such as seizure frequency and demographic factors were not significantly associated with HRQoL. Psychological and interpersonal factors, not seizure reduction, are important for the HRQoL of patients with PNES. The avoidance of emotions is proposed as a perpetuating factor in the difficulties associated with poorer HRQoL. A biopsychosocial approach has relevance for both the clinical and theoretical understanding of PNES. Larger scale research on psychological and relational factors is needed to inform therapeutic approaches to enhance HRQoL in patients with PNES.","author":[{"dropping-particle":"","family":"Jones","given":"Becky","non-dropping-particle":"","parse-names":false,"suffix":""},{"dropping-particle":"","family":"Reuber","given":"Markus","non-dropping-particle":"","parse-names":false,"suffix":""},{"dropping-particle":"","family":"Norman","given":"Paul","non-dropping-particle":"","parse-names":false,"suffix":""}],"container-title":"Epilepsia","id":"ITEM-1","issued":{"date-parts":[["2016"]]},"title":"Correlates of health-related quality of life in adults with psychogenic nonepileptic seizures: A systematic review","type":"article-journal"},"uris":["http://www.mendeley.com/documents/?uuid=b6f7b3a3-167c-4473-9227-dfc61150b491"]}],"mendeley":{"formattedCitation":"{39}","plainTextFormattedCitation":"{39}","previouslyFormattedCitation":"{38}"},"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{39}</w:t>
      </w:r>
      <w:r>
        <w:rPr>
          <w:rFonts w:ascii="Arial" w:hAnsi="Arial" w:cs="Arial"/>
        </w:rPr>
        <w:fldChar w:fldCharType="end"/>
      </w:r>
      <w:r>
        <w:rPr>
          <w:rFonts w:ascii="Arial" w:hAnsi="Arial" w:cs="Arial"/>
        </w:rPr>
        <w:fldChar w:fldCharType="begin" w:fldLock="1"/>
      </w:r>
      <w:r w:rsidR="00F24E13">
        <w:rPr>
          <w:rFonts w:ascii="Arial" w:hAnsi="Arial" w:cs="Arial"/>
        </w:rPr>
        <w:instrText>ADDIN CSL_CITATION {"citationItems":[{"id":"ITEM-1","itemData":{"DOI":"10.1212/WNL.0b013e3181b04c83","ISSN":"1526632X","abstract":"BACKGROUND: In patients with active epilepsy, adverse medication effects and severity of depression are correlated with health-related quality of life, but seizure frequency is not. We sought to examine if the same pattern exists in patients with psychogenic nonepileptic seizures (PNES).\\n\\nMETHODS: We administered seizure calendars, quality of life (QOL) scales, depression scales, and symptom checklists to 49 patients with video EEG-confirmed PNES. Data analysis consisted of performing Pearson correlation coefficients, scatter plots, and t tests.\\n\\nRESULTS: Depression and symptom scores significantly increased as health-related QOL scores decreased (partial correlation coefficient r = -0.73 for both comparisons), whereas seizure count was nonsignificant (partial correlation coefficient r = -0.19).\\n\\nCONCLUSIONS: As is seen in epilepsy, patients with psychogenic nonepileptic seizures demonstrate that higher depressive symptoms and somatic symptoms are independently related to worsening quality of life (QOL); however, seizure frequency is not. Seizure frequency is an important focus in patient care and treatment trials. The findings underscore the importance of, along with seizure counts, also examining QOL, depression, and somatic symptoms in patients with seizures.","author":[{"dropping-particle":"","family":"LaFrance","given":"W. Curt","non-dropping-particle":"","parse-names":false,"suffix":""},{"dropping-particle":"","family":"Syc","given":"Stephanie","non-dropping-particle":"","parse-names":false,"suffix":""}],"container-title":"Neurology","id":"ITEM-1","issued":{"date-parts":[["2009"]]},"title":"Depression and symptoms affect quality of life in psychogenic nonepileptic seizures","type":"article-journal"},"uris":["http://www.mendeley.com/documents/?uuid=cd4201b9-db4c-401e-a00f-ce439095a2f7"]}],"mendeley":{"formattedCitation":"{40}","plainTextFormattedCitation":"{40}","previouslyFormattedCitation":"{39}"},"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{40}</w:t>
      </w:r>
      <w:r>
        <w:rPr>
          <w:rFonts w:ascii="Arial" w:hAnsi="Arial" w:cs="Arial"/>
        </w:rPr>
        <w:fldChar w:fldCharType="end"/>
      </w:r>
      <w:r>
        <w:rPr>
          <w:rFonts w:ascii="Arial" w:hAnsi="Arial" w:cs="Arial"/>
        </w:rPr>
        <w:t xml:space="preserve"> and clinical outcomes</w:t>
      </w:r>
      <w:r>
        <w:rPr>
          <w:rFonts w:ascii="Arial" w:hAnsi="Arial" w:cs="Arial"/>
        </w:rPr>
        <w:fldChar w:fldCharType="begin" w:fldLock="1"/>
      </w:r>
      <w:r w:rsidR="00F24E13">
        <w:rPr>
          <w:rFonts w:ascii="Arial" w:hAnsi="Arial" w:cs="Arial"/>
        </w:rPr>
        <w:instrText>ADDIN CSL_CITATION {"citationItems":[{"id":"ITEM-1","itemData":{"DOI":"10.1176/appi.neuropsych.17060117","ISSN":"0895-0172","abstract":"Despite advancements in the assessment and management of functional neurological disorder (FND), the feasibility of implementing a new standard of care remains unclear. Chart reviews were performed for 100 patients with motor FND to investigate factors related to treatment adherence and clinical improvement over an average follow-up of 7 months. Of 81 patients who returned for follow-up, a history of chronic pain disorder inversely correlated with improvement. Of the 50 individuals newly referred for treatment, adherence correlated with improvement, while having abnormal neuroimaging inversely correlated with improvement. This study supports the feasibility of applying a new standard of care for FND. (PsycINFO Database Record (c) 2018 APA, all rights reserved)","author":[{"dropping-particle":"","family":"Glass","given":"Sean P.","non-dropping-particle":"","parse-names":false,"suffix":""},{"dropping-particle":"","family":"Matin","given":"Nassim","non-dropping-particle":"","parse-names":false,"suffix":""},{"dropping-particle":"","family":"Williams","given":"Benjamin","non-dropping-particle":"","parse-names":false,"suffix":""},{"dropping-particle":"","family":"Mello","given":"Julie","non-dropping-particle":"","parse-names":false,"suffix":""},{"dropping-particle":"","family":"Stephen","given":"Christopher D.","non-dropping-particle":"","parse-names":false,"suffix":""},{"dropping-particle":"","family":"Young","given":"Sigrid S.","non-dropping-particle":"","parse-names":false,"suffix":""},{"dropping-particle":"","family":"Callahan","given":"Janet","non-dropping-particle":"","parse-names":false,"suffix":""},{"dropping-particle":"","family":"LaFrance","given":"W. Curt","non-dropping-particle":"","parse-names":false,"suffix":""},{"dropping-particle":"","family":"Perez","given":"David L.","non-dropping-particle":"","parse-names":false,"suffix":""}],"container-title":"The Journal of Neuropsychiatry and Clinical Neurosciences","id":"ITEM-1","issued":{"date-parts":[["2017"]]},"title":"Neuropsychiatric Factors Linked to Adherence and Short-Term Outcome in a U.S. Functional Neurological Disorders Clinic: A Retrospective Cohort Study","type":"article-journal"},"uris":["http://www.mendeley.com/documents/?uuid=940fc474-fa30-470a-8a32-70a6e6d2a1c7"]}],"mendeley":{"formattedCitation":"{41}","plainTextFormattedCitation":"{41}","previouslyFormattedCitation":"{40}"},"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{41}</w:t>
      </w:r>
      <w:r>
        <w:rPr>
          <w:rFonts w:ascii="Arial" w:hAnsi="Arial" w:cs="Arial"/>
        </w:rPr>
        <w:fldChar w:fldCharType="end"/>
      </w:r>
      <w:r>
        <w:rPr>
          <w:rFonts w:ascii="Arial" w:hAnsi="Arial" w:cs="Arial"/>
        </w:rPr>
        <w:fldChar w:fldCharType="begin" w:fldLock="1"/>
      </w:r>
      <w:r w:rsidR="00F24E13">
        <w:rPr>
          <w:rFonts w:ascii="Arial" w:hAnsi="Arial" w:cs="Arial"/>
        </w:rPr>
        <w:instrText>ADDIN CSL_CITATION {"citationItems":[{"id":"ITEM-1","itemData":{"DOI":"jnnp-2013-305321 [pii]\r10.1136/jnnp-2013-305321","ISBN":"1468-330X (Electronic)\r0022-3050 (Linking)","PMID":"24029543","abstract":"BACKGROUND: The prognosis of functional (or psychogenic) motor symptoms (weakness and movement disorder) has not been systematically reviewed. METHODS: We systematically reviewed PubMed for all studies of eight or more patients with functional motor symptoms reporting follow-up data longer than 6 months (excluding studies reporting specific treatments). We recorded symptom duration, physical and psychiatric comorbidity, disability, occupational functioning at follow-up and prognostic factors. RESULTS: 24 studies were included. There was heterogeneity regarding study size (number of patients (n)=10 491), follow-up duration clinical setting and data availability. Most studies (n=15) were retrospective. Reported symptom outcome was highly variable. Mean weighted follow-up duration was 7.4 years (in 13 studies where data was extractable). The mean percentage of patients same or worse at follow-up for all studies was 39%, range 10% to 90%, n=1134. Levels of physical disability and psychological comorbidity at follow-up were high. Short duration of symptoms, early diagnosis and high satisfaction with care predicted positive outcome in two studies. Gender had no effect. Delayed diagnosis and personality disorder were negatively correlated with outcome. Prognostic factors that varied between studies included age, comorbid anxiety and depression, IQ, educational status, marital status and pending litigation. CONCLUSIONS: Existing follow-up studies of functional motor symptoms give us some insights regarding outcome and prognostic factors but are limited by their largely retrospective and selective nature. Overall, prognosis appears unfavourable. The severity and chronicity of functional motor symptoms argues for larger prospective studies including multiple prognostic factors at baseline in order to better understand their natural history.","author":[{"dropping-particle":"","family":"Gelauff","given":"J","non-dropping-particle":"","parse-names":false,"suffix":""},{"dropping-particle":"","family":"Stone","given":"J","non-dropping-particle":"","parse-names":false,"suffix":""},{"dropping-particle":"","family":"Edwards","given":"M","non-dropping-particle":"","parse-names":false,"suffix":""},{"dropping-particle":"","family":"Carson","given":"A","non-dropping-particle":"","parse-names":false,"suffix":""}],"container-title":"J Neurol Neurosurg Psychiatry","edition":"2013/09/14","id":"ITEM-1","issue":"2","issued":{"date-parts":[["2014"]]},"language":"eng","note":"Gelauff, Jeannette\nStone, Jon\nEdwards, Mark\nCarson, Alan\nReview\nEngland\nJournal of neurology, neurosurgery, and psychiatry\nJ Neurol Neurosurg Psychiatry. 2014 Feb;85(2):220-6. doi: 10.1136/jnnp-2013-305321. Epub 2013 Sep 12.","page":"220-226","title":"The prognosis of functional (psychogenic) motor symptoms: a systematic review","type":"article-journal","volume":"85"},"uris":["http://www.mendeley.com/documents/?uuid=be5b2a09-536c-4c30-967a-6a46b3054e0a"]}],"mendeley":{"formattedCitation":"{42}","plainTextFormattedCitation":"{42}","previouslyFormattedCitation":"{41}"},"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{42}</w:t>
      </w:r>
      <w:r>
        <w:rPr>
          <w:rFonts w:ascii="Arial" w:hAnsi="Arial" w:cs="Arial"/>
        </w:rPr>
        <w:fldChar w:fldCharType="end"/>
      </w:r>
      <w:r w:rsidRPr="009B6435">
        <w:rPr>
          <w:rFonts w:ascii="Arial" w:hAnsi="Arial" w:cs="Arial"/>
        </w:rPr>
        <w:t xml:space="preserve">. These symptoms include pain, fatigue, </w:t>
      </w:r>
      <w:r>
        <w:rPr>
          <w:rFonts w:ascii="Arial" w:hAnsi="Arial" w:cs="Arial"/>
        </w:rPr>
        <w:t>sleep disturbance, poor concentration</w:t>
      </w:r>
      <w:r w:rsidRPr="009B6435">
        <w:rPr>
          <w:rFonts w:ascii="Arial" w:hAnsi="Arial" w:cs="Arial"/>
        </w:rPr>
        <w:t xml:space="preserve">, bladder and bowel dysfunction and psychological symptoms such as </w:t>
      </w:r>
      <w:r w:rsidR="005E2F84">
        <w:rPr>
          <w:rFonts w:ascii="Arial" w:hAnsi="Arial" w:cs="Arial"/>
        </w:rPr>
        <w:t xml:space="preserve">depression, </w:t>
      </w:r>
      <w:r w:rsidRPr="009B6435">
        <w:rPr>
          <w:rFonts w:ascii="Arial" w:hAnsi="Arial" w:cs="Arial"/>
        </w:rPr>
        <w:t>anxiety, panic, dissociative phenomena (e.g. depersonalisation)</w:t>
      </w:r>
      <w:r>
        <w:rPr>
          <w:rFonts w:ascii="Arial" w:hAnsi="Arial" w:cs="Arial"/>
        </w:rPr>
        <w:t xml:space="preserve">, </w:t>
      </w:r>
      <w:r w:rsidR="005E2F84">
        <w:rPr>
          <w:rFonts w:ascii="Arial" w:hAnsi="Arial" w:cs="Arial"/>
        </w:rPr>
        <w:t>and</w:t>
      </w:r>
      <w:r>
        <w:rPr>
          <w:rFonts w:ascii="Arial" w:hAnsi="Arial" w:cs="Arial"/>
        </w:rPr>
        <w:t xml:space="preserve"> post-traumatic stress </w:t>
      </w:r>
      <w:r w:rsidRPr="009B6435">
        <w:rPr>
          <w:rFonts w:ascii="Arial" w:hAnsi="Arial" w:cs="Arial"/>
        </w:rPr>
        <w:t>symptoms</w:t>
      </w:r>
      <w:r>
        <w:rPr>
          <w:rFonts w:ascii="Arial" w:hAnsi="Arial" w:cs="Arial"/>
        </w:rPr>
        <w:fldChar w:fldCharType="begin" w:fldLock="1"/>
      </w:r>
      <w:r w:rsidR="00F24E13">
        <w:rPr>
          <w:rFonts w:ascii="Arial" w:hAnsi="Arial" w:cs="Arial"/>
        </w:rPr>
        <w:instrText>ADDIN CSL_CITATION {"citationItems":[{"id":"ITEM-1","itemData":{"DOI":"10.1002/mds.23830","ISBN":"1531-8257 (Electronic)\r0885-3185 (Linking)","PMID":"21714007","abstract":"Psychogenic movement disorder is defined as abnormal movements unrelated to a medical cause and presumed related to underlying psychological factors. Although psychological factors are of both clinical and pathophysiological relevance, very few studies to date have systematically assessed their role in psychogenic movement disorder. We sought to assess the role of previous life stress using validated quantitative measures in patients with psychogenic movement disorder compared with age- and sex-matched healthy volunteers as well as a convenience sample of patients with focal hand dystonia. Sixty-four patients with psychogenic movement disorder (72% female; mean age, 45.2 years [standard deviation, 15.2 years]), 38 healthy volunteers (74% female; mean age, 49 years [standard deviation, 13.7 years]), and 39 patients with focal hand dystonia (37% female; mean age, 48.7 years [standard deviation, 11.7 years]) were evaluated using a standardized psychological interview as well as validated quantitative scales to assess trauma and previous stressors, depression, anxiety, and personality traits. Patients with psychogenic movement disorder reported higher rates of childhood trauma, specifically greater emotional abuse and physical neglect, greater fear associated with traumatic events, and a greater number of traumatic episodes compared with healthy volunteers and patients with focal hand dystonia controlled for depressive symptoms and sex (Bonferroni corrected P &lt; .005). There were no differences in categorical psychiatric diagnoses or scores on childhood physical or sexual abuse subscales, personality traits, or the dissociative experience scale. Our findings highlight a biopsychosocial approach toward the pathophysiology of psychogenic movement disorder, although the association with psychological issues is much less prominent than expected compared with the nonepileptic seizure population. A careful psychological assessment is indicated to optimize therapeutic modalities. (c) 2011 Movement Disorder Society.","author":[{"dropping-particle":"","family":"Kranick","given":"S","non-dropping-particle":"","parse-names":false,"suffix":""},{"dropping-particle":"","family":"Ekanayake","given":"V","non-dropping-particle":"","parse-names":false,"suffix":""},{"dropping-particle":"","family":"Martinez","given":"V","non-dropping-particle":"","parse-names":false,"suffix":""},{"dropping-particle":"","family":"Ameli","given":"R","non-dropping-particle":"","parse-names":false,"suffix":""},{"dropping-particle":"","family":"Hallett","given":"M","non-dropping-particle":"","parse-names":false,"suffix":""},{"dropping-particle":"","family":"Voon","given":"V","non-dropping-particle":"","parse-names":false,"suffix":""}],"container-title":"Mov Disord","edition":"2011/06/30","id":"ITEM-1","issued":{"date-parts":[["2011"]]},"language":"Eng","note":"Journal article\nMovement disorders : official journal of the Movement Disorder Society\nMov Disord. 2011 Jun 28. doi: 10.1002/mds.23830.","title":"Psychopathology and psychogenic movement disorders","type":"article-journal"},"uris":["http://www.mendeley.com/documents/?uuid=5c6985f1-81f4-4154-ace3-2c3675ef2bf4"]}],"mendeley":{"formattedCitation":"{43}","plainTextFormattedCitation":"{43}","previouslyFormattedCitation":"{42}"},"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{43}</w:t>
      </w:r>
      <w:r>
        <w:rPr>
          <w:rFonts w:ascii="Arial" w:hAnsi="Arial" w:cs="Arial"/>
        </w:rPr>
        <w:fldChar w:fldCharType="end"/>
      </w:r>
      <w:r>
        <w:rPr>
          <w:rFonts w:ascii="Arial" w:hAnsi="Arial" w:cs="Arial"/>
        </w:rPr>
        <w:fldChar w:fldCharType="begin" w:fldLock="1"/>
      </w:r>
      <w:r w:rsidR="00F24E13">
        <w:rPr>
          <w:rFonts w:ascii="Arial" w:hAnsi="Arial" w:cs="Arial"/>
        </w:rPr>
        <w:instrText>ADDIN CSL_CITATION {"citationItems":[{"id":"ITEM-1","itemData":{"DOI":"10.1093/brain/awq068","ISBN":"1460-2156 (Electronic)\\r0006-8950 (Linking)","ISSN":"00068950","PMID":"20395262","abstract":"Functional weakness describes weakness which is both internally inconsistent and incongruent with any recognizable neurological disease. It may be diagnosed as a manifestation of conversion disorder or dissociative motor disorder. Other names include psychogenic or 'non-organic' paralysis. We aimed to describe the incidence, demographic and clinical characteristics of cases with functional weakness of less than 2 years duration, and to compare these with controls with weakness attributable to neurological disease. Both cases and controls were recruited from consultant neurologists in South East Scotland. Participating patients underwent detailed assessments which included: physical examination, structured psychiatric interview (Structured Clinical Interview for the Diagnostic and Statistical Manual of Mental Disorders), measures of symptoms, disability and distress [Short Form (36) Health Survey, Hospital and Anxiety Depression Scale], and assessment of their illness beliefs using an augmented version of the Illness Perception Questionnaire. In total, 107 cases (79% female, mean age 39 years, median duration of illness 9 months) were recruited. This number suggests a minimum annual incidence of 3.9/100 000. Forty-six controls (83% female, median age 39 years, duration 11 months) were also recruited. Compared to controls, cases had similar levels of disability but more physical symptoms, especially pain. They had a higher frequency of psychiatric disorders, especially current major depression (32 versus 7%, P &lt; 0.0001), generalized anxiety disorder (21 versus 2%, P &lt; 0.005), panic disorder (36 versus 13%, P &lt; 0.001) and somatization disorder (27 versus 0%, P &lt; 0001). There was no difference in median self-rated anxiety and depression scores. Paradoxically, they were less likely than controls to agree that stress was a possible cause of their illness (24 versus 56%, P &lt; 0.001). Cases were twice as likely as controls to report that they were not working because of their symptoms (65 versus 33%, P &lt; 0.0005). Functional weakness is a commonly encountered clinical problem. Patients with this symptom are as disabled as patients with weakness of similar duration due to neurological disease. There is a paradox between the frequency of depression and anxiety diagnoses and the patient's willingness to accept these as potentially relevant to their symptoms. We discuss the theoretical and practical implications of these findings for the concept of conversion disorder.","author":[{"dropping-particle":"","family":"Stone","given":"Jon","non-dropping-particle":"","parse-names":false,"suffix":""},{"dropping-particle":"","family":"Warlow","given":"Charles","non-dropping-particle":"","parse-names":false,"suffix":""},{"dropping-particle":"","family":"Sharpe","given":"Michael","non-dropping-particle":"","parse-names":false,"suffix":""}],"container-title":"Brain","id":"ITEM-1","issue":"5","issued":{"date-parts":[["2010"]]},"page":"1537-1551","title":"The symptom of functional weakness: A controlled study of 107 patients","type":"article-journal","volume":"133"},"uris":["http://www.mendeley.com/documents/?uuid=3496a501-15d7-4fab-a209-35141886c32b"]}],"mendeley":{"formattedCitation":"{44}","plainTextFormattedCitation":"{44}","previouslyFormattedCitation":"{43}"},"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{44}</w:t>
      </w:r>
      <w:r>
        <w:rPr>
          <w:rFonts w:ascii="Arial" w:hAnsi="Arial" w:cs="Arial"/>
        </w:rPr>
        <w:fldChar w:fldCharType="end"/>
      </w:r>
      <w:r w:rsidRPr="009B6435">
        <w:rPr>
          <w:rFonts w:ascii="Arial" w:hAnsi="Arial" w:cs="Arial"/>
        </w:rPr>
        <w:t xml:space="preserve">.  </w:t>
      </w:r>
      <w:r>
        <w:rPr>
          <w:rFonts w:ascii="Arial" w:hAnsi="Arial" w:cs="Arial"/>
        </w:rPr>
        <w:t>These concurrent</w:t>
      </w:r>
      <w:r w:rsidRPr="009B6435">
        <w:rPr>
          <w:rFonts w:ascii="Arial" w:hAnsi="Arial" w:cs="Arial"/>
        </w:rPr>
        <w:t xml:space="preserve"> symptoms can be and often are, amongst the most severe </w:t>
      </w:r>
      <w:r>
        <w:rPr>
          <w:rFonts w:ascii="Arial" w:hAnsi="Arial" w:cs="Arial"/>
        </w:rPr>
        <w:t>and</w:t>
      </w:r>
      <w:r w:rsidRPr="009B6435">
        <w:rPr>
          <w:rFonts w:ascii="Arial" w:hAnsi="Arial" w:cs="Arial"/>
        </w:rPr>
        <w:t xml:space="preserve"> disabling symptoms reported by patients – sometimes more so than the </w:t>
      </w:r>
      <w:r w:rsidR="00A91BB6">
        <w:rPr>
          <w:rFonts w:ascii="Arial" w:hAnsi="Arial" w:cs="Arial"/>
        </w:rPr>
        <w:t>presenting</w:t>
      </w:r>
      <w:r w:rsidRPr="009B6435">
        <w:rPr>
          <w:rFonts w:ascii="Arial" w:hAnsi="Arial" w:cs="Arial"/>
        </w:rPr>
        <w:t xml:space="preserve"> </w:t>
      </w:r>
      <w:r>
        <w:rPr>
          <w:rFonts w:ascii="Arial" w:hAnsi="Arial" w:cs="Arial"/>
        </w:rPr>
        <w:t xml:space="preserve">FND </w:t>
      </w:r>
      <w:r w:rsidRPr="009B6435">
        <w:rPr>
          <w:rFonts w:ascii="Arial" w:hAnsi="Arial" w:cs="Arial"/>
        </w:rPr>
        <w:t>symptom</w:t>
      </w:r>
      <w:r w:rsidR="00A91BB6">
        <w:rPr>
          <w:rFonts w:ascii="Arial" w:hAnsi="Arial" w:cs="Arial"/>
        </w:rPr>
        <w:t>,</w:t>
      </w:r>
      <w:r w:rsidRPr="009B6435">
        <w:rPr>
          <w:rFonts w:ascii="Arial" w:hAnsi="Arial" w:cs="Arial"/>
        </w:rPr>
        <w:t xml:space="preserve"> itself.</w:t>
      </w:r>
      <w:r w:rsidRPr="009B6435">
        <w:rPr>
          <w:rFonts w:ascii="Arial" w:hAnsi="Arial" w:cs="Arial"/>
          <w:sz w:val="28"/>
        </w:rPr>
        <w:t xml:space="preserve"> </w:t>
      </w:r>
      <w:r w:rsidRPr="009B6435">
        <w:rPr>
          <w:rFonts w:ascii="Arial" w:hAnsi="Arial" w:cs="Arial"/>
        </w:rPr>
        <w:t>For example</w:t>
      </w:r>
      <w:r w:rsidR="009F1063">
        <w:rPr>
          <w:rFonts w:ascii="Arial" w:hAnsi="Arial" w:cs="Arial"/>
        </w:rPr>
        <w:t>,</w:t>
      </w:r>
      <w:r w:rsidRPr="009B6435">
        <w:rPr>
          <w:rFonts w:ascii="Arial" w:hAnsi="Arial" w:cs="Arial"/>
        </w:rPr>
        <w:t xml:space="preserve"> in</w:t>
      </w:r>
      <w:r w:rsidR="000E3F20">
        <w:rPr>
          <w:rFonts w:ascii="Arial" w:hAnsi="Arial" w:cs="Arial"/>
        </w:rPr>
        <w:t xml:space="preserve"> one study</w:t>
      </w:r>
      <w:r w:rsidRPr="009B6435">
        <w:rPr>
          <w:rFonts w:ascii="Arial" w:hAnsi="Arial" w:cs="Arial"/>
        </w:rPr>
        <w:t xml:space="preserve"> functi</w:t>
      </w:r>
      <w:r w:rsidR="0060518F">
        <w:rPr>
          <w:rFonts w:ascii="Arial" w:hAnsi="Arial" w:cs="Arial"/>
        </w:rPr>
        <w:t>onal movement disorder</w:t>
      </w:r>
      <w:r w:rsidR="000E3F20">
        <w:rPr>
          <w:rFonts w:ascii="Arial" w:hAnsi="Arial" w:cs="Arial"/>
        </w:rPr>
        <w:t xml:space="preserve"> patients pain,</w:t>
      </w:r>
      <w:r w:rsidRPr="009B6435">
        <w:rPr>
          <w:rFonts w:ascii="Arial" w:hAnsi="Arial" w:cs="Arial"/>
        </w:rPr>
        <w:t xml:space="preserve"> anxiety and cognitive symptoms</w:t>
      </w:r>
      <w:r w:rsidRPr="009B6435">
        <w:rPr>
          <w:rFonts w:ascii="Arial" w:hAnsi="Arial" w:cs="Arial"/>
        </w:rPr>
        <w:fldChar w:fldCharType="begin" w:fldLock="1"/>
      </w:r>
      <w:r w:rsidR="00F24E13">
        <w:rPr>
          <w:rFonts w:ascii="Arial" w:hAnsi="Arial" w:cs="Arial"/>
        </w:rPr>
        <w:instrText>ADDIN CSL_CITATION {"citationItems":[{"id":"ITEM-1","itemData":{"DOI":"10.1016/j.jpsychores.2018.10.001","ISSN":"18791360","abstract":"Objective: Pain, fatigue, cognitive complaints and psychiatric comorbidities are common in patients with functional movement disorder and may significantly affect their quality of life. The aim of the study was to assess the impact of motor and non-motor symptoms on health-related quality of life in patients with functional movement disorder. Methods: Sixty-one patients with clinically established functional movement disorder and 61 matched healthy controls completed standardized questionnaires for depression, anxiety, cognitive complaints, fatigue, pain, sleepiness, apathy and health-related quality of life. Motor disorder severity was assessed using The Simplified Functional Movement Disorders Rating Scale. Personality traits were assessed using the 44-Item Big Five Inventory. Results: Compared to controls, patients reported significantly lower health-related quality of life and higher levels of all assessed non-motor symptoms except for apathy. No difference was found in personality traits. In both groups, health-related quality of life scores negatively correlated with depression, anxiety, pain, cognitive complaints, apathy, and neuroticism. No correlation was found between health-related quality of life and motor symptom severity in patients with functional movement disorder. Multiple regression analysis of the predictors of health-related quality of life showed significant impact of trait anxiety and cognitive complaints scores. Conclusions: Multiple non-motor symptoms but not motor symptom severity correlated with impaired health-related quality of life in patients with functional movement disorder. Impaired health-related quality of life was predicted by anxiety and cognitive complaints. Our results highlight the importance of assessing and treating both motor and non-motor symptoms in patients with functional movement disorder.","author":[{"dropping-particle":"","family":"Věchetová","given":"Gabriela","non-dropping-particle":"","parse-names":false,"suffix":""},{"dropping-particle":"","family":"Slovák","given":"Matěj","non-dropping-particle":"","parse-names":false,"suffix":""},{"dropping-particle":"","family":"Kemlink","given":"David","non-dropping-particle":"","parse-names":false,"suffix":""},{"dropping-particle":"","family":"Hanzlíková","given":"Zuzana","non-dropping-particle":"","parse-names":false,"suffix":""},{"dropping-particle":"","family":"Dušek","given":"Pavel","non-dropping-particle":"","parse-names":false,"suffix":""},{"dropping-particle":"","family":"Nikolai","given":"Tomáš","non-dropping-particle":"","parse-names":false,"suffix":""},{"dropping-particle":"","family":"Růžička","given":"Evžen","non-dropping-particle":"","parse-names":false,"suffix":""},{"dropping-particle":"","family":"Edwards","given":"Mark J.","non-dropping-particle":"","parse-names":false,"suffix":""},{"dropping-particle":"","family":"Serranová","given":"Tereza","non-dropping-particle":"","parse-names":false,"suffix":""}],"container-title":"Journal of Psychosomatic Research","id":"ITEM-1","issued":{"date-parts":[["2018"]]},"title":"The impact of non-motor symptoms on the health-related quality of life in patients with functional movement disorders","type":"article-journal"},"uris":["http://www.mendeley.com/documents/?uuid=8084e24d-8b97-49a4-a387-9e23c485dcc8"]}],"mendeley":{"formattedCitation":"{45}","plainTextFormattedCitation":"{45}","previouslyFormattedCitation":"{44}"},"properties":{"noteIndex":0},"schema":"https://github.com/citation-style-language/schema/raw/master/csl-citation.json"}</w:instrText>
      </w:r>
      <w:r w:rsidRPr="009B6435">
        <w:rPr>
          <w:rFonts w:ascii="Arial" w:hAnsi="Arial" w:cs="Arial"/>
        </w:rPr>
        <w:fldChar w:fldCharType="separate"/>
      </w:r>
      <w:r w:rsidR="00F24E13" w:rsidRPr="00F24E13">
        <w:rPr>
          <w:rFonts w:ascii="Arial" w:hAnsi="Arial" w:cs="Arial"/>
          <w:noProof/>
        </w:rPr>
        <w:t>{45}</w:t>
      </w:r>
      <w:r w:rsidRPr="009B6435">
        <w:rPr>
          <w:rFonts w:ascii="Arial" w:hAnsi="Arial" w:cs="Arial"/>
        </w:rPr>
        <w:fldChar w:fldCharType="end"/>
      </w:r>
      <w:r w:rsidR="009F1063">
        <w:rPr>
          <w:rFonts w:ascii="Arial" w:hAnsi="Arial" w:cs="Arial"/>
        </w:rPr>
        <w:t>,</w:t>
      </w:r>
      <w:r w:rsidRPr="009B6435">
        <w:rPr>
          <w:rFonts w:ascii="Arial" w:hAnsi="Arial" w:cs="Arial"/>
        </w:rPr>
        <w:t xml:space="preserve"> </w:t>
      </w:r>
      <w:r w:rsidR="000E3F20">
        <w:rPr>
          <w:rFonts w:ascii="Arial" w:hAnsi="Arial" w:cs="Arial"/>
        </w:rPr>
        <w:t>and in another study</w:t>
      </w:r>
      <w:r w:rsidRPr="009B6435">
        <w:rPr>
          <w:rFonts w:ascii="Arial" w:hAnsi="Arial" w:cs="Arial"/>
        </w:rPr>
        <w:t xml:space="preserve"> fatigue and depression</w:t>
      </w:r>
      <w:r w:rsidRPr="009B6435">
        <w:rPr>
          <w:rFonts w:ascii="Arial" w:hAnsi="Arial" w:cs="Arial"/>
        </w:rPr>
        <w:fldChar w:fldCharType="begin" w:fldLock="1"/>
      </w:r>
      <w:r w:rsidR="00F24E13">
        <w:rPr>
          <w:rFonts w:ascii="Arial" w:hAnsi="Arial" w:cs="Arial"/>
        </w:rPr>
        <w:instrText>ADDIN CSL_CITATION {"citationItems":[{"id":"ITEM-1","itemData":{"DOI":"10.1007/s00415-018-8915-7","ISSN":"14321459","abstract":"While fatigue is found to be an impairing symptom in functional motor disorders (FMD) in clinical practice, scientific evidence is lacking. We investigated fatigue severity and subtypes in FMD compared to organic neurological disease. Furthermore, the role of fatigue within FMD and its impact on quality of life and self-rated health were investigated. Data from 181 patients participating in the self-help on the internet for functional motor disorders, randomised Trial were included. Data from 217 neurological controls with neuromuscular disorders (NMD) originated from a historical cohort. Fatigue was measured using the checklist individual strength (CIS). Motor symptom severity, depression and anxiety were correlated to fatigue. For multivariable regression analyses, physical functioning and pain were additionally taken into account. Severe fatigue was, respectively, present in 78 and 53% of FMD and NMD patients (p &lt; 0.001). FMD patients scored higher than NMD patients on all fatigue subdomains (p &lt; 0.001). In the FMD group, fatigue subdomains were correlated to depression, anxiety and partly to motor symptom severity. Quality of life was negatively associated with fatigue [OR 0.93 (0.90-0.96), p &lt; 0.001] and depression [OR 0.87 (0.81-0.93), p &lt; 0.001], but not self-rated motor symptom severity. Self-rated health was negatively associated with fatigue [OR 0.92 (0.88-0.96), p &lt; 0.001] and pain [OR 0.98 (0.97-0.99), p &lt; 0.001]. Fatigue was found to be a prevalent problem in FMD, more so than in organic neurological disease. It significantly affected quality of life and self-rated health, while other factors such as motor symptom severity did not. Fatigue should be taken into account in clinical practice and treatment trials.","author":[{"dropping-particle":"","family":"Gelauff","given":"J. M.","non-dropping-particle":"","parse-names":false,"suffix":""},{"dropping-particle":"","family":"Kingma","given":"E. M.","non-dropping-particle":"","parse-names":false,"suffix":""},{"dropping-particle":"","family":"Kalkman","given":"J. S.","non-dropping-particle":"","parse-names":false,"suffix":""},{"dropping-particle":"","family":"Bezemer","given":"R.","non-dropping-particle":"","parse-names":false,"suffix":""},{"dropping-particle":"","family":"Engelen","given":"B. G.M.","non-dropping-particle":"van","parse-names":false,"suffix":""},{"dropping-particle":"","family":"Stone","given":"J.","non-dropping-particle":"","parse-names":false,"suffix":""},{"dropping-particle":"","family":"Tijssen","given":"M. A.J.","non-dropping-particle":"","parse-names":false,"suffix":""},{"dropping-particle":"","family":"Rosmalen","given":"J. G.M.","non-dropping-particle":"","parse-names":false,"suffix":""}],"container-title":"Journal of Neurology","id":"ITEM-1","issued":{"date-parts":[["2018"]]},"title":"Fatigue, not self-rated motor symptom severity, affects quality of life in functional motor disorders","type":"article-journal"},"uris":["http://www.mendeley.com/documents/?uuid=837db9d6-f558-47cc-b4ca-3fe8e2e7abef"]}],"mendeley":{"formattedCitation":"{46}","plainTextFormattedCitation":"{46}","previouslyFormattedCitation":"{45}"},"properties":{"noteIndex":0},"schema":"https://github.com/citation-style-language/schema/raw/master/csl-citation.json"}</w:instrText>
      </w:r>
      <w:r w:rsidRPr="009B6435">
        <w:rPr>
          <w:rFonts w:ascii="Arial" w:hAnsi="Arial" w:cs="Arial"/>
        </w:rPr>
        <w:fldChar w:fldCharType="separate"/>
      </w:r>
      <w:r w:rsidR="00F24E13" w:rsidRPr="00F24E13">
        <w:rPr>
          <w:rFonts w:ascii="Arial" w:hAnsi="Arial" w:cs="Arial"/>
          <w:noProof/>
        </w:rPr>
        <w:t>{46}</w:t>
      </w:r>
      <w:r w:rsidRPr="009B6435">
        <w:rPr>
          <w:rFonts w:ascii="Arial" w:hAnsi="Arial" w:cs="Arial"/>
        </w:rPr>
        <w:fldChar w:fldCharType="end"/>
      </w:r>
      <w:r w:rsidR="000E3F20">
        <w:rPr>
          <w:rFonts w:ascii="Arial" w:hAnsi="Arial" w:cs="Arial"/>
        </w:rPr>
        <w:t>,</w:t>
      </w:r>
      <w:r w:rsidRPr="009B6435">
        <w:rPr>
          <w:rFonts w:ascii="Arial" w:hAnsi="Arial" w:cs="Arial"/>
        </w:rPr>
        <w:t xml:space="preserve"> correlate</w:t>
      </w:r>
      <w:r w:rsidR="005E2F84">
        <w:rPr>
          <w:rFonts w:ascii="Arial" w:hAnsi="Arial" w:cs="Arial"/>
        </w:rPr>
        <w:t>d</w:t>
      </w:r>
      <w:r w:rsidRPr="009B6435">
        <w:rPr>
          <w:rFonts w:ascii="Arial" w:hAnsi="Arial" w:cs="Arial"/>
        </w:rPr>
        <w:t xml:space="preserve"> strongly</w:t>
      </w:r>
      <w:r>
        <w:rPr>
          <w:rFonts w:ascii="Arial" w:hAnsi="Arial" w:cs="Arial"/>
        </w:rPr>
        <w:t xml:space="preserve"> with quality of life in a way that the movement disorder symptoms d</w:t>
      </w:r>
      <w:r w:rsidR="005E2F84">
        <w:rPr>
          <w:rFonts w:ascii="Arial" w:hAnsi="Arial" w:cs="Arial"/>
        </w:rPr>
        <w:t>id</w:t>
      </w:r>
      <w:r>
        <w:rPr>
          <w:rFonts w:ascii="Arial" w:hAnsi="Arial" w:cs="Arial"/>
        </w:rPr>
        <w:t xml:space="preserve"> not</w:t>
      </w:r>
      <w:r w:rsidRPr="009B6435">
        <w:rPr>
          <w:rFonts w:ascii="Arial" w:hAnsi="Arial" w:cs="Arial"/>
        </w:rPr>
        <w:t xml:space="preserve">. </w:t>
      </w:r>
      <w:r>
        <w:rPr>
          <w:rFonts w:ascii="Arial" w:hAnsi="Arial" w:cs="Arial"/>
        </w:rPr>
        <w:t xml:space="preserve">Similarly, for adults with </w:t>
      </w:r>
      <w:r w:rsidR="00EB4913">
        <w:rPr>
          <w:rFonts w:ascii="Arial" w:hAnsi="Arial" w:cs="Arial"/>
        </w:rPr>
        <w:t>PNES</w:t>
      </w:r>
      <w:r>
        <w:rPr>
          <w:rFonts w:ascii="Arial" w:hAnsi="Arial" w:cs="Arial"/>
        </w:rPr>
        <w:t xml:space="preserve">, depression and </w:t>
      </w:r>
      <w:r>
        <w:rPr>
          <w:rFonts w:ascii="Arial" w:hAnsi="Arial" w:cs="Arial"/>
        </w:rPr>
        <w:lastRenderedPageBreak/>
        <w:t>a range of other characteristics</w:t>
      </w:r>
      <w:r w:rsidR="00A91BB6">
        <w:rPr>
          <w:rFonts w:ascii="Arial" w:hAnsi="Arial" w:cs="Arial"/>
        </w:rPr>
        <w:t>,</w:t>
      </w:r>
      <w:r>
        <w:rPr>
          <w:rFonts w:ascii="Arial" w:hAnsi="Arial" w:cs="Arial"/>
        </w:rPr>
        <w:t xml:space="preserve"> such as dissociation, escape-avoidance coping and aspects of family dysfunction</w:t>
      </w:r>
      <w:r w:rsidR="00A91BB6">
        <w:rPr>
          <w:rFonts w:ascii="Arial" w:hAnsi="Arial" w:cs="Arial"/>
        </w:rPr>
        <w:t>,</w:t>
      </w:r>
      <w:r>
        <w:rPr>
          <w:rFonts w:ascii="Arial" w:hAnsi="Arial" w:cs="Arial"/>
        </w:rPr>
        <w:t xml:space="preserve"> were important associates of quality of life</w:t>
      </w:r>
      <w:r w:rsidR="009F1063">
        <w:rPr>
          <w:rFonts w:ascii="Arial" w:hAnsi="Arial" w:cs="Arial"/>
        </w:rPr>
        <w:t>,</w:t>
      </w:r>
      <w:r>
        <w:rPr>
          <w:rFonts w:ascii="Arial" w:hAnsi="Arial" w:cs="Arial"/>
        </w:rPr>
        <w:t xml:space="preserve"> </w:t>
      </w:r>
      <w:r w:rsidR="00EB4913">
        <w:rPr>
          <w:rFonts w:ascii="Arial" w:hAnsi="Arial" w:cs="Arial"/>
        </w:rPr>
        <w:t>although this may at least in part be due to particular quality of life scales containing items asking about anxiety, depression and pain</w:t>
      </w:r>
      <w:r>
        <w:rPr>
          <w:rFonts w:ascii="Arial" w:hAnsi="Arial" w:cs="Arial"/>
        </w:rPr>
        <w:fldChar w:fldCharType="begin" w:fldLock="1"/>
      </w:r>
      <w:r w:rsidR="00F24E13">
        <w:rPr>
          <w:rFonts w:ascii="Arial" w:hAnsi="Arial" w:cs="Arial"/>
        </w:rPr>
        <w:instrText>ADDIN CSL_CITATION {"citationItems":[{"id":"ITEM-1","itemData":{"DOI":"10.1111/epi.13268","ISSN":"15281167","abstract":"Psychogenic nonepileptic seizures (PNES) often have a debilitating effect on patients' lives. Patients, family members, and clinicians have yet to fully understand the mechanisms and treatment of this disorder. Although reviews exist about epileptic seizures, there have been no systematic reviews of studies focusing on the impact of PNES. This review considers research on factors associated with the health-related quality of life (HRQoL) of patients with PNES. Searches of Medline, PsycINFO, CINAHL, and Cochrane Library were conducted. Search terms identified studies that examined factors associated with HRQoL in PNES. Factors fell into three categories: (1) seizure and somatic factors, (2) psychological factors, and (3) coping strategies and family functioning. Fourteen articles were included. The majority of studies were cross-sectional and were of weak to moderate quality. Depressive symptoms were negatively associated with HRQoL. Other factors associated with poorer HRQoL included dissociation, somatic symptoms, escape-avoidance coping strategies, and family dysfunction. Variables such as seizure frequency and demographic factors were not significantly associated with HRQoL. Psychological and interpersonal factors, not seizure reduction, are important for the HRQoL of patients with PNES. The avoidance of emotions is proposed as a perpetuating factor in the difficulties associated with poorer HRQoL. A biopsychosocial approach has relevance for both the clinical and theoretical understanding of PNES. Larger scale research on psychological and relational factors is needed to inform therapeutic approaches to enhance HRQoL in patients with PNES.","author":[{"dropping-particle":"","family":"Jones","given":"Becky","non-dropping-particle":"","parse-names":false,"suffix":""},{"dropping-particle":"","family":"Reuber","given":"Markus","non-dropping-particle":"","parse-names":false,"suffix":""},{"dropping-particle":"","family":"Norman","given":"Paul","non-dropping-particle":"","parse-names":false,"suffix":""}],"container-title":"Epilepsia","id":"ITEM-1","issued":{"date-parts":[["2016"]]},"title":"Correlates of health-related quality of life in adults with psychogenic nonepileptic seizures: A systematic review","type":"article-journal"},"uris":["http://www.mendeley.com/documents/?uuid=b6f7b3a3-167c-4473-9227-dfc61150b491"]}],"mendeley":{"formattedCitation":"{39}","plainTextFormattedCitation":"{39}","previouslyFormattedCitation":"{38}"},"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{39}</w:t>
      </w:r>
      <w:r>
        <w:rPr>
          <w:rFonts w:ascii="Arial" w:hAnsi="Arial" w:cs="Arial"/>
        </w:rPr>
        <w:fldChar w:fldCharType="end"/>
      </w:r>
      <w:r>
        <w:rPr>
          <w:rFonts w:ascii="Arial" w:hAnsi="Arial" w:cs="Arial"/>
        </w:rPr>
        <w:t>.</w:t>
      </w:r>
    </w:p>
    <w:p w14:paraId="2B46870F" w14:textId="7731598C" w:rsidR="00750696" w:rsidRDefault="00113231" w:rsidP="00750696">
      <w:pPr>
        <w:spacing w:line="480" w:lineRule="auto"/>
        <w:ind w:firstLine="720"/>
        <w:jc w:val="both"/>
        <w:rPr>
          <w:rFonts w:ascii="Arial" w:hAnsi="Arial"/>
        </w:rPr>
      </w:pPr>
      <w:r w:rsidRPr="009B6435">
        <w:rPr>
          <w:rFonts w:ascii="Arial" w:hAnsi="Arial" w:cs="Arial"/>
        </w:rPr>
        <w:t xml:space="preserve">It is unclear if </w:t>
      </w:r>
      <w:r w:rsidR="006D1DD2">
        <w:rPr>
          <w:rFonts w:ascii="Arial" w:hAnsi="Arial" w:cs="Arial"/>
        </w:rPr>
        <w:t>comorbid</w:t>
      </w:r>
      <w:r w:rsidRPr="009B6435">
        <w:rPr>
          <w:rFonts w:ascii="Arial" w:hAnsi="Arial" w:cs="Arial"/>
        </w:rPr>
        <w:t xml:space="preserve"> symptoms are an </w:t>
      </w:r>
      <w:r w:rsidRPr="00797D3E">
        <w:rPr>
          <w:rFonts w:ascii="Arial" w:hAnsi="Arial" w:cs="Arial"/>
        </w:rPr>
        <w:t>intrinsic</w:t>
      </w:r>
      <w:r w:rsidRPr="009B6435">
        <w:rPr>
          <w:rFonts w:ascii="Arial" w:hAnsi="Arial" w:cs="Arial"/>
        </w:rPr>
        <w:t xml:space="preserve"> part of the disorder or just common </w:t>
      </w:r>
      <w:r w:rsidRPr="00797D3E">
        <w:rPr>
          <w:rFonts w:ascii="Arial" w:hAnsi="Arial" w:cs="Arial"/>
        </w:rPr>
        <w:t>comorbidities</w:t>
      </w:r>
      <w:r w:rsidRPr="009B6435">
        <w:rPr>
          <w:rFonts w:ascii="Arial" w:hAnsi="Arial" w:cs="Arial"/>
        </w:rPr>
        <w:t>. In the case of depression</w:t>
      </w:r>
      <w:r>
        <w:rPr>
          <w:rFonts w:ascii="Arial" w:hAnsi="Arial" w:cs="Arial"/>
        </w:rPr>
        <w:t xml:space="preserve"> and anxiety,</w:t>
      </w:r>
      <w:r w:rsidRPr="009B6435">
        <w:rPr>
          <w:rFonts w:ascii="Arial" w:hAnsi="Arial" w:cs="Arial"/>
        </w:rPr>
        <w:t xml:space="preserve"> </w:t>
      </w:r>
      <w:r>
        <w:rPr>
          <w:rFonts w:ascii="Arial" w:hAnsi="Arial" w:cs="Arial"/>
        </w:rPr>
        <w:t xml:space="preserve">they </w:t>
      </w:r>
      <w:r w:rsidRPr="009B6435">
        <w:rPr>
          <w:rFonts w:ascii="Arial" w:hAnsi="Arial" w:cs="Arial"/>
        </w:rPr>
        <w:t>can</w:t>
      </w:r>
      <w:r w:rsidR="00E64416">
        <w:rPr>
          <w:rFonts w:ascii="Arial" w:hAnsi="Arial" w:cs="Arial"/>
        </w:rPr>
        <w:t xml:space="preserve"> clearly</w:t>
      </w:r>
      <w:r w:rsidRPr="009B6435">
        <w:rPr>
          <w:rFonts w:ascii="Arial" w:hAnsi="Arial" w:cs="Arial"/>
        </w:rPr>
        <w:t xml:space="preserve"> be a secondary consequence</w:t>
      </w:r>
      <w:r>
        <w:rPr>
          <w:rFonts w:ascii="Arial" w:hAnsi="Arial" w:cs="Arial"/>
        </w:rPr>
        <w:t xml:space="preserve"> of having</w:t>
      </w:r>
      <w:r w:rsidRPr="009B6435">
        <w:rPr>
          <w:rFonts w:ascii="Arial" w:hAnsi="Arial" w:cs="Arial"/>
        </w:rPr>
        <w:t xml:space="preserve"> the disorder</w:t>
      </w:r>
      <w:r w:rsidR="001C5E6D">
        <w:rPr>
          <w:rFonts w:ascii="Arial" w:hAnsi="Arial" w:cs="Arial"/>
        </w:rPr>
        <w:t xml:space="preserve">, </w:t>
      </w:r>
      <w:r>
        <w:rPr>
          <w:rFonts w:ascii="Arial" w:hAnsi="Arial" w:cs="Arial"/>
        </w:rPr>
        <w:t>a predisposing vulnerability</w:t>
      </w:r>
      <w:r w:rsidR="001C5E6D">
        <w:rPr>
          <w:rFonts w:ascii="Arial" w:hAnsi="Arial" w:cs="Arial"/>
        </w:rPr>
        <w:t xml:space="preserve"> or both</w:t>
      </w:r>
      <w:r w:rsidR="00E64416">
        <w:rPr>
          <w:rFonts w:ascii="Arial" w:hAnsi="Arial" w:cs="Arial"/>
        </w:rPr>
        <w:t>. I</w:t>
      </w:r>
      <w:r w:rsidRPr="009B6435">
        <w:rPr>
          <w:rFonts w:ascii="Arial" w:hAnsi="Arial" w:cs="Arial"/>
        </w:rPr>
        <w:t xml:space="preserve">n the case of </w:t>
      </w:r>
      <w:r w:rsidR="0052625A">
        <w:rPr>
          <w:rFonts w:ascii="Arial" w:hAnsi="Arial" w:cs="Arial"/>
        </w:rPr>
        <w:t>post-traumatic stress disorder (</w:t>
      </w:r>
      <w:r w:rsidRPr="009B6435">
        <w:rPr>
          <w:rFonts w:ascii="Arial" w:hAnsi="Arial" w:cs="Arial"/>
        </w:rPr>
        <w:t>PTSD</w:t>
      </w:r>
      <w:r w:rsidR="0052625A">
        <w:rPr>
          <w:rFonts w:ascii="Arial" w:hAnsi="Arial" w:cs="Arial"/>
        </w:rPr>
        <w:t>)</w:t>
      </w:r>
      <w:r w:rsidRPr="009B6435">
        <w:rPr>
          <w:rFonts w:ascii="Arial" w:hAnsi="Arial" w:cs="Arial"/>
        </w:rPr>
        <w:t xml:space="preserve"> it </w:t>
      </w:r>
      <w:r w:rsidR="00EB4913">
        <w:rPr>
          <w:rFonts w:ascii="Arial" w:hAnsi="Arial" w:cs="Arial"/>
        </w:rPr>
        <w:t>potentially</w:t>
      </w:r>
      <w:r w:rsidRPr="009B6435">
        <w:rPr>
          <w:rFonts w:ascii="Arial" w:hAnsi="Arial" w:cs="Arial"/>
        </w:rPr>
        <w:t xml:space="preserve"> </w:t>
      </w:r>
      <w:r>
        <w:rPr>
          <w:rFonts w:ascii="Arial" w:hAnsi="Arial" w:cs="Arial"/>
        </w:rPr>
        <w:t>share</w:t>
      </w:r>
      <w:r w:rsidR="00EB4913">
        <w:rPr>
          <w:rFonts w:ascii="Arial" w:hAnsi="Arial" w:cs="Arial"/>
        </w:rPr>
        <w:t>s</w:t>
      </w:r>
      <w:r>
        <w:rPr>
          <w:rFonts w:ascii="Arial" w:hAnsi="Arial" w:cs="Arial"/>
        </w:rPr>
        <w:t xml:space="preserve"> common pathophysiological elements</w:t>
      </w:r>
      <w:r w:rsidR="00EB4913">
        <w:rPr>
          <w:rFonts w:ascii="Arial" w:hAnsi="Arial" w:cs="Arial"/>
        </w:rPr>
        <w:t xml:space="preserve"> with FND</w:t>
      </w:r>
      <w:r w:rsidRPr="009B6435">
        <w:rPr>
          <w:rFonts w:ascii="Arial" w:hAnsi="Arial" w:cs="Arial"/>
        </w:rPr>
        <w:t xml:space="preserve"> </w:t>
      </w:r>
      <w:r>
        <w:rPr>
          <w:rFonts w:ascii="Arial" w:hAnsi="Arial" w:cs="Arial"/>
        </w:rPr>
        <w:t xml:space="preserve">given that adverse life events are a </w:t>
      </w:r>
      <w:r w:rsidR="005E2F84">
        <w:rPr>
          <w:rFonts w:ascii="Arial" w:hAnsi="Arial" w:cs="Arial"/>
        </w:rPr>
        <w:t>shared</w:t>
      </w:r>
      <w:r>
        <w:rPr>
          <w:rFonts w:ascii="Arial" w:hAnsi="Arial" w:cs="Arial"/>
        </w:rPr>
        <w:t xml:space="preserve"> risk factor</w:t>
      </w:r>
      <w:r>
        <w:rPr>
          <w:rFonts w:ascii="Arial" w:hAnsi="Arial" w:cs="Arial"/>
        </w:rPr>
        <w:fldChar w:fldCharType="begin" w:fldLock="1"/>
      </w:r>
      <w:r w:rsidR="00F24E13">
        <w:rPr>
          <w:rFonts w:ascii="Arial" w:hAnsi="Arial" w:cs="Arial"/>
        </w:rPr>
        <w:instrText>ADDIN CSL_CITATION {"citationItems":[{"id":"ITEM-1","itemData":{"DOI":"10.1016/S2215-0366(18)30051-8","ISSN":"22150374","abstract":"Background: Stressful life events and maltreatment have traditionally been considered crucial in the development of conversion (functional neurological) disorder, but the evidence underpinning this association is not clear. We aimed to assess the association between stressors and functional neurological disorder. Methods: We systematically reviewed controlled studies reporting stressors occurring in childhood or adulthood, such as stressful life events and maltreatment (including sexual, physical abuse, and emotional neglect) and functional neurological disorder. We did a meta-analysis, with assessments of methodology, sources of bias, and sensitivity analyses. Findings: 34 case-control studies, with 1405 patients, were eligible. Studies were of moderate-to-low quality. The frequency of childhood and adulthood stressors was increased in cases compared with controls. Odds ratios (OR) were higher for emotional neglect in childhood (49% for cases vs 20% for controls; OR 5·6, 95% CI 2·4–13·1) compared with sexual abuse (24% vs 10%; 3·3, 2·2–4·8) or physical abuse (30% vs 12%; 3·9, 2·2–7·2). An association with stressful life events preceding onset (OR 2·8, 95% CI 1·4–6·0) was stronger in studies with better methods (interviews; 4·3, 1·4–13·2). Heterogeneity was significant between studies (I2 21·1–90·7%). 13 studies that specifically ascertained that the participants had not had either severe life events or any subtype of maltreatment all found a proportion of patients with functional neurological disorder reporting no stressor. Interpretation: Stressful life events and maltreatment are substantially more common in people with functional neurological disorder than in healthy controls and patient controls. Emotional neglect had a higher risk than traditionally emphasised sexual and physical abuse, but many cases report no stressors. This outcome supports changes to diagnostic criteria in DSM-5; stressors, although relevant to the cause in many patients, are not a core diagnostic feature. This result has implications for ICD-11. Funding: None.","author":[{"dropping-particle":"","family":"Ludwig","given":"Lea","non-dropping-particle":"","parse-names":false,"suffix":""},{"dropping-particle":"","family":"Pasman","given":"Joëlle A.","non-dropping-particle":"","parse-names":false,"suffix":""},{"dropping-particle":"","family":"Nicholson","given":"Timothy","non-dropping-particle":"","parse-names":false,"suffix":""},{"dropping-particle":"","family":"Aybek","given":"Selma","non-dropping-particle":"","parse-names":false,"suffix":""},{"dropping-particle":"","family":"David","given":"Anthony S.","non-dropping-particle":"","parse-names":false,"suffix":""},{"dropping-particle":"","family":"Tuck","given":"Sharon","non-dropping-particle":"","parse-names":false,"suffix":""},{"dropping-particle":"","family":"Kanaan","given":"Richard A.","non-dropping-particle":"","parse-names":false,"suffix":""},{"dropping-particle":"","family":"Roelofs","given":"Karin","non-dropping-particle":"","parse-names":false,"suffix":""},{"dropping-particle":"","family":"Carson","given":"Alan","non-dropping-particle":"","parse-names":false,"suffix":""},{"dropping-particle":"","family":"Stone","given":"Jon","non-dropping-particle":"","parse-names":false,"suffix":""}],"container-title":"The Lancet Psychiatry","id":"ITEM-1","issued":{"date-parts":[["2018"]]},"title":"Stressful life events and maltreatment in conversion (functional neurological) disorder: systematic review and meta-analysis of case-control studies","type":"article-journal"},"uris":["http://www.mendeley.com/documents/?uuid=d3439913-dc13-41b5-a639-eee898d95709"]}],"mendeley":{"formattedCitation":"{47}","plainTextFormattedCitation":"{47}","previouslyFormattedCitation":"{46}"},"properties":{"noteIndex":0},"schema":"https://github.com/citation-style-language/schema/raw/master/csl-citation.json"}</w:instrText>
      </w:r>
      <w:r>
        <w:rPr>
          <w:rFonts w:ascii="Arial" w:hAnsi="Arial" w:cs="Arial"/>
        </w:rPr>
        <w:fldChar w:fldCharType="separate"/>
      </w:r>
      <w:r w:rsidR="00F24E13" w:rsidRPr="00F24E13">
        <w:rPr>
          <w:rFonts w:ascii="Arial" w:hAnsi="Arial" w:cs="Arial"/>
          <w:noProof/>
        </w:rPr>
        <w:t>{47}</w:t>
      </w:r>
      <w:r>
        <w:rPr>
          <w:rFonts w:ascii="Arial" w:hAnsi="Arial" w:cs="Arial"/>
        </w:rPr>
        <w:fldChar w:fldCharType="end"/>
      </w:r>
      <w:r w:rsidR="00BA59A6">
        <w:rPr>
          <w:rFonts w:ascii="Arial" w:hAnsi="Arial" w:cs="Arial"/>
        </w:rPr>
        <w:t>.</w:t>
      </w:r>
      <w:r>
        <w:rPr>
          <w:rFonts w:ascii="Arial" w:hAnsi="Arial" w:cs="Arial"/>
        </w:rPr>
        <w:t xml:space="preserve"> </w:t>
      </w:r>
      <w:r w:rsidR="00BA59A6">
        <w:rPr>
          <w:rFonts w:ascii="Arial" w:hAnsi="Arial" w:cs="Arial"/>
        </w:rPr>
        <w:t>T</w:t>
      </w:r>
      <w:r>
        <w:rPr>
          <w:rFonts w:ascii="Arial" w:hAnsi="Arial" w:cs="Arial"/>
        </w:rPr>
        <w:t>he same could</w:t>
      </w:r>
      <w:r w:rsidR="00BA59A6">
        <w:rPr>
          <w:rFonts w:ascii="Arial" w:hAnsi="Arial" w:cs="Arial"/>
        </w:rPr>
        <w:t xml:space="preserve"> also</w:t>
      </w:r>
      <w:r>
        <w:rPr>
          <w:rFonts w:ascii="Arial" w:hAnsi="Arial" w:cs="Arial"/>
        </w:rPr>
        <w:t xml:space="preserve"> apply to many other symptoms experienced by FND patients</w:t>
      </w:r>
      <w:r w:rsidR="00BA59A6">
        <w:rPr>
          <w:rFonts w:ascii="Arial" w:hAnsi="Arial" w:cs="Arial"/>
        </w:rPr>
        <w:t>, such as dissociative symptoms,</w:t>
      </w:r>
      <w:r>
        <w:rPr>
          <w:rFonts w:ascii="Arial" w:hAnsi="Arial" w:cs="Arial"/>
        </w:rPr>
        <w:t xml:space="preserve"> due to multiple overlapping risk factors</w:t>
      </w:r>
      <w:r w:rsidR="00BA59A6">
        <w:rPr>
          <w:rFonts w:ascii="Arial" w:hAnsi="Arial" w:cs="Arial"/>
        </w:rPr>
        <w:t xml:space="preserve"> and reflect different disorder subtypes</w:t>
      </w:r>
      <w:r>
        <w:rPr>
          <w:rFonts w:ascii="Arial" w:hAnsi="Arial" w:cs="Arial"/>
        </w:rPr>
        <w:t xml:space="preserve">. </w:t>
      </w:r>
      <w:r w:rsidR="008144F7">
        <w:rPr>
          <w:rFonts w:ascii="Arial" w:hAnsi="Arial"/>
        </w:rPr>
        <w:t>It is therefore potentially</w:t>
      </w:r>
      <w:r w:rsidRPr="009B6435">
        <w:rPr>
          <w:rFonts w:ascii="Arial" w:hAnsi="Arial"/>
        </w:rPr>
        <w:t xml:space="preserve"> helpful to consider symptoms as </w:t>
      </w:r>
      <w:r w:rsidRPr="002C6012">
        <w:rPr>
          <w:rFonts w:ascii="Arial" w:hAnsi="Arial" w:cs="Arial"/>
        </w:rPr>
        <w:t>occurring</w:t>
      </w:r>
      <w:r w:rsidRPr="009B6435">
        <w:rPr>
          <w:rFonts w:ascii="Arial" w:hAnsi="Arial"/>
        </w:rPr>
        <w:t xml:space="preserve"> in ‘core</w:t>
      </w:r>
      <w:r>
        <w:rPr>
          <w:rFonts w:ascii="Arial" w:hAnsi="Arial"/>
        </w:rPr>
        <w:t xml:space="preserve"> FND</w:t>
      </w:r>
      <w:r w:rsidRPr="009B6435">
        <w:rPr>
          <w:rFonts w:ascii="Arial" w:hAnsi="Arial"/>
        </w:rPr>
        <w:t>’</w:t>
      </w:r>
      <w:r w:rsidRPr="00E66556">
        <w:rPr>
          <w:rFonts w:ascii="Arial" w:hAnsi="Arial" w:cs="Arial"/>
        </w:rPr>
        <w:t>, ‘</w:t>
      </w:r>
      <w:r w:rsidRPr="00E66556">
        <w:rPr>
          <w:rFonts w:ascii="Arial" w:hAnsi="Arial"/>
        </w:rPr>
        <w:t>other</w:t>
      </w:r>
      <w:r>
        <w:rPr>
          <w:rFonts w:ascii="Arial" w:hAnsi="Arial" w:cs="Arial"/>
        </w:rPr>
        <w:t xml:space="preserve"> </w:t>
      </w:r>
      <w:r w:rsidRPr="009B6435">
        <w:rPr>
          <w:rFonts w:ascii="Arial" w:hAnsi="Arial" w:cs="Arial"/>
        </w:rPr>
        <w:t>physical’</w:t>
      </w:r>
      <w:r w:rsidRPr="009B6435">
        <w:rPr>
          <w:rFonts w:ascii="Arial" w:hAnsi="Arial"/>
        </w:rPr>
        <w:t xml:space="preserve"> and ‘</w:t>
      </w:r>
      <w:r w:rsidRPr="009B6435">
        <w:rPr>
          <w:rFonts w:ascii="Arial" w:hAnsi="Arial" w:cs="Arial"/>
        </w:rPr>
        <w:t>psychological’</w:t>
      </w:r>
      <w:r w:rsidR="008F17AC">
        <w:rPr>
          <w:rFonts w:ascii="Arial" w:hAnsi="Arial"/>
        </w:rPr>
        <w:t xml:space="preserve"> domains; see Figure</w:t>
      </w:r>
      <w:r w:rsidR="00933BE2">
        <w:rPr>
          <w:rFonts w:ascii="Arial" w:hAnsi="Arial"/>
        </w:rPr>
        <w:t xml:space="preserve"> 1</w:t>
      </w:r>
      <w:r w:rsidRPr="009B6435">
        <w:rPr>
          <w:rFonts w:ascii="Arial" w:hAnsi="Arial"/>
        </w:rPr>
        <w:t xml:space="preserve">. </w:t>
      </w:r>
    </w:p>
    <w:p w14:paraId="5B803477" w14:textId="4BB8214A" w:rsidR="00113231" w:rsidRPr="009B6435" w:rsidRDefault="00113231" w:rsidP="00113231">
      <w:pPr>
        <w:spacing w:line="480" w:lineRule="auto"/>
        <w:jc w:val="both"/>
        <w:rPr>
          <w:rFonts w:ascii="Arial" w:hAnsi="Arial"/>
        </w:rPr>
      </w:pPr>
      <w:r w:rsidRPr="009B6435">
        <w:rPr>
          <w:rFonts w:ascii="Arial" w:hAnsi="Arial"/>
        </w:rPr>
        <w:t xml:space="preserve"> </w:t>
      </w:r>
    </w:p>
    <w:p w14:paraId="4C8C9319" w14:textId="3EB18D91" w:rsidR="00113231" w:rsidRPr="00AD3B45" w:rsidRDefault="00DF754D" w:rsidP="00113231">
      <w:pPr>
        <w:spacing w:line="480" w:lineRule="auto"/>
        <w:jc w:val="both"/>
        <w:rPr>
          <w:rFonts w:ascii="Arial" w:hAnsi="Arial"/>
          <w:b/>
        </w:rPr>
      </w:pPr>
      <w:r>
        <w:rPr>
          <w:rFonts w:ascii="Arial" w:hAnsi="Arial"/>
          <w:b/>
        </w:rPr>
        <w:t xml:space="preserve">&lt;&lt; Insert </w:t>
      </w:r>
      <w:r w:rsidR="008F17AC" w:rsidRPr="008F17AC">
        <w:rPr>
          <w:rFonts w:ascii="Arial" w:hAnsi="Arial"/>
          <w:b/>
        </w:rPr>
        <w:t>Figure</w:t>
      </w:r>
      <w:r w:rsidR="00933BE2">
        <w:rPr>
          <w:rFonts w:ascii="Arial" w:hAnsi="Arial"/>
          <w:b/>
        </w:rPr>
        <w:t xml:space="preserve"> 1</w:t>
      </w:r>
      <w:r>
        <w:rPr>
          <w:rFonts w:ascii="Arial" w:hAnsi="Arial"/>
          <w:b/>
        </w:rPr>
        <w:t xml:space="preserve"> &gt;&gt;</w:t>
      </w:r>
      <w:r w:rsidR="00113231" w:rsidRPr="008F17AC">
        <w:rPr>
          <w:rFonts w:ascii="Arial" w:hAnsi="Arial"/>
          <w:b/>
        </w:rPr>
        <w:t>:</w:t>
      </w:r>
      <w:r w:rsidR="00113231" w:rsidRPr="009B6435">
        <w:rPr>
          <w:rFonts w:ascii="Arial" w:hAnsi="Arial"/>
        </w:rPr>
        <w:t xml:space="preserve"> </w:t>
      </w:r>
      <w:r w:rsidR="00113231" w:rsidRPr="00AD3B45">
        <w:rPr>
          <w:rFonts w:ascii="Arial" w:hAnsi="Arial"/>
          <w:b/>
        </w:rPr>
        <w:t>S</w:t>
      </w:r>
      <w:r w:rsidR="004158D1" w:rsidRPr="00AD3B45">
        <w:rPr>
          <w:rFonts w:ascii="Arial" w:hAnsi="Arial"/>
          <w:b/>
        </w:rPr>
        <w:t>chematic diagram of s</w:t>
      </w:r>
      <w:r w:rsidR="00113231" w:rsidRPr="00AD3B45">
        <w:rPr>
          <w:rFonts w:ascii="Arial" w:hAnsi="Arial"/>
          <w:b/>
        </w:rPr>
        <w:t xml:space="preserve">ymptom domains in FND </w:t>
      </w:r>
    </w:p>
    <w:p w14:paraId="47F414AD" w14:textId="255ACBD6" w:rsidR="00113231" w:rsidRPr="000D1CF6" w:rsidRDefault="00113231" w:rsidP="00113231">
      <w:pPr>
        <w:rPr>
          <w:rFonts w:ascii="Arial" w:hAnsi="Arial"/>
        </w:rPr>
      </w:pPr>
    </w:p>
    <w:p w14:paraId="7458B5E5" w14:textId="77777777" w:rsidR="00E64416" w:rsidRDefault="00E64416" w:rsidP="00113231">
      <w:pPr>
        <w:spacing w:line="480" w:lineRule="auto"/>
        <w:jc w:val="both"/>
        <w:rPr>
          <w:rFonts w:ascii="Arial" w:hAnsi="Arial"/>
        </w:rPr>
      </w:pPr>
    </w:p>
    <w:p w14:paraId="79CA0E94" w14:textId="50D8ABCA" w:rsidR="00113231" w:rsidRPr="00587EA4" w:rsidRDefault="00113231" w:rsidP="00551CD4">
      <w:pPr>
        <w:spacing w:line="480" w:lineRule="auto"/>
        <w:jc w:val="both"/>
        <w:rPr>
          <w:rFonts w:ascii="Arial" w:hAnsi="Arial"/>
        </w:rPr>
      </w:pPr>
      <w:r w:rsidRPr="000D1CF6">
        <w:rPr>
          <w:rFonts w:ascii="Arial" w:hAnsi="Arial"/>
        </w:rPr>
        <w:t xml:space="preserve">Such a wide range of </w:t>
      </w:r>
      <w:r>
        <w:rPr>
          <w:rFonts w:ascii="Arial" w:hAnsi="Arial" w:cs="Arial"/>
        </w:rPr>
        <w:t xml:space="preserve">core </w:t>
      </w:r>
      <w:r w:rsidRPr="000D1CF6">
        <w:rPr>
          <w:rFonts w:ascii="Arial" w:hAnsi="Arial"/>
        </w:rPr>
        <w:t xml:space="preserve">symptoms and comorbidities clearly presents challenges in choosing which aspects of the disorder to focus on for </w:t>
      </w:r>
      <w:r w:rsidRPr="000D1CF6">
        <w:rPr>
          <w:rFonts w:ascii="Arial" w:hAnsi="Arial" w:cs="Arial"/>
        </w:rPr>
        <w:t>measuring</w:t>
      </w:r>
      <w:r w:rsidRPr="000D1CF6">
        <w:rPr>
          <w:rFonts w:ascii="Arial" w:hAnsi="Arial"/>
        </w:rPr>
        <w:t xml:space="preserve"> outcomes. It is also a reminder of the importance of consulting patients individually and as a group about which symptoms are of most importance to them when selecting the outcomes collected, including the choice for </w:t>
      </w:r>
      <w:r w:rsidRPr="000D1CF6">
        <w:rPr>
          <w:rFonts w:ascii="Arial" w:hAnsi="Arial" w:cs="Arial"/>
        </w:rPr>
        <w:t>a</w:t>
      </w:r>
      <w:r w:rsidRPr="000D1CF6">
        <w:rPr>
          <w:rFonts w:ascii="Arial" w:hAnsi="Arial"/>
        </w:rPr>
        <w:t xml:space="preserve"> primary outcome </w:t>
      </w:r>
      <w:r w:rsidRPr="000D1CF6">
        <w:rPr>
          <w:rFonts w:ascii="Arial" w:hAnsi="Arial" w:cs="Arial"/>
        </w:rPr>
        <w:t>measure</w:t>
      </w:r>
      <w:r w:rsidRPr="000D1CF6">
        <w:rPr>
          <w:rFonts w:ascii="Arial" w:hAnsi="Arial"/>
        </w:rPr>
        <w:t xml:space="preserve"> for trials. </w:t>
      </w:r>
      <w:r>
        <w:rPr>
          <w:rFonts w:ascii="Arial" w:hAnsi="Arial"/>
        </w:rPr>
        <w:t>M</w:t>
      </w:r>
      <w:r w:rsidRPr="00587EA4">
        <w:rPr>
          <w:rFonts w:ascii="Arial" w:hAnsi="Arial"/>
        </w:rPr>
        <w:t xml:space="preserve">easurement of the severity of </w:t>
      </w:r>
      <w:r w:rsidRPr="00587EA4">
        <w:rPr>
          <w:rFonts w:ascii="Arial" w:hAnsi="Arial" w:cs="Arial"/>
        </w:rPr>
        <w:t xml:space="preserve">the </w:t>
      </w:r>
      <w:r w:rsidRPr="00587EA4">
        <w:rPr>
          <w:rFonts w:ascii="Arial" w:hAnsi="Arial"/>
        </w:rPr>
        <w:t>core symptom on which the diagnosis is</w:t>
      </w:r>
      <w:r>
        <w:rPr>
          <w:rFonts w:ascii="Arial" w:hAnsi="Arial"/>
        </w:rPr>
        <w:t xml:space="preserve"> based </w:t>
      </w:r>
      <w:r w:rsidR="004158D1">
        <w:rPr>
          <w:rFonts w:ascii="Arial" w:hAnsi="Arial"/>
        </w:rPr>
        <w:t xml:space="preserve">therefore </w:t>
      </w:r>
      <w:r>
        <w:rPr>
          <w:rFonts w:ascii="Arial" w:hAnsi="Arial"/>
        </w:rPr>
        <w:t>may</w:t>
      </w:r>
      <w:r w:rsidRPr="00587EA4">
        <w:rPr>
          <w:rFonts w:ascii="Arial" w:hAnsi="Arial"/>
        </w:rPr>
        <w:t xml:space="preserve"> </w:t>
      </w:r>
      <w:r w:rsidRPr="00587EA4">
        <w:rPr>
          <w:rFonts w:ascii="Arial" w:hAnsi="Arial" w:cs="Arial"/>
        </w:rPr>
        <w:t>not</w:t>
      </w:r>
      <w:r>
        <w:rPr>
          <w:rFonts w:ascii="Arial" w:hAnsi="Arial" w:cs="Arial"/>
          <w:sz w:val="22"/>
        </w:rPr>
        <w:t xml:space="preserve"> </w:t>
      </w:r>
      <w:r w:rsidRPr="00CB7E38">
        <w:rPr>
          <w:rFonts w:ascii="Arial" w:hAnsi="Arial" w:cs="Arial"/>
        </w:rPr>
        <w:t>always</w:t>
      </w:r>
      <w:r w:rsidRPr="00587EA4">
        <w:rPr>
          <w:rFonts w:ascii="Arial" w:hAnsi="Arial"/>
        </w:rPr>
        <w:t xml:space="preserve"> best</w:t>
      </w:r>
      <w:r>
        <w:rPr>
          <w:rFonts w:ascii="Arial" w:hAnsi="Arial"/>
        </w:rPr>
        <w:t xml:space="preserve"> reflect </w:t>
      </w:r>
      <w:r w:rsidR="000447A7">
        <w:rPr>
          <w:rFonts w:ascii="Arial" w:hAnsi="Arial"/>
        </w:rPr>
        <w:t xml:space="preserve">the most important or meaningful </w:t>
      </w:r>
      <w:r>
        <w:rPr>
          <w:rFonts w:ascii="Arial" w:hAnsi="Arial"/>
        </w:rPr>
        <w:t xml:space="preserve">change </w:t>
      </w:r>
      <w:r w:rsidR="000447A7">
        <w:rPr>
          <w:rFonts w:ascii="Arial" w:hAnsi="Arial"/>
        </w:rPr>
        <w:t>for a patient</w:t>
      </w:r>
      <w:r>
        <w:rPr>
          <w:rFonts w:ascii="Arial" w:hAnsi="Arial"/>
        </w:rPr>
        <w:fldChar w:fldCharType="begin" w:fldLock="1"/>
      </w:r>
      <w:r w:rsidR="00F24E13">
        <w:rPr>
          <w:rFonts w:ascii="Arial" w:hAnsi="Arial"/>
        </w:rPr>
        <w:instrText>ADDIN CSL_CITATION {"citationItems":[{"id":"ITEM-1","itemData":{"DOI":"10.1111/j.1528-1167.2005.00280.x","ISSN":"00139580","abstract":"PURPOSE: To examine whether seizure remission is a comprehensive marker of outcome in psychogenic nonepileptic seizures (PNESs). METHODS: A postal questionnaire was returned by 147 patients with PNESs a mean of 4.2 years after diagnosis (mean age at follow-up, 38.1 years). The proportion of patients who were \"unproductive\" (receiving health-related state benefits) at follow-up was determined, with a comparison of markers of ongoing psychopathology (Global Severity Index, anxiety and depression scores of the Symptom Checklist 90, Somatization Index DSM of the SOMS-2) in three outcome groups: group 1, continuing seizures; group 2, seizures stopped but patients \"unproductive;\" and group 3, seizures stopped, patients \"productive.\" RESULTS: Of the patients, 71.4% continued to have seizures, and 28.6% had achieved seizure remission; 60.0% of patients with continuing seizures and 42.7% of patients in remission were \"unproductive\" (difference, NS). Ongoing psychopathology was related to the factor \"group membership\" with higher values in groups 2 and 3 than in group 1 (GSI, p &lt; 0.001; anxiety, p = 0.01; depression, p = 0.02; Somatization Index DSM, p &lt; 0.001). Across all patients and in the subgroup with PNESs and additional epilepsy, differences were significant only between groups 2 and 3, not between groups 1 and 2. In patients with PNESs alone, differences were significant only between groups 1 and 2. CONCLUSIONS: Seizure remission is not a comprehensive measure of good medical or psychosocial outcome in PNESs. Nearly half the patients who become seizure free remain unproductive. Many of these patients continue to report symptoms of psychopathology. Seizure control should not be the only focus of treatment in clinical practice or outcome observation in research studies.","author":[{"dropping-particle":"","family":"Reuber","given":"Markus","non-dropping-particle":"","parse-names":false,"suffix":""},{"dropping-particle":"","family":"Mitchell","given":"Alex J.","non-dropping-particle":"","parse-names":false,"suffix":""},{"dropping-particle":"","family":"Howlett","given":"Stephanie","non-dropping-particle":"","parse-names":false,"suffix":""},{"dropping-particle":"","family":"Elger","given":"Christian E.","non-dropping-particle":"","parse-names":false,"suffix":""}],"container-title":"Epilepsia","id":"ITEM-1","issued":{"date-parts":[["2005"]]},"title":"Measuring outcome in psychogenic nonepileptic seizures: How relevant is seizure remission?","type":"article-journal"},"uris":["http://www.mendeley.com/documents/?uuid=85bef937-d596-48b3-917b-f5518e40c671"]}],"mendeley":{"formattedCitation":"{48}","plainTextFormattedCitation":"{48}","previouslyFormattedCitation":"{47}"},"properties":{"noteIndex":0},"schema":"https://github.com/citation-style-language/schema/raw/master/csl-citation.json"}</w:instrText>
      </w:r>
      <w:r>
        <w:rPr>
          <w:rFonts w:ascii="Arial" w:hAnsi="Arial"/>
        </w:rPr>
        <w:fldChar w:fldCharType="separate"/>
      </w:r>
      <w:r w:rsidR="00F24E13" w:rsidRPr="00F24E13">
        <w:rPr>
          <w:rFonts w:ascii="Arial" w:hAnsi="Arial"/>
          <w:noProof/>
        </w:rPr>
        <w:t>{48}</w:t>
      </w:r>
      <w:r>
        <w:rPr>
          <w:rFonts w:ascii="Arial" w:hAnsi="Arial"/>
        </w:rPr>
        <w:fldChar w:fldCharType="end"/>
      </w:r>
      <w:r>
        <w:rPr>
          <w:rFonts w:ascii="Arial" w:hAnsi="Arial"/>
        </w:rPr>
        <w:t>.</w:t>
      </w:r>
    </w:p>
    <w:p w14:paraId="579E4CE2" w14:textId="77777777" w:rsidR="00113231" w:rsidRPr="00587EA4" w:rsidRDefault="00113231" w:rsidP="00113231">
      <w:pPr>
        <w:rPr>
          <w:rFonts w:ascii="Arial" w:hAnsi="Arial"/>
        </w:rPr>
      </w:pPr>
    </w:p>
    <w:p w14:paraId="6EF86386" w14:textId="77777777" w:rsidR="00113231" w:rsidRPr="00587EA4" w:rsidRDefault="00113231" w:rsidP="00113231">
      <w:pPr>
        <w:rPr>
          <w:rFonts w:ascii="Arial" w:hAnsi="Arial"/>
        </w:rPr>
      </w:pPr>
    </w:p>
    <w:p w14:paraId="4A0EFB53" w14:textId="77777777" w:rsidR="00113231" w:rsidRPr="00587EA4" w:rsidRDefault="00113231" w:rsidP="00113231">
      <w:pPr>
        <w:rPr>
          <w:rFonts w:ascii="Arial" w:hAnsi="Arial" w:cs="Arial"/>
          <w:i/>
        </w:rPr>
      </w:pPr>
      <w:r>
        <w:rPr>
          <w:rFonts w:ascii="Arial" w:hAnsi="Arial" w:cs="Arial"/>
          <w:i/>
        </w:rPr>
        <w:t>Variability of symptoms and signs</w:t>
      </w:r>
    </w:p>
    <w:p w14:paraId="3BCC6B81" w14:textId="77777777" w:rsidR="00113231" w:rsidRPr="00587EA4" w:rsidRDefault="00113231" w:rsidP="00113231">
      <w:pPr>
        <w:rPr>
          <w:rFonts w:ascii="Arial" w:hAnsi="Arial"/>
        </w:rPr>
      </w:pPr>
    </w:p>
    <w:p w14:paraId="353F74FF" w14:textId="3B4553F5" w:rsidR="00113231" w:rsidRPr="001B6571" w:rsidRDefault="00314B11" w:rsidP="00A54EA5">
      <w:pPr>
        <w:spacing w:line="480" w:lineRule="auto"/>
        <w:ind w:firstLine="720"/>
        <w:jc w:val="both"/>
        <w:rPr>
          <w:rFonts w:ascii="Arial" w:hAnsi="Arial"/>
        </w:rPr>
      </w:pPr>
      <w:r>
        <w:rPr>
          <w:rFonts w:ascii="Arial" w:hAnsi="Arial" w:cs="Arial"/>
        </w:rPr>
        <w:t>The</w:t>
      </w:r>
      <w:r w:rsidR="00C633CC">
        <w:rPr>
          <w:rFonts w:ascii="Arial" w:hAnsi="Arial" w:cs="Arial"/>
        </w:rPr>
        <w:t xml:space="preserve"> </w:t>
      </w:r>
      <w:r w:rsidR="00113231">
        <w:rPr>
          <w:rFonts w:ascii="Arial" w:hAnsi="Arial"/>
        </w:rPr>
        <w:t>clinical</w:t>
      </w:r>
      <w:r w:rsidR="00C633CC">
        <w:rPr>
          <w:rFonts w:ascii="Arial" w:hAnsi="Arial"/>
        </w:rPr>
        <w:t xml:space="preserve"> signs </w:t>
      </w:r>
      <w:r>
        <w:rPr>
          <w:rFonts w:ascii="Arial" w:hAnsi="Arial"/>
        </w:rPr>
        <w:t>des</w:t>
      </w:r>
      <w:r w:rsidR="006325B2">
        <w:rPr>
          <w:rFonts w:ascii="Arial" w:hAnsi="Arial"/>
        </w:rPr>
        <w:t xml:space="preserve">cribed above </w:t>
      </w:r>
      <w:r w:rsidR="008144F7">
        <w:rPr>
          <w:rFonts w:ascii="Arial" w:hAnsi="Arial"/>
        </w:rPr>
        <w:t>illustrate how clinical features can be highly variable in</w:t>
      </w:r>
      <w:r w:rsidR="006325B2">
        <w:rPr>
          <w:rFonts w:ascii="Arial" w:hAnsi="Arial"/>
        </w:rPr>
        <w:t xml:space="preserve"> FND</w:t>
      </w:r>
      <w:r w:rsidR="008144F7">
        <w:rPr>
          <w:rFonts w:ascii="Arial" w:hAnsi="Arial"/>
        </w:rPr>
        <w:t xml:space="preserve"> in that there can be an instantaneous improvement</w:t>
      </w:r>
      <w:r w:rsidR="006D1DD2">
        <w:rPr>
          <w:rFonts w:ascii="Arial" w:hAnsi="Arial"/>
        </w:rPr>
        <w:t>, albeit briefly,</w:t>
      </w:r>
      <w:r w:rsidR="00A54EA5">
        <w:rPr>
          <w:rFonts w:ascii="Arial" w:hAnsi="Arial"/>
        </w:rPr>
        <w:t xml:space="preserve"> with a clinical </w:t>
      </w:r>
      <w:proofErr w:type="spellStart"/>
      <w:r w:rsidR="00DF754D">
        <w:rPr>
          <w:rFonts w:ascii="Arial" w:hAnsi="Arial"/>
        </w:rPr>
        <w:t>maneuve</w:t>
      </w:r>
      <w:r w:rsidR="00A77916">
        <w:rPr>
          <w:rFonts w:ascii="Arial" w:hAnsi="Arial"/>
        </w:rPr>
        <w:t>r</w:t>
      </w:r>
      <w:proofErr w:type="spellEnd"/>
      <w:r w:rsidR="00A54EA5">
        <w:rPr>
          <w:rFonts w:ascii="Arial" w:hAnsi="Arial"/>
        </w:rPr>
        <w:t xml:space="preserve">. It is </w:t>
      </w:r>
      <w:r w:rsidR="000858CF">
        <w:rPr>
          <w:rFonts w:ascii="Arial" w:hAnsi="Arial"/>
        </w:rPr>
        <w:t xml:space="preserve">sometimes </w:t>
      </w:r>
      <w:r w:rsidR="00A54EA5">
        <w:rPr>
          <w:rFonts w:ascii="Arial" w:hAnsi="Arial"/>
        </w:rPr>
        <w:t>helpful to explain this</w:t>
      </w:r>
      <w:r w:rsidR="008144F7">
        <w:rPr>
          <w:rFonts w:ascii="Arial" w:hAnsi="Arial"/>
        </w:rPr>
        <w:t xml:space="preserve"> </w:t>
      </w:r>
      <w:r w:rsidR="000858CF">
        <w:rPr>
          <w:rFonts w:ascii="Arial" w:hAnsi="Arial"/>
        </w:rPr>
        <w:t xml:space="preserve">observed feature </w:t>
      </w:r>
      <w:r w:rsidR="00A54EA5">
        <w:rPr>
          <w:rFonts w:ascii="Arial" w:hAnsi="Arial"/>
        </w:rPr>
        <w:t>to patients</w:t>
      </w:r>
      <w:r w:rsidR="000858CF">
        <w:rPr>
          <w:rFonts w:ascii="Arial" w:hAnsi="Arial"/>
        </w:rPr>
        <w:t>, demonstrated on the FND exam</w:t>
      </w:r>
      <w:r w:rsidR="00A54EA5">
        <w:rPr>
          <w:rFonts w:ascii="Arial" w:hAnsi="Arial"/>
        </w:rPr>
        <w:t xml:space="preserve">. </w:t>
      </w:r>
      <w:r w:rsidR="00113231" w:rsidRPr="00587EA4">
        <w:rPr>
          <w:rFonts w:ascii="Arial" w:hAnsi="Arial"/>
        </w:rPr>
        <w:t>Contemporary theories for why these signs occur in FND propose that the</w:t>
      </w:r>
      <w:r w:rsidR="00113231">
        <w:rPr>
          <w:rFonts w:ascii="Arial" w:hAnsi="Arial"/>
        </w:rPr>
        <w:t xml:space="preserve">y arise from an abnormality in the way that the brain predicts motor and sensory activity, mediated in large part by </w:t>
      </w:r>
      <w:r w:rsidR="00113231" w:rsidRPr="00587EA4">
        <w:rPr>
          <w:rFonts w:ascii="Arial" w:hAnsi="Arial"/>
        </w:rPr>
        <w:t>dysfunctional attention to bodily symptoms</w:t>
      </w:r>
      <w:r w:rsidR="001C5E6D">
        <w:rPr>
          <w:rFonts w:ascii="Arial" w:hAnsi="Arial"/>
        </w:rPr>
        <w:t>.</w:t>
      </w:r>
      <w:r w:rsidR="00892AC1">
        <w:rPr>
          <w:rFonts w:ascii="Arial" w:hAnsi="Arial"/>
        </w:rPr>
        <w:fldChar w:fldCharType="begin" w:fldLock="1"/>
      </w:r>
      <w:r w:rsidR="00F24E13">
        <w:rPr>
          <w:rFonts w:ascii="Arial" w:hAnsi="Arial"/>
        </w:rPr>
        <w:instrText>ADDIN CSL_CITATION {"citationItems":[{"id":"ITEM-1","itemData":{"DOI":"10.1093/brain/aws129","ISBN":"0006-8950\\r1460-2156","ISSN":"14602156","PMID":"22641838","abstract":"This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nature.","author":[{"dropping-particle":"","family":"Edwards","given":"Mark J.","non-dropping-particle":"","parse-names":false,"suffix":""},{"dropping-particle":"","family":"Adams","given":"Rick A.","non-dropping-particle":"","parse-names":false,"suffix":""},{"dropping-particle":"","family":"Brown","given":"Harriet","non-dropping-particle":"","parse-names":false,"suffix":""},{"dropping-particle":"","family":"Pareés","given":"Isabel","non-dropping-particle":"","parse-names":false,"suffix":""},{"dropping-particle":"","family":"Friston","given":"Karl J.","non-dropping-particle":"","parse-names":false,"suffix":""}],"container-title":"Brain","id":"ITEM-1","issue":"11","issued":{"date-parts":[["2012"]]},"page":"3495-3512","title":"A Bayesian account of 'hysteria'","type":"article-journal","volume":"135"},"uris":["http://www.mendeley.com/documents/?uuid=045c34f8-9d38-460f-a363-e5332e12f407"]}],"mendeley":{"formattedCitation":"{49}","plainTextFormattedCitation":"{49}","previouslyFormattedCitation":"{48}"},"properties":{"noteIndex":0},"schema":"https://github.com/citation-style-language/schema/raw/master/csl-citation.json"}</w:instrText>
      </w:r>
      <w:r w:rsidR="00892AC1">
        <w:rPr>
          <w:rFonts w:ascii="Arial" w:hAnsi="Arial"/>
        </w:rPr>
        <w:fldChar w:fldCharType="separate"/>
      </w:r>
      <w:r w:rsidR="00F24E13" w:rsidRPr="00F24E13">
        <w:rPr>
          <w:rFonts w:ascii="Arial" w:hAnsi="Arial"/>
          <w:noProof/>
        </w:rPr>
        <w:t>{49}</w:t>
      </w:r>
      <w:r w:rsidR="00892AC1">
        <w:rPr>
          <w:rFonts w:ascii="Arial" w:hAnsi="Arial"/>
        </w:rPr>
        <w:fldChar w:fldCharType="end"/>
      </w:r>
      <w:r w:rsidR="00113231" w:rsidRPr="001B6571">
        <w:rPr>
          <w:rFonts w:ascii="Arial" w:hAnsi="Arial"/>
        </w:rPr>
        <w:fldChar w:fldCharType="begin" w:fldLock="1"/>
      </w:r>
      <w:r w:rsidR="00F24E13">
        <w:rPr>
          <w:rFonts w:ascii="Arial" w:hAnsi="Arial"/>
        </w:rPr>
        <w:instrText>ADDIN CSL_CITATION {"citationItems":[{"id":"ITEM-1","itemData":{"DOI":"10.1016/j.neubiorev.2017.01.015","ISSN":"01497634","PMID":"28108416","abstract":"The relationship between the conscious experience of physical symptoms and indicators of objective physiological dysfunction is highly variable and depends on characteristics of the person, the context and their interaction. This relationship often breaks down entirely in the case of \"medically unexplained\" or functional somatic symptoms, violating the basic assumption in medicine that physical symptoms have physiological causes. In this paper, we describe the prevailing theoretical approach to this problem and review the evidence pertaining to it. We then use the framework of predictive coding to propose a new and more comprehensive model of the body-symptom relationship that integrates existing concepts within a unifying framework that addresses many of the shortcomings of current theory. We describe the conditions under which a close correspondence between the experience of symptoms and objective physiology might be expected, and when they are likely to diverge. We conclude by exploring some theoretical and clinical implications of this new account.","author":[{"dropping-particle":"","family":"Bergh","given":"Omer","non-dropping-particle":"Van den","parse-names":false,"suffix":""},{"dropping-particle":"","family":"Witthöft","given":"Michael","non-dropping-particle":"","parse-names":false,"suffix":""},{"dropping-particle":"","family":"Petersen","given":"Sibylle","non-dropping-particle":"","parse-names":false,"suffix":""},{"dropping-particle":"","family":"Brown","given":"Richard J.","non-dropping-particle":"","parse-names":false,"suffix":""}],"container-title":"Neuroscience &amp; Biobehavioral Reviews","id":"ITEM-1","issue":"Pt A","issued":{"date-parts":[["2017","3","17"]]},"page":"185-203","title":"Symptoms and the body: Taking the inferential leap","type":"article-journal","volume":"74"},"uris":["http://www.mendeley.com/documents/?uuid=3b1841b5-fed4-3ad8-8b97-529050e0fc7a"]}],"mendeley":{"formattedCitation":"{50}","plainTextFormattedCitation":"{50}","previouslyFormattedCitation":"{49}"},"properties":{"noteIndex":0},"schema":"https://github.com/citation-style-language/schema/raw/master/csl-citation.json"}</w:instrText>
      </w:r>
      <w:r w:rsidR="00113231" w:rsidRPr="001B6571">
        <w:rPr>
          <w:rFonts w:ascii="Arial" w:hAnsi="Arial"/>
        </w:rPr>
        <w:fldChar w:fldCharType="separate"/>
      </w:r>
      <w:r w:rsidR="00F24E13" w:rsidRPr="00F24E13">
        <w:rPr>
          <w:rFonts w:ascii="Arial" w:hAnsi="Arial"/>
          <w:noProof/>
        </w:rPr>
        <w:t>{50}</w:t>
      </w:r>
      <w:r w:rsidR="00113231" w:rsidRPr="001B6571">
        <w:rPr>
          <w:rFonts w:ascii="Arial" w:hAnsi="Arial"/>
        </w:rPr>
        <w:fldChar w:fldCharType="end"/>
      </w:r>
      <w:r w:rsidR="00AB4706">
        <w:rPr>
          <w:rFonts w:ascii="Arial" w:hAnsi="Arial"/>
        </w:rPr>
        <w:t>.</w:t>
      </w:r>
      <w:r w:rsidR="00113231" w:rsidRPr="001B6571">
        <w:rPr>
          <w:rFonts w:ascii="Arial" w:hAnsi="Arial"/>
        </w:rPr>
        <w:t xml:space="preserve"> </w:t>
      </w:r>
      <w:r w:rsidR="00892AC1">
        <w:rPr>
          <w:rFonts w:ascii="Arial" w:hAnsi="Arial"/>
        </w:rPr>
        <w:t>Such models also integrate</w:t>
      </w:r>
      <w:r w:rsidR="00113231">
        <w:rPr>
          <w:rFonts w:ascii="Arial" w:hAnsi="Arial"/>
        </w:rPr>
        <w:t xml:space="preserve"> dysfunction of </w:t>
      </w:r>
      <w:proofErr w:type="spellStart"/>
      <w:r w:rsidR="00113231">
        <w:rPr>
          <w:rFonts w:ascii="Arial" w:hAnsi="Arial"/>
        </w:rPr>
        <w:t>interoception</w:t>
      </w:r>
      <w:proofErr w:type="spellEnd"/>
      <w:r w:rsidR="00113231">
        <w:rPr>
          <w:rFonts w:ascii="Arial" w:hAnsi="Arial"/>
        </w:rPr>
        <w:t>, self-agency</w:t>
      </w:r>
      <w:r w:rsidR="00892AC1">
        <w:rPr>
          <w:rFonts w:ascii="Arial" w:hAnsi="Arial"/>
        </w:rPr>
        <w:t xml:space="preserve"> and motor control</w:t>
      </w:r>
      <w:r w:rsidR="00113231">
        <w:rPr>
          <w:rFonts w:ascii="Arial" w:hAnsi="Arial"/>
        </w:rPr>
        <w:t xml:space="preserve"> into their mechanistic account of FND</w:t>
      </w:r>
      <w:r w:rsidR="00113231">
        <w:rPr>
          <w:rFonts w:ascii="Arial" w:hAnsi="Arial"/>
        </w:rPr>
        <w:fldChar w:fldCharType="begin" w:fldLock="1"/>
      </w:r>
      <w:r w:rsidR="00F24E13">
        <w:rPr>
          <w:rFonts w:ascii="Arial" w:hAnsi="Arial"/>
        </w:rPr>
        <w:instrText>ADDIN CSL_CITATION {"citationItems":[{"id":"ITEM-1","itemData":{"DOI":"10.1016/j.nbd.2019.02.013","ISSN":"1095953X","abstract":"Functional movement disorders (FMDs), known over time as “hysteria”, “dissociative”, “conversion”, “somatoform”, “non-organic” and “psychogenic” disorders, are characterized by having a voluntary quality, being modifiable by attention and distraction but perceived by the patient as involuntary. Although a high prevalence of depression and anxiety is observed in these patients, a definitive role of psychiatric disorders in FMDs has not been proven, and many patients do not endorse such manifestations. Stressful events, social influences and minor trauma may precede the onset of FMDs, but their pathogenic mechanisms are unclear. Patients with FMDs have several abnormalities in their neurobiology including strengthened connectivity between the limbic and motor networks. Additionally, there is altered top-down regulation of motor activities and increased activation of areas implicated in self-awareness, self-monitoring, and active motor inhibition such as the cingulate and insular cortex. Decreased activation of the supplementary motor area (SMA) and pre-SMA, implicated in motor control and preparation, is another finding. The sense of agency defined as the feeling of controlling external events through one's own action also seems to be impaired in individuals with FMDs. Correlating with this is a loss of intentional binding, a subjective time compression between intentional action and its sensory consequences. Organic and functional dystonia may be difficult to differentiate since they share diverse neurophysiological features including decreased cortical inhibition, and similar local field potentials in the globus pallidus and thalamus; although increased cortical plasticity is observed only in patients with organic dystonia. Advances in the pathogenesis and pathophysiology of FMDs may be helpful to understand the nature of these disorders and plan further treatment strategies.","author":[{"dropping-particle":"","family":"Baizabal-Carvallo","given":"José Fidel","non-dropping-particle":"","parse-names":false,"suffix":""},{"dropping-particle":"","family":"Hallett","given":"Mark","non-dropping-particle":"","parse-names":false,"suffix":""},{"dropping-particle":"","family":"Jankovic","given":"Joseph","non-dropping-particle":"","parse-names":false,"suffix":""}],"container-title":"Neurobiology of Disease","id":"ITEM-1","issued":{"date-parts":[["2019"]]},"title":"Pathogenesis and pathophysiology of functional (psychogenic) movement disorders","type":"article"},"uris":["http://www.mendeley.com/documents/?uuid=ca83246d-a62b-418f-a46a-eec9661f44c3"]}],"mendeley":{"formattedCitation":"{51}","plainTextFormattedCitation":"{51}","previouslyFormattedCitation":"{50}"},"properties":{"noteIndex":0},"schema":"https://github.com/citation-style-language/schema/raw/master/csl-citation.json"}</w:instrText>
      </w:r>
      <w:r w:rsidR="00113231">
        <w:rPr>
          <w:rFonts w:ascii="Arial" w:hAnsi="Arial"/>
        </w:rPr>
        <w:fldChar w:fldCharType="separate"/>
      </w:r>
      <w:r w:rsidR="00F24E13" w:rsidRPr="00F24E13">
        <w:rPr>
          <w:rFonts w:ascii="Arial" w:hAnsi="Arial"/>
          <w:noProof/>
        </w:rPr>
        <w:t>{51}</w:t>
      </w:r>
      <w:r w:rsidR="00113231">
        <w:rPr>
          <w:rFonts w:ascii="Arial" w:hAnsi="Arial"/>
        </w:rPr>
        <w:fldChar w:fldCharType="end"/>
      </w:r>
      <w:r w:rsidR="00113231">
        <w:rPr>
          <w:rFonts w:ascii="Arial" w:hAnsi="Arial"/>
        </w:rPr>
        <w:fldChar w:fldCharType="begin" w:fldLock="1"/>
      </w:r>
      <w:r w:rsidR="00763A14">
        <w:rPr>
          <w:rFonts w:ascii="Arial" w:hAnsi="Arial"/>
        </w:rPr>
        <w:instrText>ADDIN CSL_CITATION {"citationItems":[{"id":"ITEM-1","itemData":{"DOI":"10.1176/appi.neuropsych.14090217","ISSN":"1545-7222 (Electronic)","PMID":"26900733","abstract":"Much is known regarding the physical characteristics, comorbid symptoms, psychological makeup, and neuropsychological performance of patients with functional neurological disorders (FNDs)/conversion disorders. Gross neurostructural deficits do not account for the patients' deficits or symptoms. This review describes the literature focusing on potential neurobiological (i.e. functional neuroanatomic/neurophysiological) findings among individuals with FND, examining neuroimaging and neurophysiological studies of patients with the various forms of motor and sensory FND. In summary, neural networks and neurophysiologic mechanisms may mediate \"functional\" symptoms, reflecting neurobiological and intrapsychic processes.","author":[{"dropping-particle":"","family":"Voon","given":"Valerie","non-dropping-particle":"","parse-names":false,"suffix":""},{"dropping-particle":"","family":"Cavanna","given":"Andrea E","non-dropping-particle":"","parse-names":false,"suffix":""},{"dropping-particle":"","family":"Coburn","given":"Kerry","non-dropping-particle":"","parse-names":false,"suffix":""},{"dropping-particle":"","family":"Sampson","given":"Shirlene","non-dropping-particle":"","parse-names":false,"suffix":""},{"dropping-particle":"","family":"Reeve","given":"Alya","non-dropping-particle":"","parse-names":false,"suffix":""},{"dropping-particle":"","family":"LaFrance","given":"W Curt Jr","non-dropping-particle":"","parse-names":false,"suffix":""}],"container-title":"The Journal of neuropsychiatry and clinical neurosciences","id":"ITEM-1","issued":{"date-parts":[["2016"]]},"title":"Functional Neuroanatomy and Neurophysiology of Functional Neurological Disorders  (Conversion Disorder).","type":"article-journal"},"uris":["http://www.mendeley.com/documents/?uuid=a6761696-245b-431f-ab4c-02aa3c5a959c"]}],"mendeley":{"formattedCitation":"{2}","plainTextFormattedCitation":"{2}","previouslyFormattedCitation":"{2}"},"properties":{"noteIndex":0},"schema":"https://github.com/citation-style-language/schema/raw/master/csl-citation.json"}</w:instrText>
      </w:r>
      <w:r w:rsidR="00113231">
        <w:rPr>
          <w:rFonts w:ascii="Arial" w:hAnsi="Arial"/>
        </w:rPr>
        <w:fldChar w:fldCharType="separate"/>
      </w:r>
      <w:r w:rsidR="0028131B" w:rsidRPr="0028131B">
        <w:rPr>
          <w:rFonts w:ascii="Arial" w:hAnsi="Arial"/>
          <w:noProof/>
        </w:rPr>
        <w:t>{2}</w:t>
      </w:r>
      <w:r w:rsidR="00113231">
        <w:rPr>
          <w:rFonts w:ascii="Arial" w:hAnsi="Arial"/>
        </w:rPr>
        <w:fldChar w:fldCharType="end"/>
      </w:r>
      <w:r w:rsidR="006D1DD2">
        <w:rPr>
          <w:rFonts w:ascii="Arial" w:hAnsi="Arial"/>
        </w:rPr>
        <w:t>,</w:t>
      </w:r>
      <w:r w:rsidR="000447A7">
        <w:rPr>
          <w:rFonts w:ascii="Arial" w:hAnsi="Arial"/>
        </w:rPr>
        <w:t xml:space="preserve"> as </w:t>
      </w:r>
      <w:r w:rsidR="00892AC1">
        <w:rPr>
          <w:rFonts w:ascii="Arial" w:hAnsi="Arial"/>
        </w:rPr>
        <w:t xml:space="preserve">well as </w:t>
      </w:r>
      <w:r w:rsidR="00113231">
        <w:rPr>
          <w:rFonts w:ascii="Arial" w:hAnsi="Arial"/>
        </w:rPr>
        <w:t>aberrant stress response</w:t>
      </w:r>
      <w:r w:rsidR="00113231">
        <w:rPr>
          <w:rFonts w:ascii="Arial" w:hAnsi="Arial"/>
        </w:rPr>
        <w:fldChar w:fldCharType="begin" w:fldLock="1"/>
      </w:r>
      <w:r w:rsidR="00F24E13">
        <w:rPr>
          <w:rFonts w:ascii="Arial" w:hAnsi="Arial"/>
        </w:rPr>
        <w:instrText>ADDIN CSL_CITATION {"citationItems":[{"id":"ITEM-1","itemData":{"DOI":"10.1136/jnnp-2018-318297","ISSN":"1468330X","abstract":"At the interface between mind and body, psychiatry and neurology, functional neurological disorder (FND) remains poorly understood. Formerly dominant stress-related aetiological models have been increasingly challenged, in part due to cases without any history of past or recent trauma. In this perspective article, we review current evidence for such models, and how research into the role of traumatic stress in other disorders and the neurobiology of the stress response can inform our mechanistic understanding of FND. First, we discuss the association between stress and the onset or exacerbation of a variety of physical and mental health problems. Second, we review the role of hypothalamic-pituitary-adrenal axis dysfunction in the neurobiology of ill-health, alongside evidence for similar mechanisms in FND. Third, we advocate a stress-diathesis model, in which biological susceptibility interacts with early life adversity, where FND can be precipitated by traumatic events later in life and maintained by psychological responses. We hypothesise that greater biological susceptibility to FND is associated with less severe remote and recent stress, and that FND precipitated by more severe stress is associated with lower biological vulnerability. This would explain clinical experience of variable exposure to historical and recent traumatic stress among people with FND and requires empirical investigation. A testable, evidence-based stress-diathesis model can inform nuanced understanding of how biological and psychological factors interact at the individual level, with potential to inform personalised treatment pathways. Much-needed research to establish the aetiology of FND will enhance clinical care and communication, facilitate effective treatment and inform prevention strategies.","author":[{"dropping-particle":"","family":"Keynejad","given":"Roxanne C.","non-dropping-particle":"","parse-names":false,"suffix":""},{"dropping-particle":"","family":"Frodl","given":"Thomas","non-dropping-particle":"","parse-names":false,"suffix":""},{"dropping-particle":"","family":"Kanaan","given":"Richard","non-dropping-particle":"","parse-names":false,"suffix":""},{"dropping-particle":"","family":"Pariante","given":"Carmine","non-dropping-particle":"","parse-names":false,"suffix":""},{"dropping-particle":"","family":"Reuber","given":"Markus","non-dropping-particle":"","parse-names":false,"suffix":""},{"dropping-particle":"","family":"Nicholson","given":"Timothy R.","non-dropping-particle":"","parse-names":false,"suffix":""}],"container-title":"Journal of Neurology, Neurosurgery and Psychiatry","id":"ITEM-1","issued":{"date-parts":[["2018"]]},"title":"Stress and functional neurological disorders: Mechanistic insights","type":"article-newspaper"},"uris":["http://www.mendeley.com/documents/?uuid=424ebb22-3aac-4573-ad06-137873e2db31"]}],"mendeley":{"formattedCitation":"{52}","plainTextFormattedCitation":"{52}","previouslyFormattedCitation":"{51}"},"properties":{"noteIndex":0},"schema":"https://github.com/citation-style-language/schema/raw/master/csl-citation.json"}</w:instrText>
      </w:r>
      <w:r w:rsidR="00113231">
        <w:rPr>
          <w:rFonts w:ascii="Arial" w:hAnsi="Arial"/>
        </w:rPr>
        <w:fldChar w:fldCharType="separate"/>
      </w:r>
      <w:r w:rsidR="00F24E13" w:rsidRPr="00F24E13">
        <w:rPr>
          <w:rFonts w:ascii="Arial" w:hAnsi="Arial"/>
          <w:noProof/>
        </w:rPr>
        <w:t>{52}</w:t>
      </w:r>
      <w:r w:rsidR="00113231">
        <w:rPr>
          <w:rFonts w:ascii="Arial" w:hAnsi="Arial"/>
        </w:rPr>
        <w:fldChar w:fldCharType="end"/>
      </w:r>
      <w:r w:rsidR="00892AC1">
        <w:rPr>
          <w:rFonts w:ascii="Arial" w:hAnsi="Arial"/>
        </w:rPr>
        <w:t xml:space="preserve"> and emotion processing</w:t>
      </w:r>
      <w:r w:rsidR="00892AC1">
        <w:rPr>
          <w:rFonts w:ascii="Arial" w:hAnsi="Arial"/>
        </w:rPr>
        <w:fldChar w:fldCharType="begin" w:fldLock="1"/>
      </w:r>
      <w:r w:rsidR="00F24E13">
        <w:rPr>
          <w:rFonts w:ascii="Arial" w:hAnsi="Arial"/>
        </w:rPr>
        <w:instrText>ADDIN CSL_CITATION {"citationItems":[{"id":"ITEM-1","itemData":{"DOI":"10.1136/jnnp-2018-319201","ISSN":"1468330X","abstract":"Functional neurological disorder (FND) is a common and highly disabling disorder, but its aetiology remains enigmatic. Conceptually, there has been reduced emphasis on the role of psychosocial stressors in recent years, with a corresponding increase in neurobiological explanations. However, a wealth of evidence supports the role of psychosocial adversities (eg, stressful life events, interpersonal difficulties) as important risk factors for FND. Therefore, there is a need to integrate psychosocial (environmental) and neurobiological factors (eg, sensorimotor and cognitive functions) in contemporary models of FND. Altered emotional processing may represent a key link between psychosocial risk factors and core features of FND. Here, we summarise and critically appraise experimental studies of emotional processing in FND using behavioural, psychophysiological and/or neuroimaging measures in conjunction with affective processing tasks. We propose that enhanced preconscious (implicit) processing of emotionally salient stimuli, associated with elevated limbic reactivity (eg, amygdala), may contribute to the initiation of basic affective/defensive responses via hypothalamic and brainstem pathways (eg, periaqueductal grey). In parallel, affect-related brain areas may simultaneously exert a disruptive influence on neurocircuits involved in voluntary motor control, awareness and emotional regulation (eg, sensorimotor, salience, central executive networks). Limbic-paralimbic disturbances in patients with FND may represent one of several neurobiological adaptations linked to early, severe and/or prolonged psychosocial adversity. This perspective integrates neurobiological and psychosocial factors in FND and proposes a research agenda, highlighting the need for replication of existing findings, multimodal sampling across emotional response domains and further examination of emotional influences on sensorimotor and cognitive functions in FND populations.","author":[{"dropping-particle":"","family":"Pick","given":"Susannah","non-dropping-particle":"","parse-names":false,"suffix":""},{"dropping-particle":"","family":"Goldstein","given":"Laura H.","non-dropping-particle":"","parse-names":false,"suffix":""},{"dropping-particle":"","family":"Perez","given":"David L.","non-dropping-particle":"","parse-names":false,"suffix":""},{"dropping-particle":"","family":"Nicholson","given":"Timothy R.","non-dropping-particle":"","parse-names":false,"suffix":""}],"container-title":"Journal of Neurology, Neurosurgery and Psychiatry","id":"ITEM-1","issued":{"date-parts":[["2018"]]},"title":"Emotional processing in functional neurological disorder: A review, biopsychosocial model and research agenda","type":"article-newspaper"},"uris":["http://www.mendeley.com/documents/?uuid=0f43e9db-11ba-468d-b077-c05b98eee5fd"]}],"mendeley":{"formattedCitation":"{53}","plainTextFormattedCitation":"{53}","previouslyFormattedCitation":"{52}"},"properties":{"noteIndex":0},"schema":"https://github.com/citation-style-language/schema/raw/master/csl-citation.json"}</w:instrText>
      </w:r>
      <w:r w:rsidR="00892AC1">
        <w:rPr>
          <w:rFonts w:ascii="Arial" w:hAnsi="Arial"/>
        </w:rPr>
        <w:fldChar w:fldCharType="separate"/>
      </w:r>
      <w:r w:rsidR="00F24E13" w:rsidRPr="00F24E13">
        <w:rPr>
          <w:rFonts w:ascii="Arial" w:hAnsi="Arial"/>
          <w:noProof/>
        </w:rPr>
        <w:t>{53}</w:t>
      </w:r>
      <w:r w:rsidR="00892AC1">
        <w:rPr>
          <w:rFonts w:ascii="Arial" w:hAnsi="Arial"/>
        </w:rPr>
        <w:fldChar w:fldCharType="end"/>
      </w:r>
      <w:r w:rsidR="00892AC1">
        <w:rPr>
          <w:rFonts w:ascii="Arial" w:hAnsi="Arial"/>
        </w:rPr>
        <w:t>.</w:t>
      </w:r>
      <w:r w:rsidR="00113231" w:rsidRPr="001B6571">
        <w:rPr>
          <w:rFonts w:ascii="Arial" w:hAnsi="Arial"/>
        </w:rPr>
        <w:t xml:space="preserve"> </w:t>
      </w:r>
    </w:p>
    <w:p w14:paraId="3D269CAE" w14:textId="7D9C9B9E" w:rsidR="00413059" w:rsidRDefault="003C11B9" w:rsidP="003C11B9">
      <w:pPr>
        <w:spacing w:line="480" w:lineRule="auto"/>
        <w:ind w:firstLine="720"/>
        <w:jc w:val="both"/>
        <w:rPr>
          <w:rFonts w:ascii="Arial" w:hAnsi="Arial"/>
        </w:rPr>
      </w:pPr>
      <w:r w:rsidRPr="003C11B9">
        <w:rPr>
          <w:rFonts w:ascii="Arial" w:hAnsi="Arial"/>
        </w:rPr>
        <w:t>A</w:t>
      </w:r>
      <w:r w:rsidR="008A6F1C" w:rsidRPr="003C11B9">
        <w:rPr>
          <w:rFonts w:ascii="Arial" w:hAnsi="Arial"/>
        </w:rPr>
        <w:t>s such</w:t>
      </w:r>
      <w:r w:rsidR="00C73910">
        <w:rPr>
          <w:rFonts w:ascii="Arial" w:hAnsi="Arial"/>
        </w:rPr>
        <w:t>,</w:t>
      </w:r>
      <w:r w:rsidR="008A6F1C" w:rsidRPr="003C11B9">
        <w:rPr>
          <w:rFonts w:ascii="Arial" w:hAnsi="Arial"/>
        </w:rPr>
        <w:t xml:space="preserve"> </w:t>
      </w:r>
      <w:r w:rsidRPr="003C11B9">
        <w:rPr>
          <w:rFonts w:ascii="Arial" w:hAnsi="Arial"/>
        </w:rPr>
        <w:t xml:space="preserve">high levels of symptom variability are </w:t>
      </w:r>
      <w:r w:rsidR="008A6F1C" w:rsidRPr="003C11B9">
        <w:rPr>
          <w:rFonts w:ascii="Arial" w:hAnsi="Arial"/>
        </w:rPr>
        <w:t>a hallmark of the disorder</w:t>
      </w:r>
      <w:r w:rsidR="00C73910">
        <w:rPr>
          <w:rFonts w:ascii="Arial" w:hAnsi="Arial"/>
        </w:rPr>
        <w:t>--</w:t>
      </w:r>
      <w:r w:rsidR="008A6F1C" w:rsidRPr="003C11B9">
        <w:rPr>
          <w:rFonts w:ascii="Arial" w:hAnsi="Arial"/>
        </w:rPr>
        <w:t xml:space="preserve"> this feature </w:t>
      </w:r>
      <w:r w:rsidR="00733F38" w:rsidRPr="003C11B9">
        <w:rPr>
          <w:rFonts w:ascii="Arial" w:hAnsi="Arial"/>
        </w:rPr>
        <w:t xml:space="preserve">has important implications for outcome measurement. </w:t>
      </w:r>
      <w:r w:rsidR="00113231">
        <w:rPr>
          <w:rFonts w:ascii="Arial" w:hAnsi="Arial" w:cs="Arial"/>
        </w:rPr>
        <w:t>For example</w:t>
      </w:r>
      <w:r w:rsidR="000447A7">
        <w:rPr>
          <w:rFonts w:ascii="Arial" w:hAnsi="Arial" w:cs="Arial"/>
        </w:rPr>
        <w:t>,</w:t>
      </w:r>
      <w:r w:rsidR="00113231">
        <w:rPr>
          <w:rFonts w:ascii="Arial" w:hAnsi="Arial" w:cs="Arial"/>
        </w:rPr>
        <w:t xml:space="preserve"> </w:t>
      </w:r>
      <w:r w:rsidR="000858CF">
        <w:rPr>
          <w:rFonts w:ascii="Arial" w:hAnsi="Arial" w:cs="Arial"/>
        </w:rPr>
        <w:t xml:space="preserve">when is the </w:t>
      </w:r>
      <w:r w:rsidR="00DF754D">
        <w:rPr>
          <w:rFonts w:ascii="Arial" w:hAnsi="Arial" w:cs="Arial"/>
        </w:rPr>
        <w:t>ideal</w:t>
      </w:r>
      <w:r w:rsidR="000858CF">
        <w:rPr>
          <w:rFonts w:ascii="Arial" w:hAnsi="Arial" w:cs="Arial"/>
        </w:rPr>
        <w:t xml:space="preserve"> time to measure function? That is</w:t>
      </w:r>
      <w:r w:rsidR="000447A7">
        <w:rPr>
          <w:rFonts w:ascii="Arial" w:hAnsi="Arial" w:cs="Arial"/>
        </w:rPr>
        <w:t>,</w:t>
      </w:r>
      <w:r w:rsidR="00113231">
        <w:rPr>
          <w:rFonts w:ascii="Arial" w:hAnsi="Arial" w:cs="Arial"/>
        </w:rPr>
        <w:t xml:space="preserve"> should leg weakness</w:t>
      </w:r>
      <w:r w:rsidR="000447A7">
        <w:rPr>
          <w:rFonts w:ascii="Arial" w:hAnsi="Arial" w:cs="Arial"/>
        </w:rPr>
        <w:t xml:space="preserve"> or tremor</w:t>
      </w:r>
      <w:r w:rsidR="00113231">
        <w:rPr>
          <w:rFonts w:ascii="Arial" w:hAnsi="Arial" w:cs="Arial"/>
        </w:rPr>
        <w:t xml:space="preserve"> be measured during voluntary movemen</w:t>
      </w:r>
      <w:r w:rsidR="000447A7">
        <w:rPr>
          <w:rFonts w:ascii="Arial" w:hAnsi="Arial" w:cs="Arial"/>
        </w:rPr>
        <w:t xml:space="preserve">t, when it could be highly impaired, </w:t>
      </w:r>
      <w:r w:rsidR="00113231">
        <w:rPr>
          <w:rFonts w:ascii="Arial" w:hAnsi="Arial" w:cs="Arial"/>
        </w:rPr>
        <w:t>or when distracted</w:t>
      </w:r>
      <w:r w:rsidR="000447A7">
        <w:rPr>
          <w:rFonts w:ascii="Arial" w:hAnsi="Arial" w:cs="Arial"/>
        </w:rPr>
        <w:t>, when it could potentially normali</w:t>
      </w:r>
      <w:r w:rsidR="002A126D">
        <w:rPr>
          <w:rFonts w:ascii="Arial" w:hAnsi="Arial" w:cs="Arial"/>
        </w:rPr>
        <w:t>z</w:t>
      </w:r>
      <w:r w:rsidR="000447A7">
        <w:rPr>
          <w:rFonts w:ascii="Arial" w:hAnsi="Arial" w:cs="Arial"/>
        </w:rPr>
        <w:t>e</w:t>
      </w:r>
      <w:r w:rsidR="00113231">
        <w:rPr>
          <w:rFonts w:ascii="Arial" w:hAnsi="Arial" w:cs="Arial"/>
        </w:rPr>
        <w:t>?</w:t>
      </w:r>
      <w:r w:rsidR="00113231" w:rsidRPr="001B6571">
        <w:rPr>
          <w:rFonts w:ascii="Arial" w:hAnsi="Arial" w:cs="Arial"/>
        </w:rPr>
        <w:t xml:space="preserve"> </w:t>
      </w:r>
      <w:r w:rsidR="00113231">
        <w:rPr>
          <w:rFonts w:ascii="Arial" w:hAnsi="Arial" w:cs="Arial"/>
        </w:rPr>
        <w:t xml:space="preserve">A related issue is the </w:t>
      </w:r>
      <w:r w:rsidR="00113231" w:rsidRPr="001B6571">
        <w:rPr>
          <w:rFonts w:ascii="Arial" w:hAnsi="Arial" w:cs="Arial"/>
        </w:rPr>
        <w:t xml:space="preserve">variability </w:t>
      </w:r>
      <w:r w:rsidR="00113231" w:rsidRPr="001B6571">
        <w:rPr>
          <w:rFonts w:ascii="Arial" w:hAnsi="Arial"/>
        </w:rPr>
        <w:t xml:space="preserve">of symptoms </w:t>
      </w:r>
      <w:r w:rsidR="00113231">
        <w:rPr>
          <w:rFonts w:ascii="Arial" w:hAnsi="Arial" w:cs="Arial"/>
        </w:rPr>
        <w:t xml:space="preserve">from one </w:t>
      </w:r>
      <w:r w:rsidR="00113231" w:rsidRPr="001B6571">
        <w:rPr>
          <w:rFonts w:ascii="Arial" w:hAnsi="Arial"/>
        </w:rPr>
        <w:t xml:space="preserve">day to </w:t>
      </w:r>
      <w:r w:rsidR="00113231">
        <w:rPr>
          <w:rFonts w:ascii="Arial" w:hAnsi="Arial" w:cs="Arial"/>
        </w:rPr>
        <w:t>the next, and sometimes over shorter time periods,</w:t>
      </w:r>
      <w:r w:rsidR="00113231" w:rsidRPr="001B6571">
        <w:rPr>
          <w:rFonts w:ascii="Arial" w:hAnsi="Arial"/>
        </w:rPr>
        <w:t xml:space="preserve"> in people with FND</w:t>
      </w:r>
      <w:r w:rsidR="00113231" w:rsidRPr="00B24269">
        <w:rPr>
          <w:rFonts w:ascii="Arial" w:hAnsi="Arial" w:cs="Arial"/>
        </w:rPr>
        <w:t>,</w:t>
      </w:r>
      <w:r w:rsidR="00113231" w:rsidRPr="001B6571">
        <w:rPr>
          <w:rFonts w:ascii="Arial" w:hAnsi="Arial"/>
        </w:rPr>
        <w:t xml:space="preserve"> which has implications for timeframes for assessing symptoms. “In the moment” questions may not</w:t>
      </w:r>
      <w:r w:rsidR="00B266A9">
        <w:rPr>
          <w:rFonts w:ascii="Arial" w:hAnsi="Arial"/>
        </w:rPr>
        <w:t>,</w:t>
      </w:r>
      <w:r w:rsidR="00113231" w:rsidRPr="001B6571">
        <w:rPr>
          <w:rFonts w:ascii="Arial" w:hAnsi="Arial"/>
        </w:rPr>
        <w:t xml:space="preserve"> </w:t>
      </w:r>
      <w:r w:rsidR="000447A7">
        <w:rPr>
          <w:rFonts w:ascii="Arial" w:hAnsi="Arial"/>
        </w:rPr>
        <w:t>therefore</w:t>
      </w:r>
      <w:r w:rsidR="00B266A9">
        <w:rPr>
          <w:rFonts w:ascii="Arial" w:hAnsi="Arial"/>
        </w:rPr>
        <w:t>,</w:t>
      </w:r>
      <w:r w:rsidR="000447A7">
        <w:rPr>
          <w:rFonts w:ascii="Arial" w:hAnsi="Arial"/>
        </w:rPr>
        <w:t xml:space="preserve"> </w:t>
      </w:r>
      <w:r w:rsidR="00113231" w:rsidRPr="001B6571">
        <w:rPr>
          <w:rFonts w:ascii="Arial" w:hAnsi="Arial"/>
        </w:rPr>
        <w:t xml:space="preserve">accurately reflect </w:t>
      </w:r>
      <w:r w:rsidR="000447A7">
        <w:rPr>
          <w:rFonts w:ascii="Arial" w:hAnsi="Arial"/>
        </w:rPr>
        <w:t xml:space="preserve">the </w:t>
      </w:r>
      <w:r w:rsidR="00C35DF2">
        <w:rPr>
          <w:rFonts w:ascii="Arial" w:hAnsi="Arial"/>
        </w:rPr>
        <w:t xml:space="preserve">general </w:t>
      </w:r>
      <w:r w:rsidR="00AB4706">
        <w:rPr>
          <w:rFonts w:ascii="Arial" w:hAnsi="Arial"/>
        </w:rPr>
        <w:t xml:space="preserve">(overall) </w:t>
      </w:r>
      <w:r w:rsidR="00C35DF2">
        <w:rPr>
          <w:rFonts w:ascii="Arial" w:hAnsi="Arial"/>
        </w:rPr>
        <w:t>state of the disorder</w:t>
      </w:r>
      <w:r w:rsidR="00113231" w:rsidRPr="001B6571">
        <w:rPr>
          <w:rFonts w:ascii="Arial" w:hAnsi="Arial"/>
        </w:rPr>
        <w:t xml:space="preserve">, as might assessments covering short time periods such as the last few hours or days. </w:t>
      </w:r>
    </w:p>
    <w:p w14:paraId="5F8ACA98" w14:textId="5C740EE9" w:rsidR="00413059" w:rsidRDefault="00113231" w:rsidP="00B85900">
      <w:pPr>
        <w:spacing w:line="480" w:lineRule="auto"/>
        <w:ind w:firstLine="720"/>
        <w:jc w:val="both"/>
        <w:rPr>
          <w:rFonts w:ascii="Arial" w:hAnsi="Arial"/>
        </w:rPr>
      </w:pPr>
      <w:r w:rsidRPr="001B6571">
        <w:rPr>
          <w:rFonts w:ascii="Arial" w:hAnsi="Arial"/>
        </w:rPr>
        <w:t>It is</w:t>
      </w:r>
      <w:r w:rsidR="00C35DF2">
        <w:rPr>
          <w:rFonts w:ascii="Arial" w:hAnsi="Arial"/>
        </w:rPr>
        <w:t xml:space="preserve"> therefore</w:t>
      </w:r>
      <w:r w:rsidRPr="001B6571">
        <w:rPr>
          <w:rFonts w:ascii="Arial" w:hAnsi="Arial"/>
        </w:rPr>
        <w:t xml:space="preserve"> more likely that </w:t>
      </w:r>
      <w:r w:rsidRPr="001B6571">
        <w:rPr>
          <w:rFonts w:ascii="Arial" w:hAnsi="Arial" w:cs="Arial"/>
        </w:rPr>
        <w:t>assessment</w:t>
      </w:r>
      <w:r>
        <w:rPr>
          <w:rFonts w:ascii="Arial" w:hAnsi="Arial" w:cs="Arial"/>
        </w:rPr>
        <w:t xml:space="preserve">s based </w:t>
      </w:r>
      <w:r w:rsidRPr="001B6571">
        <w:rPr>
          <w:rFonts w:ascii="Arial" w:hAnsi="Arial"/>
        </w:rPr>
        <w:t>over</w:t>
      </w:r>
      <w:r w:rsidRPr="001B6571">
        <w:rPr>
          <w:rFonts w:ascii="Arial" w:hAnsi="Arial" w:cs="Arial"/>
        </w:rPr>
        <w:t xml:space="preserve"> </w:t>
      </w:r>
      <w:r w:rsidR="00C35DF2">
        <w:rPr>
          <w:rFonts w:ascii="Arial" w:hAnsi="Arial" w:cs="Arial"/>
        </w:rPr>
        <w:t>the last</w:t>
      </w:r>
      <w:r>
        <w:rPr>
          <w:rFonts w:ascii="Arial" w:hAnsi="Arial" w:cs="Arial"/>
        </w:rPr>
        <w:t xml:space="preserve"> week</w:t>
      </w:r>
      <w:r w:rsidRPr="001B6571">
        <w:rPr>
          <w:rFonts w:ascii="Arial" w:hAnsi="Arial"/>
        </w:rPr>
        <w:t xml:space="preserve"> </w:t>
      </w:r>
      <w:r w:rsidR="000858CF">
        <w:rPr>
          <w:rFonts w:ascii="Arial" w:hAnsi="Arial"/>
        </w:rPr>
        <w:t>(</w:t>
      </w:r>
      <w:r w:rsidRPr="001B6571">
        <w:rPr>
          <w:rFonts w:ascii="Arial" w:hAnsi="Arial"/>
        </w:rPr>
        <w:t xml:space="preserve">or </w:t>
      </w:r>
      <w:r w:rsidR="00DF754D">
        <w:rPr>
          <w:rFonts w:ascii="Arial" w:hAnsi="Arial"/>
        </w:rPr>
        <w:t xml:space="preserve">longer </w:t>
      </w:r>
      <w:r w:rsidR="000858CF">
        <w:rPr>
          <w:rFonts w:ascii="Arial" w:hAnsi="Arial"/>
        </w:rPr>
        <w:t>unit of time)</w:t>
      </w:r>
      <w:r w:rsidRPr="001B6571">
        <w:rPr>
          <w:rFonts w:ascii="Arial" w:hAnsi="Arial"/>
        </w:rPr>
        <w:t xml:space="preserve"> might give a more </w:t>
      </w:r>
      <w:r w:rsidRPr="001B6571">
        <w:rPr>
          <w:rFonts w:ascii="Arial" w:hAnsi="Arial" w:cs="Arial"/>
          <w:szCs w:val="22"/>
        </w:rPr>
        <w:t xml:space="preserve">stable and </w:t>
      </w:r>
      <w:r w:rsidRPr="001B6571">
        <w:rPr>
          <w:rFonts w:ascii="Arial" w:hAnsi="Arial"/>
        </w:rPr>
        <w:t xml:space="preserve">reliable </w:t>
      </w:r>
      <w:r>
        <w:rPr>
          <w:rFonts w:ascii="Arial" w:hAnsi="Arial" w:cs="Arial"/>
        </w:rPr>
        <w:t>index</w:t>
      </w:r>
      <w:r w:rsidRPr="001B6571">
        <w:rPr>
          <w:rFonts w:ascii="Arial" w:hAnsi="Arial"/>
        </w:rPr>
        <w:t xml:space="preserve"> of change</w:t>
      </w:r>
      <w:r w:rsidR="00413059">
        <w:rPr>
          <w:rFonts w:ascii="Arial" w:hAnsi="Arial"/>
        </w:rPr>
        <w:t xml:space="preserve"> despite ther</w:t>
      </w:r>
      <w:r w:rsidR="001C5E6D">
        <w:rPr>
          <w:rFonts w:ascii="Arial" w:hAnsi="Arial"/>
        </w:rPr>
        <w:t>e</w:t>
      </w:r>
      <w:r w:rsidR="00413059">
        <w:rPr>
          <w:rFonts w:ascii="Arial" w:hAnsi="Arial"/>
        </w:rPr>
        <w:t xml:space="preserve"> being potential trade-offs such as </w:t>
      </w:r>
      <w:r w:rsidR="00AD3B45">
        <w:rPr>
          <w:rFonts w:ascii="Arial" w:hAnsi="Arial"/>
        </w:rPr>
        <w:t>increased recall bias</w:t>
      </w:r>
      <w:r w:rsidRPr="001B6571">
        <w:rPr>
          <w:rFonts w:ascii="Arial" w:hAnsi="Arial"/>
        </w:rPr>
        <w:t>.</w:t>
      </w:r>
      <w:r w:rsidR="00413059">
        <w:rPr>
          <w:rFonts w:ascii="Arial" w:hAnsi="Arial"/>
        </w:rPr>
        <w:t xml:space="preserve"> </w:t>
      </w:r>
      <w:r w:rsidRPr="001B6571">
        <w:rPr>
          <w:rFonts w:ascii="Arial" w:hAnsi="Arial"/>
        </w:rPr>
        <w:t>This</w:t>
      </w:r>
      <w:r w:rsidR="00413059">
        <w:rPr>
          <w:rFonts w:ascii="Arial" w:hAnsi="Arial"/>
        </w:rPr>
        <w:t xml:space="preserve"> temporal variability</w:t>
      </w:r>
      <w:r w:rsidRPr="001B6571">
        <w:rPr>
          <w:rFonts w:ascii="Arial" w:hAnsi="Arial"/>
        </w:rPr>
        <w:t xml:space="preserve"> is a </w:t>
      </w:r>
      <w:bookmarkStart w:id="2" w:name="_Hlk18587601"/>
      <w:r w:rsidRPr="001B6571">
        <w:rPr>
          <w:rFonts w:ascii="Arial" w:hAnsi="Arial"/>
        </w:rPr>
        <w:t>particularly</w:t>
      </w:r>
      <w:r w:rsidR="00A54EA5">
        <w:rPr>
          <w:rFonts w:ascii="Arial" w:hAnsi="Arial"/>
        </w:rPr>
        <w:t xml:space="preserve"> important issue for objective</w:t>
      </w:r>
      <w:r w:rsidRPr="001B6571">
        <w:rPr>
          <w:rFonts w:ascii="Arial" w:hAnsi="Arial"/>
        </w:rPr>
        <w:t xml:space="preserve"> </w:t>
      </w:r>
      <w:r>
        <w:rPr>
          <w:rFonts w:ascii="Arial" w:hAnsi="Arial"/>
        </w:rPr>
        <w:t xml:space="preserve">snapshot </w:t>
      </w:r>
      <w:r w:rsidRPr="001B6571">
        <w:rPr>
          <w:rFonts w:ascii="Arial" w:hAnsi="Arial"/>
        </w:rPr>
        <w:t>tests of motor symptoms, such as power</w:t>
      </w:r>
      <w:r>
        <w:rPr>
          <w:rFonts w:ascii="Arial" w:hAnsi="Arial" w:cs="Arial"/>
        </w:rPr>
        <w:t xml:space="preserve"> (e.g. </w:t>
      </w:r>
      <w:r w:rsidRPr="00B24269">
        <w:rPr>
          <w:rFonts w:ascii="Arial" w:hAnsi="Arial" w:cs="Arial"/>
        </w:rPr>
        <w:t>hand dynamometer</w:t>
      </w:r>
      <w:r>
        <w:rPr>
          <w:rFonts w:ascii="Arial" w:hAnsi="Arial" w:cs="Arial"/>
        </w:rPr>
        <w:t>)</w:t>
      </w:r>
      <w:r w:rsidRPr="001B6571">
        <w:rPr>
          <w:rFonts w:ascii="Arial" w:hAnsi="Arial" w:cs="Arial"/>
        </w:rPr>
        <w:t>,</w:t>
      </w:r>
      <w:r w:rsidRPr="001B6571">
        <w:rPr>
          <w:rFonts w:ascii="Arial" w:hAnsi="Arial"/>
        </w:rPr>
        <w:t xml:space="preserve"> gait </w:t>
      </w:r>
      <w:r>
        <w:rPr>
          <w:rFonts w:ascii="Arial" w:hAnsi="Arial" w:cs="Arial"/>
        </w:rPr>
        <w:t xml:space="preserve">speed (e.g. 10-meter walk test), </w:t>
      </w:r>
      <w:r w:rsidR="005361A4">
        <w:rPr>
          <w:rFonts w:ascii="Arial" w:hAnsi="Arial" w:cs="Arial"/>
        </w:rPr>
        <w:t xml:space="preserve">and </w:t>
      </w:r>
      <w:r>
        <w:rPr>
          <w:rFonts w:ascii="Arial" w:hAnsi="Arial" w:cs="Arial"/>
        </w:rPr>
        <w:t>endu</w:t>
      </w:r>
      <w:r w:rsidR="00A54EA5">
        <w:rPr>
          <w:rFonts w:ascii="Arial" w:hAnsi="Arial" w:cs="Arial"/>
        </w:rPr>
        <w:t xml:space="preserve">rance </w:t>
      </w:r>
      <w:r w:rsidR="00A54EA5">
        <w:rPr>
          <w:rFonts w:ascii="Arial" w:hAnsi="Arial" w:cs="Arial"/>
        </w:rPr>
        <w:lastRenderedPageBreak/>
        <w:t>(e.g. 2-minute walk test)</w:t>
      </w:r>
      <w:r w:rsidR="00D274D6">
        <w:rPr>
          <w:rFonts w:ascii="Arial" w:hAnsi="Arial" w:cs="Arial"/>
        </w:rPr>
        <w:t>.</w:t>
      </w:r>
      <w:r>
        <w:rPr>
          <w:rFonts w:ascii="Arial" w:hAnsi="Arial" w:cs="Arial"/>
        </w:rPr>
        <w:t xml:space="preserve"> </w:t>
      </w:r>
      <w:bookmarkEnd w:id="2"/>
      <w:r w:rsidR="00A54EA5">
        <w:rPr>
          <w:rFonts w:ascii="Arial" w:hAnsi="Arial"/>
        </w:rPr>
        <w:t>It is also noted that</w:t>
      </w:r>
      <w:r w:rsidR="008E4BC1">
        <w:rPr>
          <w:rFonts w:ascii="Arial" w:hAnsi="Arial"/>
        </w:rPr>
        <w:t xml:space="preserve"> attention</w:t>
      </w:r>
      <w:r w:rsidR="008E4BC1">
        <w:rPr>
          <w:rFonts w:ascii="Arial" w:hAnsi="Arial"/>
        </w:rPr>
        <w:fldChar w:fldCharType="begin" w:fldLock="1"/>
      </w:r>
      <w:r w:rsidR="00F24E13">
        <w:rPr>
          <w:rFonts w:ascii="Arial" w:hAnsi="Arial"/>
        </w:rPr>
        <w:instrText>ADDIN CSL_CITATION {"citationItems":[{"id":"ITEM-1","itemData":{"DOI":"awr292 [pii]\r10.1093/brain/awr292","ISBN":"1460-2156 (Electronic)\r0006-8950 (Linking)","PMID":"22075068","abstract":"We assessed the duration and severity of tremor in a real-life ambulatory setting in patients with psychogenic and organic tremor by actigraphy, and compared this with self-reports of tremor over the same period. Ten participants with psychogenic tremor and eight with organic tremor, diagnosed using standardized clinical criteria, were studied. In an explicit design, participants were asked to wear a small actigraph capable of continuously monitoring tremor duration and intensity for 5 days while keeping a diary of their estimates of tremor duration during the same period. Eight patients with psychogenic tremor and all patients with organic tremor completed the study. Psychogenic patients reported significantly more of the waking day with tremor compared with patients with organic tremor (83.5 +/- 14.0% of the waking day versus 58.0 +/- 19.0% of the waking day; P &lt; 0.01), despite having almost no tremor recorded by actigraphy (3.9 +/- 3.7% of the waking day versus 24.8 +/- 7.7% of the waking day; P = 0.001). Patients with organic tremor reported 28% more tremor than actigraphy recordings, whereas patients with psychogenic tremor reported 65% more tremor than actigraphy. These data demonstrate that patients with psychogenic tremor fail to accurately perceive that they do not have tremor most of the day. The explicit study design we employed does not support the hypothesis that these patients are malingering. We discuss how these data can be understood within models of active inference in the brain to provide a neurobiological framework for understanding the mechanism of psychogenic tremor.","author":[{"dropping-particle":"","family":"Parees","given":"I","non-dropping-particle":"","parse-names":false,"suffix":""},{"dropping-particle":"","family":"Saifee","given":"T A","non-dropping-particle":"","parse-names":false,"suffix":""},{"dropping-particle":"","family":"Kassavetis","given":"P","non-dropping-particle":"","parse-names":false,"suffix":""},{"dropping-particle":"","family":"Kojovic","given":"M","non-dropping-particle":"","parse-names":false,"suffix":""},{"dropping-particle":"","family":"Rubio-Agusti","given":"I","non-dropping-particle":"","parse-names":false,"suffix":""},{"dropping-particle":"","family":"Rothwell","given":"J C","non-dropping-particle":"","parse-names":false,"suffix":""},{"dropping-particle":"","family":"Bhatia","given":"K P","non-dropping-particle":"","parse-names":false,"suffix":""},{"dropping-particle":"","family":"Edwards","given":"M J","non-dropping-particle":"","parse-names":false,"suffix":""}],"container-title":"Brain","edition":"2011/11/15","id":"ITEM-1","issue":"Pt 1","issued":{"date-parts":[["2011"]]},"language":"eng","note":"Parees, Isabel\nSaifee, Tabish A\nKassavetis, Panagiotis\nKojovic, Maja\nRubio-Agusti, Ignacio\nRothwell, John C\nBhatia, Kailash P\nEdwards, Mark J\nResearch Support, Non-U.S. Gov't\nEngland\nBrain : a journal of neurology\nBrain. 2012 Jan;135(Pt 1):117-23. Epub 2011 Nov 10.","page":"117-123","title":"Believing is perceiving: mismatch between self-report and actigraphy in psychogenic tremor","type":"article-journal","volume":"135"},"uris":["http://www.mendeley.com/documents/?uuid=aa1e20ea-4cea-452f-a0e0-42b2bcdcc3fe"]}],"mendeley":{"formattedCitation":"{54}","plainTextFormattedCitation":"{54}","previouslyFormattedCitation":"{53}"},"properties":{"noteIndex":0},"schema":"https://github.com/citation-style-language/schema/raw/master/csl-citation.json"}</w:instrText>
      </w:r>
      <w:r w:rsidR="008E4BC1">
        <w:rPr>
          <w:rFonts w:ascii="Arial" w:hAnsi="Arial"/>
        </w:rPr>
        <w:fldChar w:fldCharType="separate"/>
      </w:r>
      <w:r w:rsidR="00F24E13" w:rsidRPr="00F24E13">
        <w:rPr>
          <w:rFonts w:ascii="Arial" w:hAnsi="Arial"/>
          <w:noProof/>
        </w:rPr>
        <w:t>{54}</w:t>
      </w:r>
      <w:r w:rsidR="008E4BC1">
        <w:rPr>
          <w:rFonts w:ascii="Arial" w:hAnsi="Arial"/>
        </w:rPr>
        <w:fldChar w:fldCharType="end"/>
      </w:r>
      <w:r w:rsidR="00D443DC">
        <w:rPr>
          <w:rFonts w:ascii="Arial" w:hAnsi="Arial"/>
        </w:rPr>
        <w:t>,</w:t>
      </w:r>
      <w:r w:rsidR="008E4BC1">
        <w:rPr>
          <w:rFonts w:ascii="Arial" w:hAnsi="Arial"/>
        </w:rPr>
        <w:t xml:space="preserve"> and therefore</w:t>
      </w:r>
      <w:r w:rsidR="00A54EA5">
        <w:rPr>
          <w:rFonts w:ascii="Arial" w:hAnsi="Arial"/>
        </w:rPr>
        <w:t xml:space="preserve"> p</w:t>
      </w:r>
      <w:r w:rsidRPr="001B6571">
        <w:rPr>
          <w:rFonts w:ascii="Arial" w:hAnsi="Arial"/>
        </w:rPr>
        <w:t>hysical examination</w:t>
      </w:r>
      <w:r w:rsidR="00D443DC">
        <w:rPr>
          <w:rFonts w:ascii="Arial" w:hAnsi="Arial"/>
        </w:rPr>
        <w:t>,</w:t>
      </w:r>
      <w:r w:rsidRPr="001B6571">
        <w:rPr>
          <w:rFonts w:ascii="Arial" w:hAnsi="Arial"/>
        </w:rPr>
        <w:t xml:space="preserve"> tends to exacerbate such symptoms,</w:t>
      </w:r>
      <w:r w:rsidR="00413059">
        <w:rPr>
          <w:rFonts w:ascii="Arial" w:hAnsi="Arial"/>
        </w:rPr>
        <w:t xml:space="preserve"> </w:t>
      </w:r>
      <w:r w:rsidR="00AB4706">
        <w:rPr>
          <w:rFonts w:ascii="Arial" w:hAnsi="Arial"/>
        </w:rPr>
        <w:t xml:space="preserve">such </w:t>
      </w:r>
      <w:r w:rsidR="00413059">
        <w:rPr>
          <w:rFonts w:ascii="Arial" w:hAnsi="Arial"/>
        </w:rPr>
        <w:t>that routine</w:t>
      </w:r>
      <w:r w:rsidRPr="001B6571">
        <w:rPr>
          <w:rFonts w:ascii="Arial" w:hAnsi="Arial"/>
        </w:rPr>
        <w:t xml:space="preserve"> clinical assessment may not </w:t>
      </w:r>
      <w:r>
        <w:rPr>
          <w:rFonts w:ascii="Arial" w:hAnsi="Arial" w:cs="Arial"/>
        </w:rPr>
        <w:t xml:space="preserve">accurately </w:t>
      </w:r>
      <w:r w:rsidRPr="001B6571">
        <w:rPr>
          <w:rFonts w:ascii="Arial" w:hAnsi="Arial"/>
        </w:rPr>
        <w:t xml:space="preserve">reflect the </w:t>
      </w:r>
      <w:r>
        <w:rPr>
          <w:rFonts w:ascii="Arial" w:hAnsi="Arial" w:cs="Arial"/>
        </w:rPr>
        <w:t>burden</w:t>
      </w:r>
      <w:r w:rsidRPr="001B6571">
        <w:rPr>
          <w:rFonts w:ascii="Arial" w:hAnsi="Arial"/>
        </w:rPr>
        <w:t xml:space="preserve"> of </w:t>
      </w:r>
      <w:r>
        <w:rPr>
          <w:rFonts w:ascii="Arial" w:hAnsi="Arial" w:cs="Arial"/>
        </w:rPr>
        <w:t xml:space="preserve">a given </w:t>
      </w:r>
      <w:r w:rsidRPr="001B6571">
        <w:rPr>
          <w:rFonts w:ascii="Arial" w:hAnsi="Arial"/>
        </w:rPr>
        <w:t xml:space="preserve">symptom outside the context of the examination. </w:t>
      </w:r>
      <w:r w:rsidR="00413059">
        <w:rPr>
          <w:rFonts w:ascii="Arial" w:hAnsi="Arial"/>
        </w:rPr>
        <w:t>There is also a very wide variation in the severity of symptoms experienced in FND</w:t>
      </w:r>
      <w:r w:rsidR="007B4A9C">
        <w:rPr>
          <w:rFonts w:ascii="Arial" w:hAnsi="Arial"/>
        </w:rPr>
        <w:t xml:space="preserve"> - ranging from mild transient symptoms to amongst the most disabled and distressed patients seen in medicine -</w:t>
      </w:r>
      <w:r w:rsidR="00413059">
        <w:rPr>
          <w:rFonts w:ascii="Arial" w:hAnsi="Arial"/>
        </w:rPr>
        <w:t xml:space="preserve"> </w:t>
      </w:r>
      <w:r w:rsidR="007B4A9C">
        <w:rPr>
          <w:rFonts w:ascii="Arial" w:hAnsi="Arial"/>
        </w:rPr>
        <w:t>which</w:t>
      </w:r>
      <w:r w:rsidR="00413059">
        <w:rPr>
          <w:rFonts w:ascii="Arial" w:hAnsi="Arial"/>
        </w:rPr>
        <w:t xml:space="preserve"> is likely to produce ‘floor’ and ‘ceiling’ effects in symptom measurement.</w:t>
      </w:r>
    </w:p>
    <w:p w14:paraId="1F873273" w14:textId="5311CD70" w:rsidR="00D274D6" w:rsidRDefault="00D274D6" w:rsidP="00D274D6">
      <w:pPr>
        <w:spacing w:line="480" w:lineRule="auto"/>
        <w:ind w:firstLine="720"/>
        <w:jc w:val="both"/>
        <w:rPr>
          <w:rFonts w:ascii="Arial" w:hAnsi="Arial"/>
        </w:rPr>
      </w:pPr>
    </w:p>
    <w:p w14:paraId="6D0319F3" w14:textId="77777777" w:rsidR="002E3ACA" w:rsidRDefault="002E3ACA" w:rsidP="00D274D6">
      <w:pPr>
        <w:spacing w:line="480" w:lineRule="auto"/>
        <w:ind w:firstLine="720"/>
        <w:jc w:val="both"/>
        <w:rPr>
          <w:rFonts w:ascii="Arial" w:hAnsi="Arial"/>
        </w:rPr>
      </w:pPr>
    </w:p>
    <w:p w14:paraId="20A73547" w14:textId="2706C424" w:rsidR="00D274D6" w:rsidRPr="00C14DD0" w:rsidRDefault="00D274D6" w:rsidP="00C14DD0">
      <w:pPr>
        <w:spacing w:line="480" w:lineRule="auto"/>
        <w:jc w:val="both"/>
        <w:rPr>
          <w:rFonts w:ascii="Arial" w:hAnsi="Arial"/>
          <w:i/>
        </w:rPr>
      </w:pPr>
      <w:r w:rsidRPr="00D274D6">
        <w:rPr>
          <w:rFonts w:ascii="Arial" w:hAnsi="Arial"/>
          <w:i/>
        </w:rPr>
        <w:t>D</w:t>
      </w:r>
      <w:r w:rsidR="000C7F2F">
        <w:rPr>
          <w:rFonts w:ascii="Arial" w:hAnsi="Arial"/>
          <w:i/>
        </w:rPr>
        <w:t xml:space="preserve">ifferences between patient-rated and objective </w:t>
      </w:r>
      <w:r w:rsidRPr="00D274D6">
        <w:rPr>
          <w:rFonts w:ascii="Arial" w:hAnsi="Arial"/>
          <w:i/>
        </w:rPr>
        <w:t>symptom</w:t>
      </w:r>
      <w:r w:rsidR="000C7F2F">
        <w:rPr>
          <w:rFonts w:ascii="Arial" w:hAnsi="Arial"/>
          <w:i/>
        </w:rPr>
        <w:t xml:space="preserve"> measure</w:t>
      </w:r>
      <w:r w:rsidRPr="00D274D6">
        <w:rPr>
          <w:rFonts w:ascii="Arial" w:hAnsi="Arial"/>
          <w:i/>
        </w:rPr>
        <w:t>s</w:t>
      </w:r>
    </w:p>
    <w:p w14:paraId="4D52E8BF" w14:textId="51F8AA72" w:rsidR="008A6631" w:rsidRDefault="00B30E09" w:rsidP="00113231">
      <w:pPr>
        <w:spacing w:line="480" w:lineRule="auto"/>
        <w:ind w:firstLine="720"/>
        <w:jc w:val="both"/>
        <w:rPr>
          <w:rFonts w:ascii="Arial" w:hAnsi="Arial"/>
        </w:rPr>
      </w:pPr>
      <w:r>
        <w:rPr>
          <w:rFonts w:ascii="Arial" w:hAnsi="Arial"/>
        </w:rPr>
        <w:t>There can</w:t>
      </w:r>
      <w:r w:rsidR="00A54EA5">
        <w:rPr>
          <w:rFonts w:ascii="Arial" w:hAnsi="Arial"/>
        </w:rPr>
        <w:t xml:space="preserve"> also</w:t>
      </w:r>
      <w:r>
        <w:rPr>
          <w:rFonts w:ascii="Arial" w:hAnsi="Arial"/>
        </w:rPr>
        <w:t xml:space="preserve"> be marked discrepancies</w:t>
      </w:r>
      <w:r w:rsidR="00113231" w:rsidRPr="001B6571">
        <w:rPr>
          <w:rFonts w:ascii="Arial" w:hAnsi="Arial"/>
        </w:rPr>
        <w:t xml:space="preserve"> between a</w:t>
      </w:r>
      <w:r w:rsidR="00E3534B">
        <w:rPr>
          <w:rFonts w:ascii="Arial" w:hAnsi="Arial"/>
        </w:rPr>
        <w:t>n</w:t>
      </w:r>
      <w:r w:rsidR="00113231" w:rsidRPr="001B6571">
        <w:rPr>
          <w:rFonts w:ascii="Arial" w:hAnsi="Arial"/>
        </w:rPr>
        <w:t xml:space="preserve"> </w:t>
      </w:r>
      <w:r w:rsidR="00C14DD0">
        <w:rPr>
          <w:rFonts w:ascii="Arial" w:hAnsi="Arial"/>
        </w:rPr>
        <w:t xml:space="preserve">FND </w:t>
      </w:r>
      <w:r w:rsidR="00113231" w:rsidRPr="001B6571">
        <w:rPr>
          <w:rFonts w:ascii="Arial" w:hAnsi="Arial"/>
        </w:rPr>
        <w:t xml:space="preserve">patient’s perception of their own symptom or function and that observed by </w:t>
      </w:r>
      <w:r w:rsidR="00113231" w:rsidRPr="001B6571">
        <w:rPr>
          <w:rFonts w:ascii="Arial" w:hAnsi="Arial" w:cs="Arial"/>
        </w:rPr>
        <w:t>clinician</w:t>
      </w:r>
      <w:r w:rsidR="00113231">
        <w:rPr>
          <w:rFonts w:ascii="Arial" w:hAnsi="Arial" w:cs="Arial"/>
        </w:rPr>
        <w:t>s</w:t>
      </w:r>
      <w:r w:rsidR="000C7F2F">
        <w:rPr>
          <w:rFonts w:ascii="Arial" w:hAnsi="Arial" w:cs="Arial"/>
        </w:rPr>
        <w:t xml:space="preserve"> or objectively measured</w:t>
      </w:r>
      <w:r w:rsidR="00113231">
        <w:rPr>
          <w:rFonts w:ascii="Arial" w:hAnsi="Arial" w:cs="Arial"/>
          <w:sz w:val="22"/>
          <w:szCs w:val="22"/>
        </w:rPr>
        <w:t>.</w:t>
      </w:r>
      <w:r>
        <w:rPr>
          <w:rFonts w:ascii="Arial" w:hAnsi="Arial"/>
        </w:rPr>
        <w:t xml:space="preserve"> The most c</w:t>
      </w:r>
      <w:r w:rsidR="00113231" w:rsidRPr="001B6571">
        <w:rPr>
          <w:rFonts w:ascii="Arial" w:hAnsi="Arial"/>
        </w:rPr>
        <w:t>ompelling evidence of this comes f</w:t>
      </w:r>
      <w:r w:rsidR="00113231">
        <w:rPr>
          <w:rFonts w:ascii="Arial" w:hAnsi="Arial"/>
        </w:rPr>
        <w:t>rom</w:t>
      </w:r>
      <w:r w:rsidR="00113231" w:rsidRPr="001B6571">
        <w:rPr>
          <w:rFonts w:ascii="Arial" w:hAnsi="Arial"/>
        </w:rPr>
        <w:t xml:space="preserve"> a study comparing objective</w:t>
      </w:r>
      <w:r w:rsidR="00733F38">
        <w:rPr>
          <w:rFonts w:ascii="Arial" w:hAnsi="Arial"/>
        </w:rPr>
        <w:t>ly</w:t>
      </w:r>
      <w:r w:rsidR="00A54EA5">
        <w:rPr>
          <w:rFonts w:ascii="Arial" w:hAnsi="Arial"/>
        </w:rPr>
        <w:t xml:space="preserve"> measured tremor</w:t>
      </w:r>
      <w:r w:rsidR="00733F38">
        <w:rPr>
          <w:rFonts w:ascii="Arial" w:hAnsi="Arial"/>
        </w:rPr>
        <w:t xml:space="preserve"> using an</w:t>
      </w:r>
      <w:r w:rsidR="00113231" w:rsidRPr="001B6571">
        <w:rPr>
          <w:rFonts w:ascii="Arial" w:hAnsi="Arial"/>
        </w:rPr>
        <w:t xml:space="preserve"> actigraphy watch, to patient self-report in FND patients </w:t>
      </w:r>
      <w:r w:rsidR="00113231">
        <w:rPr>
          <w:rFonts w:ascii="Arial" w:hAnsi="Arial"/>
        </w:rPr>
        <w:t>relative</w:t>
      </w:r>
      <w:r w:rsidR="00113231" w:rsidRPr="001B6571">
        <w:rPr>
          <w:rFonts w:ascii="Arial" w:hAnsi="Arial"/>
        </w:rPr>
        <w:t xml:space="preserve"> to </w:t>
      </w:r>
      <w:r w:rsidR="00113231" w:rsidRPr="001B6571">
        <w:rPr>
          <w:rFonts w:ascii="Arial" w:hAnsi="Arial" w:cs="Arial"/>
          <w:szCs w:val="22"/>
        </w:rPr>
        <w:t>patients</w:t>
      </w:r>
      <w:r w:rsidR="00113231" w:rsidRPr="001B6571">
        <w:rPr>
          <w:rFonts w:ascii="Arial" w:hAnsi="Arial"/>
        </w:rPr>
        <w:t xml:space="preserve"> with tremor due to Parkinson’s disease, essential and dystonic tremors</w:t>
      </w:r>
      <w:r w:rsidR="00113231" w:rsidRPr="001B6571">
        <w:rPr>
          <w:rFonts w:ascii="Arial" w:hAnsi="Arial"/>
        </w:rPr>
        <w:fldChar w:fldCharType="begin" w:fldLock="1"/>
      </w:r>
      <w:r w:rsidR="00F24E13">
        <w:rPr>
          <w:rFonts w:ascii="Arial" w:hAnsi="Arial"/>
        </w:rPr>
        <w:instrText>ADDIN CSL_CITATION {"citationItems":[{"id":"ITEM-1","itemData":{"DOI":"awr292 [pii]\r10.1093/brain/awr292","ISBN":"1460-2156 (Electronic)\r0006-8950 (Linking)","PMID":"22075068","abstract":"We assessed the duration and severity of tremor in a real-life ambulatory setting in patients with psychogenic and organic tremor by actigraphy, and compared this with self-reports of tremor over the same period. Ten participants with psychogenic tremor and eight with organic tremor, diagnosed using standardized clinical criteria, were studied. In an explicit design, participants were asked to wear a small actigraph capable of continuously monitoring tremor duration and intensity for 5 days while keeping a diary of their estimates of tremor duration during the same period. Eight patients with psychogenic tremor and all patients with organic tremor completed the study. Psychogenic patients reported significantly more of the waking day with tremor compared with patients with organic tremor (83.5 +/- 14.0% of the waking day versus 58.0 +/- 19.0% of the waking day; P &lt; 0.01), despite having almost no tremor recorded by actigraphy (3.9 +/- 3.7% of the waking day versus 24.8 +/- 7.7% of the waking day; P = 0.001). Patients with organic tremor reported 28% more tremor than actigraphy recordings, whereas patients with psychogenic tremor reported 65% more tremor than actigraphy. These data demonstrate that patients with psychogenic tremor fail to accurately perceive that they do not have tremor most of the day. The explicit study design we employed does not support the hypothesis that these patients are malingering. We discuss how these data can be understood within models of active inference in the brain to provide a neurobiological framework for understanding the mechanism of psychogenic tremor.","author":[{"dropping-particle":"","family":"Parees","given":"I","non-dropping-particle":"","parse-names":false,"suffix":""},{"dropping-particle":"","family":"Saifee","given":"T A","non-dropping-particle":"","parse-names":false,"suffix":""},{"dropping-particle":"","family":"Kassavetis","given":"P","non-dropping-particle":"","parse-names":false,"suffix":""},{"dropping-particle":"","family":"Kojovic","given":"M","non-dropping-particle":"","parse-names":false,"suffix":""},{"dropping-particle":"","family":"Rubio-Agusti","given":"I","non-dropping-particle":"","parse-names":false,"suffix":""},{"dropping-particle":"","family":"Rothwell","given":"J C","non-dropping-particle":"","parse-names":false,"suffix":""},{"dropping-particle":"","family":"Bhatia","given":"K P","non-dropping-particle":"","parse-names":false,"suffix":""},{"dropping-particle":"","family":"Edwards","given":"M J","non-dropping-particle":"","parse-names":false,"suffix":""}],"container-title":"Brain","edition":"2011/11/15","id":"ITEM-1","issue":"Pt 1","issued":{"date-parts":[["2011"]]},"language":"eng","note":"Parees, Isabel\nSaifee, Tabish A\nKassavetis, Panagiotis\nKojovic, Maja\nRubio-Agusti, Ignacio\nRothwell, John C\nBhatia, Kailash P\nEdwards, Mark J\nResearch Support, Non-U.S. Gov't\nEngland\nBrain : a journal of neurology\nBrain. 2012 Jan;135(Pt 1):117-23. Epub 2011 Nov 10.","page":"117-123","title":"Believing is perceiving: mismatch between self-report and actigraphy in psychogenic tremor","type":"article-journal","volume":"135"},"uris":["http://www.mendeley.com/documents/?uuid=aa1e20ea-4cea-452f-a0e0-42b2bcdcc3fe"]}],"mendeley":{"formattedCitation":"{54}","plainTextFormattedCitation":"{54}","previouslyFormattedCitation":"{53}"},"properties":{"noteIndex":0},"schema":"https://github.com/citation-style-language/schema/raw/master/csl-citation.json"}</w:instrText>
      </w:r>
      <w:r w:rsidR="00113231" w:rsidRPr="001B6571">
        <w:rPr>
          <w:rFonts w:ascii="Arial" w:hAnsi="Arial"/>
        </w:rPr>
        <w:fldChar w:fldCharType="separate"/>
      </w:r>
      <w:r w:rsidR="00F24E13" w:rsidRPr="00F24E13">
        <w:rPr>
          <w:rFonts w:ascii="Arial" w:hAnsi="Arial"/>
          <w:noProof/>
        </w:rPr>
        <w:t>{54}</w:t>
      </w:r>
      <w:r w:rsidR="00113231" w:rsidRPr="001B6571">
        <w:rPr>
          <w:rFonts w:ascii="Arial" w:hAnsi="Arial"/>
        </w:rPr>
        <w:fldChar w:fldCharType="end"/>
      </w:r>
      <w:r w:rsidR="00113231" w:rsidRPr="001B6571">
        <w:rPr>
          <w:rFonts w:ascii="Arial" w:hAnsi="Arial"/>
        </w:rPr>
        <w:t xml:space="preserve">. </w:t>
      </w:r>
      <w:r w:rsidR="00D443DC">
        <w:rPr>
          <w:rFonts w:ascii="Arial" w:hAnsi="Arial"/>
        </w:rPr>
        <w:t>P</w:t>
      </w:r>
      <w:r w:rsidR="00113231" w:rsidRPr="001B6571">
        <w:rPr>
          <w:rFonts w:ascii="Arial" w:hAnsi="Arial"/>
        </w:rPr>
        <w:t xml:space="preserve">atients </w:t>
      </w:r>
      <w:r w:rsidR="00D443DC">
        <w:rPr>
          <w:rFonts w:ascii="Arial" w:hAnsi="Arial"/>
        </w:rPr>
        <w:t>with FND</w:t>
      </w:r>
      <w:r w:rsidR="00113231" w:rsidRPr="001B6571">
        <w:rPr>
          <w:rFonts w:ascii="Arial" w:hAnsi="Arial"/>
        </w:rPr>
        <w:t xml:space="preserve"> reported tremor 84% of the time, but the actigraphy watch recorded tremor for only 4% of the day – a nearly 20-fold overestimation. The </w:t>
      </w:r>
      <w:r w:rsidR="0021190C">
        <w:rPr>
          <w:rFonts w:ascii="Arial" w:hAnsi="Arial" w:cs="Arial"/>
        </w:rPr>
        <w:t>neurological</w:t>
      </w:r>
      <w:r w:rsidR="00113231">
        <w:rPr>
          <w:rFonts w:ascii="Arial" w:hAnsi="Arial" w:cs="Arial"/>
        </w:rPr>
        <w:t xml:space="preserve"> control</w:t>
      </w:r>
      <w:r w:rsidR="00113231" w:rsidRPr="001B6571">
        <w:rPr>
          <w:rFonts w:ascii="Arial" w:hAnsi="Arial"/>
        </w:rPr>
        <w:t xml:space="preserve"> group estimated they had a tremor 58% of the time, just over twice the amount they objectively had a tremor</w:t>
      </w:r>
      <w:r w:rsidR="00113231">
        <w:rPr>
          <w:rFonts w:ascii="Arial" w:hAnsi="Arial" w:cs="Arial"/>
          <w:sz w:val="22"/>
          <w:szCs w:val="22"/>
        </w:rPr>
        <w:t>.</w:t>
      </w:r>
      <w:r w:rsidR="00113231" w:rsidRPr="001B6571">
        <w:rPr>
          <w:rFonts w:ascii="Arial" w:hAnsi="Arial"/>
        </w:rPr>
        <w:t xml:space="preserve"> </w:t>
      </w:r>
      <w:r w:rsidR="00E83D9D">
        <w:rPr>
          <w:rFonts w:ascii="Arial" w:hAnsi="Arial"/>
        </w:rPr>
        <w:t>Thus,</w:t>
      </w:r>
      <w:r w:rsidR="00113231" w:rsidRPr="001B6571">
        <w:rPr>
          <w:rFonts w:ascii="Arial" w:hAnsi="Arial"/>
        </w:rPr>
        <w:t xml:space="preserve"> although both groups significantly over</w:t>
      </w:r>
      <w:r w:rsidR="00E3534B">
        <w:rPr>
          <w:rFonts w:ascii="Arial" w:hAnsi="Arial"/>
        </w:rPr>
        <w:t>-</w:t>
      </w:r>
      <w:r w:rsidR="00113231" w:rsidRPr="001B6571">
        <w:rPr>
          <w:rFonts w:ascii="Arial" w:hAnsi="Arial"/>
        </w:rPr>
        <w:t>estimated their tremor, this is an order of magnitude more in FND. Importantly the disability reported by people with functional tremor in this study was greater than that reported by the other patient</w:t>
      </w:r>
      <w:r w:rsidR="006E7967">
        <w:rPr>
          <w:rFonts w:ascii="Arial" w:hAnsi="Arial"/>
        </w:rPr>
        <w:t xml:space="preserve"> cohorts</w:t>
      </w:r>
      <w:r w:rsidR="00113231" w:rsidRPr="001B6571">
        <w:rPr>
          <w:rFonts w:ascii="Arial" w:hAnsi="Arial"/>
        </w:rPr>
        <w:t xml:space="preserve">. </w:t>
      </w:r>
    </w:p>
    <w:p w14:paraId="481D0730" w14:textId="18F36DA7" w:rsidR="00B85900" w:rsidRDefault="008A6631" w:rsidP="00B85900">
      <w:pPr>
        <w:spacing w:line="480" w:lineRule="auto"/>
        <w:ind w:firstLine="720"/>
        <w:jc w:val="both"/>
        <w:rPr>
          <w:rFonts w:ascii="Arial" w:hAnsi="Arial"/>
        </w:rPr>
      </w:pPr>
      <w:r>
        <w:rPr>
          <w:rFonts w:ascii="Arial" w:hAnsi="Arial"/>
        </w:rPr>
        <w:t>In support of this difference</w:t>
      </w:r>
      <w:r w:rsidR="006E7967">
        <w:rPr>
          <w:rFonts w:ascii="Arial" w:hAnsi="Arial"/>
        </w:rPr>
        <w:t>,</w:t>
      </w:r>
      <w:r>
        <w:rPr>
          <w:rFonts w:ascii="Arial" w:hAnsi="Arial"/>
        </w:rPr>
        <w:t xml:space="preserve"> a study of PNES patients found that they catastrophized their experiences whereas those with epilepsy normalized their experiences</w:t>
      </w:r>
      <w:r>
        <w:rPr>
          <w:rFonts w:ascii="Arial" w:hAnsi="Arial"/>
        </w:rPr>
        <w:fldChar w:fldCharType="begin" w:fldLock="1"/>
      </w:r>
      <w:r w:rsidR="00F24E13">
        <w:rPr>
          <w:rFonts w:ascii="Arial" w:hAnsi="Arial"/>
        </w:rPr>
        <w:instrText>ADDIN CSL_CITATION {"citationItems":[{"id":"ITEM-1","itemData":{"DOI":"10.1016/j.seizure.2012.09.007","ISSN":"10591311","abstract":"Purpose: To extend our previous research demonstrating that linguistic/interactional features in patients' talk can assist the challenging differential diagnosis of epilepsy and psychogenic nonepileptic seizures (PNES) by exploring the differential diagnostic potential of references to non co-present persons (third parties). Method: Initial encounters were recorded between 20 seizure patients (13 with PNES, seven with epilepsy) who were subsequently diagnosed by the recording of typical seizures with video-EEG. An analyst blinded to the medical diagnoses coded and analysed transcripts. Results: There were no significant differences between the two diagnostic groups in terms of the total number of third party references or references made spontaneously by patients without prompting from the doctor. However, patients with PNES made significantly more prompted references to third parties (p = 0.022). 'Castrophising' third party references were made in 12/13 (92.3%) of encounters with PNES patients and 1/7 (14.3%) of encounters with epilepsy patients (p = 0.001, OR 72, 95% CI = 3.8-1361.9). Normalising references were identified in 2/13 (15.4%) of encounters in the PNES and 6/7 (85.7%) of encounters in the epilepsy groups (p = 0.004, OR 33, 95% CI = 2.5-443.6). Conclusion: There are significant differences in how patients with epilepsy or patients with PNES refer to third parties. Patients with PNES are more likely to be prompted to tell doctors what others have told them about their seizures. Patients using third party references to catastrophise their seizure experiences are more likely to have PNES, whilst patients who use third party references to normalise their life with seizures are more likely to have epilepsy. © 2012 British Epilepsy Association. Published by Elsevier Ltd. All rights reserved.","author":[{"dropping-particle":"","family":"Robson","given":"Catherine","non-dropping-particle":"","parse-names":false,"suffix":""},{"dropping-particle":"","family":"Drew","given":"Paul","non-dropping-particle":"","parse-names":false,"suffix":""},{"dropping-particle":"","family":"Walker","given":"Traci","non-dropping-particle":"","parse-names":false,"suffix":""},{"dropping-particle":"","family":"Reuber","given":"Markus","non-dropping-particle":"","parse-names":false,"suffix":""}],"container-title":"Seizure","id":"ITEM-1","issued":{"date-parts":[["2012"]]},"title":"Catastrophising and normalising in patient's accounts of their seizure experiences","type":"article-journal"},"uris":["http://www.mendeley.com/documents/?uuid=727a0bcd-7866-4fdf-b849-ec38068bcd02","http://www.mendeley.com/documents/?uuid=110e9b91-8f9d-4406-93d2-5042b9cfe171"]}],"mendeley":{"formattedCitation":"{55}","plainTextFormattedCitation":"{55}","previouslyFormattedCitation":"{54}"},"properties":{"noteIndex":0},"schema":"https://github.com/citation-style-language/schema/raw/master/csl-citation.json"}</w:instrText>
      </w:r>
      <w:r>
        <w:rPr>
          <w:rFonts w:ascii="Arial" w:hAnsi="Arial"/>
        </w:rPr>
        <w:fldChar w:fldCharType="separate"/>
      </w:r>
      <w:r w:rsidR="00F24E13" w:rsidRPr="00F24E13">
        <w:rPr>
          <w:rFonts w:ascii="Arial" w:hAnsi="Arial"/>
          <w:noProof/>
        </w:rPr>
        <w:t>{55}</w:t>
      </w:r>
      <w:r>
        <w:rPr>
          <w:rFonts w:ascii="Arial" w:hAnsi="Arial"/>
        </w:rPr>
        <w:fldChar w:fldCharType="end"/>
      </w:r>
      <w:r>
        <w:rPr>
          <w:rFonts w:ascii="Arial" w:hAnsi="Arial"/>
        </w:rPr>
        <w:t xml:space="preserve">. </w:t>
      </w:r>
      <w:r w:rsidR="000A736D">
        <w:rPr>
          <w:rFonts w:ascii="Arial" w:hAnsi="Arial"/>
        </w:rPr>
        <w:t xml:space="preserve">However, a recent similar study found less clear cut differences </w:t>
      </w:r>
      <w:r w:rsidR="000A736D">
        <w:rPr>
          <w:rFonts w:ascii="Arial" w:hAnsi="Arial"/>
        </w:rPr>
        <w:lastRenderedPageBreak/>
        <w:t>between</w:t>
      </w:r>
      <w:r>
        <w:rPr>
          <w:rFonts w:ascii="Arial" w:hAnsi="Arial"/>
        </w:rPr>
        <w:t xml:space="preserve"> objective</w:t>
      </w:r>
      <w:r w:rsidR="000A736D">
        <w:rPr>
          <w:rFonts w:ascii="Arial" w:hAnsi="Arial"/>
        </w:rPr>
        <w:t xml:space="preserve"> </w:t>
      </w:r>
      <w:r>
        <w:rPr>
          <w:rFonts w:ascii="Arial" w:hAnsi="Arial"/>
        </w:rPr>
        <w:t xml:space="preserve">tremor in </w:t>
      </w:r>
      <w:r w:rsidR="000A736D">
        <w:rPr>
          <w:rFonts w:ascii="Arial" w:hAnsi="Arial"/>
        </w:rPr>
        <w:t xml:space="preserve">FND and </w:t>
      </w:r>
      <w:r>
        <w:rPr>
          <w:rFonts w:ascii="Arial" w:hAnsi="Arial"/>
        </w:rPr>
        <w:t>organic controls</w:t>
      </w:r>
      <w:r w:rsidR="000A736D">
        <w:rPr>
          <w:rFonts w:ascii="Arial" w:hAnsi="Arial"/>
        </w:rPr>
        <w:fldChar w:fldCharType="begin" w:fldLock="1"/>
      </w:r>
      <w:r w:rsidR="00F24E13">
        <w:rPr>
          <w:rFonts w:ascii="Arial" w:hAnsi="Arial"/>
        </w:rPr>
        <w:instrText>ADDIN CSL_CITATION {"citationItems":[{"id":"ITEM-1","itemData":{"DOI":"10.1016/j.parkreldis.2019.05.026","ISSN":"13538020","abstract":"BACKGROUND\nA previous study reported a dramatic mismatch in objectively detected and self-reported tremor duration in patients with functional tremor. As these findings have an important and widespread impact in both clinical care and research, we conducted a validation study with a longer study duration and a larger sample of patients. \n\nMETHODS\nFourteen patients with functional tremor and 19 with organic tremor completed a 30 day study period. Objective tremor duration was recorded using a wrist-worn accelerometer. Simultaneously, participants completed a web-based diary five times a day, each time rating their symptom burden since the previous diary entry. \n\nRESULTS\nPatients with functional tremor had shorter objective tremor duration compared to patients with organic tremor (21.6% vs 30.7%, P = 0.034). A post-hoc analysis revealed the difference in objective duration was mainly due to patients with essential tremor (37.2%). Subjective symptom burden was not significantly different between functional and organic tremors (38.7 vs 28.7 on a 0–100 VAS scale, P = 0.138). Finally, a mixed model analysis did not reveal significant differences in the association between subjective and objective tremor symptoms (P = 0.168). \n\nCONCLUSIONS\npatients with functional tremor do have an objectively detectable, persistent tremor during daily life activities. Furthermore, they have a similar symptom burden and a similar association between subjective and objective tremor symptoms as patients with organic tremor.","author":[{"dropping-particle":"","family":"Kramer","given":"Gerrit","non-dropping-particle":"","parse-names":false,"suffix":""},{"dropping-particle":"","family":"Dominguez-Vega","given":"Zeus T.","non-dropping-particle":"","parse-names":false,"suffix":""},{"dropping-particle":"","family":"Laarhoven","given":"Heleen SA.","non-dropping-particle":"","parse-names":false,"suffix":""},{"dropping-particle":"","family":"Brandsma","given":"Rick","non-dropping-particle":"","parse-names":false,"suffix":""},{"dropping-particle":"","family":"Smit","given":"Marenka","non-dropping-particle":"","parse-names":false,"suffix":""},{"dropping-particle":"","family":"Stouwe","given":"AM Madelein","non-dropping-particle":"van der","parse-names":false,"suffix":""},{"dropping-particle":"","family":"Willem J Elting","given":"Jan","non-dropping-particle":"","parse-names":false,"suffix":""},{"dropping-particle":"","family":"Maurits","given":"Natasha M.","non-dropping-particle":"","parse-names":false,"suffix":""},{"dropping-particle":"","family":"Rosmalen","given":"Judith GM.","non-dropping-particle":"","parse-names":false,"suffix":""},{"dropping-particle":"","family":"Tijssen","given":"Marina AJ.","non-dropping-particle":"","parse-names":false,"suffix":""}],"container-title":"Parkinsonism &amp; Related Disorders","id":"ITEM-1","issued":{"date-parts":[["2019"]]},"title":"Similar association between objective and subjective symptoms in functional and organic tremor","type":"article-journal"},"uris":["http://www.mendeley.com/documents/?uuid=9987312b-e6c4-4da6-80de-12de588dae44","http://www.mendeley.com/documents/?uuid=1e2fd227-59ce-4b3b-b985-f927c84ca2af"]}],"mendeley":{"formattedCitation":"{56}","plainTextFormattedCitation":"{56}","previouslyFormattedCitation":"{55}"},"properties":{"noteIndex":0},"schema":"https://github.com/citation-style-language/schema/raw/master/csl-citation.json"}</w:instrText>
      </w:r>
      <w:r w:rsidR="000A736D">
        <w:rPr>
          <w:rFonts w:ascii="Arial" w:hAnsi="Arial"/>
        </w:rPr>
        <w:fldChar w:fldCharType="separate"/>
      </w:r>
      <w:r w:rsidR="00F24E13" w:rsidRPr="00F24E13">
        <w:rPr>
          <w:rFonts w:ascii="Arial" w:hAnsi="Arial"/>
          <w:noProof/>
        </w:rPr>
        <w:t>{56}</w:t>
      </w:r>
      <w:r w:rsidR="000A736D">
        <w:rPr>
          <w:rFonts w:ascii="Arial" w:hAnsi="Arial"/>
        </w:rPr>
        <w:fldChar w:fldCharType="end"/>
      </w:r>
      <w:r>
        <w:rPr>
          <w:rFonts w:ascii="Arial" w:hAnsi="Arial"/>
        </w:rPr>
        <w:t>.</w:t>
      </w:r>
      <w:r w:rsidR="000A736D">
        <w:rPr>
          <w:rFonts w:ascii="Arial" w:hAnsi="Arial"/>
        </w:rPr>
        <w:t xml:space="preserve"> </w:t>
      </w:r>
      <w:r w:rsidR="00113231">
        <w:rPr>
          <w:rFonts w:ascii="Arial" w:hAnsi="Arial"/>
        </w:rPr>
        <w:t>U</w:t>
      </w:r>
      <w:r>
        <w:rPr>
          <w:rFonts w:ascii="Arial" w:hAnsi="Arial"/>
        </w:rPr>
        <w:t>ltimately it is possible</w:t>
      </w:r>
      <w:r w:rsidR="00113231">
        <w:rPr>
          <w:rFonts w:ascii="Arial" w:hAnsi="Arial"/>
        </w:rPr>
        <w:t xml:space="preserve"> that patients</w:t>
      </w:r>
      <w:r w:rsidR="00EB0D64">
        <w:rPr>
          <w:rFonts w:ascii="Arial" w:hAnsi="Arial"/>
        </w:rPr>
        <w:t>’</w:t>
      </w:r>
      <w:r w:rsidR="000C0820">
        <w:rPr>
          <w:rFonts w:ascii="Arial" w:hAnsi="Arial"/>
        </w:rPr>
        <w:t xml:space="preserve"> own reports are as clinically</w:t>
      </w:r>
      <w:r w:rsidR="000858CF">
        <w:rPr>
          <w:rFonts w:ascii="Arial" w:hAnsi="Arial"/>
        </w:rPr>
        <w:t xml:space="preserve"> </w:t>
      </w:r>
      <w:r w:rsidR="00113231">
        <w:rPr>
          <w:rFonts w:ascii="Arial" w:hAnsi="Arial"/>
        </w:rPr>
        <w:t xml:space="preserve">meaningful </w:t>
      </w:r>
      <w:r w:rsidR="000858CF">
        <w:rPr>
          <w:rFonts w:ascii="Arial" w:hAnsi="Arial"/>
        </w:rPr>
        <w:t xml:space="preserve">as </w:t>
      </w:r>
      <w:r w:rsidR="00113231">
        <w:rPr>
          <w:rFonts w:ascii="Arial" w:hAnsi="Arial"/>
        </w:rPr>
        <w:t>objectively rated measure</w:t>
      </w:r>
      <w:r w:rsidR="000C0820">
        <w:rPr>
          <w:rFonts w:ascii="Arial" w:hAnsi="Arial"/>
        </w:rPr>
        <w:t>s</w:t>
      </w:r>
      <w:r w:rsidR="00113231">
        <w:rPr>
          <w:rFonts w:ascii="Arial" w:hAnsi="Arial"/>
        </w:rPr>
        <w:t>, which</w:t>
      </w:r>
      <w:r w:rsidR="009F1063">
        <w:rPr>
          <w:rFonts w:ascii="Arial" w:hAnsi="Arial"/>
        </w:rPr>
        <w:t>,</w:t>
      </w:r>
      <w:r w:rsidR="00113231">
        <w:rPr>
          <w:rFonts w:ascii="Arial" w:hAnsi="Arial"/>
        </w:rPr>
        <w:t xml:space="preserve"> depending</w:t>
      </w:r>
      <w:r w:rsidR="007A1D5D">
        <w:rPr>
          <w:rFonts w:ascii="Arial" w:hAnsi="Arial"/>
        </w:rPr>
        <w:t xml:space="preserve"> on</w:t>
      </w:r>
      <w:r w:rsidR="000C0820">
        <w:rPr>
          <w:rFonts w:ascii="Arial" w:hAnsi="Arial"/>
        </w:rPr>
        <w:t xml:space="preserve"> how they are</w:t>
      </w:r>
      <w:r w:rsidR="00113231">
        <w:rPr>
          <w:rFonts w:ascii="Arial" w:hAnsi="Arial"/>
        </w:rPr>
        <w:t xml:space="preserve"> performed</w:t>
      </w:r>
      <w:r w:rsidR="009F1063">
        <w:rPr>
          <w:rFonts w:ascii="Arial" w:hAnsi="Arial"/>
        </w:rPr>
        <w:t>,</w:t>
      </w:r>
      <w:r w:rsidR="00113231">
        <w:rPr>
          <w:rFonts w:ascii="Arial" w:hAnsi="Arial"/>
        </w:rPr>
        <w:t xml:space="preserve"> might conclu</w:t>
      </w:r>
      <w:r w:rsidR="0097560C">
        <w:rPr>
          <w:rFonts w:ascii="Arial" w:hAnsi="Arial"/>
        </w:rPr>
        <w:t xml:space="preserve">de that </w:t>
      </w:r>
      <w:r w:rsidR="00B85900">
        <w:rPr>
          <w:rFonts w:ascii="Arial" w:hAnsi="Arial"/>
        </w:rPr>
        <w:t>a</w:t>
      </w:r>
      <w:r w:rsidR="0097560C">
        <w:rPr>
          <w:rFonts w:ascii="Arial" w:hAnsi="Arial"/>
        </w:rPr>
        <w:t xml:space="preserve"> leg is not weak or that</w:t>
      </w:r>
      <w:r w:rsidR="00113231">
        <w:rPr>
          <w:rFonts w:ascii="Arial" w:hAnsi="Arial"/>
        </w:rPr>
        <w:t xml:space="preserve"> </w:t>
      </w:r>
      <w:r w:rsidR="00B85900">
        <w:rPr>
          <w:rFonts w:ascii="Arial" w:hAnsi="Arial"/>
        </w:rPr>
        <w:t>a</w:t>
      </w:r>
      <w:r w:rsidR="00113231">
        <w:rPr>
          <w:rFonts w:ascii="Arial" w:hAnsi="Arial"/>
        </w:rPr>
        <w:t xml:space="preserve"> tremor is </w:t>
      </w:r>
      <w:r w:rsidR="0097560C">
        <w:rPr>
          <w:rFonts w:ascii="Arial" w:hAnsi="Arial"/>
        </w:rPr>
        <w:t>not frequently present.</w:t>
      </w:r>
      <w:r w:rsidR="00113231">
        <w:rPr>
          <w:rFonts w:ascii="Arial" w:hAnsi="Arial"/>
        </w:rPr>
        <w:t xml:space="preserve"> </w:t>
      </w:r>
      <w:r w:rsidR="000C0820">
        <w:rPr>
          <w:rFonts w:ascii="Arial" w:hAnsi="Arial"/>
        </w:rPr>
        <w:t>Further research is needed to investigate the relationship between these different measures and their associations with other key outcomes such as function, quality of life and socio-economic outcomes</w:t>
      </w:r>
      <w:r w:rsidR="0097560C">
        <w:rPr>
          <w:rFonts w:ascii="Arial" w:hAnsi="Arial"/>
        </w:rPr>
        <w:t>.</w:t>
      </w:r>
      <w:r w:rsidR="00113231">
        <w:rPr>
          <w:rFonts w:ascii="Arial" w:hAnsi="Arial"/>
        </w:rPr>
        <w:t xml:space="preserve"> </w:t>
      </w:r>
    </w:p>
    <w:p w14:paraId="396EC316" w14:textId="77777777" w:rsidR="00131023" w:rsidRDefault="00131023" w:rsidP="00B85900">
      <w:pPr>
        <w:spacing w:line="480" w:lineRule="auto"/>
        <w:ind w:firstLine="720"/>
        <w:jc w:val="both"/>
        <w:rPr>
          <w:rFonts w:ascii="Arial" w:hAnsi="Arial"/>
        </w:rPr>
      </w:pPr>
    </w:p>
    <w:p w14:paraId="6B748DAB" w14:textId="4901C518" w:rsidR="00905D05" w:rsidRPr="00905D05" w:rsidRDefault="00905D05" w:rsidP="00905D05">
      <w:pPr>
        <w:spacing w:line="480" w:lineRule="auto"/>
        <w:jc w:val="both"/>
        <w:rPr>
          <w:rFonts w:ascii="Arial" w:hAnsi="Arial"/>
          <w:i/>
        </w:rPr>
      </w:pPr>
      <w:r w:rsidRPr="00905D05">
        <w:rPr>
          <w:rFonts w:ascii="Arial" w:hAnsi="Arial"/>
          <w:i/>
        </w:rPr>
        <w:t>Other relevant features</w:t>
      </w:r>
    </w:p>
    <w:p w14:paraId="393D305E" w14:textId="4BAFB48D" w:rsidR="00905D05" w:rsidRDefault="00905D05" w:rsidP="00B85900">
      <w:pPr>
        <w:spacing w:line="480" w:lineRule="auto"/>
        <w:ind w:firstLine="720"/>
        <w:jc w:val="both"/>
        <w:rPr>
          <w:rFonts w:ascii="Arial" w:hAnsi="Arial"/>
        </w:rPr>
      </w:pPr>
      <w:r w:rsidRPr="00835C54">
        <w:rPr>
          <w:rFonts w:ascii="Arial" w:hAnsi="Arial"/>
        </w:rPr>
        <w:t>Qualitative research</w:t>
      </w:r>
      <w:r>
        <w:rPr>
          <w:rFonts w:ascii="Arial" w:hAnsi="Arial"/>
        </w:rPr>
        <w:t xml:space="preserve"> to date</w:t>
      </w:r>
      <w:r w:rsidRPr="00835C54">
        <w:rPr>
          <w:rFonts w:ascii="Arial" w:hAnsi="Arial"/>
        </w:rPr>
        <w:t xml:space="preserve"> has</w:t>
      </w:r>
      <w:r>
        <w:rPr>
          <w:rFonts w:ascii="Arial" w:hAnsi="Arial"/>
        </w:rPr>
        <w:t xml:space="preserve"> also</w:t>
      </w:r>
      <w:r w:rsidRPr="00835C54">
        <w:rPr>
          <w:rFonts w:ascii="Arial" w:hAnsi="Arial"/>
        </w:rPr>
        <w:t xml:space="preserve"> highlighted a number of common perceptions and experiences amongst patients with FND that contribute to the burden of illness and impaired quality of life</w:t>
      </w:r>
      <w:r>
        <w:rPr>
          <w:rFonts w:ascii="Arial" w:hAnsi="Arial"/>
        </w:rPr>
        <w:fldChar w:fldCharType="begin" w:fldLock="1"/>
      </w:r>
      <w:r w:rsidR="00F24E13">
        <w:rPr>
          <w:rFonts w:ascii="Arial" w:hAnsi="Arial"/>
        </w:rPr>
        <w:instrText>ADDIN CSL_CITATION {"citationItems":[{"id":"ITEM-1","itemData":{"DOI":"10.1080/09638288.2018.1550685","ISSN":"14645165","abstract":"BACKGROUND: Patients with functional motor disorder are perceived as difficult by health care professionals, but we know very little about the patients' perspective. Understanding the experiences and perceptions of patients could help to improve clinical services and patient outcomes. PURPOSE: To explore the experiences and perspectives of patients with functional motor disorder using qualitative research methods. METHODS: This qualitative study was embedded within a feasibility study of specialist physiotherapy. Eleven patients with functional motor disorder participated in semi-structured qualitative interviews prior to receiving treatment. The interview transcripts were subjected to an inductive thematic analysis. RESULTS: The data were arranged into six themes: (1) the burden of living with functional motor disorder; (2) nobody knew what was wrong; (3) dissatisfaction with psychological explanations; (4) patients feel abandoned; (5) iatrogenic harm; and (6) powerlessness. DISCUSSION AND CONCLUSION: The study participants experienced substantial physical and emotional burdens associated with functional motor disorder. They were generally dissatisfied with psychological explanations for their symptoms and commonly felt misunderstood and abandoned by health care professionals, which appeared to leave them vulnerable to iatrogenic harm. A lack of understanding of functional motor disorder left participants feeling unable to help themselves. This research highlights a number of inadequacies within current clinical services for patients with functional motor disorder. Implications for rehabilitation Careful communication is required to help patients understand and accept the diagnosis of functional motor disorder. It is important to listen to the patient's narrative in order to help them make sense of their illness experience. A nuanced biopsychosocial explanatory model is needed to help patients understand how psychological factors can be relevant to physical symptoms and symptoms that are often perceived to be precipitated by a physical event. A lack of understanding and acceptance of the diagnosis may leave patients vulnerable to iatrogenic harm and powerless to help themselves.","author":[{"dropping-particle":"","family":"Nielsen","given":"Glenn","non-dropping-particle":"","parse-names":false,"suffix":""},{"dropping-particle":"","family":"Buszewicz","given":"Marta","non-dropping-particle":"","parse-names":false,"suffix":""},{"dropping-particle":"","family":"Edwards","given":"Mark J.","non-dropping-particle":"","parse-names":false,"suffix":""},{"dropping-particle":"","family":"Stevenson","given":"Fiona","non-dropping-particle":"","parse-names":false,"suffix":""}],"container-title":"Disability and Rehabilitation","id":"ITEM-1","issued":{"date-parts":[["2018"]]},"title":"A qualitative study of the experiences and perceptions of patients with functional motor disorder","type":"article-newspaper"},"uris":["http://www.mendeley.com/documents/?uuid=809a6181-471c-4478-a4d1-abf8819c9c9b"]}],"mendeley":{"formattedCitation":"{57}","plainTextFormattedCitation":"{57}","previouslyFormattedCitation":"{56}"},"properties":{"noteIndex":0},"schema":"https://github.com/citation-style-language/schema/raw/master/csl-citation.json"}</w:instrText>
      </w:r>
      <w:r>
        <w:rPr>
          <w:rFonts w:ascii="Arial" w:hAnsi="Arial"/>
        </w:rPr>
        <w:fldChar w:fldCharType="separate"/>
      </w:r>
      <w:r w:rsidR="00F24E13" w:rsidRPr="00F24E13">
        <w:rPr>
          <w:rFonts w:ascii="Arial" w:hAnsi="Arial"/>
          <w:noProof/>
        </w:rPr>
        <w:t>{57}</w:t>
      </w:r>
      <w:r>
        <w:rPr>
          <w:rFonts w:ascii="Arial" w:hAnsi="Arial"/>
        </w:rPr>
        <w:fldChar w:fldCharType="end"/>
      </w:r>
      <w:r>
        <w:rPr>
          <w:rFonts w:ascii="Arial" w:hAnsi="Arial"/>
        </w:rPr>
        <w:fldChar w:fldCharType="begin" w:fldLock="1"/>
      </w:r>
      <w:r w:rsidR="00F24E13">
        <w:rPr>
          <w:rFonts w:ascii="Arial" w:hAnsi="Arial"/>
        </w:rPr>
        <w:instrText>ADDIN CSL_CITATION {"citationItems":[{"id":"ITEM-1","itemData":{"DOI":"10.1016/j.seizure.2016.07.014","ISSN":"15322688","abstract":"Purpose This is a narrative systematic synthesis of qualitative research investigating patients’ accounts of living with psychogenic nonepileptic seizures (PNES). Qualitative methodologies allow patients to share lived experiences in their own words. The examination of patients’ own accounts is likely to offer revealing insights into a poorly understood, heterogeneous disorder. Methods We identified 21 separate studies about PNES published after 1996 and based on analyses of patients’ own words. Papers were synthesised inductively and deductively using an iterative approach. Results Five key themes emerged from the synthesis of studies capturing accounts from over 220 patients, reflecting experiences of seizure events, diagnosis, treatment and management, emotional events, and impact on daily life. Patients with PNES discussed the phenomenology of their seizures differently from those with epilepsy. PNES were experientially heterogeneous. Many patients shared a sense of uncertainty surrounding PNES, often resisting psychological explanations. Negative experiences with healthcare professionals were common. Patients seeking validation of their experiences often reported feeling ignored or doubted. Many reported past or current stressful events. Some demonstrated insight into their methods of emotional processing. PNES were described as a significant burden associated with financial and psychosocial losses. Conclusions Qualitative studies have produced helpful insights into patients’ experiences of living with PNES, but many patient groups (men, young people, elderly, non-Western patients) are underrepresented in studies carried out to date. Research capturing these patient groups and using new methods of data collection and qualitative analysis could help to deepen our understanding of this disorder.","author":[{"dropping-particle":"","family":"Rawlings","given":"Gregg H.","non-dropping-particle":"","parse-names":false,"suffix":""},{"dropping-particle":"","family":"Reuber","given":"Markus","non-dropping-particle":"","parse-names":false,"suffix":""}],"container-title":"Seizure","id":"ITEM-1","issued":{"date-parts":[["2016"]]},"title":"What patients say about living with psychogenic nonepileptic seizures: A systematic synthesis of qualitative studies","type":"article"},"uris":["http://www.mendeley.com/documents/?uuid=46f0e1f1-181a-47b1-90e5-85d95d09686d"]}],"mendeley":{"formattedCitation":"{58}","plainTextFormattedCitation":"{58}","previouslyFormattedCitation":"{57}"},"properties":{"noteIndex":0},"schema":"https://github.com/citation-style-language/schema/raw/master/csl-citation.json"}</w:instrText>
      </w:r>
      <w:r>
        <w:rPr>
          <w:rFonts w:ascii="Arial" w:hAnsi="Arial"/>
        </w:rPr>
        <w:fldChar w:fldCharType="separate"/>
      </w:r>
      <w:r w:rsidR="00F24E13" w:rsidRPr="00F24E13">
        <w:rPr>
          <w:rFonts w:ascii="Arial" w:hAnsi="Arial"/>
          <w:noProof/>
        </w:rPr>
        <w:t>{58}</w:t>
      </w:r>
      <w:r>
        <w:rPr>
          <w:rFonts w:ascii="Arial" w:hAnsi="Arial"/>
        </w:rPr>
        <w:fldChar w:fldCharType="end"/>
      </w:r>
      <w:r>
        <w:rPr>
          <w:rFonts w:ascii="Arial" w:hAnsi="Arial"/>
        </w:rPr>
        <w:fldChar w:fldCharType="begin" w:fldLock="1"/>
      </w:r>
      <w:r w:rsidR="00F24E13">
        <w:rPr>
          <w:rFonts w:ascii="Arial" w:hAnsi="Arial"/>
        </w:rPr>
        <w:instrText>ADDIN CSL_CITATION {"citationItems":[{"id":"ITEM-1","itemData":{"DOI":"S0738399104000989 [pii]\r10.1016/j.pec.2004.02.010","ISBN":"0738-3991 (Print)","PMID":"15653250","abstract":"This paper reports on a qualitative study, which explores the narratives of patients, who live with medically unexplained symptoms (MUS) and who have not secured a diagnostic label. Interviews were undertaken with 18 participants (5 men and 13 women) who attended a neurology outpatients department in the UK. Three features of the patients' narratives identified are: the 'chaotic' structure of their illness narratives; concern that symptoms may be 'all in the mind'; and their status as 'medical orphans'. All the patients acknowledge that diagnosis is difficult and accept that a medical explanation will invariably be possible. However, they are more concerned to secure some form of ongoing medical and social support. An understanding of both the structure as well as the content of patients' narratives of undiagnosed illness may contribute to the development of more effective and sensitive patient centred care.","author":[{"dropping-particle":"","family":"Nettleton","given":"S","non-dropping-particle":"","parse-names":false,"suffix":""},{"dropping-particle":"","family":"Watt","given":"I","non-dropping-particle":"","parse-names":false,"suffix":""},{"dropping-particle":"","family":"O'Malley","given":"L","non-dropping-particle":"","parse-names":false,"suffix":""},{"dropping-particle":"","family":"Duffey","given":"P","non-dropping-particle":"","parse-names":false,"suffix":""}],"container-title":"Patient Educ Couns","edition":"2005/01/18","id":"ITEM-1","issue":"2","issued":{"date-parts":[["2005"]]},"language":"eng","note":"Nettleton, Sarah\nWatt, Ian\nO'Malley, Lisa\nDuffey, Philip\nResearch Support, Non-U.S. Gov't\nIreland\nPatient education and counseling\nPatient Educ Couns. 2005 Feb;56(2):205-10.","page":"205-210","title":"Understanding the narratives of people who live with medically unexplained illness","type":"article-journal","volume":"56"},"uris":["http://www.mendeley.com/documents/?uuid=6f17ac62-1591-4921-95e8-727a32d12baf"]}],"mendeley":{"formattedCitation":"{59}","plainTextFormattedCitation":"{59}","previouslyFormattedCitation":"{58}"},"properties":{"noteIndex":0},"schema":"https://github.com/citation-style-language/schema/raw/master/csl-citation.json"}</w:instrText>
      </w:r>
      <w:r>
        <w:rPr>
          <w:rFonts w:ascii="Arial" w:hAnsi="Arial"/>
        </w:rPr>
        <w:fldChar w:fldCharType="separate"/>
      </w:r>
      <w:r w:rsidR="00F24E13" w:rsidRPr="00F24E13">
        <w:rPr>
          <w:rFonts w:ascii="Arial" w:hAnsi="Arial"/>
          <w:noProof/>
        </w:rPr>
        <w:t>{59}</w:t>
      </w:r>
      <w:r>
        <w:rPr>
          <w:rFonts w:ascii="Arial" w:hAnsi="Arial"/>
        </w:rPr>
        <w:fldChar w:fldCharType="end"/>
      </w:r>
      <w:r>
        <w:rPr>
          <w:rFonts w:ascii="Arial" w:hAnsi="Arial"/>
        </w:rPr>
        <w:fldChar w:fldCharType="begin" w:fldLock="1"/>
      </w:r>
      <w:r w:rsidR="00F24E13">
        <w:rPr>
          <w:rFonts w:ascii="Arial" w:hAnsi="Arial"/>
        </w:rPr>
        <w:instrText>ADDIN CSL_CITATION {"citationItems":[{"id":"ITEM-1","itemData":{"DOI":"10.1016/j.yebeh.2018.04.019","ISSN":"15255069","abstract":"Background: Psychological interventions may enhance health-related quality of life in people with epilepsy. The concepts of self-efficacy and mastery may be particularly relevant in the context of epilepsy. To date, the investigation of psychological interventions has not included a qualitative analysis of the effects of such interventions on the interrelation between mastery and general and epilepsy-specific self-efficacy. This qualitative study aimed to explore the relationship between the lived experiences of these concepts in people with epilepsy who participated in a resource-oriented and mindfulness-based psychotherapeutic intervention delivered on a one-to-one basis in an outpatient setting. Methods: Semi-structured pre- and postintervention interviews were conducted with people with epilepsy who participated in a six-month resource-oriented and mindfulness-based intervention. The formulation of intervention goals was based on the preintervention interviews. The intervention involved regular one-to-one interactions with the therapist, journal-keeping, and mindfulness-based relaxation. Qualitative content analysis of pre- and posttherapy interviews was conducted to characterize changes in subjective experiences. Results: Nine people with epilepsy aged 18–59 years participated in 9 to 22 (median 13) sessions. The following six main themes emerged: (A) Encouragement of individual solutions, (B) Awareness of the link of personal traits with seizure-related worries, (C) How to develop self-efficacy, (D) Shaping everyday life in a way that is good for oneself (general self-efficacy), (E) Coping with seizures (seizure-related self-efficacy), (F) Epilepsy as a means of increasing self-knowledge and control over one's life (sense of mastery). The patients’ development of self-efficacy was motivated by their personal initial goals and facilitated by the encouragement to find individual solutions and an increased awareness of the link of personal traits with seizure-related worries. A sense of mastery only emerged through the development of general self-efficacy and as a result of the active self-examination prompted by the challenge of living with epilepsy. Conclusion: The qualitative differences observed before and after a psychotherapeutic intervention for individuals with epilepsy increase our understanding of the complex process of psychotherapy-associated change involving self-efficacy and mastery and highlight the contribution that qualitative resear…","author":[{"dropping-particle":"","family":"Michaelis","given":"Rosa","non-dropping-particle":"","parse-names":false,"suffix":""},{"dropping-particle":"","family":"Niedermann","given":"Christina","non-dropping-particle":"","parse-names":false,"suffix":""},{"dropping-particle":"","family":"Reuber","given":"Markus","non-dropping-particle":"","parse-names":false,"suffix":""},{"dropping-particle":"","family":"Kuthe","given":"Martin","non-dropping-particle":"","parse-names":false,"suffix":""},{"dropping-particle":"","family":"Berger","given":"Bettina","non-dropping-particle":"","parse-names":false,"suffix":""}],"container-title":"Epilepsy and Behavior","id":"ITEM-1","issued":{"date-parts":[["2018"]]},"title":"“Seizures have become a means of somehow learning things about myself” — A qualitative study of the development of self-efficacy and mastery during a psychotherapeutic intervention for people with epilepsy","type":"article-journal"},"uris":["http://www.mendeley.com/documents/?uuid=becb3625-7330-4560-8804-76e27c43e89d","http://www.mendeley.com/documents/?uuid=9a826fa8-4b1e-4ace-afec-0e7a891663b4"]}],"mendeley":{"formattedCitation":"{60}","plainTextFormattedCitation":"{60}","previouslyFormattedCitation":"{59}"},"properties":{"noteIndex":0},"schema":"https://github.com/citation-style-language/schema/raw/master/csl-citation.json"}</w:instrText>
      </w:r>
      <w:r>
        <w:rPr>
          <w:rFonts w:ascii="Arial" w:hAnsi="Arial"/>
        </w:rPr>
        <w:fldChar w:fldCharType="separate"/>
      </w:r>
      <w:r w:rsidR="00F24E13" w:rsidRPr="00F24E13">
        <w:rPr>
          <w:rFonts w:ascii="Arial" w:hAnsi="Arial"/>
          <w:noProof/>
        </w:rPr>
        <w:t>{60}</w:t>
      </w:r>
      <w:r>
        <w:rPr>
          <w:rFonts w:ascii="Arial" w:hAnsi="Arial"/>
        </w:rPr>
        <w:fldChar w:fldCharType="end"/>
      </w:r>
      <w:r>
        <w:rPr>
          <w:rFonts w:ascii="Arial" w:hAnsi="Arial"/>
        </w:rPr>
        <w:t xml:space="preserve">. </w:t>
      </w:r>
      <w:r w:rsidRPr="00835C54">
        <w:rPr>
          <w:rFonts w:ascii="Arial" w:hAnsi="Arial"/>
        </w:rPr>
        <w:t>Capturing the distress associated with these experiences may be important to accurately measure the benefit of appropriate treatment. Relevant qualitative findings include</w:t>
      </w:r>
      <w:r>
        <w:rPr>
          <w:rFonts w:ascii="Arial" w:hAnsi="Arial"/>
        </w:rPr>
        <w:t>: 1. A</w:t>
      </w:r>
      <w:r w:rsidRPr="00835C54">
        <w:rPr>
          <w:rFonts w:ascii="Arial" w:hAnsi="Arial"/>
        </w:rPr>
        <w:t xml:space="preserve"> lack of understanding of one’s symptoms</w:t>
      </w:r>
      <w:r w:rsidR="00BC72BA">
        <w:rPr>
          <w:rFonts w:ascii="Arial" w:hAnsi="Arial"/>
        </w:rPr>
        <w:t xml:space="preserve"> (and related illness beliefs)</w:t>
      </w:r>
      <w:r w:rsidRPr="00835C54">
        <w:rPr>
          <w:rFonts w:ascii="Arial" w:hAnsi="Arial"/>
        </w:rPr>
        <w:t xml:space="preserve"> leading to feeling powerless and fearing a future with </w:t>
      </w:r>
      <w:r>
        <w:rPr>
          <w:rFonts w:ascii="Arial" w:hAnsi="Arial"/>
        </w:rPr>
        <w:t>deteriorating health, 2. A</w:t>
      </w:r>
      <w:r w:rsidRPr="00835C54">
        <w:rPr>
          <w:rFonts w:ascii="Arial" w:hAnsi="Arial"/>
        </w:rPr>
        <w:t xml:space="preserve"> perceived or experienced lack of appropriate support leaves many patients</w:t>
      </w:r>
      <w:r>
        <w:rPr>
          <w:rFonts w:ascii="Arial" w:hAnsi="Arial"/>
        </w:rPr>
        <w:t xml:space="preserve"> feeling abandoned and isolated, 3. Associated</w:t>
      </w:r>
      <w:r w:rsidRPr="00835C54">
        <w:rPr>
          <w:rFonts w:ascii="Arial" w:hAnsi="Arial"/>
        </w:rPr>
        <w:t xml:space="preserve"> with this is the perception or experience that their diagnosis does not allow access to appropriate levels of social support such as financial benefits and allowances for disability</w:t>
      </w:r>
      <w:r>
        <w:rPr>
          <w:rFonts w:ascii="Arial" w:hAnsi="Arial"/>
        </w:rPr>
        <w:t>, 4. Patients (and therapists)</w:t>
      </w:r>
      <w:r w:rsidR="00754268">
        <w:rPr>
          <w:rFonts w:ascii="Arial" w:hAnsi="Arial"/>
        </w:rPr>
        <w:t xml:space="preserve"> describe patient</w:t>
      </w:r>
      <w:r>
        <w:rPr>
          <w:rFonts w:ascii="Arial" w:hAnsi="Arial"/>
        </w:rPr>
        <w:t xml:space="preserve"> resources such as their level of self-compassion and mastery</w:t>
      </w:r>
      <w:r w:rsidR="00754268">
        <w:rPr>
          <w:rFonts w:ascii="Arial" w:hAnsi="Arial"/>
        </w:rPr>
        <w:t xml:space="preserve"> as of potential importance</w:t>
      </w:r>
      <w:r w:rsidRPr="00835C54">
        <w:rPr>
          <w:rFonts w:ascii="Arial" w:hAnsi="Arial"/>
        </w:rPr>
        <w:t xml:space="preserve">. Domains </w:t>
      </w:r>
      <w:r>
        <w:rPr>
          <w:rFonts w:ascii="Arial" w:hAnsi="Arial"/>
        </w:rPr>
        <w:t>of measurement that can</w:t>
      </w:r>
      <w:r w:rsidRPr="00835C54">
        <w:rPr>
          <w:rFonts w:ascii="Arial" w:hAnsi="Arial"/>
        </w:rPr>
        <w:t xml:space="preserve"> capture these important issues may include understanding, symptom threat, perceived support and self-efficacy</w:t>
      </w:r>
      <w:r w:rsidR="00D34045">
        <w:rPr>
          <w:rFonts w:ascii="Arial" w:hAnsi="Arial"/>
        </w:rPr>
        <w:t xml:space="preserve"> as well as patient satisfaction.</w:t>
      </w:r>
    </w:p>
    <w:p w14:paraId="14ACAA06" w14:textId="77777777" w:rsidR="00905D05" w:rsidRDefault="00905D05" w:rsidP="00B85900">
      <w:pPr>
        <w:spacing w:line="480" w:lineRule="auto"/>
        <w:ind w:firstLine="720"/>
        <w:jc w:val="both"/>
        <w:rPr>
          <w:rFonts w:ascii="Arial" w:hAnsi="Arial"/>
        </w:rPr>
      </w:pPr>
    </w:p>
    <w:p w14:paraId="47215D69" w14:textId="77777777" w:rsidR="00754268" w:rsidRDefault="00754268">
      <w:pPr>
        <w:rPr>
          <w:rFonts w:ascii="Arial" w:hAnsi="Arial" w:cs="Arial"/>
          <w:b/>
          <w:sz w:val="28"/>
        </w:rPr>
      </w:pPr>
      <w:r>
        <w:rPr>
          <w:rFonts w:ascii="Arial" w:hAnsi="Arial" w:cs="Arial"/>
          <w:b/>
          <w:sz w:val="28"/>
        </w:rPr>
        <w:br w:type="page"/>
      </w:r>
    </w:p>
    <w:p w14:paraId="21F047E5" w14:textId="4961C723" w:rsidR="00300962" w:rsidRPr="00B85900" w:rsidRDefault="00300962" w:rsidP="00B85900">
      <w:pPr>
        <w:spacing w:line="480" w:lineRule="auto"/>
        <w:jc w:val="both"/>
        <w:rPr>
          <w:rFonts w:ascii="Arial" w:hAnsi="Arial"/>
        </w:rPr>
      </w:pPr>
      <w:bookmarkStart w:id="3" w:name="_Hlk11082342"/>
      <w:r w:rsidRPr="00A33DE4">
        <w:rPr>
          <w:rFonts w:ascii="Arial" w:hAnsi="Arial" w:cs="Arial"/>
          <w:b/>
          <w:sz w:val="28"/>
        </w:rPr>
        <w:lastRenderedPageBreak/>
        <w:t>Examples from related disorders</w:t>
      </w:r>
    </w:p>
    <w:bookmarkEnd w:id="3"/>
    <w:p w14:paraId="0B11A860" w14:textId="77777777" w:rsidR="00422718" w:rsidRDefault="00422718" w:rsidP="00113231">
      <w:pPr>
        <w:spacing w:line="480" w:lineRule="auto"/>
        <w:ind w:firstLine="720"/>
        <w:jc w:val="both"/>
        <w:rPr>
          <w:rFonts w:ascii="Arial" w:hAnsi="Arial" w:cs="Arial"/>
        </w:rPr>
      </w:pPr>
    </w:p>
    <w:p w14:paraId="47EDEE40" w14:textId="373E7F5B" w:rsidR="00422718" w:rsidRDefault="00422718" w:rsidP="0097560C">
      <w:pPr>
        <w:spacing w:line="480" w:lineRule="auto"/>
        <w:ind w:firstLine="720"/>
        <w:jc w:val="both"/>
        <w:rPr>
          <w:rFonts w:ascii="Arial" w:hAnsi="Arial"/>
        </w:rPr>
      </w:pPr>
      <w:r w:rsidRPr="001B6571">
        <w:rPr>
          <w:rFonts w:ascii="Arial" w:hAnsi="Arial"/>
        </w:rPr>
        <w:t>When considering outcome measure design and selection in FND it is potentially helpful to look at what has</w:t>
      </w:r>
      <w:r w:rsidR="00897373">
        <w:rPr>
          <w:rFonts w:ascii="Arial" w:hAnsi="Arial"/>
        </w:rPr>
        <w:t xml:space="preserve"> been designed and used in related</w:t>
      </w:r>
      <w:r w:rsidRPr="001B6571">
        <w:rPr>
          <w:rFonts w:ascii="Arial" w:hAnsi="Arial"/>
        </w:rPr>
        <w:t xml:space="preserve"> disorders</w:t>
      </w:r>
      <w:r w:rsidR="009F1063">
        <w:rPr>
          <w:rFonts w:ascii="Arial" w:hAnsi="Arial"/>
        </w:rPr>
        <w:t>,</w:t>
      </w:r>
      <w:r w:rsidR="00897373">
        <w:rPr>
          <w:rFonts w:ascii="Arial" w:hAnsi="Arial"/>
        </w:rPr>
        <w:t xml:space="preserve"> although it isn’t clear which</w:t>
      </w:r>
      <w:r w:rsidRPr="001B6571">
        <w:rPr>
          <w:rFonts w:ascii="Arial" w:hAnsi="Arial"/>
        </w:rPr>
        <w:t xml:space="preserve"> disorders</w:t>
      </w:r>
      <w:r w:rsidR="00897373">
        <w:rPr>
          <w:rFonts w:ascii="Arial" w:hAnsi="Arial"/>
        </w:rPr>
        <w:t xml:space="preserve"> are the best model</w:t>
      </w:r>
      <w:r w:rsidR="009F1063">
        <w:rPr>
          <w:rFonts w:ascii="Arial" w:hAnsi="Arial"/>
        </w:rPr>
        <w:t>s</w:t>
      </w:r>
      <w:r w:rsidR="00897373">
        <w:rPr>
          <w:rFonts w:ascii="Arial" w:hAnsi="Arial"/>
        </w:rPr>
        <w:t xml:space="preserve"> for FND.</w:t>
      </w:r>
      <w:r w:rsidRPr="001B6571">
        <w:rPr>
          <w:rFonts w:ascii="Arial" w:hAnsi="Arial"/>
        </w:rPr>
        <w:t xml:space="preserve"> </w:t>
      </w:r>
      <w:r>
        <w:rPr>
          <w:rFonts w:ascii="Arial" w:hAnsi="Arial" w:cs="Arial"/>
        </w:rPr>
        <w:t>Given that</w:t>
      </w:r>
      <w:r w:rsidRPr="001B6571">
        <w:rPr>
          <w:rFonts w:ascii="Arial" w:hAnsi="Arial"/>
        </w:rPr>
        <w:t xml:space="preserve"> FND is </w:t>
      </w:r>
      <w:r w:rsidR="009F1063">
        <w:rPr>
          <w:rFonts w:ascii="Arial" w:hAnsi="Arial" w:cs="Arial"/>
        </w:rPr>
        <w:t>the</w:t>
      </w:r>
      <w:r w:rsidRPr="001B6571">
        <w:rPr>
          <w:rFonts w:ascii="Arial" w:hAnsi="Arial"/>
        </w:rPr>
        <w:t xml:space="preserve"> paradigmatic functional disorder at the </w:t>
      </w:r>
      <w:r>
        <w:rPr>
          <w:rFonts w:ascii="Arial" w:hAnsi="Arial"/>
        </w:rPr>
        <w:t xml:space="preserve">interface </w:t>
      </w:r>
      <w:r w:rsidRPr="001B6571">
        <w:rPr>
          <w:rFonts w:ascii="Arial" w:hAnsi="Arial"/>
        </w:rPr>
        <w:t xml:space="preserve">of </w:t>
      </w:r>
      <w:r w:rsidR="0096418E">
        <w:rPr>
          <w:rFonts w:ascii="Arial" w:hAnsi="Arial"/>
        </w:rPr>
        <w:t>medic</w:t>
      </w:r>
      <w:r w:rsidR="00924286">
        <w:rPr>
          <w:rFonts w:ascii="Arial" w:hAnsi="Arial"/>
        </w:rPr>
        <w:t>ine</w:t>
      </w:r>
      <w:r w:rsidR="0096418E">
        <w:rPr>
          <w:rFonts w:ascii="Arial" w:hAnsi="Arial"/>
        </w:rPr>
        <w:t xml:space="preserve">, </w:t>
      </w:r>
      <w:r w:rsidRPr="001B6571">
        <w:rPr>
          <w:rFonts w:ascii="Arial" w:hAnsi="Arial"/>
        </w:rPr>
        <w:t>neurology</w:t>
      </w:r>
      <w:r w:rsidR="0096418E">
        <w:rPr>
          <w:rFonts w:ascii="Arial" w:hAnsi="Arial"/>
        </w:rPr>
        <w:t>,</w:t>
      </w:r>
      <w:r w:rsidRPr="001B6571">
        <w:rPr>
          <w:rFonts w:ascii="Arial" w:hAnsi="Arial"/>
        </w:rPr>
        <w:t xml:space="preserve"> psychiatry</w:t>
      </w:r>
      <w:r>
        <w:rPr>
          <w:rFonts w:ascii="Arial" w:hAnsi="Arial" w:cs="Arial"/>
        </w:rPr>
        <w:t>,</w:t>
      </w:r>
      <w:r w:rsidRPr="001B6571">
        <w:rPr>
          <w:rFonts w:ascii="Arial" w:hAnsi="Arial"/>
        </w:rPr>
        <w:t xml:space="preserve"> </w:t>
      </w:r>
      <w:r w:rsidR="00CB022B">
        <w:rPr>
          <w:rFonts w:ascii="Arial" w:hAnsi="Arial"/>
        </w:rPr>
        <w:t xml:space="preserve">and psychology, </w:t>
      </w:r>
      <w:r w:rsidRPr="001B6571">
        <w:rPr>
          <w:rFonts w:ascii="Arial" w:hAnsi="Arial"/>
        </w:rPr>
        <w:t xml:space="preserve">a case for </w:t>
      </w:r>
      <w:r>
        <w:rPr>
          <w:rFonts w:ascii="Arial" w:hAnsi="Arial" w:cs="Arial"/>
        </w:rPr>
        <w:t xml:space="preserve">model </w:t>
      </w:r>
      <w:r w:rsidRPr="001B6571">
        <w:rPr>
          <w:rFonts w:ascii="Arial" w:hAnsi="Arial"/>
        </w:rPr>
        <w:t xml:space="preserve">disorders from </w:t>
      </w:r>
      <w:r w:rsidR="0096418E">
        <w:rPr>
          <w:rFonts w:ascii="Arial" w:hAnsi="Arial"/>
        </w:rPr>
        <w:t>the</w:t>
      </w:r>
      <w:r w:rsidR="00924286">
        <w:rPr>
          <w:rFonts w:ascii="Arial" w:hAnsi="Arial"/>
        </w:rPr>
        <w:t>se</w:t>
      </w:r>
      <w:r w:rsidR="0096418E" w:rsidRPr="001B6571">
        <w:rPr>
          <w:rFonts w:ascii="Arial" w:hAnsi="Arial"/>
        </w:rPr>
        <w:t xml:space="preserve"> </w:t>
      </w:r>
      <w:r w:rsidRPr="001B6571">
        <w:rPr>
          <w:rFonts w:ascii="Arial" w:hAnsi="Arial"/>
        </w:rPr>
        <w:t>specialities can be made</w:t>
      </w:r>
      <w:r w:rsidRPr="001B6571">
        <w:rPr>
          <w:rFonts w:ascii="Arial" w:hAnsi="Arial" w:cs="Arial"/>
        </w:rPr>
        <w:t xml:space="preserve">. </w:t>
      </w:r>
      <w:r w:rsidRPr="001B6571">
        <w:rPr>
          <w:rFonts w:ascii="Arial" w:hAnsi="Arial"/>
        </w:rPr>
        <w:t xml:space="preserve">There is also a </w:t>
      </w:r>
      <w:r w:rsidR="001F1D9F">
        <w:rPr>
          <w:rFonts w:ascii="Arial" w:hAnsi="Arial"/>
        </w:rPr>
        <w:t xml:space="preserve">clear </w:t>
      </w:r>
      <w:r w:rsidRPr="001B6571">
        <w:rPr>
          <w:rFonts w:ascii="Arial" w:hAnsi="Arial"/>
        </w:rPr>
        <w:t>rationale for considering other functional disorders</w:t>
      </w:r>
      <w:r w:rsidR="0096418E">
        <w:rPr>
          <w:rFonts w:ascii="Arial" w:hAnsi="Arial"/>
        </w:rPr>
        <w:t>, given the</w:t>
      </w:r>
      <w:r w:rsidR="00A66AC7">
        <w:rPr>
          <w:rFonts w:ascii="Arial" w:hAnsi="Arial"/>
        </w:rPr>
        <w:t xml:space="preserve"> </w:t>
      </w:r>
      <w:r w:rsidR="00824164">
        <w:rPr>
          <w:rFonts w:ascii="Arial" w:hAnsi="Arial"/>
        </w:rPr>
        <w:t xml:space="preserve">often significant </w:t>
      </w:r>
      <w:r w:rsidR="00A66AC7">
        <w:rPr>
          <w:rFonts w:ascii="Arial" w:hAnsi="Arial"/>
        </w:rPr>
        <w:t>o</w:t>
      </w:r>
      <w:r w:rsidR="00824164">
        <w:rPr>
          <w:rFonts w:ascii="Arial" w:hAnsi="Arial"/>
        </w:rPr>
        <w:t>verlap in clinical features between</w:t>
      </w:r>
      <w:r w:rsidR="00A66AC7">
        <w:rPr>
          <w:rFonts w:ascii="Arial" w:hAnsi="Arial"/>
        </w:rPr>
        <w:t xml:space="preserve"> these disorders and </w:t>
      </w:r>
      <w:proofErr w:type="gramStart"/>
      <w:r w:rsidR="00A66AC7">
        <w:rPr>
          <w:rFonts w:ascii="Arial" w:hAnsi="Arial"/>
        </w:rPr>
        <w:t>FND.</w:t>
      </w:r>
      <w:r w:rsidRPr="001B6571">
        <w:rPr>
          <w:rFonts w:ascii="Arial" w:hAnsi="Arial"/>
        </w:rPr>
        <w:t>.</w:t>
      </w:r>
      <w:proofErr w:type="gramEnd"/>
      <w:r w:rsidRPr="001B6571">
        <w:rPr>
          <w:rFonts w:ascii="Arial" w:hAnsi="Arial"/>
        </w:rPr>
        <w:t xml:space="preserve"> </w:t>
      </w:r>
    </w:p>
    <w:p w14:paraId="696342E9" w14:textId="41B27F45" w:rsidR="00F24E13" w:rsidRDefault="00422718" w:rsidP="00422718">
      <w:pPr>
        <w:spacing w:line="480" w:lineRule="auto"/>
        <w:ind w:firstLine="720"/>
        <w:jc w:val="both"/>
        <w:rPr>
          <w:rFonts w:ascii="Arial" w:hAnsi="Arial"/>
        </w:rPr>
      </w:pPr>
      <w:r w:rsidRPr="001B6571">
        <w:rPr>
          <w:rFonts w:ascii="Arial" w:hAnsi="Arial"/>
        </w:rPr>
        <w:t xml:space="preserve">Regarding </w:t>
      </w:r>
      <w:r w:rsidR="0021190C">
        <w:rPr>
          <w:rFonts w:ascii="Arial" w:hAnsi="Arial"/>
        </w:rPr>
        <w:t>neurological</w:t>
      </w:r>
      <w:r w:rsidRPr="001B6571">
        <w:rPr>
          <w:rFonts w:ascii="Arial" w:hAnsi="Arial"/>
        </w:rPr>
        <w:t xml:space="preserve"> disorders</w:t>
      </w:r>
      <w:r>
        <w:rPr>
          <w:rFonts w:ascii="Arial" w:hAnsi="Arial"/>
        </w:rPr>
        <w:t>,</w:t>
      </w:r>
      <w:r w:rsidRPr="001B6571">
        <w:rPr>
          <w:rFonts w:ascii="Arial" w:hAnsi="Arial"/>
        </w:rPr>
        <w:t xml:space="preserve"> it </w:t>
      </w:r>
      <w:r>
        <w:rPr>
          <w:rFonts w:ascii="Arial" w:hAnsi="Arial"/>
        </w:rPr>
        <w:t>may be beneficial to consider</w:t>
      </w:r>
      <w:r w:rsidRPr="001B6571">
        <w:rPr>
          <w:rFonts w:ascii="Arial" w:hAnsi="Arial"/>
        </w:rPr>
        <w:t xml:space="preserve"> those that present </w:t>
      </w:r>
      <w:r w:rsidR="00474883">
        <w:rPr>
          <w:rFonts w:ascii="Arial" w:hAnsi="Arial"/>
        </w:rPr>
        <w:t xml:space="preserve">with </w:t>
      </w:r>
      <w:r w:rsidRPr="001B6571">
        <w:rPr>
          <w:rFonts w:ascii="Arial" w:hAnsi="Arial"/>
        </w:rPr>
        <w:t xml:space="preserve">a wide range of </w:t>
      </w:r>
      <w:r w:rsidR="00924286">
        <w:rPr>
          <w:rFonts w:ascii="Arial" w:hAnsi="Arial"/>
        </w:rPr>
        <w:t>neuropsychiatric</w:t>
      </w:r>
      <w:r w:rsidRPr="001B6571">
        <w:rPr>
          <w:rFonts w:ascii="Arial" w:hAnsi="Arial"/>
        </w:rPr>
        <w:t xml:space="preserve"> </w:t>
      </w:r>
      <w:r w:rsidR="008C302C">
        <w:rPr>
          <w:rFonts w:ascii="Arial" w:hAnsi="Arial"/>
        </w:rPr>
        <w:t xml:space="preserve">and psychological </w:t>
      </w:r>
      <w:r w:rsidRPr="001B6571">
        <w:rPr>
          <w:rFonts w:ascii="Arial" w:hAnsi="Arial"/>
        </w:rPr>
        <w:t xml:space="preserve">symptoms </w:t>
      </w:r>
      <w:r w:rsidR="00474883">
        <w:rPr>
          <w:rFonts w:ascii="Arial" w:hAnsi="Arial"/>
        </w:rPr>
        <w:t xml:space="preserve">similar to that </w:t>
      </w:r>
      <w:r w:rsidRPr="001B6571">
        <w:rPr>
          <w:rFonts w:ascii="Arial" w:hAnsi="Arial"/>
        </w:rPr>
        <w:t xml:space="preserve">seen in FND. Examples </w:t>
      </w:r>
      <w:r>
        <w:rPr>
          <w:rFonts w:ascii="Arial" w:hAnsi="Arial"/>
        </w:rPr>
        <w:t>include</w:t>
      </w:r>
      <w:r w:rsidRPr="001B6571">
        <w:rPr>
          <w:rFonts w:ascii="Arial" w:hAnsi="Arial"/>
        </w:rPr>
        <w:t xml:space="preserve"> multiple sc</w:t>
      </w:r>
      <w:r w:rsidR="000C0820">
        <w:rPr>
          <w:rFonts w:ascii="Arial" w:hAnsi="Arial"/>
        </w:rPr>
        <w:t>lerosis and Parkinson’s disease that</w:t>
      </w:r>
      <w:r w:rsidR="00B621DE">
        <w:rPr>
          <w:rFonts w:ascii="Arial" w:hAnsi="Arial"/>
        </w:rPr>
        <w:t>,</w:t>
      </w:r>
      <w:r w:rsidRPr="001B6571">
        <w:rPr>
          <w:rFonts w:ascii="Arial" w:hAnsi="Arial"/>
        </w:rPr>
        <w:t xml:space="preserve"> despite a historical focus on motor function</w:t>
      </w:r>
      <w:r w:rsidR="00474883">
        <w:rPr>
          <w:rFonts w:ascii="Arial" w:hAnsi="Arial"/>
        </w:rPr>
        <w:t>,</w:t>
      </w:r>
      <w:r w:rsidR="000C0820">
        <w:rPr>
          <w:rFonts w:ascii="Arial" w:hAnsi="Arial"/>
        </w:rPr>
        <w:t xml:space="preserve"> </w:t>
      </w:r>
      <w:r w:rsidR="000B1005">
        <w:rPr>
          <w:rFonts w:ascii="Arial" w:hAnsi="Arial"/>
        </w:rPr>
        <w:t>are</w:t>
      </w:r>
      <w:r w:rsidRPr="001B6571">
        <w:rPr>
          <w:rFonts w:ascii="Arial" w:hAnsi="Arial"/>
        </w:rPr>
        <w:t xml:space="preserve"> recogni</w:t>
      </w:r>
      <w:r w:rsidR="0018112C">
        <w:rPr>
          <w:rFonts w:ascii="Arial" w:hAnsi="Arial"/>
        </w:rPr>
        <w:t>z</w:t>
      </w:r>
      <w:r w:rsidRPr="001B6571">
        <w:rPr>
          <w:rFonts w:ascii="Arial" w:hAnsi="Arial"/>
        </w:rPr>
        <w:t xml:space="preserve">ed to have many </w:t>
      </w:r>
      <w:r w:rsidR="000C0820">
        <w:rPr>
          <w:rFonts w:ascii="Arial" w:hAnsi="Arial"/>
        </w:rPr>
        <w:t>non-motor symptoms, including</w:t>
      </w:r>
      <w:r w:rsidR="008C302C">
        <w:rPr>
          <w:rFonts w:ascii="Arial" w:hAnsi="Arial"/>
        </w:rPr>
        <w:t xml:space="preserve"> </w:t>
      </w:r>
      <w:r w:rsidRPr="001B6571">
        <w:rPr>
          <w:rFonts w:ascii="Arial" w:hAnsi="Arial"/>
        </w:rPr>
        <w:t>psychiatric</w:t>
      </w:r>
      <w:r w:rsidR="008C302C">
        <w:rPr>
          <w:rFonts w:ascii="Arial" w:hAnsi="Arial"/>
        </w:rPr>
        <w:t xml:space="preserve">, psychological </w:t>
      </w:r>
      <w:r w:rsidRPr="001B6571">
        <w:rPr>
          <w:rFonts w:ascii="Arial" w:hAnsi="Arial"/>
        </w:rPr>
        <w:t xml:space="preserve">and </w:t>
      </w:r>
      <w:r w:rsidR="008B2DCB">
        <w:rPr>
          <w:rFonts w:ascii="Arial" w:hAnsi="Arial"/>
        </w:rPr>
        <w:t xml:space="preserve">a range of </w:t>
      </w:r>
      <w:r w:rsidRPr="001B6571">
        <w:rPr>
          <w:rFonts w:ascii="Arial" w:hAnsi="Arial"/>
        </w:rPr>
        <w:t>cognitive symptoms</w:t>
      </w:r>
      <w:r w:rsidR="00FB6A18">
        <w:rPr>
          <w:rFonts w:ascii="Arial" w:hAnsi="Arial"/>
        </w:rPr>
        <w:t>, (e.g., depression, cognitive symptoms, among many others)</w:t>
      </w:r>
      <w:r w:rsidR="000B1005">
        <w:rPr>
          <w:rFonts w:ascii="Arial" w:hAnsi="Arial"/>
        </w:rPr>
        <w:t xml:space="preserve">. An extensive scale has been developed for Parkinson’s disease, </w:t>
      </w:r>
      <w:r w:rsidRPr="001B6571">
        <w:rPr>
          <w:rFonts w:ascii="Arial" w:hAnsi="Arial"/>
        </w:rPr>
        <w:t>the</w:t>
      </w:r>
      <w:r w:rsidR="000C0820">
        <w:rPr>
          <w:rFonts w:ascii="Arial" w:hAnsi="Arial"/>
        </w:rPr>
        <w:t xml:space="preserve"> latest version of which is the</w:t>
      </w:r>
      <w:r w:rsidRPr="001B6571">
        <w:rPr>
          <w:rFonts w:ascii="Arial" w:hAnsi="Arial"/>
        </w:rPr>
        <w:t xml:space="preserve"> </w:t>
      </w:r>
      <w:r w:rsidR="00A557DA">
        <w:rPr>
          <w:rFonts w:ascii="Arial" w:hAnsi="Arial"/>
        </w:rPr>
        <w:t xml:space="preserve">Movement Disorder Society revision of the </w:t>
      </w:r>
      <w:r w:rsidR="00897373">
        <w:rPr>
          <w:rFonts w:ascii="Arial" w:hAnsi="Arial" w:cs="Arial"/>
        </w:rPr>
        <w:t>Unified</w:t>
      </w:r>
      <w:r>
        <w:rPr>
          <w:rFonts w:ascii="Arial" w:hAnsi="Arial" w:cs="Arial"/>
          <w:sz w:val="22"/>
        </w:rPr>
        <w:t xml:space="preserve"> </w:t>
      </w:r>
      <w:r w:rsidRPr="001B6571">
        <w:rPr>
          <w:rFonts w:ascii="Arial" w:hAnsi="Arial"/>
        </w:rPr>
        <w:t>Parkins</w:t>
      </w:r>
      <w:r w:rsidR="00F16879">
        <w:rPr>
          <w:rFonts w:ascii="Arial" w:hAnsi="Arial"/>
        </w:rPr>
        <w:t>on’s Disease Rating Scale</w:t>
      </w:r>
      <w:r w:rsidR="00DF1CD4">
        <w:rPr>
          <w:rFonts w:ascii="Arial" w:hAnsi="Arial"/>
        </w:rPr>
        <w:t xml:space="preserve"> (MDS-UPDRS)</w:t>
      </w:r>
      <w:r w:rsidR="00897373">
        <w:rPr>
          <w:rFonts w:ascii="Arial" w:hAnsi="Arial"/>
        </w:rPr>
        <w:fldChar w:fldCharType="begin" w:fldLock="1"/>
      </w:r>
      <w:r w:rsidR="00F24E13">
        <w:rPr>
          <w:rFonts w:ascii="Arial" w:hAnsi="Arial"/>
        </w:rPr>
        <w:instrText>ADDIN CSL_CITATION {"citationItems":[{"id":"ITEM-1","itemData":{"DOI":"10.1002/mds.22340","ISSN":"08853185","abstract":"We present a clinimetric assessment of the Movement Disorder Society (MDS)-sponsored revision of the Unified Parkinson's Disease Rating Scale (MDS-UPDRS). The MDS-UDPRS Task Force revised and expanded the UPDRS using recommendations from a published critique. The MDS-UPDRS has four parts, namely, I: Non-motor Experiences of Daily Living; II: Motor Experiences of Daily Living; III: Motor Examination; IV: Motor Complications. Twenty questions are completed by the patient/caregiver. Item-specific instructions and an appendix of complementary additional scales are provided. Movement disorder specialists and study coordinators administered the UPDRS (55 items) and MDS-UPDRS (65 items) to 877 English speaking (78% non-Latino Caucasian) patients with Parkinson's disease from 39 sites. We compared the two scales using correlative techniques and factor analysis. The MDS-UPDRS showed high internal consistency (Cronbach's alpha = 0.79-0.93 across parts) and correlated with the original UPDRS (rho = 0.96). MDS-UPDRS across-part correlations ranged from 0.22 to 0.66. Reliable factor structures for each part were obtained (comparative fit index &gt; 0.90 for each part), which support the use of sum scores for each part in preference to a total score of all parts. The combined clinimetric results of this study support the validity of the MDS-UPDRS for rating PD.","author":[{"dropping-particle":"","family":"Goetz","given":"Christopher G.","non-dropping-particle":"","parse-names":false,"suffix":""},{"dropping-particle":"","family":"Tilley","given":"Barbara C.","non-dropping-particle":"","parse-names":false,"suffix":""},{"dropping-particle":"","family":"Shaftman","given":"Stephanie R.","non-dropping-particle":"","parse-names":false,"suffix":""},{"dropping-particle":"","family":"Stebbins","given":"Glenn T.","non-dropping-particle":"","parse-names":false,"suffix":""},{"dropping-particle":"","family":"Fahn","given":"Stanley","non-dropping-particle":"","parse-names":false,"suffix":""},{"dropping-particle":"","family":"Martinez-Martin","given":"Pablo","non-dropping-particle":"","parse-names":false,"suffix":""},{"dropping-particle":"","family":"Poewe","given":"Werner","non-dropping-particle":"","parse-names":false,"suffix":""},{"dropping-particle":"","family":"Sampaio","given":"Cristina","non-dropping-particle":"","parse-names":false,"suffix":""},{"dropping-particle":"","family":"Stern","given":"Matthew B.","non-dropping-particle":"","parse-names":false,"suffix":""},{"dropping-particle":"","family":"Dodel","given":"Richard","non-dropping-particle":"","parse-names":false,"suffix":""},{"dropping-particle":"","family":"Dubois","given":"Bruno","non-dropping-particle":"","parse-names":false,"suffix":""},{"dropping-particle":"","family":"Holloway","given":"Robert","non-dropping-particle":"","parse-names":false,"suffix":""},{"dropping-particle":"","family":"Jankovic","given":"Joseph","non-dropping-particle":"","parse-names":false,"suffix":""},{"dropping-particle":"","family":"Kulisevsky","given":"Jaime","non-dropping-particle":"","parse-names":false,"suffix":""},{"dropping-particle":"","family":"Lang","given":"Anthony E.","non-dropping-particle":"","parse-names":false,"suffix":""},{"dropping-particle":"","family":"Lees","given":"Andrew","non-dropping-particle":"","parse-names":false,"suffix":""},{"dropping-particle":"","family":"Leurgans","given":"Sue","non-dropping-particle":"","parse-names":false,"suffix":""},{"dropping-particle":"","family":"LeWitt","given":"Peter A.","non-dropping-particle":"","parse-names":false,"suffix":""},{"dropping-particle":"","family":"Nyenhuis","given":"David","non-dropping-particle":"","parse-names":false,"suffix":""},{"dropping-particle":"","family":"Olanow","given":"C. Warren","non-dropping-particle":"","parse-names":false,"suffix":""},{"dropping-particle":"","family":"Rascol","given":"Olivier","non-dropping-particle":"","parse-names":false,"suffix":""},{"dropping-particle":"","family":"Schrag","given":"Anette","non-dropping-particle":"","parse-names":false,"suffix":""},{"dropping-particle":"","family":"Teresi","given":"Jeanne A.","non-dropping-particle":"","parse-names":false,"suffix":""},{"dropping-particle":"","family":"Hilten","given":"Jacobus J.","non-dropping-particle":"van","parse-names":false,"suffix":""},{"dropping-particle":"","family":"LaPelle","given":"Nancy","non-dropping-particle":"","parse-names":false,"suffix":""},{"dropping-particle":"","family":"Agarwal","given":"Pinky","non-dropping-particle":"","parse-names":false,"suffix":""},{"dropping-particle":"","family":"Athar","given":"Saima","non-dropping-particle":"","parse-names":false,"suffix":""},{"dropping-particle":"","family":"Bordelan","given":"Yvette","non-dropping-particle":"","parse-names":false,"suffix":""},{"dropping-particle":"","family":"Bronte-Stewart","given":"Helen M.","non-dropping-particle":"","parse-names":false,"suffix":""},{"dropping-particle":"","family":"Camicioli","given":"Richard","non-dropping-particle":"","parse-names":false,"suffix":""},{"dropping-particle":"","family":"Chou","given":"Kelvin","non-dropping-particle":"","parse-names":false,"suffix":""},{"dropping-particle":"","family":"Cole","given":"Wendy","non-dropping-particle":"","parse-names":false,"suffix":""},{"dropping-particle":"","family":"Dalvi","given":"Arif","non-dropping-particle":"","parse-names":false,"suffix":""},{"dropping-particle":"","family":"Delgado","given":"Holly","non-dropping-particle":"","parse-names":false,"suffix":""},{"dropping-particle":"","family":"Diamond","given":"Alan","non-dropping-particle":"","parse-names":false,"suffix":""},{"dropping-particle":"","family":"Dick","given":"Jeremy P.","non-dropping-particle":"","parse-names":false,"suffix":""},{"dropping-particle":"","family":"Duda","given":"John","non-dropping-particle":"","parse-names":false,"suffix":""},{"dropping-particle":"","family":"Elble","given":"Rodger J.","non-dropping-particle":"","parse-names":false,"suffix":""},{"dropping-particle":"","family":"Evans","given":"Carol","non-dropping-particle":"","parse-names":false,"suffix":""},{"dropping-particle":"","family":"Evidente","given":"Virgilio G.","non-dropping-particle":"","parse-names":false,"suffix":""},{"dropping-particle":"","family":"Fernandez","given":"Hubert H.","non-dropping-particle":"","parse-names":false,"suffix":""},{"dropping-particle":"","family":"Fox","given":"Susan","non-dropping-particle":"","parse-names":false,"suffix":""},{"dropping-particle":"","family":"Friedman","given":"Joseph H.","non-dropping-particle":"","parse-names":false,"suffix":""},{"dropping-particle":"","family":"Fross","given":"Robin D.","non-dropping-particle":"","parse-names":false,"suffix":""},{"dropping-particle":"","family":"Gallagher","given":"David","non-dropping-particle":"","parse-names":false,"suffix":""},{"dropping-particle":"","family":"Goetz","given":"Christopher G.","non-dropping-particle":"","parse-names":false,"suffix":""},{"dropping-particle":"","family":"Hall","given":"Deborah","non-dropping-particle":"","parse-names":false,"suffix":""},{"dropping-particle":"","family":"Hermanowicz","given":"Neal","non-dropping-particle":"","parse-names":false,"suffix":""},{"dropping-particle":"","family":"Hinson","given":"Vanessa","non-dropping-particle":"","parse-names":false,"suffix":""},{"dropping-particle":"","family":"Horn","given":"Stacy","non-dropping-particle":"","parse-names":false,"suffix":""},{"dropping-particle":"","family":"Hurtig","given":"Howard","non-dropping-particle":"","parse-names":false,"suffix":""},{"dropping-particle":"","family":"Kang","given":"Un Jung","non-dropping-particle":"","parse-names":false,"suffix":""},{"dropping-particle":"","family":"Kleiner-Fisman","given":"Galit","non-dropping-particle":"","parse-names":false,"suffix":""},{"dropping-particle":"","family":"Klepitskaya","given":"Olga","non-dropping-particle":"","parse-names":false,"suffix":""},{"dropping-particle":"","family":"Kompoliti","given":"Katie","non-dropping-particle":"","parse-names":false,"suffix":""},{"dropping-particle":"","family":"Lai","given":"Eugene C.","non-dropping-particle":"","parse-names":false,"suffix":""},{"dropping-particle":"","family":"Leehey","given":"Maureen L.","non-dropping-particle":"","parse-names":false,"suffix":""},{"dropping-particle":"","family":"Leroi","given":"Iracema","non-dropping-particle":"","parse-names":false,"suffix":""},{"dropping-particle":"","family":"Lyons","given":"Kelly E.","non-dropping-particle":"","parse-names":false,"suffix":""},{"dropping-particle":"","family":"McClain","given":"Terry","non-dropping-particle":"","parse-names":false,"suffix":""},{"dropping-particle":"","family":"Metzer","given":"Steven W.","non-dropping-particle":"","parse-names":false,"suffix":""},{"dropping-particle":"","family":"Miyasaki","given":"Janis","non-dropping-particle":"","parse-names":false,"suffix":""},{"dropping-particle":"","family":"Morgan","given":"John C.","non-dropping-particle":"","parse-names":false,"suffix":""},{"dropping-particle":"","family":"Nance","given":"Martha","non-dropping-particle":"","parse-names":false,"suffix":""},{"dropping-particle":"","family":"Nemeth","given":"Joanne","non-dropping-particle":"","parse-names":false,"suffix":""},{"dropping-particle":"","family":"Pahwa","given":"Rajesh","non-dropping-particle":"","parse-names":false,"suffix":""},{"dropping-particle":"","family":"Parashos","given":"Sotirios A.","non-dropping-particle":"","parse-names":false,"suffix":""},{"dropping-particle":"","family":"Schneider","given":"J. S.Jay S.","non-dropping-particle":"","parse-names":false,"suffix":""},{"dropping-particle":"","family":"Schrag","given":"Anette","non-dropping-particle":"","parse-names":false,"suffix":""},{"dropping-particle":"","family":"Sethi","given":"Kapil","non-dropping-particle":"","parse-names":false,"suffix":""},{"dropping-particle":"","family":"Shulman","given":"Lisa M.","non-dropping-particle":"","parse-names":false,"suffix":""},{"dropping-particle":"","family":"Siderowf","given":"Andrew","non-dropping-particle":"","parse-names":false,"suffix":""},{"dropping-particle":"","family":"Silverdale","given":"Monty","non-dropping-particle":"","parse-names":false,"suffix":""},{"dropping-particle":"","family":"Simuni","given":"Tanya","non-dropping-particle":"","parse-names":false,"suffix":""},{"dropping-particle":"","family":"Stacy","given":"Mark","non-dropping-particle":"","parse-names":false,"suffix":""},{"dropping-particle":"","family":"Stern","given":"Matthew B.","non-dropping-particle":"","parse-names":false,"suffix":""},{"dropping-particle":"","family":"Stewart","given":"Robert Malcolm","non-dropping-particle":"","parse-names":false,"suffix":""},{"dropping-particle":"","family":"Sullivan","given":"Kelly","non-dropping-particle":"","parse-names":false,"suffix":""},{"dropping-particle":"","family":"Swope","given":"David M.","non-dropping-particle":"","parse-names":false,"suffix":""},{"dropping-particle":"","family":"Wadia","given":"Pettaruse M.","non-dropping-particle":"","parse-names":false,"suffix":""},{"dropping-particle":"","family":"Walker","given":"Richard W.","non-dropping-particle":"","parse-names":false,"suffix":""},{"dropping-particle":"","family":"Walker","given":"Ruth","non-dropping-particle":"","parse-names":false,"suffix":""},{"dropping-particle":"","family":"Weiner","given":"William J.","non-dropping-particle":"","parse-names":false,"suffix":""},{"dropping-particle":"","family":"Wiener","given":"Jill","non-dropping-particle":"","parse-names":false,"suffix":""},{"dropping-particle":"","family":"Wilkinson","given":"Jayne","non-dropping-particle":"","parse-names":false,"suffix":""},{"dropping-particle":"","family":"Wojcieszek","given":"Joanna M.","non-dropping-particle":"","parse-names":false,"suffix":""},{"dropping-particle":"","family":"Wolfrath","given":"Summer","non-dropping-particle":"","parse-names":false,"suffix":""},{"dropping-particle":"","family":"Wooten","given":"Frederick","non-dropping-particle":"","parse-names":false,"suffix":""},{"dropping-particle":"","family":"Wu","given":"Allen","non-dropping-particle":"","parse-names":false,"suffix":""},{"dropping-particle":"","family":"Zesiewicz","given":"Theresa A.","non-dropping-particle":"","parse-names":false,"suffix":""},{"dropping-particle":"","family":"Zweig","given":"Richard M.","non-dropping-particle":"","parse-names":false,"suffix":""}],"container-title":"Movement Disorders","id":"ITEM-1","issued":{"date-parts":[["2008"]]},"title":"Movement Disorder Society-Sponsored Revision of the Unified Parkinson's Disease Rating Scale (MDS-UPDRS): Scale presentation and clinimetric testing results","type":"article-journal"},"uris":["http://www.mendeley.com/documents/?uuid=8b5de4ad-dc38-4c13-9092-42df87a86e90","http://www.mendeley.com/documents/?uuid=d08767a4-8780-43ba-bd96-16a39e83880d"]}],"mendeley":{"formattedCitation":"{61}","plainTextFormattedCitation":"{61}","previouslyFormattedCitation":"{60}"},"properties":{"noteIndex":0},"schema":"https://github.com/citation-style-language/schema/raw/master/csl-citation.json"}</w:instrText>
      </w:r>
      <w:r w:rsidR="00897373">
        <w:rPr>
          <w:rFonts w:ascii="Arial" w:hAnsi="Arial"/>
        </w:rPr>
        <w:fldChar w:fldCharType="separate"/>
      </w:r>
      <w:r w:rsidR="00F24E13" w:rsidRPr="00F24E13">
        <w:rPr>
          <w:rFonts w:ascii="Arial" w:hAnsi="Arial"/>
          <w:noProof/>
        </w:rPr>
        <w:t>{61}</w:t>
      </w:r>
      <w:r w:rsidR="00897373">
        <w:rPr>
          <w:rFonts w:ascii="Arial" w:hAnsi="Arial"/>
        </w:rPr>
        <w:fldChar w:fldCharType="end"/>
      </w:r>
      <w:r w:rsidR="000B1005">
        <w:rPr>
          <w:rFonts w:ascii="Arial" w:hAnsi="Arial"/>
        </w:rPr>
        <w:t>, and the International Consortium for Health Outcomes Measurement (ICHOM) has published a consensus outcome set for use in clinical practice</w:t>
      </w:r>
      <w:r w:rsidR="000B1005">
        <w:rPr>
          <w:rFonts w:ascii="Arial" w:hAnsi="Arial"/>
        </w:rPr>
        <w:fldChar w:fldCharType="begin" w:fldLock="1"/>
      </w:r>
      <w:r w:rsidR="00F24E13">
        <w:rPr>
          <w:rFonts w:ascii="Arial" w:hAnsi="Arial"/>
        </w:rPr>
        <w:instrText>ADDIN CSL_CITATION {"citationItems":[{"id":"ITEM-1","itemData":{"DOI":"10.3233/JPD-161055","ISSN":"1877718X","abstract":"© 2017 - IOS Press and the authors. All rights reserved. Background: Parkinson's disease (PD) is a progressive neurodegenerative condition that is expected to double in prevalence due to demographic shifts. Value-based healthcare is a proposed strategy to improve outcomes and decrease costs. To move towards an actual value-based health care system, condition-specific outcomes that are meaningful to patients are essential. Objective: Propose a global consensus standard set of outcome measures for PD. Methods: Established methods for outcome measure development were applied, as outlined and used previously by the International Consortium for Health Outcomes Measurement (ICHOM). An international group, representing both patients and experts from the fields of neurology, psychiatry, nursing, and existing outcome measurement efforts, was convened. The group participated in six teleconferences over a six-month period, reviewed existing data and practices, and ultimately proposed a standard set of measures by which patients should be tracked, and how often data should be collected. Results: The standard set applies to all cases of idiopathic PD, and includes assessments of motor and non-motor symptoms, ability to work, PD-related health status, and hospital admissions. Baseline demographic and clinical variables are included to enable case mix adjustment. Conclusions: The Standard Set is now ready for use and pilot testing in the clinical setting. Ultimately, we believe that using the set of outcomes proposed here will allow clinicians and scientists across the world to document, report, and compare PD-related outcomes in a standardized fashion. Such international benchmarks will improve our understanding of the disease course and allow for identification of 'best practices', ultimately leading to better informed treatment decisions.","author":[{"dropping-particle":"","family":"Roos","given":"Paul","non-dropping-particle":"De","parse-names":false,"suffix":""},{"dropping-particle":"","family":"Bloem","given":"Bastiaan R.","non-dropping-particle":"","parse-names":false,"suffix":""},{"dropping-particle":"","family":"Kelley","given":"Thomas A.","non-dropping-particle":"","parse-names":false,"suffix":""},{"dropping-particle":"","family":"Antonini","given":"Angelo","non-dropping-particle":"","parse-names":false,"suffix":""},{"dropping-particle":"","family":"Dodel","given":"Richard","non-dropping-particle":"","parse-names":false,"suffix":""},{"dropping-particle":"","family":"Hagell","given":"Peter","non-dropping-particle":"","parse-names":false,"suffix":""},{"dropping-particle":"","family":"Marras","given":"Connie","non-dropping-particle":"","parse-names":false,"suffix":""},{"dropping-particle":"","family":"Martinez-Martin","given":"Pablo","non-dropping-particle":"","parse-names":false,"suffix":""},{"dropping-particle":"","family":"Mehta","given":"Shyamal H.","non-dropping-particle":"","parse-names":false,"suffix":""},{"dropping-particle":"","family":"Odin","given":"Per","non-dropping-particle":"","parse-names":false,"suffix":""},{"dropping-particle":"","family":"Chaudhuri","given":"Kallol Ray","non-dropping-particle":"","parse-names":false,"suffix":""},{"dropping-particle":"","family":"Weintraub","given":"Daniel","non-dropping-particle":"","parse-names":false,"suffix":""},{"dropping-particle":"","family":"Wilson","given":"Bil","non-dropping-particle":"","parse-names":false,"suffix":""},{"dropping-particle":"","family":"Uitti","given":"Ryan J.","non-dropping-particle":"","parse-names":false,"suffix":""}],"container-title":"Journal of Parkinson's Disease","id":"ITEM-1","issued":{"date-parts":[["2017"]]},"title":"A Consensus Set of Outcomes for Parkinson's Disease from the International Consortium for Health Outcomes Measurement","type":"article-journal"},"uris":["http://www.mendeley.com/documents/?uuid=7bda47c6-ffc0-4b92-a5ec-917c682510fb","http://www.mendeley.com/documents/?uuid=71c0cf3e-d706-41ab-8e8a-408e92c7b759"]}],"mendeley":{"formattedCitation":"{62}","plainTextFormattedCitation":"{62}","previouslyFormattedCitation":"{61}"},"properties":{"noteIndex":0},"schema":"https://github.com/citation-style-language/schema/raw/master/csl-citation.json"}</w:instrText>
      </w:r>
      <w:r w:rsidR="000B1005">
        <w:rPr>
          <w:rFonts w:ascii="Arial" w:hAnsi="Arial"/>
        </w:rPr>
        <w:fldChar w:fldCharType="separate"/>
      </w:r>
      <w:r w:rsidR="00F24E13" w:rsidRPr="00F24E13">
        <w:rPr>
          <w:rFonts w:ascii="Arial" w:hAnsi="Arial"/>
          <w:noProof/>
        </w:rPr>
        <w:t>{62}</w:t>
      </w:r>
      <w:r w:rsidR="000B1005">
        <w:rPr>
          <w:rFonts w:ascii="Arial" w:hAnsi="Arial"/>
        </w:rPr>
        <w:fldChar w:fldCharType="end"/>
      </w:r>
      <w:r w:rsidR="003C2357">
        <w:rPr>
          <w:rFonts w:ascii="Arial" w:hAnsi="Arial"/>
        </w:rPr>
        <w:t xml:space="preserve"> recommending seven domains: 1. Motor functioning, 2. Non-motor functioning, 3. Cognitive and psychiatric functioning, 4. Falls, 5. Hospital admissions, 6. Ability to work, 7 Health-related quality of life</w:t>
      </w:r>
      <w:r w:rsidR="000B1005">
        <w:rPr>
          <w:rFonts w:ascii="Arial" w:hAnsi="Arial"/>
        </w:rPr>
        <w:t xml:space="preserve">. </w:t>
      </w:r>
      <w:r w:rsidR="00763A14">
        <w:rPr>
          <w:rFonts w:ascii="Arial" w:hAnsi="Arial"/>
        </w:rPr>
        <w:t xml:space="preserve"> The PSI-ID (Patient Specific Index for Physiotherapy in Parkinson’s Disease) mentioned above</w:t>
      </w:r>
      <w:r w:rsidR="00763A14">
        <w:rPr>
          <w:rFonts w:ascii="Arial" w:hAnsi="Arial"/>
        </w:rPr>
        <w:fldChar w:fldCharType="begin" w:fldLock="1"/>
      </w:r>
      <w:r w:rsidR="00F24E13">
        <w:rPr>
          <w:rFonts w:ascii="Arial" w:hAnsi="Arial"/>
        </w:rPr>
        <w:instrText>ADDIN CSL_CITATION {"citationItems":[{"id":"ITEM-1","itemData":{"ISSN":"19739087","abstract":"AIM: The aim of this paper was to develop and evaluate a patient-specific index for physiotherapy in Parkinson's disease (PSI-PD). METHODS: In the PSI-PD, patients 1) select problematic activities out of a predefined list, with one self-report item; 2) rank selected items in order of importance; and 3) rate severity for each ranked item. To examine test-retest reliability, a cohort of patients was asked to complete the PSI-PD twice. Afterwards, validity was evaluated using a telephone interview. RESULTS: The PSI-PD was completed twice by 81 patients. Test-retest agreement for the selection of activity limitations was 73% to 94%. Items ranked by patients were categorized into domains, of which gait, transfers and dexterity were rated most frequently (41%-70%). Test-retest agreement for ranked domains ranged from 74% to 82%. Interviews confirmed that the PSI-PD reliably identified problem areas. CONCLUSIONS: The PSI-PD is a relevant, reliable and valid instrument to identify limitations in everyday activities that are important for both PD patients and physiotherapists.","author":[{"dropping-particle":"","family":"Nijkrake","given":"M. J.","non-dropping-particle":"","parse-names":false,"suffix":""},{"dropping-particle":"","family":"Keus","given":"S. H J","non-dropping-particle":"","parse-names":false,"suffix":""},{"dropping-particle":"","family":"Quist-Anholts","given":"G. W L","non-dropping-particle":"","parse-names":false,"suffix":""},{"dropping-particle":"","family":"Overeem","given":"S.","non-dropping-particle":"","parse-names":false,"suffix":""},{"dropping-particle":"","family":"Roode","given":"M. H.","non-dropping-particle":"De","parse-names":false,"suffix":""},{"dropping-particle":"","family":"Lindeboom","given":"R.","non-dropping-particle":"","parse-names":false,"suffix":""},{"dropping-particle":"","family":"Mulleners","given":"W.","non-dropping-particle":"","parse-names":false,"suffix":""},{"dropping-particle":"","family":"Bloem","given":"B. R.","non-dropping-particle":"","parse-names":false,"suffix":""},{"dropping-particle":"","family":"Munneke","given":"M.","non-dropping-particle":"","parse-names":false,"suffix":""}],"container-title":"European Journal of Physical and Rehabilitation Medicine","id":"ITEM-1","issued":{"date-parts":[["2009"]]},"title":"Evaluation of a patient-specific index as an outcome measure for physiotherapy in Parkinson's disease","type":"article-journal"},"uris":["http://www.mendeley.com/documents/?uuid=6c108c29-87ed-468b-b052-8ca9d9f01ce3"]}],"mendeley":{"formattedCitation":"{25}","plainTextFormattedCitation":"{25}","previouslyFormattedCitation":"{25}"},"properties":{"noteIndex":0},"schema":"https://github.com/citation-style-language/schema/raw/master/csl-citation.json"}</w:instrText>
      </w:r>
      <w:r w:rsidR="00763A14">
        <w:rPr>
          <w:rFonts w:ascii="Arial" w:hAnsi="Arial"/>
        </w:rPr>
        <w:fldChar w:fldCharType="separate"/>
      </w:r>
      <w:r w:rsidR="00763A14" w:rsidRPr="00763A14">
        <w:rPr>
          <w:rFonts w:ascii="Arial" w:hAnsi="Arial"/>
          <w:noProof/>
        </w:rPr>
        <w:t>{25}</w:t>
      </w:r>
      <w:r w:rsidR="00763A14">
        <w:rPr>
          <w:rFonts w:ascii="Arial" w:hAnsi="Arial"/>
        </w:rPr>
        <w:fldChar w:fldCharType="end"/>
      </w:r>
      <w:r w:rsidR="00763A14">
        <w:rPr>
          <w:rFonts w:ascii="Arial" w:hAnsi="Arial"/>
        </w:rPr>
        <w:t xml:space="preserve"> is also a potentially </w:t>
      </w:r>
      <w:r w:rsidR="00F24E13">
        <w:rPr>
          <w:rFonts w:ascii="Arial" w:hAnsi="Arial"/>
        </w:rPr>
        <w:t xml:space="preserve">an </w:t>
      </w:r>
      <w:r w:rsidR="00763A14">
        <w:rPr>
          <w:rFonts w:ascii="Arial" w:hAnsi="Arial"/>
        </w:rPr>
        <w:t xml:space="preserve">informative </w:t>
      </w:r>
      <w:r w:rsidR="00F24E13">
        <w:rPr>
          <w:rFonts w:ascii="Arial" w:hAnsi="Arial"/>
        </w:rPr>
        <w:t>individualized approach for FND.</w:t>
      </w:r>
      <w:r w:rsidR="00763A14">
        <w:rPr>
          <w:rFonts w:ascii="Arial" w:hAnsi="Arial"/>
        </w:rPr>
        <w:t xml:space="preserve"> </w:t>
      </w:r>
    </w:p>
    <w:p w14:paraId="0DD9DE8D" w14:textId="6CF12A8D" w:rsidR="00422718" w:rsidRPr="001B6571" w:rsidRDefault="00422718" w:rsidP="00422718">
      <w:pPr>
        <w:spacing w:line="480" w:lineRule="auto"/>
        <w:ind w:firstLine="720"/>
        <w:jc w:val="both"/>
        <w:rPr>
          <w:rFonts w:ascii="Arial" w:hAnsi="Arial"/>
        </w:rPr>
      </w:pPr>
      <w:r w:rsidRPr="001B6571">
        <w:rPr>
          <w:rFonts w:ascii="Arial" w:hAnsi="Arial"/>
        </w:rPr>
        <w:lastRenderedPageBreak/>
        <w:t>Huntington’s disease is another potential model and has a similar validated outcome measure</w:t>
      </w:r>
      <w:r>
        <w:rPr>
          <w:rFonts w:ascii="Arial" w:hAnsi="Arial"/>
        </w:rPr>
        <w:t>,</w:t>
      </w:r>
      <w:r w:rsidR="00F16879">
        <w:rPr>
          <w:rFonts w:ascii="Arial" w:hAnsi="Arial"/>
        </w:rPr>
        <w:t xml:space="preserve"> the Unified </w:t>
      </w:r>
      <w:r w:rsidRPr="001B6571">
        <w:rPr>
          <w:rFonts w:ascii="Arial" w:hAnsi="Arial"/>
        </w:rPr>
        <w:t>Huntington’s Disease Rating Scale</w:t>
      </w:r>
      <w:r w:rsidR="00DF1CD4">
        <w:rPr>
          <w:rFonts w:ascii="Arial" w:hAnsi="Arial"/>
        </w:rPr>
        <w:t xml:space="preserve"> (HDRS)</w:t>
      </w:r>
      <w:r w:rsidR="00F16879">
        <w:rPr>
          <w:rFonts w:ascii="Arial" w:hAnsi="Arial"/>
        </w:rPr>
        <w:t xml:space="preserve"> </w:t>
      </w:r>
      <w:r w:rsidR="00F16879">
        <w:rPr>
          <w:rFonts w:ascii="Arial" w:hAnsi="Arial"/>
        </w:rPr>
        <w:fldChar w:fldCharType="begin" w:fldLock="1"/>
      </w:r>
      <w:r w:rsidR="00F24E13">
        <w:rPr>
          <w:rFonts w:ascii="Arial" w:hAnsi="Arial"/>
        </w:rPr>
        <w:instrText>ADDIN CSL_CITATION {"citationItems":[{"id":"ITEM-1","itemData":{"DOI":"10.1002/mds.870110204","ISSN":"1526632X","abstract":"© 1996 Movement Disorder Society. The Unified Huntington’s Disease Rating Scale (UHDRS) was developed as a clinical rating scale to assess four domains of clinical performance and capacity in HD: motor function, cognitive function, behavioral abnormalities, and functional capacity. We assessed the internal consistency and the intercorrelations for the four domains and examined changes in ratings over time. We also performed an interrater reliability study of the motor assessment. We found there was a high degree of internal consistency within each of the domains of the UHDRS and that there were significant intercorrelations between the domains of the UHDRS, with the exception of the total behavioral score. There was an excellent degree of interrater reliability for the motor scores. Our limited longitudinal database indicates that the UHDRS may be useful for tracking changes in the clinical features of HD over time. The UHDRS assesses relevant clinical features of HD and appears to be appropriate for repeated administration during clinical studies.","author":[{"dropping-particle":"","family":"Kieburtz","given":"Karl","non-dropping-particle":"","parse-names":false,"suffix":""},{"dropping-particle":"","family":"Penney","given":"John B.","non-dropping-particle":"","parse-names":false,"suffix":""},{"dropping-particle":"","family":"Corno","given":"Peter","non-dropping-particle":"","parse-names":false,"suffix":""},{"dropping-particle":"","family":"Ranen","given":"Neal","non-dropping-particle":"","parse-names":false,"suffix":""},{"dropping-particle":"","family":"Shoulson","given":"Ira","non-dropping-particle":"","parse-names":false,"suffix":""},{"dropping-particle":"","family":"Feigin","given":"Andrew","non-dropping-particle":"","parse-names":false,"suffix":""},{"dropping-particle":"","family":"Abwender","given":"Davi","non-dropping-particle":"","parse-names":false,"suffix":""},{"dropping-particle":"","family":"Timothy Greenarnyre","given":"J.","non-dropping-particle":"","parse-names":false,"suffix":""},{"dropping-particle":"","family":"Higgins","given":"Donald","non-dropping-particle":"","parse-names":false,"suffix":""},{"dropping-particle":"","family":"Marshall","given":"Frederick J.","non-dropping-particle":"","parse-names":false,"suffix":""},{"dropping-particle":"","family":"Goldstein","given":"Joshua","non-dropping-particle":"","parse-names":false,"suffix":""},{"dropping-particle":"","family":"Steinberg","given":"Kimberly","non-dropping-particle":"","parse-names":false,"suffix":""},{"dropping-particle":"","family":"Shih","given":"Charles","non-dropping-particle":"","parse-names":false,"suffix":""},{"dropping-particle":"","family":"Richard","given":"Irene","non-dropping-particle":"","parse-names":false,"suffix":""},{"dropping-particle":"","family":"Hickey","given":"Charlyne","non-dropping-particle":"","parse-names":false,"suffix":""},{"dropping-particle":"","family":"Zimmerman","given":"Carol","non-dropping-particle":"","parse-names":false,"suffix":""},{"dropping-particle":"","family":"Orme","given":"Constance","non-dropping-particle":"","parse-names":false,"suffix":""},{"dropping-particle":"","family":"Claude","given":"Kathy","non-dropping-particle":"","parse-names":false,"suffix":""},{"dropping-particle":"","family":"Oakes","given":"David","non-dropping-particle":"","parse-names":false,"suffix":""},{"dropping-particle":"","family":"Sax","given":"Daniel S.","non-dropping-particle":"","parse-names":false,"suffix":""},{"dropping-particle":"","family":"Kim","given":"Anthony","non-dropping-particle":"","parse-names":false,"suffix":""},{"dropping-particle":"","family":"Hersch","given":"Steven","non-dropping-particle":"","parse-names":false,"suffix":""},{"dropping-particle":"","family":"Jones","given":"Randi","non-dropping-particle":"","parse-names":false,"suffix":""},{"dropping-particle":"","family":"Auchus","given":"Alexander","non-dropping-particle":"","parse-names":false,"suffix":""},{"dropping-particle":"","family":"Olsen","given":"David","non-dropping-particle":"","parse-names":false,"suffix":""},{"dropping-particle":"","family":"Bissey-Black","given":"Cheryl","non-dropping-particle":"","parse-names":false,"suffix":""},{"dropping-particle":"","family":"Rubin","given":"Allen","non-dropping-particle":"","parse-names":false,"suffix":""},{"dropping-particle":"","family":"Schwartz","given":"Rose","non-dropping-particle":"","parse-names":false,"suffix":""},{"dropping-particle":"","family":"Dubinsky","given":"Richard","non-dropping-particle":"","parse-names":false,"suffix":""},{"dropping-particle":"","family":"Mallonee","given":"William","non-dropping-particle":"","parse-names":false,"suffix":""},{"dropping-particle":"","family":"Gray","given":"Carolyn","non-dropping-particle":"","parse-names":false,"suffix":""},{"dropping-particle":"","family":"Godfrey","given":"Nan","non-dropping-particle":"","parse-names":false,"suffix":""},{"dropping-particle":"","family":"Suter","given":"Greg","non-dropping-particle":"","parse-names":false,"suffix":""},{"dropping-particle":"","family":"Shannon","given":"Kathleen M.","non-dropping-particle":"","parse-names":false,"suffix":""},{"dropping-particle":"","family":"Stebbins","given":"Glenn T.","non-dropping-particle":"","parse-names":false,"suffix":""},{"dropping-particle":"","family":"Jaglin","given":"Jean A.","non-dropping-particle":"","parse-names":false,"suffix":""},{"dropping-particle":"","family":"Marder","given":"Karen","non-dropping-particle":"","parse-names":false,"suffix":""},{"dropping-particle":"","family":"Taylor","given":"Stuart","non-dropping-particle":"","parse-names":false,"suffix":""},{"dropping-particle":"","family":"Louis","given":"Elan","non-dropping-particle":"","parse-names":false,"suffix":""},{"dropping-particle":"","family":"Moskowitz","given":"Carol","non-dropping-particle":"","parse-names":false,"suffix":""},{"dropping-particle":"","family":"Thorne","given":"Deborah","non-dropping-particle":"","parse-names":false,"suffix":""},{"dropping-particle":"","family":"Zubin","given":"Naomi","non-dropping-particle":"","parse-names":false,"suffix":""},{"dropping-particle":"","family":"Wexler","given":"Nancy","non-dropping-particle":"","parse-names":false,"suffix":""},{"dropping-particle":"","family":"Swenson","given":"Michael R.","non-dropping-particle":"","parse-names":false,"suffix":""},{"dropping-particle":"","family":"Paulsen","given":"Jane","non-dropping-particle":"","parse-names":false,"suffix":""},{"dropping-particle":"","family":"Swerdlow","given":"Neal","non-dropping-particle":"","parse-names":false,"suffix":""},{"dropping-particle":"","family":"Albin","given":"Roger","non-dropping-particle":"","parse-names":false,"suffix":""},{"dropping-particle":"","family":"Wernette","given":"Christine","non-dropping-particle":"","parse-names":false,"suffix":""},{"dropping-particle":"","family":"Walker","given":"Francis","non-dropping-particle":"","parse-names":false,"suffix":""},{"dropping-particle":"","family":"Hunt","given":"Vicki","non-dropping-particle":"","parse-names":false,"suffix":""},{"dropping-particle":"","family":"Roos","given":"Raymond A.C.","non-dropping-particle":"","parse-names":false,"suffix":""},{"dropping-particle":"","family":"Young","given":"Anne B.","non-dropping-particle":"","parse-names":false,"suffix":""},{"dropping-particle":"","family":"Koroshetz","given":"Walter","non-dropping-particle":"","parse-names":false,"suffix":""},{"dropping-particle":"","family":"Bird","given":"Edward","non-dropping-particle":"","parse-names":false,"suffix":""},{"dropping-particle":"","family":"Meyers","given":"Rick","non-dropping-particle":"","parse-names":false,"suffix":""},{"dropping-particle":"","family":"Cudkowicz","given":"Merit","non-dropping-particle":"","parse-names":false,"suffix":""},{"dropping-particle":"","family":"Guttman","given":"Mark","non-dropping-particle":"","parse-names":false,"suffix":""},{"dropping-particle":"","family":"St.-Cyr","given":"Jean","non-dropping-particle":"","parse-names":false,"suffix":""},{"dropping-particle":"","family":"Burkholder","given":"Jill","non-dropping-particle":"","parse-names":false,"suffix":""},{"dropping-particle":"","family":"Lundin","given":"Anders","non-dropping-particle":"","parse-names":false,"suffix":""},{"dropping-particle":"","family":"Ashizawa","given":"Tetsuo","non-dropping-particle":"","parse-names":false,"suffix":""},{"dropping-particle":"","family":"Jankovic","given":"Joseph","non-dropping-particle":"","parse-names":false,"suffix":""},{"dropping-particle":"","family":"Siemers","given":"Eric","non-dropping-particle":"","parse-names":false,"suffix":""},{"dropping-particle":"","family":"Quaid","given":"Kim","non-dropping-particle":"","parse-names":false,"suffix":""},{"dropping-particle":"","family":"Martin","given":"Wayne","non-dropping-particle":"","parse-names":false,"suffix":""},{"dropping-particle":"","family":"Sanchez-Ramos","given":"Juan","non-dropping-particle":"","parse-names":false,"suffix":""},{"dropping-particle":"","family":"Facca","given":"Alicia","non-dropping-particle":"","parse-names":false,"suffix":""},{"dropping-particle":"","family":"Rey","given":"Gustavo","non-dropping-particle":"","parse-names":false,"suffix":""},{"dropping-particle":"","family":"Suchowersky","given":"Oksana","non-dropping-particle":"","parse-names":false,"suffix":""},{"dropping-particle":"","family":"Rohs","given":"Gina","non-dropping-particle":"","parse-names":false,"suffix":""},{"dropping-particle":"Lou","family":"Klinek","given":"Mary","non-dropping-particle":"","parse-names":false,"suffix":""},{"dropping-particle":"","family":"Ross","given":"Christopher","non-dropping-particle":"","parse-names":false,"suffix":""},{"dropping-particle":"","family":"Bylsma","given":"Frederick W.","non-dropping-particle":"","parse-names":false,"suffix":""},{"dropping-particle":"","family":"Sherr","given":"Meeia","non-dropping-particle":"","parse-names":false,"suffix":""},{"dropping-particle":"","family":"Hayden","given":"Michael","non-dropping-particle":"","parse-names":false,"suffix":""},{"dropping-particle":"","family":"Raymond","given":"Lynn","non-dropping-particle":"","parse-names":false,"suffix":""},{"dropping-particle":"","family":"Clark","given":"Campbell","non-dropping-particle":"","parse-names":false,"suffix":""},{"dropping-particle":"","family":"Kremer","given":"Berry","non-dropping-particle":"","parse-names":false,"suffix":""}],"container-title":"Neurology","id":"ITEM-1","issued":{"date-parts":[["2001"]]},"title":"Unified huntington’s disease rating scale: Reliability and consistency","type":"article-journal"},"uris":["http://www.mendeley.com/documents/?uuid=fcecc76a-7dc9-4d00-b5b9-42fce6203e64","http://www.mendeley.com/documents/?uuid=bd4e0941-8618-4e1a-bd3d-696319f5119f"]}],"mendeley":{"formattedCitation":"{63}","plainTextFormattedCitation":"{63}","previouslyFormattedCitation":"{62}"},"properties":{"noteIndex":0},"schema":"https://github.com/citation-style-language/schema/raw/master/csl-citation.json"}</w:instrText>
      </w:r>
      <w:r w:rsidR="00F16879">
        <w:rPr>
          <w:rFonts w:ascii="Arial" w:hAnsi="Arial"/>
        </w:rPr>
        <w:fldChar w:fldCharType="separate"/>
      </w:r>
      <w:r w:rsidR="00F24E13" w:rsidRPr="00F24E13">
        <w:rPr>
          <w:rFonts w:ascii="Arial" w:hAnsi="Arial"/>
          <w:noProof/>
        </w:rPr>
        <w:t>{63}</w:t>
      </w:r>
      <w:r w:rsidR="00F16879">
        <w:rPr>
          <w:rFonts w:ascii="Arial" w:hAnsi="Arial"/>
        </w:rPr>
        <w:fldChar w:fldCharType="end"/>
      </w:r>
      <w:r w:rsidR="000B1005">
        <w:rPr>
          <w:rFonts w:ascii="Arial" w:hAnsi="Arial"/>
        </w:rPr>
        <w:t>, but</w:t>
      </w:r>
      <w:r w:rsidR="000D603E">
        <w:rPr>
          <w:rFonts w:ascii="Arial" w:hAnsi="Arial"/>
        </w:rPr>
        <w:t xml:space="preserve"> for which</w:t>
      </w:r>
      <w:r w:rsidR="000B1005">
        <w:rPr>
          <w:rFonts w:ascii="Arial" w:hAnsi="Arial"/>
        </w:rPr>
        <w:t xml:space="preserve"> an outcome set has not yet been developed</w:t>
      </w:r>
      <w:r w:rsidR="0072028F">
        <w:rPr>
          <w:rFonts w:ascii="Arial" w:hAnsi="Arial"/>
        </w:rPr>
        <w:t xml:space="preserve">.  Both the MDS-UPDRS and the HDRS are recommended in the NINDS Common Data Elements </w:t>
      </w:r>
      <w:r w:rsidR="00FB6A18">
        <w:rPr>
          <w:rFonts w:ascii="Arial" w:hAnsi="Arial"/>
        </w:rPr>
        <w:t>(CDE)</w:t>
      </w:r>
      <w:r w:rsidR="0072028F">
        <w:rPr>
          <w:rFonts w:ascii="Arial" w:hAnsi="Arial"/>
        </w:rPr>
        <w:t xml:space="preserve"> initiative.</w:t>
      </w:r>
      <w:r w:rsidR="00996D20">
        <w:rPr>
          <w:rFonts w:ascii="Arial" w:hAnsi="Arial"/>
        </w:rPr>
        <w:t xml:space="preserve"> For some subtypes of FND there is </w:t>
      </w:r>
      <w:r w:rsidR="007C798D">
        <w:rPr>
          <w:rFonts w:ascii="Arial" w:hAnsi="Arial"/>
        </w:rPr>
        <w:t xml:space="preserve">an obvious </w:t>
      </w:r>
      <w:r w:rsidR="00996D20">
        <w:rPr>
          <w:rFonts w:ascii="Arial" w:hAnsi="Arial"/>
        </w:rPr>
        <w:t>neurological</w:t>
      </w:r>
      <w:r w:rsidR="007C798D">
        <w:rPr>
          <w:rFonts w:ascii="Arial" w:hAnsi="Arial"/>
        </w:rPr>
        <w:t xml:space="preserve"> disorder </w:t>
      </w:r>
      <w:r w:rsidR="00996D20">
        <w:rPr>
          <w:rFonts w:ascii="Arial" w:hAnsi="Arial"/>
        </w:rPr>
        <w:t xml:space="preserve">to consider, such as epilepsy for PNES. Although there has not been a published consensus outcome set for epilepsy </w:t>
      </w:r>
      <w:r w:rsidR="00AC1F93">
        <w:rPr>
          <w:rFonts w:ascii="Arial" w:hAnsi="Arial"/>
        </w:rPr>
        <w:t xml:space="preserve">in general </w:t>
      </w:r>
      <w:r w:rsidR="00996D20">
        <w:rPr>
          <w:rFonts w:ascii="Arial" w:hAnsi="Arial"/>
        </w:rPr>
        <w:t>t</w:t>
      </w:r>
      <w:r w:rsidR="007C798D">
        <w:rPr>
          <w:rFonts w:ascii="Arial" w:hAnsi="Arial"/>
        </w:rPr>
        <w:t>here has been</w:t>
      </w:r>
      <w:r w:rsidR="00AC1F93">
        <w:rPr>
          <w:rFonts w:ascii="Arial" w:hAnsi="Arial"/>
        </w:rPr>
        <w:t xml:space="preserve"> </w:t>
      </w:r>
      <w:r w:rsidR="00912517">
        <w:rPr>
          <w:rFonts w:ascii="Arial" w:hAnsi="Arial"/>
        </w:rPr>
        <w:t>for childhood epilepsy</w:t>
      </w:r>
      <w:r w:rsidR="00912517">
        <w:rPr>
          <w:rFonts w:ascii="Arial" w:hAnsi="Arial"/>
        </w:rPr>
        <w:fldChar w:fldCharType="begin" w:fldLock="1"/>
      </w:r>
      <w:r w:rsidR="00F24E13">
        <w:rPr>
          <w:rFonts w:ascii="Arial" w:hAnsi="Arial"/>
        </w:rPr>
        <w:instrText>ADDIN CSL_CITATION {"citationItems":[{"id":"ITEM-1","itemData":{"DOI":"10.1111/epi.14735","ISSN":"15281167","author":[{"dropping-particle":"","family":"Crudgington","given":"Holly","non-dropping-particle":"","parse-names":false,"suffix":""},{"dropping-particle":"","family":"Rogers","given":"Morwenna","non-dropping-particle":"","parse-names":false,"suffix":""},{"dropping-particle":"","family":"Bray","given":"Lucy","non-dropping-particle":"","parse-names":false,"suffix":""},{"dropping-particle":"","family":"Carter","given":"Bernie","non-dropping-particle":"","parse-names":false,"suffix":""},{"dropping-particle":"","family":"Currier","given":"Janet","non-dropping-particle":"","parse-names":false,"suffix":""},{"dropping-particle":"","family":"Dunkley","given":"Colin","non-dropping-particle":"","parse-names":false,"suffix":""},{"dropping-particle":"","family":"Gibbon","given":"Frances M.","non-dropping-particle":"","parse-names":false,"suffix":""},{"dropping-particle":"","family":"Hughes","given":"Dyfrig","non-dropping-particle":"","parse-names":false,"suffix":""},{"dropping-particle":"","family":"Lyle","given":"Samantha","non-dropping-particle":"","parse-names":false,"suffix":""},{"dropping-particle":"","family":"Roberts","given":"Deborah","non-dropping-particle":"","parse-names":false,"suffix":""},{"dropping-particle":"","family":"Tudur Smith","given":"Catrin","non-dropping-particle":"","parse-names":false,"suffix":""},{"dropping-particle":"","family":"Gringras","given":"Paul","non-dropping-particle":"","parse-names":false,"suffix":""},{"dropping-particle":"","family":"Pal","given":"Deb K.","non-dropping-particle":"","parse-names":false,"suffix":""},{"dropping-particle":"","family":"Morris","given":"Christopher","non-dropping-particle":"","parse-names":false,"suffix":""}],"container-title":"Epilepsia","id":"ITEM-1","issued":{"date-parts":[["2019"]]},"title":"Core Health Outcomes in Childhood Epilepsy (CHOICE): Development of a core outcome set using systematic review methods and a Delphi survey consensus","type":"article"},"uris":["http://www.mendeley.com/documents/?uuid=8b00a18c-5708-43d5-80c2-367bcd43ec36","http://www.mendeley.com/documents/?uuid=ab4d6087-b4c7-4761-aa59-bde9d6e16a72"]}],"mendeley":{"formattedCitation":"{64}","plainTextFormattedCitation":"{64}","previouslyFormattedCitation":"{63}"},"properties":{"noteIndex":0},"schema":"https://github.com/citation-style-language/schema/raw/master/csl-citation.json"}</w:instrText>
      </w:r>
      <w:r w:rsidR="00912517">
        <w:rPr>
          <w:rFonts w:ascii="Arial" w:hAnsi="Arial"/>
        </w:rPr>
        <w:fldChar w:fldCharType="separate"/>
      </w:r>
      <w:r w:rsidR="00F24E13" w:rsidRPr="00F24E13">
        <w:rPr>
          <w:rFonts w:ascii="Arial" w:hAnsi="Arial"/>
          <w:noProof/>
        </w:rPr>
        <w:t>{64}</w:t>
      </w:r>
      <w:r w:rsidR="00912517">
        <w:rPr>
          <w:rFonts w:ascii="Arial" w:hAnsi="Arial"/>
        </w:rPr>
        <w:fldChar w:fldCharType="end"/>
      </w:r>
      <w:r w:rsidR="00912517">
        <w:rPr>
          <w:rFonts w:ascii="Arial" w:hAnsi="Arial"/>
        </w:rPr>
        <w:t>,</w:t>
      </w:r>
      <w:r w:rsidR="00AC1F93">
        <w:rPr>
          <w:rFonts w:ascii="Arial" w:hAnsi="Arial"/>
        </w:rPr>
        <w:t xml:space="preserve"> studies in pregnant women with epilepsy</w:t>
      </w:r>
      <w:r w:rsidR="00AC1F93">
        <w:rPr>
          <w:rFonts w:ascii="Arial" w:hAnsi="Arial"/>
        </w:rPr>
        <w:fldChar w:fldCharType="begin" w:fldLock="1"/>
      </w:r>
      <w:r w:rsidR="00F24E13">
        <w:rPr>
          <w:rFonts w:ascii="Arial" w:hAnsi="Arial"/>
        </w:rPr>
        <w:instrText>ADDIN CSL_CITATION {"citationItems":[{"id":"ITEM-1","itemData":{"DOI":"10.1111/1471-0528.14430","ISSN":"14710528","abstract":"Objective: To develop a set of core outcomes for studies on pregnant women with epilepsy.; Design: Delphi consensus study.; Population: Healthcare professionals, and patient representatives with lived experience of epilepsy in the UK.; Methods: We used a modified Delphi method and a consultation meeting to achieve consensus. Potential outcomes were identified by systematic review, and were scored using a Likert scale anchored between 1 (least important) and 5 (most important). We included outcomes that scored ≥4 by &gt;70% of participants, and outcomes that scored ≤2 by &lt;15% of participants.; Main Outcome Measures: Outcomes in studies on epilepsy in pregnancy.; Results: Seventy-five healthcare professionals completed the first round, 48 (64%) completed the second round, and 37 (49%) completed the third round of the survey. Twenty-four patient representatives participated. The final core outcome set included 31 outcomes in three domains: neurological, offspring, and obstetric. Outcomes in the neurological domain were seizure control in pregnancy and postpartum, status epilepticus, maternal mortality, drowning, sudden unexpected death in epilepsy, postnatal depression, and quality of life. Offspring domain included congenital abnormalities (major and minor), fetal anticonvulsant syndrome, neurodevelopment, autism disorder, neonatal clinical complications, admission to a neonatal intensive care unit, and anthropometric measurements. The obstetric domain included live birth, stillbirth, miscarriage, ectopic, termination of pregnancy, admission to a high dependency or intensive care unit, breastfeeding, mode of delivery, preterm birth, pre-eclampsia, and eclampsia. Outcomes specific for studies on anti-epileptic drugs (AEDs) included maternal AED toxicity, AED compliance, neonatal withdrawal symptoms, and neonatal haemorrhagic disease.; Conclusion: Embedding this core set in future clinical trials will promote the standardisation of reporting to inform clinical practice.; Tweetable Abstract: A Delphi method identifying core outcomes for epilepsy in pregnancy. Final core set includes 31 outcomes.; © 2016 Royal College of Obstetricians and Gynaecologists.","author":[{"dropping-particle":"","family":"Wattar","given":"B. H.","non-dropping-particle":"Al","parse-names":false,"suffix":""},{"dropping-particle":"","family":"Tamilselvan","given":"K.","non-dropping-particle":"","parse-names":false,"suffix":""},{"dropping-particle":"","family":"Khan","given":"R.","non-dropping-particle":"","parse-names":false,"suffix":""},{"dropping-particle":"","family":"Kelso","given":"A.","non-dropping-particle":"","parse-names":false,"suffix":""},{"dropping-particle":"","family":"Sinha","given":"A.","non-dropping-particle":"","parse-names":false,"suffix":""},{"dropping-particle":"","family":"Pirie","given":"A. M.","non-dropping-particle":"","parse-names":false,"suffix":""},{"dropping-particle":"","family":"McCorry","given":"D.","non-dropping-particle":"","parse-names":false,"suffix":""},{"dropping-particle":"","family":"Khan","given":"K. S.","non-dropping-particle":"","parse-names":false,"suffix":""},{"dropping-particle":"","family":"Thangaratinam","given":"S.","non-dropping-particle":"","parse-names":false,"suffix":""}],"container-title":"BJOG: An International Journal of Obstetrics and Gynaecology","id":"ITEM-1","issued":{"date-parts":[["2017"]]},"title":"Development of a core outcome set for epilepsy in pregnancy (E-CORE): a national multi-stakeholder modified Delphi consensus study","type":"article-journal"},"uris":["http://www.mendeley.com/documents/?uuid=99af61ee-add0-49f4-abda-56c14fb56ba6","http://www.mendeley.com/documents/?uuid=ef2393fd-24a8-4e4c-afa2-db73e6e76274"]}],"mendeley":{"formattedCitation":"{65}","plainTextFormattedCitation":"{65}","previouslyFormattedCitation":"{64}"},"properties":{"noteIndex":0},"schema":"https://github.com/citation-style-language/schema/raw/master/csl-citation.json"}</w:instrText>
      </w:r>
      <w:r w:rsidR="00AC1F93">
        <w:rPr>
          <w:rFonts w:ascii="Arial" w:hAnsi="Arial"/>
        </w:rPr>
        <w:fldChar w:fldCharType="separate"/>
      </w:r>
      <w:r w:rsidR="00F24E13" w:rsidRPr="00F24E13">
        <w:rPr>
          <w:rFonts w:ascii="Arial" w:hAnsi="Arial"/>
          <w:noProof/>
        </w:rPr>
        <w:t>{65}</w:t>
      </w:r>
      <w:r w:rsidR="00AC1F93">
        <w:rPr>
          <w:rFonts w:ascii="Arial" w:hAnsi="Arial"/>
        </w:rPr>
        <w:fldChar w:fldCharType="end"/>
      </w:r>
      <w:r w:rsidR="007C798D">
        <w:rPr>
          <w:rFonts w:ascii="Arial" w:hAnsi="Arial"/>
        </w:rPr>
        <w:t xml:space="preserve"> a</w:t>
      </w:r>
      <w:r w:rsidR="00912517">
        <w:rPr>
          <w:rFonts w:ascii="Arial" w:hAnsi="Arial"/>
        </w:rPr>
        <w:t>s well as a</w:t>
      </w:r>
      <w:r w:rsidR="007C798D">
        <w:rPr>
          <w:rFonts w:ascii="Arial" w:hAnsi="Arial"/>
        </w:rPr>
        <w:t xml:space="preserve"> </w:t>
      </w:r>
      <w:r w:rsidR="00912517">
        <w:rPr>
          <w:rFonts w:ascii="Arial" w:hAnsi="Arial"/>
        </w:rPr>
        <w:t>NINDS Common Data Elements</w:t>
      </w:r>
      <w:r w:rsidR="007C798D">
        <w:rPr>
          <w:rFonts w:ascii="Arial" w:hAnsi="Arial"/>
        </w:rPr>
        <w:t xml:space="preserve"> publication</w:t>
      </w:r>
      <w:r w:rsidR="00996D20">
        <w:rPr>
          <w:rFonts w:ascii="Arial" w:hAnsi="Arial"/>
        </w:rPr>
        <w:fldChar w:fldCharType="begin" w:fldLock="1"/>
      </w:r>
      <w:r w:rsidR="00F24E13">
        <w:rPr>
          <w:rFonts w:ascii="Arial" w:hAnsi="Arial"/>
        </w:rPr>
        <w:instrText>ADDIN CSL_CITATION {"citationItems":[{"id":"ITEM-1","itemData":{"DOI":"10.1111/j.1528-1167.2011.03018.x","ISSN":"00139580","abstract":"The Common Data Element (CDE) Project was initiated in 2006 by the National Institute of Neurological Disorders and Stroke (NINDS) to develop standards for performing funded neuroscience-related clinical research. CDEs are intended to standardize aspects of data collection; decrease study start-up time; and provide more complete, comprehensive, and equivalent data across studies within a particular disease area. Therefore, CDEs will simplify data sharing and data aggregation across NINDS-funded clinical research, and where appropriate, facilitate the development of evidenced-based guidelines and recommendations. Epilepsy-specific CDEs were established in nine content areas: (1) Antiepileptic Drugs (AEDs) and Other Antiepileptic Therapies (AETs), (2) Comorbidities, (3) Electrophysiology, (4) Imaging, (5) Neurological Exam, (6) Neuropsychology, (7) Quality of Life, (8) Seizures and Syndromes, and (9) Surgery and Pathology. CDEs were developed as a dynamic resource that will accommodate recommendations based on investigator use, new technologies, and research findings documenting emerging critical disease characteristics. The epilepsy-specific CDE initiative can be viewed as part of the larger international movement toward \"harmonization\" of clinical disease characterization and outcome assessment designed to promote communication and research efforts in epilepsy. It will also provide valuable guidance for CDE improvement during further development, refinement, and implementation. This article describes the NINDS CDE Initiative, the process used in developing Epilepsy CDEs, and the benefits of CDEs for the clinical investigator and NINDS. © Wiley Periodicals, Inc. © 2011 International League Against Epilepsy.","author":[{"dropping-particle":"","family":"Loring","given":"David W.","non-dropping-particle":"","parse-names":false,"suffix":""},{"dropping-particle":"","family":"Lowenstein","given":"Daniel H.","non-dropping-particle":"","parse-names":false,"suffix":""},{"dropping-particle":"","family":"Barbaro","given":"Nicholas M.","non-dropping-particle":"","parse-names":false,"suffix":""},{"dropping-particle":"","family":"Fureman","given":"Brandy E.","non-dropping-particle":"","parse-names":false,"suffix":""},{"dropping-particle":"","family":"Odenkirchen","given":"Joanne","non-dropping-particle":"","parse-names":false,"suffix":""},{"dropping-particle":"","family":"Jacobs","given":"Margaret P.","non-dropping-particle":"","parse-names":false,"suffix":""},{"dropping-particle":"","family":"Austin","given":"Joan K.","non-dropping-particle":"","parse-names":false,"suffix":""},{"dropping-particle":"","family":"Dlugos","given":"Dennis J.","non-dropping-particle":"","parse-names":false,"suffix":""},{"dropping-particle":"","family":"French","given":"Jacqueline A.","non-dropping-particle":"","parse-names":false,"suffix":""},{"dropping-particle":"","family":"Gaillard","given":"William Davis","non-dropping-particle":"","parse-names":false,"suffix":""},{"dropping-particle":"","family":"Hermann","given":"Bruce P.","non-dropping-particle":"","parse-names":false,"suffix":""},{"dropping-particle":"","family":"Hesdorffer","given":"Dale C.","non-dropping-particle":"","parse-names":false,"suffix":""},{"dropping-particle":"","family":"Roper","given":"Steven N.","non-dropping-particle":"","parse-names":false,"suffix":""},{"dropping-particle":"","family":"Cott","given":"Anne C.","non-dropping-particle":"Van","parse-names":false,"suffix":""},{"dropping-particle":"","family":"Grinnon","given":"Stacie","non-dropping-particle":"","parse-names":false,"suffix":""},{"dropping-particle":"","family":"Stout","given":"Alexandra","non-dropping-particle":"","parse-names":false,"suffix":""}],"container-title":"Epilepsia","id":"ITEM-1","issued":{"date-parts":[["2011"]]},"title":"Common data elements in epilepsy research: Development and implementation of the NINDS epilepsy CDE project","type":"article-journal"},"uris":["http://www.mendeley.com/documents/?uuid=c59010c2-ed4a-4c02-95ac-13a4d2e704ac","http://www.mendeley.com/documents/?uuid=910aa920-ffcb-4e8a-aadb-4d749375a3f6"]}],"mendeley":{"formattedCitation":"{66}","plainTextFormattedCitation":"{66}","previouslyFormattedCitation":"{65}"},"properties":{"noteIndex":0},"schema":"https://github.com/citation-style-language/schema/raw/master/csl-citation.json"}</w:instrText>
      </w:r>
      <w:r w:rsidR="00996D20">
        <w:rPr>
          <w:rFonts w:ascii="Arial" w:hAnsi="Arial"/>
        </w:rPr>
        <w:fldChar w:fldCharType="separate"/>
      </w:r>
      <w:r w:rsidR="00F24E13" w:rsidRPr="00F24E13">
        <w:rPr>
          <w:rFonts w:ascii="Arial" w:hAnsi="Arial"/>
          <w:noProof/>
        </w:rPr>
        <w:t>{66}</w:t>
      </w:r>
      <w:r w:rsidR="00996D20">
        <w:rPr>
          <w:rFonts w:ascii="Arial" w:hAnsi="Arial"/>
        </w:rPr>
        <w:fldChar w:fldCharType="end"/>
      </w:r>
      <w:r w:rsidR="009C2BFE">
        <w:rPr>
          <w:rFonts w:ascii="Arial" w:hAnsi="Arial"/>
        </w:rPr>
        <w:t xml:space="preserve"> and</w:t>
      </w:r>
      <w:r w:rsidR="00AC1F93">
        <w:rPr>
          <w:rFonts w:ascii="Arial" w:hAnsi="Arial"/>
        </w:rPr>
        <w:t xml:space="preserve"> research into the views of people with epilepsy and carers</w:t>
      </w:r>
      <w:r w:rsidR="00AC1F93">
        <w:rPr>
          <w:rFonts w:ascii="Arial" w:hAnsi="Arial"/>
        </w:rPr>
        <w:fldChar w:fldCharType="begin" w:fldLock="1"/>
      </w:r>
      <w:r w:rsidR="00F24E13">
        <w:rPr>
          <w:rFonts w:ascii="Arial" w:hAnsi="Arial"/>
        </w:rPr>
        <w:instrText>ADDIN CSL_CITATION {"citationItems":[{"id":"ITEM-1","itemData":{"DOI":"10.1016/j.yebeh.2016.01.036","ISSN":"15255069","abstract":"Objective: So that informed treatment decisions can be made, clinical trials need to evaluate treatments against domains that are important to people with epilepsy (PWE), their carers, and clinicians. Health professionals have identified domains of importance to them via the International League Against Epilepsy's Commission on Outcome Measurement (COME). However, patients and carers have not been systematically asked. Methods: Via the membership of the British Epilepsy Association, we recruited and surveyed 352 PWE and 263 of their informal carers. They were presented with 10 outcome domains (including the 5 identified by COME) and asked to rate their importance using a 9-point Likert scale. They were also asked to identify any additional domains of importance. Results: The patients' mean age was 49 years, the median number of years since diagnosis was 20, and 65% had experienced seizures in the prior 12 months. Most carers were the spouse or parent. Patients' and carers' mean ratings indicated that their outcome priorities were similar, as were those of patients who had and had not experienced recent seizures. There was consensus among patients that 6 domains were of critical importance. These included the 5 identified by COME (namely, and in order of importance, the effects of the treatment on \"Seizure severity\", \"Seizure frequency\", \"Quality of life\", \"Cognitive function\", and \"Adverse events\"), as well as one additional domain (\"Independence/need for support\"). There was consensus among carers that the 5 COME domains were also critically important. They, however, identified 3 further domains as critically important. These were the effects of the treatment on patient \"Depression\", \"Anxiety\", and \"Independence/need for support\". Conclusions: Our study found some overlap between the priorities of PWE, carers, and health professionals. They, however, highlight additional areas of importance to patients and carers. Our results could inform a core outcome set for epilepsy that represents the domains that should be reported as a minimum by all trials. This could promote trials which produce meaningful results and consistency in measurement and reporting.","author":[{"dropping-particle":"","family":"Noble","given":"A. J.","non-dropping-particle":"","parse-names":false,"suffix":""},{"dropping-particle":"","family":"Marson","given":"A. G.","non-dropping-particle":"","parse-names":false,"suffix":""}],"container-title":"Epilepsy and Behavior","id":"ITEM-1","issued":{"date-parts":[["2016"]]},"title":"Which outcomes should we measure in adult epilepsy trials? The views of people with epilepsy and informal carers","type":"article-journal"},"uris":["http://www.mendeley.com/documents/?uuid=3caee16d-fca2-4748-b778-9c055eaef188","http://www.mendeley.com/documents/?uuid=90ea6c1f-0a93-40aa-a69c-a82de8f4b27f"]}],"mendeley":{"formattedCitation":"{67}","plainTextFormattedCitation":"{67}","previouslyFormattedCitation":"{66}"},"properties":{"noteIndex":0},"schema":"https://github.com/citation-style-language/schema/raw/master/csl-citation.json"}</w:instrText>
      </w:r>
      <w:r w:rsidR="00AC1F93">
        <w:rPr>
          <w:rFonts w:ascii="Arial" w:hAnsi="Arial"/>
        </w:rPr>
        <w:fldChar w:fldCharType="separate"/>
      </w:r>
      <w:r w:rsidR="00F24E13" w:rsidRPr="00F24E13">
        <w:rPr>
          <w:rFonts w:ascii="Arial" w:hAnsi="Arial"/>
          <w:noProof/>
        </w:rPr>
        <w:t>{67}</w:t>
      </w:r>
      <w:r w:rsidR="00AC1F93">
        <w:rPr>
          <w:rFonts w:ascii="Arial" w:hAnsi="Arial"/>
        </w:rPr>
        <w:fldChar w:fldCharType="end"/>
      </w:r>
      <w:r w:rsidR="00AC1F93">
        <w:rPr>
          <w:rFonts w:ascii="Arial" w:hAnsi="Arial"/>
        </w:rPr>
        <w:t>.</w:t>
      </w:r>
      <w:r w:rsidR="009C2BFE">
        <w:rPr>
          <w:rFonts w:ascii="Arial" w:hAnsi="Arial"/>
        </w:rPr>
        <w:t xml:space="preserve"> </w:t>
      </w:r>
      <w:r w:rsidR="00912517">
        <w:rPr>
          <w:rFonts w:ascii="Arial" w:hAnsi="Arial"/>
        </w:rPr>
        <w:t xml:space="preserve">Most other FND subtypes </w:t>
      </w:r>
      <w:r w:rsidR="00F151A9">
        <w:rPr>
          <w:rFonts w:ascii="Arial" w:hAnsi="Arial"/>
        </w:rPr>
        <w:t>d</w:t>
      </w:r>
      <w:r w:rsidR="00912517">
        <w:rPr>
          <w:rFonts w:ascii="Arial" w:hAnsi="Arial"/>
        </w:rPr>
        <w:t>o not have a single disorder that is of particular relevance.</w:t>
      </w:r>
    </w:p>
    <w:p w14:paraId="56287793" w14:textId="67C6A768" w:rsidR="00BA16BF" w:rsidRDefault="00422718" w:rsidP="0097560C">
      <w:pPr>
        <w:spacing w:line="480" w:lineRule="auto"/>
        <w:ind w:firstLine="720"/>
        <w:jc w:val="both"/>
        <w:rPr>
          <w:rFonts w:ascii="Arial" w:hAnsi="Arial"/>
        </w:rPr>
      </w:pPr>
      <w:r w:rsidRPr="006A476C">
        <w:rPr>
          <w:rFonts w:ascii="Arial" w:hAnsi="Arial"/>
        </w:rPr>
        <w:t xml:space="preserve">In terms of </w:t>
      </w:r>
      <w:r w:rsidR="00EE665C">
        <w:rPr>
          <w:rFonts w:ascii="Arial" w:hAnsi="Arial"/>
        </w:rPr>
        <w:t>potentially</w:t>
      </w:r>
      <w:r w:rsidRPr="006A476C">
        <w:rPr>
          <w:rFonts w:ascii="Arial" w:hAnsi="Arial"/>
        </w:rPr>
        <w:t xml:space="preserve"> relevant </w:t>
      </w:r>
      <w:r w:rsidR="0059422C">
        <w:rPr>
          <w:rFonts w:ascii="Arial" w:hAnsi="Arial"/>
        </w:rPr>
        <w:t>mental health</w:t>
      </w:r>
      <w:r w:rsidR="001D2C92">
        <w:rPr>
          <w:rFonts w:ascii="Arial" w:hAnsi="Arial"/>
        </w:rPr>
        <w:t xml:space="preserve"> disorders, </w:t>
      </w:r>
      <w:r>
        <w:rPr>
          <w:rFonts w:ascii="Arial" w:hAnsi="Arial" w:cs="Arial"/>
        </w:rPr>
        <w:t>PTSD</w:t>
      </w:r>
      <w:r w:rsidR="00F16879">
        <w:rPr>
          <w:rFonts w:ascii="Arial" w:hAnsi="Arial"/>
        </w:rPr>
        <w:t xml:space="preserve"> has a</w:t>
      </w:r>
      <w:r w:rsidR="00EE665C">
        <w:rPr>
          <w:rFonts w:ascii="Arial" w:hAnsi="Arial"/>
        </w:rPr>
        <w:t xml:space="preserve"> broad</w:t>
      </w:r>
      <w:r w:rsidR="00F16879">
        <w:rPr>
          <w:rFonts w:ascii="Arial" w:hAnsi="Arial"/>
        </w:rPr>
        <w:t xml:space="preserve"> range of symptoms</w:t>
      </w:r>
      <w:r>
        <w:rPr>
          <w:rFonts w:ascii="Arial" w:hAnsi="Arial"/>
        </w:rPr>
        <w:t xml:space="preserve">, including </w:t>
      </w:r>
      <w:r w:rsidR="00F151A9">
        <w:rPr>
          <w:rFonts w:ascii="Arial" w:hAnsi="Arial"/>
        </w:rPr>
        <w:t xml:space="preserve">negative affect and </w:t>
      </w:r>
      <w:r>
        <w:rPr>
          <w:rFonts w:ascii="Arial" w:hAnsi="Arial"/>
        </w:rPr>
        <w:t>dissociati</w:t>
      </w:r>
      <w:r w:rsidR="00F151A9">
        <w:rPr>
          <w:rFonts w:ascii="Arial" w:hAnsi="Arial"/>
        </w:rPr>
        <w:t>on</w:t>
      </w:r>
      <w:r w:rsidRPr="006A476C">
        <w:rPr>
          <w:rFonts w:ascii="Arial" w:hAnsi="Arial"/>
        </w:rPr>
        <w:t xml:space="preserve"> that can overlap to </w:t>
      </w:r>
      <w:r>
        <w:rPr>
          <w:rFonts w:ascii="Arial" w:hAnsi="Arial"/>
        </w:rPr>
        <w:t>s</w:t>
      </w:r>
      <w:r w:rsidRPr="006A476C">
        <w:rPr>
          <w:rFonts w:ascii="Arial" w:hAnsi="Arial"/>
        </w:rPr>
        <w:t>ome degree with FND</w:t>
      </w:r>
      <w:r w:rsidR="000D603E">
        <w:rPr>
          <w:rFonts w:ascii="Arial" w:hAnsi="Arial"/>
        </w:rPr>
        <w:t>. A range of outcome measures have been developed for PTSD, the latest and most comprehensive of which is the</w:t>
      </w:r>
      <w:r w:rsidR="00EE665C">
        <w:rPr>
          <w:rFonts w:ascii="Arial" w:hAnsi="Arial"/>
        </w:rPr>
        <w:t xml:space="preserve"> Clinician-A</w:t>
      </w:r>
      <w:r w:rsidR="000D603E">
        <w:rPr>
          <w:rFonts w:ascii="Arial" w:hAnsi="Arial"/>
        </w:rPr>
        <w:t>dministered PTSD Scale (CAPS-5)</w:t>
      </w:r>
      <w:r w:rsidR="00EE665C">
        <w:rPr>
          <w:rFonts w:ascii="Arial" w:hAnsi="Arial"/>
        </w:rPr>
        <w:fldChar w:fldCharType="begin" w:fldLock="1"/>
      </w:r>
      <w:r w:rsidR="00F24E13">
        <w:rPr>
          <w:rFonts w:ascii="Arial" w:hAnsi="Arial"/>
        </w:rPr>
        <w:instrText>ADDIN CSL_CITATION {"citationItems":[{"id":"ITEM-1","itemData":{"DOI":"10.1037/pas0000486","ISSN":"1939134X","abstract":"© 2017 APA, all rights reserved). The Clinician-Administered PTSD Scale (CAPS) is an extensively validated and widely used structured diagnostic interview for posttraumatic stress disorder (PTSD). The CAPS was recently revised to correspond with PTSD criteria in the fifth edition of the Diagnostic and Statistical Manual of Mental Disorders (DSM-5; American Psychiatric Association, 2013). This article describes the development of the CAPS for DSM-5 (CAPS-5) and presents the results of an initial psychometric evaluation of CAPS-5 scores in 2 samples of military veterans (Ns = 165 and 207). CAPS-5 diagnosis demonstrated strong interrater reliability (κ = .78 to 1.00, depending on the scoring rule) and test-retest reliability (κ = .83), as well as strong correspondence with a diagnosis based on the CAPS for DSM-IV (CAPS-IV; κ = .84 when optimally calibrated). CAPS-5 total severity score demonstrated high internal consistency (α = .88) and interrater reliability (ICC = .91) and good test-retest reliability (ICC = .78). It also demonstrated good convergent validity with total severity score on the CAPS-IV (r = .83) and PTSD Checklist for DSM-5 (r = .66) and good discriminant validity with measures of anxiety, depression, somatization, functional impairment, psychopathy, and alcohol abuse (rs = .02 to .54). Overall, these results indicate that the CAPS-5 is a psychometrically sound measure of DSM-5 PTSD diagnosis and symptom severity. Importantly, the CAPS-5 strongly corresponds with the CAPS-IV, which suggests that backward compatibility with the CAPS-IV was maintained and that the CAPS-5 provides continuity in evidence-based assessment of PTSD in the transition from DSM-IV to DSM-5 criteria. (PsycINFO Database Record","author":[{"dropping-particle":"","family":"Weathers","given":"Frank W.","non-dropping-particle":"","parse-names":false,"suffix":""},{"dropping-particle":"","family":"Bovin","given":"Michelle J.","non-dropping-particle":"","parse-names":false,"suffix":""},{"dropping-particle":"","family":"Lee","given":"Daniel J.","non-dropping-particle":"","parse-names":false,"suffix":""},{"dropping-particle":"","family":"Sloan","given":"Denise M.","non-dropping-particle":"","parse-names":false,"suffix":""},{"dropping-particle":"","family":"Schnurr","given":"Paula P.","non-dropping-particle":"","parse-names":false,"suffix":""},{"dropping-particle":"","family":"Kaloupek","given":"Danny G.","non-dropping-particle":"","parse-names":false,"suffix":""},{"dropping-particle":"","family":"Keane","given":"Terence M.","non-dropping-particle":"","parse-names":false,"suffix":""},{"dropping-particle":"","family":"Marx","given":"Brian P.","non-dropping-particle":"","parse-names":false,"suffix":""}],"container-title":"Psychological Assessment","id":"ITEM-1","issued":{"date-parts":[["2018"]]},"title":"The clinician-administered ptsd scale for DSM-5 (CAPS-5): Development and initial psychometric evaluation in military veterans","type":"article-journal"},"uris":["http://www.mendeley.com/documents/?uuid=b0658a25-1149-466a-85e8-4824c16bb033","http://www.mendeley.com/documents/?uuid=5da0a6c4-359c-4ae5-ba54-44db1501e44e"]}],"mendeley":{"formattedCitation":"{68}","plainTextFormattedCitation":"{68}","previouslyFormattedCitation":"{67}"},"properties":{"noteIndex":0},"schema":"https://github.com/citation-style-language/schema/raw/master/csl-citation.json"}</w:instrText>
      </w:r>
      <w:r w:rsidR="00EE665C">
        <w:rPr>
          <w:rFonts w:ascii="Arial" w:hAnsi="Arial"/>
        </w:rPr>
        <w:fldChar w:fldCharType="separate"/>
      </w:r>
      <w:r w:rsidR="00F24E13" w:rsidRPr="00F24E13">
        <w:rPr>
          <w:rFonts w:ascii="Arial" w:hAnsi="Arial"/>
          <w:noProof/>
        </w:rPr>
        <w:t>{68}</w:t>
      </w:r>
      <w:r w:rsidR="00EE665C">
        <w:rPr>
          <w:rFonts w:ascii="Arial" w:hAnsi="Arial"/>
        </w:rPr>
        <w:fldChar w:fldCharType="end"/>
      </w:r>
      <w:r w:rsidR="000D603E">
        <w:rPr>
          <w:rFonts w:ascii="Arial" w:hAnsi="Arial"/>
        </w:rPr>
        <w:t>, but there is not yet an agreed outcome set.</w:t>
      </w:r>
      <w:r w:rsidR="00EE665C">
        <w:rPr>
          <w:rFonts w:ascii="Arial" w:hAnsi="Arial"/>
        </w:rPr>
        <w:t xml:space="preserve"> </w:t>
      </w:r>
      <w:r w:rsidR="00F16879">
        <w:rPr>
          <w:rFonts w:ascii="Arial" w:hAnsi="Arial"/>
        </w:rPr>
        <w:t>P</w:t>
      </w:r>
      <w:r>
        <w:rPr>
          <w:rFonts w:ascii="Arial" w:hAnsi="Arial"/>
        </w:rPr>
        <w:t>anic</w:t>
      </w:r>
      <w:r w:rsidR="009F2F55">
        <w:rPr>
          <w:rFonts w:ascii="Arial" w:hAnsi="Arial"/>
        </w:rPr>
        <w:t xml:space="preserve"> disorder has some clinical,</w:t>
      </w:r>
      <w:r>
        <w:rPr>
          <w:rFonts w:ascii="Arial" w:hAnsi="Arial"/>
        </w:rPr>
        <w:t xml:space="preserve"> phenomenological and potentially mechanistic overlap with FND</w:t>
      </w:r>
      <w:r w:rsidR="009F2F55">
        <w:rPr>
          <w:rFonts w:ascii="Arial" w:hAnsi="Arial"/>
        </w:rPr>
        <w:t xml:space="preserve">, especially </w:t>
      </w:r>
      <w:r w:rsidR="006065AF">
        <w:rPr>
          <w:rFonts w:ascii="Arial" w:hAnsi="Arial"/>
        </w:rPr>
        <w:t>given that</w:t>
      </w:r>
      <w:r w:rsidR="009F2F55">
        <w:rPr>
          <w:rFonts w:ascii="Arial" w:hAnsi="Arial"/>
        </w:rPr>
        <w:t xml:space="preserve"> </w:t>
      </w:r>
      <w:r w:rsidR="003828E8">
        <w:rPr>
          <w:rFonts w:ascii="Arial" w:hAnsi="Arial"/>
        </w:rPr>
        <w:t>some dissociative seizure cases</w:t>
      </w:r>
      <w:r w:rsidR="009F2F55">
        <w:rPr>
          <w:rFonts w:ascii="Arial" w:hAnsi="Arial"/>
        </w:rPr>
        <w:t xml:space="preserve"> which have</w:t>
      </w:r>
      <w:r>
        <w:rPr>
          <w:rFonts w:ascii="Arial" w:hAnsi="Arial"/>
        </w:rPr>
        <w:t xml:space="preserve"> been compared to</w:t>
      </w:r>
      <w:r w:rsidR="009F2F55">
        <w:rPr>
          <w:rFonts w:ascii="Arial" w:hAnsi="Arial"/>
        </w:rPr>
        <w:t xml:space="preserve"> a state</w:t>
      </w:r>
      <w:r w:rsidR="002F1A38">
        <w:rPr>
          <w:rFonts w:ascii="Arial" w:hAnsi="Arial"/>
        </w:rPr>
        <w:t xml:space="preserve"> of</w:t>
      </w:r>
      <w:r w:rsidR="003828E8">
        <w:rPr>
          <w:rFonts w:ascii="Arial" w:hAnsi="Arial"/>
        </w:rPr>
        <w:t xml:space="preserve"> ‘panic without</w:t>
      </w:r>
      <w:r>
        <w:rPr>
          <w:rFonts w:ascii="Arial" w:hAnsi="Arial"/>
        </w:rPr>
        <w:t xml:space="preserve"> panic’</w:t>
      </w:r>
      <w:r>
        <w:rPr>
          <w:rFonts w:ascii="Arial" w:hAnsi="Arial"/>
        </w:rPr>
        <w:fldChar w:fldCharType="begin" w:fldLock="1"/>
      </w:r>
      <w:r w:rsidR="00F24E13">
        <w:rPr>
          <w:rFonts w:ascii="Arial" w:hAnsi="Arial"/>
        </w:rPr>
        <w:instrText>ADDIN CSL_CITATION {"citationItems":[{"id":"ITEM-1","itemData":{"DOI":"77/5/616 [pii]\r10.1136/jnnp.2005.066878","ISBN":"0022-3050 (Print)\r0022-3050 (Linking)","PMID":"16614021","abstract":"OBJECTIVE: To examine anxiety related seizure symptoms and avoidance behaviour in adults with dissociative (psychogenic non-epileptic) seizures (DS) in comparison with a group suffering from partial epilepsy. METHODS: 25 DS and 19 epilepsy patients completed an attack symptom measure, the hospital anxiety and depression scale, the dissociative experiences scale, and the fear questionnaire. RESULTS: DS patients reported the presence of significantly greater numbers of somatic symptoms of anxiety during their attacks than the epilepsy group, despite not reporting subjectively higher levels of anxiety. The DS patients also reported higher levels of agoraphobic-type avoidance behaviour than the epilepsy group. Measures of dissociation were higher in the DS group, who also reported greater symptoms of depression. CONCLUSIONS: The findings support a model whereby DS occur as a paroxysmal, dissociative response to heightened arousal in the absence of raised general anxiety levels. The model has practical implications for clinical assessment and treatment: in clinical practice, inquiry about these symptoms may help in the diagnosis of DS; with respect to treatment, the anxiety related symptoms and avoidance behaviour prevalent in DS are a potential focus for a cognitive behavioural approach analogous to that used in the treatment of other anxiety disorders.","author":[{"dropping-particle":"","family":"Goldstein","given":"L H","non-dropping-particle":"","parse-names":false,"suffix":""},{"dropping-particle":"","family":"Mellers","given":"J D","non-dropping-particle":"","parse-names":false,"suffix":""}],"container-title":"J Neurol Neurosurg Psychiatry","edition":"2006/04/15","id":"ITEM-1","issue":"5","issued":{"date-parts":[["2006"]]},"language":"eng","note":"Goldstein, L H\nMellers, J D C\nEngland\nJournal of neurology, neurosurgery, and psychiatry\nJ Neurol Neurosurg Psychiatry. 2006 May;77(5):616-21.","page":"616-621","title":"Ictal symptoms of anxiety, avoidance behaviour, and dissociation in patients with dissociative seizures","type":"article-journal","volume":"77"},"uris":["http://www.mendeley.com/documents/?uuid=3c9c21ed-65d6-42d6-be2c-b53ed9965214"]}],"mendeley":{"formattedCitation":"{69}","plainTextFormattedCitation":"{69}","previouslyFormattedCitation":"{68}"},"properties":{"noteIndex":0},"schema":"https://github.com/citation-style-language/schema/raw/master/csl-citation.json"}</w:instrText>
      </w:r>
      <w:r>
        <w:rPr>
          <w:rFonts w:ascii="Arial" w:hAnsi="Arial"/>
        </w:rPr>
        <w:fldChar w:fldCharType="separate"/>
      </w:r>
      <w:r w:rsidR="00F24E13" w:rsidRPr="00F24E13">
        <w:rPr>
          <w:rFonts w:ascii="Arial" w:hAnsi="Arial"/>
          <w:noProof/>
        </w:rPr>
        <w:t>{69}</w:t>
      </w:r>
      <w:r>
        <w:rPr>
          <w:rFonts w:ascii="Arial" w:hAnsi="Arial"/>
        </w:rPr>
        <w:fldChar w:fldCharType="end"/>
      </w:r>
      <w:r w:rsidR="003828E8">
        <w:rPr>
          <w:rFonts w:ascii="Arial" w:hAnsi="Arial"/>
        </w:rPr>
        <w:t xml:space="preserve"> </w:t>
      </w:r>
      <w:r>
        <w:rPr>
          <w:rFonts w:ascii="Arial" w:hAnsi="Arial"/>
        </w:rPr>
        <w:t xml:space="preserve">and it is not uncommon for panic attacks to </w:t>
      </w:r>
      <w:r w:rsidR="006065AF">
        <w:rPr>
          <w:rFonts w:ascii="Arial" w:hAnsi="Arial"/>
        </w:rPr>
        <w:t>include</w:t>
      </w:r>
      <w:r>
        <w:rPr>
          <w:rFonts w:ascii="Arial" w:hAnsi="Arial"/>
        </w:rPr>
        <w:t xml:space="preserve"> focal </w:t>
      </w:r>
      <w:r w:rsidR="0021190C">
        <w:rPr>
          <w:rFonts w:ascii="Arial" w:hAnsi="Arial"/>
        </w:rPr>
        <w:t>neurological</w:t>
      </w:r>
      <w:r>
        <w:rPr>
          <w:rFonts w:ascii="Arial" w:hAnsi="Arial"/>
        </w:rPr>
        <w:t xml:space="preserve"> symptoms</w:t>
      </w:r>
      <w:r>
        <w:rPr>
          <w:rFonts w:ascii="Arial" w:hAnsi="Arial"/>
        </w:rPr>
        <w:fldChar w:fldCharType="begin" w:fldLock="1"/>
      </w:r>
      <w:r w:rsidR="00F24E13">
        <w:rPr>
          <w:rFonts w:ascii="Arial" w:hAnsi="Arial"/>
        </w:rPr>
        <w:instrText>ADDIN CSL_CITATION {"citationItems":[{"id":"ITEM-1","itemData":{"DOI":"10.1176/ajp.143.5.648","ISSN":"0002953X","abstract":"Among 350 referrals to a neurology service, 19 (5%) had panic attacks manifesting as focal neurologic symptoms. Diagnostic clues included multiple symptoms, normal results on neurologic examination, personal stress, dietary extremes, age 20-50 years, and symptom reproduction by hyperventilation. Focal neurologic symptoms should not exclude a diagnosis of panic attack","author":[{"dropping-particle":"","family":"Coyle","given":"P. K.","non-dropping-particle":"","parse-names":false,"suffix":""},{"dropping-particle":"","family":"Sterman","given":"A. B.","non-dropping-particle":"","parse-names":false,"suffix":""}],"container-title":"American Journal of Psychiatry","id":"ITEM-1","issued":{"date-parts":[["1986"]]},"title":"Focal neurologic symptoms in panic attacks","type":"article-journal"},"uris":["http://www.mendeley.com/documents/?uuid=6332e07a-f3a8-4117-9309-3bb26ca59137"]}],"mendeley":{"formattedCitation":"{70}","plainTextFormattedCitation":"{70}","previouslyFormattedCitation":"{69}"},"properties":{"noteIndex":0},"schema":"https://github.com/citation-style-language/schema/raw/master/csl-citation.json"}</w:instrText>
      </w:r>
      <w:r>
        <w:rPr>
          <w:rFonts w:ascii="Arial" w:hAnsi="Arial"/>
        </w:rPr>
        <w:fldChar w:fldCharType="separate"/>
      </w:r>
      <w:r w:rsidR="00F24E13" w:rsidRPr="00F24E13">
        <w:rPr>
          <w:rFonts w:ascii="Arial" w:hAnsi="Arial"/>
          <w:noProof/>
        </w:rPr>
        <w:t>{70}</w:t>
      </w:r>
      <w:r>
        <w:rPr>
          <w:rFonts w:ascii="Arial" w:hAnsi="Arial"/>
        </w:rPr>
        <w:fldChar w:fldCharType="end"/>
      </w:r>
      <w:r w:rsidRPr="006A476C">
        <w:rPr>
          <w:rFonts w:ascii="Arial" w:hAnsi="Arial"/>
        </w:rPr>
        <w:t xml:space="preserve">. </w:t>
      </w:r>
      <w:r w:rsidR="00BA16BF">
        <w:rPr>
          <w:rFonts w:ascii="Arial" w:hAnsi="Arial"/>
        </w:rPr>
        <w:t>There is no consensus outcome set for panic disorder, but a joint</w:t>
      </w:r>
      <w:r w:rsidR="009F2F55">
        <w:rPr>
          <w:rFonts w:ascii="Arial" w:hAnsi="Arial"/>
        </w:rPr>
        <w:t xml:space="preserve"> ICHOM consensus outcome set has been developed for anxiety and depression</w:t>
      </w:r>
      <w:r w:rsidR="009F2F55">
        <w:rPr>
          <w:rFonts w:ascii="Arial" w:hAnsi="Arial"/>
        </w:rPr>
        <w:fldChar w:fldCharType="begin" w:fldLock="1"/>
      </w:r>
      <w:r w:rsidR="00F24E13">
        <w:rPr>
          <w:rFonts w:ascii="Arial" w:hAnsi="Arial"/>
        </w:rPr>
        <w:instrText>ADDIN CSL_CITATION {"citationItems":[{"id":"ITEM-1","itemData":{"DOI":"10.1007/s11136-017-1659-5","ISSN":"15732649","abstract":"PURPOSE National initiatives, such as the UK Improving Access to Psychological Therapies program (IAPT), demonstrate the feasibility of conducting empirical mental health assessments on a large scale, and similar initiatives exist in other countries. However, there is a lack of international consensus on which outcome domains are most salient to monitor treatment progress and how they should be measured. The aim of this project was to propose (1) an essential set of outcome domains relevant across countries and cultures, (2) a set of easily accessible patient-reported instruments, and (3) a psychometric approach to make scores from different instruments comparable. METHODS Twenty-four experts, including ten health outcomes researchers, ten clinical experts from all continents, two patient advocates, and two ICHOM coordinators worked for seven months in a consensus building exercise to develop recommendations based on existing evidence using a structured consensus-driven modified Delphi technique. RESULTS The group proposes to combine an assessment of potential outcome predictors at baseline (47 items: demographics, functional, clinical status, etc.), with repeated assessments of disease-specific symptoms during the treatment process (19 items: symptoms, side effects, etc.), and a comprehensive annual assessment of broader treatment outcomes (45 items: remission, absenteeism, etc.). Further, it is suggested reporting disease-specific symptoms for depression and anxiety on a standardized metric to increase comparability with other legacy instruments. All recommended instruments are provided online ( www.ichom.org ). CONCLUSION An international standard of health outcomes assessment has the potential to improve clinical decision making, enhance health care for the benefit of patients, and facilitate scientific knowledge.","author":[{"dropping-particle":"","family":"Obbarius","given":"Alexander","non-dropping-particle":"","parse-names":false,"suffix":""},{"dropping-particle":"","family":"Maasakkers","given":"Lisa","non-dropping-particle":"van","parse-names":false,"suffix":""},{"dropping-particle":"","family":"Baer","given":"Lee","non-dropping-particle":"","parse-names":false,"suffix":""},{"dropping-particle":"","family":"Clark","given":"David M.","non-dropping-particle":"","parse-names":false,"suffix":""},{"dropping-particle":"","family":"Crocker","given":"Anne G.","non-dropping-particle":"","parse-names":false,"suffix":""},{"dropping-particle":"","family":"Beurs","given":"Edwin","non-dropping-particle":"de","parse-names":false,"suffix":""},{"dropping-particle":"","family":"Emmelkamp","given":"Paul M.G.","non-dropping-particle":"","parse-names":false,"suffix":""},{"dropping-particle":"","family":"Furukawa","given":"Toshi A.","non-dropping-particle":"","parse-names":false,"suffix":""},{"dropping-particle":"","family":"Hedman-Lagerlöf","given":"Erik","non-dropping-particle":"","parse-names":false,"suffix":""},{"dropping-particle":"","family":"Kangas","given":"Maria","non-dropping-particle":"","parse-names":false,"suffix":""},{"dropping-particle":"","family":"Langford","given":"Lucie","non-dropping-particle":"","parse-names":false,"suffix":""},{"dropping-particle":"","family":"Lesage","given":"Alain","non-dropping-particle":"","parse-names":false,"suffix":""},{"dropping-particle":"","family":"Mwesigire","given":"Doris M.","non-dropping-particle":"","parse-names":false,"suffix":""},{"dropping-particle":"","family":"Nolte","given":"Sandra","non-dropping-particle":"","parse-names":false,"suffix":""},{"dropping-particle":"","family":"Patel","given":"Vikram","non-dropping-particle":"","parse-names":false,"suffix":""},{"dropping-particle":"","family":"Pilkonis","given":"Paul A.","non-dropping-particle":"","parse-names":false,"suffix":""},{"dropping-particle":"","family":"Pincus","given":"Harold A.","non-dropping-particle":"","parse-names":false,"suffix":""},{"dropping-particle":"","family":"Reis","given":"Roberta A.","non-dropping-particle":"","parse-names":false,"suffix":""},{"dropping-particle":"","family":"Rojas","given":"Graciela","non-dropping-particle":"","parse-names":false,"suffix":""},{"dropping-particle":"","family":"Sherbourne","given":"Cathy","non-dropping-particle":"","parse-names":false,"suffix":""},{"dropping-particle":"","family":"Smithson","given":"Dave","non-dropping-particle":"","parse-names":false,"suffix":""},{"dropping-particle":"","family":"Stowell","given":"Caleb","non-dropping-particle":"","parse-names":false,"suffix":""},{"dropping-particle":"","family":"Woolaway-Bickel","given":"Kelly","non-dropping-particle":"","parse-names":false,"suffix":""},{"dropping-particle":"","family":"Rose","given":"Matthias","non-dropping-particle":"","parse-names":false,"suffix":""}],"container-title":"Quality of Life Research","id":"ITEM-1","issued":{"date-parts":[["2017"]]},"title":"Standardization of health outcomes assessment for depression and anxiety: recommendations from the ICHOM Depression and Anxiety Working Group","type":"article-journal"},"uris":["http://www.mendeley.com/documents/?uuid=afb02412-aa3e-4942-8adb-9123aa68d764","http://www.mendeley.com/documents/?uuid=0c337326-1657-4aff-8807-f7b64f859bc4"]}],"mendeley":{"formattedCitation":"{71}","plainTextFormattedCitation":"{71}","previouslyFormattedCitation":"{70}"},"properties":{"noteIndex":0},"schema":"https://github.com/citation-style-language/schema/raw/master/csl-citation.json"}</w:instrText>
      </w:r>
      <w:r w:rsidR="009F2F55">
        <w:rPr>
          <w:rFonts w:ascii="Arial" w:hAnsi="Arial"/>
        </w:rPr>
        <w:fldChar w:fldCharType="separate"/>
      </w:r>
      <w:r w:rsidR="00F24E13" w:rsidRPr="00F24E13">
        <w:rPr>
          <w:rFonts w:ascii="Arial" w:hAnsi="Arial"/>
          <w:noProof/>
        </w:rPr>
        <w:t>{71}</w:t>
      </w:r>
      <w:r w:rsidR="009F2F55">
        <w:rPr>
          <w:rFonts w:ascii="Arial" w:hAnsi="Arial"/>
        </w:rPr>
        <w:fldChar w:fldCharType="end"/>
      </w:r>
      <w:r w:rsidR="009F2F55">
        <w:rPr>
          <w:rFonts w:ascii="Arial" w:hAnsi="Arial"/>
        </w:rPr>
        <w:t xml:space="preserve"> that is potentially </w:t>
      </w:r>
      <w:r w:rsidR="00BA16BF">
        <w:rPr>
          <w:rFonts w:ascii="Arial" w:hAnsi="Arial"/>
        </w:rPr>
        <w:t xml:space="preserve">of some </w:t>
      </w:r>
      <w:r w:rsidR="009F2F55">
        <w:rPr>
          <w:rFonts w:ascii="Arial" w:hAnsi="Arial"/>
        </w:rPr>
        <w:t>relevan</w:t>
      </w:r>
      <w:r w:rsidR="00BA16BF">
        <w:rPr>
          <w:rFonts w:ascii="Arial" w:hAnsi="Arial"/>
        </w:rPr>
        <w:t>ce to aspects of FND</w:t>
      </w:r>
      <w:r w:rsidR="009F2F55">
        <w:rPr>
          <w:rFonts w:ascii="Arial" w:hAnsi="Arial"/>
        </w:rPr>
        <w:t xml:space="preserve">. </w:t>
      </w:r>
    </w:p>
    <w:p w14:paraId="6BF20002" w14:textId="760C3434" w:rsidR="00422718" w:rsidRPr="006A476C" w:rsidRDefault="00E13FB3" w:rsidP="0097560C">
      <w:pPr>
        <w:spacing w:line="480" w:lineRule="auto"/>
        <w:ind w:firstLine="720"/>
        <w:jc w:val="both"/>
        <w:rPr>
          <w:rFonts w:ascii="Arial" w:hAnsi="Arial"/>
        </w:rPr>
      </w:pPr>
      <w:r>
        <w:rPr>
          <w:rFonts w:ascii="Arial" w:hAnsi="Arial"/>
        </w:rPr>
        <w:t xml:space="preserve">Although parallels </w:t>
      </w:r>
      <w:r w:rsidR="00FB6A18">
        <w:rPr>
          <w:rFonts w:ascii="Arial" w:hAnsi="Arial"/>
        </w:rPr>
        <w:t xml:space="preserve">to FND may </w:t>
      </w:r>
      <w:r>
        <w:rPr>
          <w:rFonts w:ascii="Arial" w:hAnsi="Arial"/>
        </w:rPr>
        <w:t xml:space="preserve">not </w:t>
      </w:r>
      <w:r w:rsidR="00FB6A18">
        <w:rPr>
          <w:rFonts w:ascii="Arial" w:hAnsi="Arial"/>
        </w:rPr>
        <w:t xml:space="preserve">be </w:t>
      </w:r>
      <w:r>
        <w:rPr>
          <w:rFonts w:ascii="Arial" w:hAnsi="Arial"/>
        </w:rPr>
        <w:t>immediately obvious</w:t>
      </w:r>
      <w:r w:rsidR="00422718">
        <w:rPr>
          <w:rFonts w:ascii="Arial" w:hAnsi="Arial" w:cs="Arial"/>
        </w:rPr>
        <w:t>,</w:t>
      </w:r>
      <w:r w:rsidR="00422718" w:rsidRPr="006A476C">
        <w:rPr>
          <w:rFonts w:ascii="Arial" w:hAnsi="Arial" w:cs="Arial"/>
        </w:rPr>
        <w:t xml:space="preserve"> </w:t>
      </w:r>
      <w:r w:rsidR="00422718" w:rsidRPr="00946606">
        <w:rPr>
          <w:rFonts w:ascii="Arial" w:hAnsi="Arial" w:cs="Arial"/>
        </w:rPr>
        <w:t>obsessive</w:t>
      </w:r>
      <w:r w:rsidR="00422718">
        <w:rPr>
          <w:rFonts w:ascii="Arial" w:hAnsi="Arial" w:cs="Arial"/>
        </w:rPr>
        <w:t xml:space="preserve"> </w:t>
      </w:r>
      <w:r w:rsidR="00422718" w:rsidRPr="006A476C">
        <w:rPr>
          <w:rFonts w:ascii="Arial" w:hAnsi="Arial"/>
        </w:rPr>
        <w:t>compulsive disorder (OCD) is informative</w:t>
      </w:r>
      <w:r w:rsidR="00422718">
        <w:rPr>
          <w:rFonts w:ascii="Arial" w:hAnsi="Arial" w:cs="Arial"/>
        </w:rPr>
        <w:t xml:space="preserve"> since</w:t>
      </w:r>
      <w:r w:rsidR="00422718" w:rsidRPr="006A476C">
        <w:rPr>
          <w:rFonts w:ascii="Arial" w:hAnsi="Arial"/>
        </w:rPr>
        <w:t xml:space="preserve"> its key outcome measure</w:t>
      </w:r>
      <w:r w:rsidR="009F1063">
        <w:rPr>
          <w:rFonts w:ascii="Arial" w:hAnsi="Arial"/>
        </w:rPr>
        <w:t>,</w:t>
      </w:r>
      <w:r w:rsidR="00422718" w:rsidRPr="006A476C">
        <w:rPr>
          <w:rFonts w:ascii="Arial" w:hAnsi="Arial"/>
        </w:rPr>
        <w:t xml:space="preserve"> the Yale-Brown Obsessive Compulsive Scale </w:t>
      </w:r>
      <w:r w:rsidR="00BA16BF">
        <w:rPr>
          <w:rFonts w:ascii="Arial" w:hAnsi="Arial"/>
        </w:rPr>
        <w:t>(</w:t>
      </w:r>
      <w:r w:rsidR="00422718" w:rsidRPr="006A476C">
        <w:rPr>
          <w:rFonts w:ascii="Arial" w:hAnsi="Arial"/>
        </w:rPr>
        <w:t>YBOCS</w:t>
      </w:r>
      <w:r w:rsidR="00BA16BF">
        <w:rPr>
          <w:rFonts w:ascii="Arial" w:hAnsi="Arial"/>
        </w:rPr>
        <w:t>)</w:t>
      </w:r>
      <w:r w:rsidR="00BA16BF">
        <w:rPr>
          <w:rFonts w:ascii="Arial" w:hAnsi="Arial"/>
        </w:rPr>
        <w:fldChar w:fldCharType="begin" w:fldLock="1"/>
      </w:r>
      <w:r w:rsidR="00F24E13">
        <w:rPr>
          <w:rFonts w:ascii="Arial" w:hAnsi="Arial"/>
        </w:rPr>
        <w:instrText>ADDIN CSL_CITATION {"citationItems":[{"id":"ITEM-1","itemData":{"DOI":"10.1001/archpsyc.1989.01810110048007","ISSN":"15383636","abstract":"The Yale-Brown Obsessive Compulsive Scale was designed to remedy the problems of existing rating scales by providing a specific measure of the severity of symptoms of obsessive-compulsive disorder that is not influenced by the type of obsessions or compulsions present. The scale is a clinician-rated, 10-item scale, each item rated from 0 (no symptoms) to 4 (extreme symptoms) (total range, 0 to 40), with separate subtotals for severity of obsessions and compulsions. In a study involving four raters and 40 patients with obsessive-compulsive disorder at various stages of treatment, interrater reliability for the total Yale-Brown Scale score and each of the 10 individual items was excellent, with a high degree of internal consistency among all item scores demonstrated with Cronbach's alpha coefficient. Based on pretreatment assessment of 42 patients with obsessive-compulsive disorder, each item was frequently endorsed and measured across a range of severity. These findings suggest that the Yale-Brown Scale is a reliable instrument for measuring the severity of illness in patients with obsessive-compulsive disorder with a range of severity and types of obsessive-compulsive symptoms.","author":[{"dropping-particle":"","family":"Goodman","given":"Wayne K.","non-dropping-particle":"","parse-names":false,"suffix":""},{"dropping-particle":"","family":"Price","given":"Lawrence H.","non-dropping-particle":"","parse-names":false,"suffix":""},{"dropping-particle":"","family":"Rasmussen","given":"Steven A.","non-dropping-particle":"","parse-names":false,"suffix":""},{"dropping-particle":"","family":"Mazure","given":"Carolyn","non-dropping-particle":"","parse-names":false,"suffix":""},{"dropping-particle":"","family":"Fleischmann","given":"Roberta L.","non-dropping-particle":"","parse-names":false,"suffix":""},{"dropping-particle":"","family":"Hill","given":"Candy L.","non-dropping-particle":"","parse-names":false,"suffix":""},{"dropping-particle":"","family":"Heninger","given":"George R.","non-dropping-particle":"","parse-names":false,"suffix":""},{"dropping-particle":"","family":"Charney","given":"Dennis S.","non-dropping-particle":"","parse-names":false,"suffix":""}],"container-title":"Archives of General Psychiatry","id":"ITEM-1","issued":{"date-parts":[["1989"]]},"title":"The Yale-Brown Obsessive Compulsive Scale: I. Development, Use, and Reliability","type":"article-journal"},"uris":["http://www.mendeley.com/documents/?uuid=d0ad73aa-8237-404e-85d0-a577fc130164","http://www.mendeley.com/documents/?uuid=df496f93-2f1c-4aa8-b0bb-74c73f562639"]}],"mendeley":{"formattedCitation":"{72}","plainTextFormattedCitation":"{72}","previouslyFormattedCitation":"{71}"},"properties":{"noteIndex":0},"schema":"https://github.com/citation-style-language/schema/raw/master/csl-citation.json"}</w:instrText>
      </w:r>
      <w:r w:rsidR="00BA16BF">
        <w:rPr>
          <w:rFonts w:ascii="Arial" w:hAnsi="Arial"/>
        </w:rPr>
        <w:fldChar w:fldCharType="separate"/>
      </w:r>
      <w:r w:rsidR="00F24E13" w:rsidRPr="00F24E13">
        <w:rPr>
          <w:rFonts w:ascii="Arial" w:hAnsi="Arial"/>
          <w:noProof/>
        </w:rPr>
        <w:t>{72}</w:t>
      </w:r>
      <w:r w:rsidR="00BA16BF">
        <w:rPr>
          <w:rFonts w:ascii="Arial" w:hAnsi="Arial"/>
        </w:rPr>
        <w:fldChar w:fldCharType="end"/>
      </w:r>
      <w:r w:rsidR="009F1063">
        <w:rPr>
          <w:rFonts w:ascii="Arial" w:hAnsi="Arial"/>
        </w:rPr>
        <w:t>,</w:t>
      </w:r>
      <w:r w:rsidR="00422718" w:rsidRPr="006A476C">
        <w:rPr>
          <w:rFonts w:ascii="Arial" w:hAnsi="Arial"/>
        </w:rPr>
        <w:t xml:space="preserve"> has several different components that might be applicable to FND. The YBOCS has </w:t>
      </w:r>
      <w:r w:rsidR="00422718">
        <w:rPr>
          <w:rFonts w:ascii="Arial" w:hAnsi="Arial"/>
        </w:rPr>
        <w:t>a</w:t>
      </w:r>
      <w:r w:rsidR="00422718" w:rsidRPr="006A476C">
        <w:rPr>
          <w:rFonts w:ascii="Arial" w:hAnsi="Arial"/>
        </w:rPr>
        <w:t xml:space="preserve"> checklist for past and current </w:t>
      </w:r>
      <w:r w:rsidR="00422718" w:rsidRPr="006A476C">
        <w:rPr>
          <w:rFonts w:ascii="Arial" w:hAnsi="Arial"/>
        </w:rPr>
        <w:lastRenderedPageBreak/>
        <w:t>symptoms as well as a current score for all obsessive symptoms and all compulsive symptoms measured over several domain</w:t>
      </w:r>
      <w:r w:rsidR="00BA16BF">
        <w:rPr>
          <w:rFonts w:ascii="Arial" w:hAnsi="Arial"/>
        </w:rPr>
        <w:t>s (1. Frequency of symptom;</w:t>
      </w:r>
      <w:r w:rsidR="00F16879">
        <w:rPr>
          <w:rFonts w:ascii="Arial" w:hAnsi="Arial"/>
        </w:rPr>
        <w:t xml:space="preserve"> 2. I</w:t>
      </w:r>
      <w:r w:rsidR="00BA16BF">
        <w:rPr>
          <w:rFonts w:ascii="Arial" w:hAnsi="Arial"/>
        </w:rPr>
        <w:t>nterference with social / occupational function; 3. Distress;</w:t>
      </w:r>
      <w:r w:rsidR="00422718" w:rsidRPr="006A476C">
        <w:rPr>
          <w:rFonts w:ascii="Arial" w:hAnsi="Arial"/>
        </w:rPr>
        <w:t xml:space="preserve"> 4. Ability to resist</w:t>
      </w:r>
      <w:r w:rsidR="00BA16BF">
        <w:rPr>
          <w:rFonts w:ascii="Arial" w:hAnsi="Arial"/>
        </w:rPr>
        <w:t>, and 5;</w:t>
      </w:r>
      <w:r w:rsidR="00422718" w:rsidRPr="006A476C">
        <w:rPr>
          <w:rFonts w:ascii="Arial" w:hAnsi="Arial"/>
        </w:rPr>
        <w:t xml:space="preserve"> Subjective feeling of control</w:t>
      </w:r>
      <w:r w:rsidR="00422718" w:rsidRPr="006A476C">
        <w:rPr>
          <w:rFonts w:ascii="Arial" w:hAnsi="Arial" w:cs="Arial"/>
        </w:rPr>
        <w:t>)</w:t>
      </w:r>
      <w:r w:rsidR="00422718">
        <w:rPr>
          <w:rFonts w:ascii="Arial" w:hAnsi="Arial" w:cs="Arial"/>
        </w:rPr>
        <w:t>.</w:t>
      </w:r>
    </w:p>
    <w:p w14:paraId="0B00FAAB" w14:textId="0B5D75BC" w:rsidR="000922D5" w:rsidRDefault="00074D34" w:rsidP="00422718">
      <w:pPr>
        <w:spacing w:line="480" w:lineRule="auto"/>
        <w:ind w:firstLine="720"/>
        <w:jc w:val="both"/>
        <w:rPr>
          <w:rFonts w:ascii="Arial" w:hAnsi="Arial"/>
        </w:rPr>
      </w:pPr>
      <w:r>
        <w:rPr>
          <w:rFonts w:ascii="Arial" w:hAnsi="Arial"/>
        </w:rPr>
        <w:t>In related</w:t>
      </w:r>
      <w:r w:rsidR="00422718" w:rsidRPr="006A476C">
        <w:rPr>
          <w:rFonts w:ascii="Arial" w:hAnsi="Arial"/>
        </w:rPr>
        <w:t xml:space="preserve"> functional disorders</w:t>
      </w:r>
      <w:r w:rsidR="00FB6A18">
        <w:rPr>
          <w:rFonts w:ascii="Arial" w:hAnsi="Arial"/>
        </w:rPr>
        <w:t>,</w:t>
      </w:r>
      <w:r w:rsidR="000922D5">
        <w:rPr>
          <w:rFonts w:ascii="Arial" w:hAnsi="Arial" w:cs="Arial"/>
        </w:rPr>
        <w:t xml:space="preserve"> a</w:t>
      </w:r>
      <w:r w:rsidR="00422718">
        <w:rPr>
          <w:rFonts w:ascii="Arial" w:hAnsi="Arial"/>
        </w:rPr>
        <w:t xml:space="preserve"> European group has recently published </w:t>
      </w:r>
      <w:r w:rsidR="00BD0962">
        <w:rPr>
          <w:rFonts w:ascii="Arial" w:hAnsi="Arial"/>
        </w:rPr>
        <w:t xml:space="preserve">recommendations </w:t>
      </w:r>
      <w:r w:rsidR="00422718">
        <w:rPr>
          <w:rFonts w:ascii="Arial" w:hAnsi="Arial"/>
        </w:rPr>
        <w:t>for somatic symptom disorder</w:t>
      </w:r>
      <w:r w:rsidR="002411F1">
        <w:rPr>
          <w:rFonts w:ascii="Arial" w:hAnsi="Arial"/>
        </w:rPr>
        <w:t>,</w:t>
      </w:r>
      <w:r w:rsidR="00422718">
        <w:rPr>
          <w:rFonts w:ascii="Arial" w:hAnsi="Arial"/>
        </w:rPr>
        <w:t xml:space="preserve"> bodily distress disorder </w:t>
      </w:r>
      <w:r w:rsidR="002411F1">
        <w:rPr>
          <w:rFonts w:ascii="Arial" w:hAnsi="Arial"/>
        </w:rPr>
        <w:t>and functional somatic syndromes</w:t>
      </w:r>
      <w:r w:rsidR="00422718">
        <w:rPr>
          <w:rFonts w:ascii="Arial" w:hAnsi="Arial"/>
        </w:rPr>
        <w:fldChar w:fldCharType="begin" w:fldLock="1"/>
      </w:r>
      <w:r w:rsidR="00F24E13">
        <w:rPr>
          <w:rFonts w:ascii="Arial" w:hAnsi="Arial"/>
        </w:rPr>
        <w:instrText>ADDIN CSL_CITATION {"citationItems":[{"id":"ITEM-1","itemData":{"DOI":"10.1097/PSY.0000000000000502","ISSN":"15347796","abstract":"OBJECTIVE The harmonization of core outcome domains in clinical trials facilitates comparison and pooling of data, and simplifies the preparation and review of research projects, and comparison of risks and benefits of treatments. Therefore we provide recommendations for the core outcome domains that should be considered in clinical trials on the efficacy and effectiveness of interventions for somatic symptom disorder, bodily distress disorder, and functional somatic syndromes. METHODS The European Network on Somatic Symptom Disorders group (EURONET-SOMA) of more than 20 experts in the field met twice in Hamburg to discuss issues of assessment and intervention research in somatic symptom disorder, bodily distress disorder, and functional somatic syndromes. The consensus meetings identified core outcome domains that should be considered in clinical trials evaluating treatments for somatic symptom disorder and associated functional somatic syndromes. RESULTS The following core domains should be considered when defining ascertainment methods in clinical trials: (1) classification of somatic symptom disorder/bodily distress disorder, associated functional somatic syndromes, and comorbid mental disorders (using structured clinical interviews), duration of symptoms, medical morbidity, and prior treatments (2) location, intensity, and interference of somatic symptoms, (3) associated psychobehavioral features and biological markers, (4) illness consequences (quality of life, disability, health care utilization, health care costs), (5) global improvement, treatment satisfaction, and (6) unwanted negative effects. CONCLUSIONS The proposed criteria are intended to improve synergies of clinical trials and to facilitate decision making when comparing different treatment approaches. These recommendations should not result in inflexible guidelines, but increase consistency across investigations in this field.","author":[{"dropping-particle":"","family":"Rief","given":"Winfried","non-dropping-particle":"","parse-names":false,"suffix":""},{"dropping-particle":"","family":"Burton","given":"Chris","non-dropping-particle":"","parse-names":false,"suffix":""},{"dropping-particle":"","family":"Frostholm","given":"Lisbeth","non-dropping-particle":"","parse-names":false,"suffix":""},{"dropping-particle":"","family":"Henningsen","given":"Peter","non-dropping-particle":"","parse-names":false,"suffix":""},{"dropping-particle":"","family":"Kleinstäuber","given":"Maria","non-dropping-particle":"","parse-names":false,"suffix":""},{"dropping-particle":"","family":"Kop","given":"Willem J.","non-dropping-particle":"","parse-names":false,"suffix":""},{"dropping-particle":"","family":"Löwe","given":"Bernd","non-dropping-particle":"","parse-names":false,"suffix":""},{"dropping-particle":"","family":"Martin","given":"Alexandra","non-dropping-particle":"","parse-names":false,"suffix":""},{"dropping-particle":"","family":"Malt","given":"Ulrik","non-dropping-particle":"","parse-names":false,"suffix":""},{"dropping-particle":"","family":"Rosmalen","given":"Judith","non-dropping-particle":"","parse-names":false,"suffix":""},{"dropping-particle":"","family":"Schröder","given":"Andreas","non-dropping-particle":"","parse-names":false,"suffix":""},{"dropping-particle":"","family":"Shedden-Mora","given":"Meike","non-dropping-particle":"","parse-names":false,"suffix":""},{"dropping-particle":"","family":"Toussaint","given":"Anne","non-dropping-particle":"","parse-names":false,"suffix":""},{"dropping-particle":"","family":"Feltz-Cornelis","given":"Christina","non-dropping-particle":"Van Der","parse-names":false,"suffix":""}],"container-title":"Psychosomatic Medicine","id":"ITEM-1","issued":{"date-parts":[["2017"]]},"title":"Core Outcome Domains for Clinical Trials on Somatic Symptom Disorder, Bodily Distress Disorder, and Functional Somatic Syndromes: European Network on Somatic Symptom Disorders Recommendations","type":"article-journal"},"uris":["http://www.mendeley.com/documents/?uuid=35e2ec70-394b-4f31-bbdb-60ef1792fd95"]}],"mendeley":{"formattedCitation":"{73}","plainTextFormattedCitation":"{73}","previouslyFormattedCitation":"{72}"},"properties":{"noteIndex":0},"schema":"https://github.com/citation-style-language/schema/raw/master/csl-citation.json"}</w:instrText>
      </w:r>
      <w:r w:rsidR="00422718">
        <w:rPr>
          <w:rFonts w:ascii="Arial" w:hAnsi="Arial"/>
        </w:rPr>
        <w:fldChar w:fldCharType="separate"/>
      </w:r>
      <w:r w:rsidR="00F24E13" w:rsidRPr="00F24E13">
        <w:rPr>
          <w:rFonts w:ascii="Arial" w:hAnsi="Arial"/>
          <w:noProof/>
        </w:rPr>
        <w:t>{73}</w:t>
      </w:r>
      <w:r w:rsidR="00422718">
        <w:rPr>
          <w:rFonts w:ascii="Arial" w:hAnsi="Arial"/>
        </w:rPr>
        <w:fldChar w:fldCharType="end"/>
      </w:r>
      <w:r w:rsidR="00E21FCC">
        <w:rPr>
          <w:rFonts w:ascii="Arial" w:hAnsi="Arial"/>
        </w:rPr>
        <w:t xml:space="preserve"> recommending</w:t>
      </w:r>
      <w:r w:rsidR="002411F1">
        <w:rPr>
          <w:rFonts w:ascii="Arial" w:hAnsi="Arial"/>
        </w:rPr>
        <w:t xml:space="preserve"> six outcome domains</w:t>
      </w:r>
      <w:r w:rsidR="00222F9C">
        <w:rPr>
          <w:rFonts w:ascii="Arial" w:hAnsi="Arial"/>
        </w:rPr>
        <w:t>: 1.</w:t>
      </w:r>
      <w:r w:rsidR="00E21FCC">
        <w:rPr>
          <w:rFonts w:ascii="Arial" w:hAnsi="Arial"/>
        </w:rPr>
        <w:t xml:space="preserve"> Classification</w:t>
      </w:r>
      <w:r w:rsidR="00222F9C">
        <w:rPr>
          <w:rFonts w:ascii="Arial" w:hAnsi="Arial"/>
        </w:rPr>
        <w:t xml:space="preserve"> of disorder and comorbid mental problems, 2. Somatic symptoms (self</w:t>
      </w:r>
      <w:r w:rsidR="005357C6">
        <w:rPr>
          <w:rFonts w:ascii="Arial" w:hAnsi="Arial"/>
        </w:rPr>
        <w:t>-</w:t>
      </w:r>
      <w:r w:rsidR="00222F9C">
        <w:rPr>
          <w:rFonts w:ascii="Arial" w:hAnsi="Arial"/>
        </w:rPr>
        <w:t xml:space="preserve">rated symptom intensity and interference with daily activities, both scored 0-10), 3. </w:t>
      </w:r>
      <w:proofErr w:type="spellStart"/>
      <w:r w:rsidR="00222F9C">
        <w:rPr>
          <w:rFonts w:ascii="Arial" w:hAnsi="Arial"/>
        </w:rPr>
        <w:t>Psychobehavioural</w:t>
      </w:r>
      <w:proofErr w:type="spellEnd"/>
      <w:r w:rsidR="00222F9C">
        <w:rPr>
          <w:rFonts w:ascii="Arial" w:hAnsi="Arial"/>
        </w:rPr>
        <w:t xml:space="preserve"> features</w:t>
      </w:r>
      <w:r w:rsidR="00E21FCC">
        <w:rPr>
          <w:rFonts w:ascii="Arial" w:hAnsi="Arial"/>
        </w:rPr>
        <w:t xml:space="preserve"> (e.g. depression and anxiety)</w:t>
      </w:r>
      <w:r w:rsidR="00222F9C">
        <w:rPr>
          <w:rFonts w:ascii="Arial" w:hAnsi="Arial"/>
        </w:rPr>
        <w:t>, 4. Illness consequences</w:t>
      </w:r>
      <w:r w:rsidR="00E21FCC">
        <w:rPr>
          <w:rFonts w:ascii="Arial" w:hAnsi="Arial"/>
        </w:rPr>
        <w:t xml:space="preserve"> (quality of life, disability and healthcare use)</w:t>
      </w:r>
      <w:r w:rsidR="00222F9C">
        <w:rPr>
          <w:rFonts w:ascii="Arial" w:hAnsi="Arial"/>
        </w:rPr>
        <w:t xml:space="preserve">, 5. </w:t>
      </w:r>
      <w:r w:rsidR="005357C6">
        <w:rPr>
          <w:rFonts w:ascii="Arial" w:hAnsi="Arial"/>
        </w:rPr>
        <w:t>Patient</w:t>
      </w:r>
      <w:r w:rsidR="004808E0">
        <w:rPr>
          <w:rFonts w:ascii="Arial" w:hAnsi="Arial"/>
        </w:rPr>
        <w:t xml:space="preserve"> satisfaction,</w:t>
      </w:r>
      <w:r w:rsidR="00E21FCC">
        <w:rPr>
          <w:rFonts w:ascii="Arial" w:hAnsi="Arial"/>
        </w:rPr>
        <w:t xml:space="preserve"> and </w:t>
      </w:r>
      <w:r w:rsidR="00222F9C">
        <w:rPr>
          <w:rFonts w:ascii="Arial" w:hAnsi="Arial"/>
        </w:rPr>
        <w:t>6. Unwanted negative effects.</w:t>
      </w:r>
      <w:r>
        <w:rPr>
          <w:rFonts w:ascii="Arial" w:hAnsi="Arial"/>
        </w:rPr>
        <w:t xml:space="preserve"> </w:t>
      </w:r>
      <w:r w:rsidR="00E21FCC">
        <w:rPr>
          <w:rFonts w:ascii="Arial" w:hAnsi="Arial"/>
        </w:rPr>
        <w:t xml:space="preserve"> </w:t>
      </w:r>
      <w:r w:rsidR="000922D5">
        <w:rPr>
          <w:rFonts w:ascii="Arial" w:hAnsi="Arial"/>
        </w:rPr>
        <w:t>Good</w:t>
      </w:r>
      <w:r w:rsidR="000922D5" w:rsidRPr="006A476C">
        <w:rPr>
          <w:rFonts w:ascii="Arial" w:hAnsi="Arial"/>
        </w:rPr>
        <w:t xml:space="preserve"> progress </w:t>
      </w:r>
      <w:r w:rsidR="000922D5">
        <w:rPr>
          <w:rFonts w:ascii="Arial" w:hAnsi="Arial"/>
        </w:rPr>
        <w:t>has also</w:t>
      </w:r>
      <w:r w:rsidR="000922D5" w:rsidRPr="006A476C">
        <w:rPr>
          <w:rFonts w:ascii="Arial" w:hAnsi="Arial"/>
        </w:rPr>
        <w:t xml:space="preserve"> been made in fibromyalgia with the publication of a</w:t>
      </w:r>
      <w:r w:rsidR="000922D5">
        <w:rPr>
          <w:rFonts w:ascii="Arial" w:hAnsi="Arial"/>
        </w:rPr>
        <w:t xml:space="preserve"> consensus</w:t>
      </w:r>
      <w:r w:rsidR="000922D5" w:rsidRPr="006A476C">
        <w:rPr>
          <w:rFonts w:ascii="Arial" w:hAnsi="Arial"/>
        </w:rPr>
        <w:t xml:space="preserve"> </w:t>
      </w:r>
      <w:r w:rsidR="000922D5">
        <w:rPr>
          <w:rFonts w:ascii="Arial" w:hAnsi="Arial"/>
        </w:rPr>
        <w:t>core domain set</w:t>
      </w:r>
      <w:r w:rsidR="000922D5" w:rsidRPr="006A476C">
        <w:rPr>
          <w:rFonts w:ascii="Arial" w:hAnsi="Arial" w:cs="Arial"/>
        </w:rPr>
        <w:fldChar w:fldCharType="begin" w:fldLock="1"/>
      </w:r>
      <w:r w:rsidR="00F24E13">
        <w:rPr>
          <w:rFonts w:ascii="Arial" w:hAnsi="Arial" w:cs="Arial"/>
        </w:rPr>
        <w:instrText>ADDIN CSL_CITATION {"citationItems":[{"id":"ITEM-1","itemData":{"DOI":"10.3899/jrheum.090367","ISSN":"0315162X","abstract":"&lt;p&gt;The objective of the module was to (1) establish a core domain set for fibromyalgia (FM) assessment in clinical trials and practice, (2) review outcome measure performance characteristics, (3) discuss development of a responder index for assessment of FM in clinical trials, (4) review objective markers, (5) review the domain of cognitive dysfunction, and (6) establish a research agenda for outcomes research. Presentations at the module included: (1) Results of univariate and multivariate analysis of 10 FM clinical trials of 4 drugs, mapping key domains identified in previous patient focus group: Delphi exercises and a clinician/researcher Delphi exercise, and breakout discussions to vote on possible essential domains and reliable measures; (2) Updates regarding outcome measure status; (3) Update on objective markers to measure FM disease state; and (4) Review of the issue of cognitive dysfunction (dyscognition) in FM. Consensus was reached as follows: (1) Greater than 70% of OMERACT participants agreed that pain, tenderness, fatigue, patient global, multidimensional function and sleep disturbance domains should be measured in all FM clinical trials; dyscognition and depression should be measured in some trials; and stiffness, anxiety, functional imaging, and cerebrospinal fluid biomarkers were identified as domains of research interest. (2) FM domain outcome measures have generally proven to be reliable, discriminative, and feasible. More sophisticated and comprehensive measures are in development, as is a responder index for FM. (3) Increasing numbers of objective markers are being developed for FM assessment. (4) Cognitive dysfunction assessment by self-assessed and applied outcome measures is being developed. In conclusion, a multidimensional symptom core set is proposed for evaluation of FM in clinical trials. Research on improved measures of single domains and composite measures is ongoing.&lt;/p&gt;","author":[{"dropping-particle":"","family":"Mease","given":"Philip","non-dropping-particle":"","parse-names":false,"suffix":""},{"dropping-particle":"","family":"Arnold","given":"Lesley M.","non-dropping-particle":"","parse-names":false,"suffix":""},{"dropping-particle":"","family":"Choy","given":"Ernest H.","non-dropping-particle":"","parse-names":false,"suffix":""},{"dropping-particle":"","family":"Clauw","given":"Daniel J.","non-dropping-particle":"","parse-names":false,"suffix":""},{"dropping-particle":"","family":"Crofford","given":"Leslie J.","non-dropping-particle":"","parse-names":false,"suffix":""},{"dropping-particle":"","family":"Glass","given":"Jennifer M.","non-dropping-particle":"","parse-names":false,"suffix":""},{"dropping-particle":"","family":"Martin","given":"Susan A.","non-dropping-particle":"","parse-names":false,"suffix":""},{"dropping-particle":"","family":"Morea","given":"Jessica","non-dropping-particle":"","parse-names":false,"suffix":""},{"dropping-particle":"","family":"Simon","given":"Lee","non-dropping-particle":"","parse-names":false,"suffix":""},{"dropping-particle":"","family":"Strand","given":"C. Vibeke","non-dropping-particle":"","parse-names":false,"suffix":""},{"dropping-particle":"","family":"Williams","given":"David A.","non-dropping-particle":"","parse-names":false,"suffix":""}],"container-title":"Journal of Rheumatology","id":"ITEM-1","issued":{"date-parts":[["2009"]]},"title":"Fibromyalgia syndrome module at OMERACT 9: Domain construct","type":"paper-conference"},"uris":["http://www.mendeley.com/documents/?uuid=7bbedda7-9665-40f6-9036-ee66966efc0a"]}],"mendeley":{"formattedCitation":"{74}","plainTextFormattedCitation":"{74}","previouslyFormattedCitation":"{73}"},"properties":{"noteIndex":0},"schema":"https://github.com/citation-style-language/schema/raw/master/csl-citation.json"}</w:instrText>
      </w:r>
      <w:r w:rsidR="000922D5" w:rsidRPr="006A476C">
        <w:rPr>
          <w:rFonts w:ascii="Arial" w:hAnsi="Arial" w:cs="Arial"/>
        </w:rPr>
        <w:fldChar w:fldCharType="separate"/>
      </w:r>
      <w:r w:rsidR="00F24E13" w:rsidRPr="00F24E13">
        <w:rPr>
          <w:rFonts w:ascii="Arial" w:hAnsi="Arial" w:cs="Arial"/>
          <w:noProof/>
        </w:rPr>
        <w:t>{74}</w:t>
      </w:r>
      <w:r w:rsidR="000922D5" w:rsidRPr="006A476C">
        <w:rPr>
          <w:rFonts w:ascii="Arial" w:hAnsi="Arial" w:cs="Arial"/>
        </w:rPr>
        <w:fldChar w:fldCharType="end"/>
      </w:r>
      <w:r w:rsidR="000922D5" w:rsidRPr="006A476C">
        <w:rPr>
          <w:rFonts w:ascii="Arial" w:hAnsi="Arial"/>
        </w:rPr>
        <w:t xml:space="preserve"> </w:t>
      </w:r>
      <w:r w:rsidR="000922D5">
        <w:rPr>
          <w:rFonts w:ascii="Arial" w:hAnsi="Arial"/>
        </w:rPr>
        <w:t xml:space="preserve">and a </w:t>
      </w:r>
      <w:r w:rsidR="000922D5" w:rsidRPr="006A476C">
        <w:rPr>
          <w:rFonts w:ascii="Arial" w:hAnsi="Arial"/>
        </w:rPr>
        <w:t xml:space="preserve">preliminary </w:t>
      </w:r>
      <w:r w:rsidR="000922D5">
        <w:rPr>
          <w:rFonts w:ascii="Arial" w:hAnsi="Arial"/>
        </w:rPr>
        <w:t>core outcome set for research</w:t>
      </w:r>
      <w:r w:rsidR="000922D5" w:rsidRPr="006A476C">
        <w:rPr>
          <w:rFonts w:ascii="Arial" w:hAnsi="Arial"/>
        </w:rPr>
        <w:fldChar w:fldCharType="begin" w:fldLock="1"/>
      </w:r>
      <w:r w:rsidR="00F24E13">
        <w:rPr>
          <w:rFonts w:ascii="Arial" w:hAnsi="Arial"/>
        </w:rPr>
        <w:instrText>ADDIN CSL_CITATION {"citationItems":[{"id":"ITEM-1","itemData":{"DOI":"10.3899/jrheum.090368","ISSN":"0315162X","abstract":"OBJECTIVE: Increasing research interest and emerging new therapies for treatment of fibromyalgia (FM) have led to a need to develop a consensus on a core set of outcome measures that should be assessed and reported in all clinical trials, to facilitate interpretation of the data and understanding of the disease. This aligns with the key objective of the Outcome Measures in Rheumatology (OMERACT) initiative to improve outcome measurement through a data driven, interactive consensus process. METHODS: Through patient focus groups and Delphi processes, working groups at previous OMERACT meetings identified potential domains to be included in the core data set. A systematic review has shown that instruments measuring these domains are available and are at least moderately sensitive to change. Most instruments have been validated in multiple languages. This pooled analysis study aims to develop the core data set by analyzing data from 10 randomized controlled trials (RCT) in FM. RESULTS: Results from this study provide support for the inclusion of the following in the core data set: pain, tenderness, fatigue, sleep, patient global assessment, and multidimensional function/health related quality of life. Construct validity was demonstrated with outcome instruments showing convergent and divergent validity. Content and criterion validity were confirmed by multivariate analysis showing R square values between 0.4 and 0.6. Low R square value is associated with studies in which one or more domains were not assessed. CONCLUSION: The core data set was supported by high consensus among attendees at OMERACT 9. Establishing an international standard for RCT in FM should facilitate future metaanalyses and indirect comparisons.","author":[{"dropping-particle":"","family":"Choy","given":"Ernest H.","non-dropping-particle":"","parse-names":false,"suffix":""},{"dropping-particle":"","family":"Arnold","given":"Lesley M.","non-dropping-particle":"","parse-names":false,"suffix":""},{"dropping-particle":"","family":"Clauw","given":"Daniel J.","non-dropping-particle":"","parse-names":false,"suffix":""},{"dropping-particle":"","family":"Crofford","given":"Leslie J.","non-dropping-particle":"","parse-names":false,"suffix":""},{"dropping-particle":"","family":"Glass","given":"Jennifer M.","non-dropping-particle":"","parse-names":false,"suffix":""},{"dropping-particle":"","family":"Simon","given":"Lee S.","non-dropping-particle":"","parse-names":false,"suffix":""},{"dropping-particle":"","family":"Martin","given":"Susan A.","non-dropping-particle":"","parse-names":false,"suffix":""},{"dropping-particle":"","family":"Strand","given":"C. Vibeke","non-dropping-particle":"","parse-names":false,"suffix":""},{"dropping-particle":"","family":"Williams","given":"David A.","non-dropping-particle":"","parse-names":false,"suffix":""},{"dropping-particle":"","family":"Mease","given":"Philip J.","non-dropping-particle":"","parse-names":false,"suffix":""}],"container-title":"Journal of Rheumatology","id":"ITEM-1","issued":{"date-parts":[["2009"]]},"title":"Content and criterion validity of the preliminary core dataset for clinical trials in fibromyalgia syndrome","type":"paper-conference"},"uris":["http://www.mendeley.com/documents/?uuid=a0b753c0-b4c2-4c17-93d5-55518486fcf0"]}],"mendeley":{"formattedCitation":"{75}","plainTextFormattedCitation":"{75}","previouslyFormattedCitation":"{74}"},"properties":{"noteIndex":0},"schema":"https://github.com/citation-style-language/schema/raw/master/csl-citation.json"}</w:instrText>
      </w:r>
      <w:r w:rsidR="000922D5" w:rsidRPr="006A476C">
        <w:rPr>
          <w:rFonts w:ascii="Arial" w:hAnsi="Arial"/>
        </w:rPr>
        <w:fldChar w:fldCharType="separate"/>
      </w:r>
      <w:r w:rsidR="00F24E13" w:rsidRPr="00F24E13">
        <w:rPr>
          <w:rFonts w:ascii="Arial" w:hAnsi="Arial"/>
          <w:noProof/>
        </w:rPr>
        <w:t>{75}</w:t>
      </w:r>
      <w:r w:rsidR="000922D5" w:rsidRPr="006A476C">
        <w:rPr>
          <w:rFonts w:ascii="Arial" w:hAnsi="Arial"/>
        </w:rPr>
        <w:fldChar w:fldCharType="end"/>
      </w:r>
      <w:r w:rsidR="000922D5">
        <w:rPr>
          <w:rFonts w:ascii="Arial" w:hAnsi="Arial"/>
        </w:rPr>
        <w:t xml:space="preserve">. </w:t>
      </w:r>
      <w:r w:rsidR="00FE623B">
        <w:rPr>
          <w:rFonts w:ascii="Arial" w:hAnsi="Arial"/>
        </w:rPr>
        <w:t>There has also been so</w:t>
      </w:r>
      <w:r w:rsidR="00E14C7F">
        <w:rPr>
          <w:rFonts w:ascii="Arial" w:hAnsi="Arial"/>
        </w:rPr>
        <w:t>me progress in developing</w:t>
      </w:r>
      <w:r w:rsidR="00422718">
        <w:rPr>
          <w:rFonts w:ascii="Arial" w:hAnsi="Arial"/>
        </w:rPr>
        <w:t xml:space="preserve"> </w:t>
      </w:r>
      <w:r w:rsidR="00E14C7F">
        <w:rPr>
          <w:rFonts w:ascii="Arial" w:hAnsi="Arial"/>
        </w:rPr>
        <w:t>consensus outcome domains for pain treatments in general</w:t>
      </w:r>
      <w:r w:rsidR="00E14C7F">
        <w:rPr>
          <w:rFonts w:ascii="Arial" w:hAnsi="Arial"/>
        </w:rPr>
        <w:fldChar w:fldCharType="begin" w:fldLock="1"/>
      </w:r>
      <w:r w:rsidR="00F24E13">
        <w:rPr>
          <w:rFonts w:ascii="Arial" w:hAnsi="Arial"/>
        </w:rPr>
        <w:instrText>ADDIN CSL_CITATION {"citationItems":[{"id":"ITEM-1","itemData":{"DOI":"10.1097/j.pain.0000000000001129","ISSN":"18726623","abstract":"Interdisciplinary multimodal pain therapy (IMPT) is a biopsychosocial treatment approach for patients with chronic pain that comprises at least psychological and physiotherapeutic interventions. Core outcome sets (COSs) are currently developed in different medical fields to standardize and improve the selection of outcome domains, and measurement instruments in clinical trials, to make trial results meaningful, to pool trial results, and to allow indirect comparison between interventions. The objective of this study was to develop a COS of patient-relevant outcome domains for chronic pain in IMPT clinical trials. An international, multiprofessional panel (patient representatives [n = 5], physicians specialized in pain medicine [n = 5], physiotherapists [n = 5], clinical psychologists [n = 5], and methodological researchers [n = 5]) was recruited for a 3-stage consensus study, which consisted of a mixed-method approach comprising an exploratory systematic review, a preparing online survey to identify important outcome domains, a face-to-face consensus meeting to agree on COS domains, and a second online survey (Delphi) establishing agreement on definitions for the domains included. The panel agreed on the following 8 domains to be included into the COS for IMPT: pain intensity, pain frequency, physical activity, emotional wellbeing, satisfaction with social roles and activities, productivity (paid and unpaid, at home and at work, inclusive presentism and absenteeism), health-related quality of life, and patient's perception of treatment goal achievement. The complexity of chronic pain in a biopsychosocial context is reflected in the current recommendation and includes physical, mental, and social outcomes. In a subsequent step, measurement instruments will be identified via systematic reviews.","author":[{"dropping-particle":"","family":"Kaiser","given":"Ulrike","non-dropping-particle":"","parse-names":false,"suffix":""},{"dropping-particle":"","family":"Kopkow","given":"Christian","non-dropping-particle":"","parse-names":false,"suffix":""},{"dropping-particle":"","family":"Deckert","given":"Stefanie","non-dropping-particle":"","parse-names":false,"suffix":""},{"dropping-particle":"","family":"Neustadt","given":"Katrin","non-dropping-particle":"","parse-names":false,"suffix":""},{"dropping-particle":"","family":"Jacobi","given":"Lena","non-dropping-particle":"","parse-names":false,"suffix":""},{"dropping-particle":"","family":"Cameron","given":"Paul","non-dropping-particle":"","parse-names":false,"suffix":""},{"dropping-particle":"","family":"Angelis","given":"Valerio","non-dropping-particle":"De","parse-names":false,"suffix":""},{"dropping-particle":"","family":"Apfelbacher","given":"Christian","non-dropping-particle":"","parse-names":false,"suffix":""},{"dropping-particle":"","family":"Arnold","given":"Bernhard","non-dropping-particle":"","parse-names":false,"suffix":""},{"dropping-particle":"","family":"Birch","given":"Judy","non-dropping-particle":"","parse-names":false,"suffix":""},{"dropping-particle":"","family":"Bjarnegård","given":"Anna","non-dropping-particle":"","parse-names":false,"suffix":""},{"dropping-particle":"","family":"Christiansen","given":"Sandra","non-dropping-particle":"","parse-names":false,"suffix":""},{"dropping-particle":"","family":"C De C Williams","given":"Amanda","non-dropping-particle":"","parse-names":false,"suffix":""},{"dropping-particle":"","family":"Gossrau","given":"Gudrun","non-dropping-particle":"","parse-names":false,"suffix":""},{"dropping-particle":"","family":"Heinks","given":"Andrea","non-dropping-particle":"","parse-names":false,"suffix":""},{"dropping-particle":"","family":"Hüppe","given":"Michael","non-dropping-particle":"","parse-names":false,"suffix":""},{"dropping-particle":"","family":"Kiers","given":"Henri","non-dropping-particle":"","parse-names":false,"suffix":""},{"dropping-particle":"","family":"Kleinert","given":"Ursula","non-dropping-particle":"","parse-names":false,"suffix":""},{"dropping-particle":"","family":"Martelletti","given":"Paolo","non-dropping-particle":"","parse-names":false,"suffix":""},{"dropping-particle":"","family":"McCracken","given":"Lance","non-dropping-particle":"","parse-names":false,"suffix":""},{"dropping-particle":"","family":"Meij","given":"Nelleke","non-dropping-particle":"De","parse-names":false,"suffix":""},{"dropping-particle":"","family":"Nagel","given":"Bernd","non-dropping-particle":"","parse-names":false,"suffix":""},{"dropping-particle":"","family":"Nijs","given":"Jo","non-dropping-particle":"","parse-names":false,"suffix":""},{"dropping-particle":"","family":"Norda","given":"Heike","non-dropping-particle":"","parse-names":false,"suffix":""},{"dropping-particle":"","family":"Singh","given":"Jasvinder A.","non-dropping-particle":"","parse-names":false,"suffix":""},{"dropping-particle":"","family":"Spengler","given":"Ellen","non-dropping-particle":"","parse-names":false,"suffix":""},{"dropping-particle":"","family":"Terwee","given":"Caroline B.","non-dropping-particle":"","parse-names":false,"suffix":""},{"dropping-particle":"","family":"Tugwell","given":"Peter","non-dropping-particle":"","parse-names":false,"suffix":""},{"dropping-particle":"","family":"Vlaeyen","given":"Johan W.S.","non-dropping-particle":"","parse-names":false,"suffix":""},{"dropping-particle":"","family":"Wandrey","given":"Heike","non-dropping-particle":"","parse-names":false,"suffix":""},{"dropping-particle":"","family":"Neugebauer","given":"Edmund","non-dropping-particle":"","parse-names":false,"suffix":""},{"dropping-particle":"","family":"Sabatowski","given":"Rainer","non-dropping-particle":"","parse-names":false,"suffix":""},{"dropping-particle":"","family":"Schmitt","given":"Jochen","non-dropping-particle":"","parse-names":false,"suffix":""}],"container-title":"Pain","id":"ITEM-1","issued":{"date-parts":[["2018"]]},"title":"Developing a core outcome domain set to assessing effectiveness of interdisciplinary multimodal pain therapy: The VAPAIN consensus statement on core outcome domains","type":"article-journal"},"uris":["http://www.mendeley.com/documents/?uuid=e1d6eda9-66b8-4008-9131-43cf84148947","http://www.mendeley.com/documents/?uuid=a56dee17-cb3e-4240-9a94-a5068ef32f89"]}],"mendeley":{"formattedCitation":"{76}","plainTextFormattedCitation":"{76}","previouslyFormattedCitation":"{75}"},"properties":{"noteIndex":0},"schema":"https://github.com/citation-style-language/schema/raw/master/csl-citation.json"}</w:instrText>
      </w:r>
      <w:r w:rsidR="00E14C7F">
        <w:rPr>
          <w:rFonts w:ascii="Arial" w:hAnsi="Arial"/>
        </w:rPr>
        <w:fldChar w:fldCharType="separate"/>
      </w:r>
      <w:r w:rsidR="00F24E13" w:rsidRPr="00F24E13">
        <w:rPr>
          <w:rFonts w:ascii="Arial" w:hAnsi="Arial"/>
          <w:noProof/>
        </w:rPr>
        <w:t>{76}</w:t>
      </w:r>
      <w:r w:rsidR="00E14C7F">
        <w:rPr>
          <w:rFonts w:ascii="Arial" w:hAnsi="Arial"/>
        </w:rPr>
        <w:fldChar w:fldCharType="end"/>
      </w:r>
      <w:r w:rsidR="00E14C7F">
        <w:rPr>
          <w:rFonts w:ascii="Arial" w:hAnsi="Arial"/>
        </w:rPr>
        <w:t xml:space="preserve"> and an outcome set for chronic pain</w:t>
      </w:r>
      <w:r w:rsidR="00E14C7F">
        <w:rPr>
          <w:rFonts w:ascii="Arial" w:hAnsi="Arial"/>
        </w:rPr>
        <w:fldChar w:fldCharType="begin" w:fldLock="1"/>
      </w:r>
      <w:r w:rsidR="00F24E13">
        <w:rPr>
          <w:rFonts w:ascii="Arial" w:hAnsi="Arial"/>
        </w:rPr>
        <w:instrText>ADDIN CSL_CITATION {"citationItems":[{"id":"ITEM-1","itemData":{"DOI":"10.1016/j.pain.2004.09.012","ISSN":"0304-3959","abstract":"Many patients with chronic pain do not obtain adequate relief or experience\\nunacceptable side effects from existing treatments. Moreover, even\\nwhen clinical trials report positive outcomes, the long-term benefits\\nof these treatments have not been demonstrated. Efforts to develop\\ntreatments that provide improved outcomes are therefore a priority\\nfor pain research. Because variability in outcome measures across\\nclinical trials hinders evaluations of the efficacy and effectiveness\\nof treatments, the Initiative on Methods, Measurement, and Pain Assessment\\nin Clinical Trials (IMMPACT) has recently recommended that 6 core\\noutcome domains should be considered when designing chronic pain\\nclinical trials. These 6 core outcome domains were: (1) pain; (2)\\nphysical functioning; (3) emotional functioning; (4) participant\\nratings of improvement and satisfaction with treatment; (5) symptoms\\nand adverse events; and (6) participant disposition (Turk et al.,\\n2003). The benefits of adopting these core outcome domains in clinical\\nresearch on chronic pain would be augmented by the identification\\nof optimal measures for assessing them. Such core outcome measures\\ncould be supplemented by measures specific to the situation or treatment\\nbeing studied. Use of a standard set of outcome measures for chronic\\npain clinical trials would facilitate the process of developing research\\nprotocols, encourage development of multi-center projects in which\\nall participating facilities agree to include these measures, provide\\na basis for determining the treatment outcomes that constitute clinically\\nimportant differences, permit pooling of data from different studies,\\nand provide a basis for meaningful comparisons among treatments of\\nthe clinical importance of their outcomes, particularly through systematic\\nreviews (Jadad, 1998 and Jadad and Cepeda, 2000). IMMPACT-II was\\nconvened to develop consensus recommendations for specific measures\\nof each of the IMMPACT core outcome domains. Although there have\\nbeen recent attempts to recommend outcome measures for specific chronic\\npain conditions</w:instrText>
      </w:r>
      <w:r w:rsidR="00F24E13">
        <w:rPr>
          <w:rFonts w:ascii="Lucida Grande" w:hAnsi="Lucida Grande" w:cs="Lucida Grande"/>
        </w:rPr>
        <w:instrText>�</w:instrText>
      </w:r>
      <w:r w:rsidR="00F24E13">
        <w:rPr>
          <w:rFonts w:ascii="Arial" w:hAnsi="Arial"/>
        </w:rPr>
        <w:instrText>including osteoarthritis (Bellamy et al., 1997),\\nlow back pain (Deyo et al., 1998), and neuropathic pain (Cruccu et\\nal., 2004)</w:instrText>
      </w:r>
      <w:r w:rsidR="00F24E13">
        <w:rPr>
          <w:rFonts w:ascii="Lucida Grande" w:hAnsi="Lucida Grande" w:cs="Lucida Grande"/>
        </w:rPr>
        <w:instrText>�</w:instrText>
      </w:r>
      <w:r w:rsidR="00F24E13">
        <w:rPr>
          <w:rFonts w:ascii="Arial" w:hAnsi="Arial"/>
        </w:rPr>
        <w:instrText>the only previous attempt to identify specific treatment\\noutcome measures applicable to diverse chronic pain conditions was\\npublished over fifteen years ago (Williams, 1988). The objective\\nof the present article is to present consensus recommendations …","author":[{"dropping-particle":"","family":"Dworkin","given":"Robert H.","non-dropping-particle":"","parse-names":false,"suffix":""},{"dropping-particle":"","family":"Turk","given":"Dennis C.","non-dropping-particle":"","parse-names":false,"suffix":""},{"dropping-particle":"","family":"Farrar","given":"John T.","non-dropping-particle":"","parse-names":false,"suffix":""},{"dropping-particle":"","family":"Haythornthwaite","given":"Jennifer A.","non-dropping-particle":"","parse-names":false,"suffix":""},{"dropping-particle":"","family":"Jensen","given":"Mark P.","non-dropping-particle":"","parse-names":false,"suffix":""},{"dropping-particle":"","family":"Katz","given":"Nathaniel P.","non-dropping-particle":"","parse-names":false,"suffix":""},{"dropping-particle":"","family":"Kerns","given":"Robert D.","non-dropping-particle":"","parse-names":false,"suffix":""},{"dropping-particle":"","family":"Stucki","given":"Gerold","non-dropping-particle":"","parse-names":false,"suffix":""},{"dropping-particle":"","family":"Allen","given":"Robert R.","non-dropping-particle":"","parse-names":false,"suffix":""},{"dropping-particle":"","family":"Bellamy","given":"Nicholas","non-dropping-particle":"","parse-names":false,"suffix":""},{"dropping-particle":"","family":"Carr","given":"Daniel B.","non-dropping-particle":"","parse-names":false,"suffix":""},{"dropping-particle":"","family":"Chandler","given":"Julie","non-dropping-particle":"","parse-names":false,"suffix":""},{"dropping-particle":"","family":"Cowan","given":"Penney","non-dropping-particle":"","parse-names":false,"suffix":""},{"dropping-particle":"","family":"Dionne","given":"Raymond","non-dropping-particle":"","parse-names":false,"suffix":""},{"dropping-particle":"","family":"Galer","given":"Bradley S.","non-dropping-particle":"","parse-names":false,"suffix":""},{"dropping-particle":"","family":"Hertz","given":"Sharon","non-dropping-particle":"","parse-names":false,"suffix":""},{"dropping-particle":"","family":"Jadad","given":"Alejandro R.","non-dropping-particle":"","parse-names":false,"suffix":""},{"dropping-particle":"","family":"Kramer","given":"Lynn D.","non-dropping-particle":"","parse-names":false,"suffix":""},{"dropping-particle":"","family":"Manning","given":"Donald C.","non-dropping-particle":"","parse-names":false,"suffix":""},{"dropping-particle":"","family":"Martin","given":"Susan","non-dropping-particle":"","parse-names":false,"suffix":""},{"dropping-particle":"","family":"McCormick","given":"Cynthia G.","non-dropping-particle":"","parse-names":false,"suffix":""},{"dropping-particle":"","family":"McDermott","given":"Michael P.","non-dropping-particle":"","parse-names":false,"suffix":""},{"dropping-particle":"","family":"McGrath","given":"Patrick","non-dropping-particle":"","parse-names":false,"suffix":""},{"dropping-particle":"","family":"Quessy","given":"Steve","non-dropping-particle":"","parse-names":false,"suffix":""},{"dropping-particle":"","family":"Rappaport","given":"Bob A.","non-dropping-particle":"","parse-names":false,"suffix":""},{"dropping-particle":"","family":"Robbins","given":"Wendye","non-dropping-particle":"","parse-names":false,"suffix":""},{"dropping-particle":"","family":"Robinson","given":"James P.","non-dropping-particle":"","parse-names":false,"suffix":""},{"dropping-particle":"","family":"Rothman","given":"Margaret","non-dropping-particle":"","parse-names":false,"suffix":""},{"dropping-particle":"","family":"Royal","given":"Mike A.","non-dropping-particle":"","parse-names":false,"suffix":""},{"dropping-particle":"","family":"Simon","given":"Lee","non-dropping-particle":"","parse-names":false,"suffix":""},{"dropping-particle":"","family":"Stauffer","given":"Joseph W.","non-dropping-particle":"","parse-names":false,"suffix":""},{"dropping-particle":"","family":"Stein","given":"Wendy","non-dropping-particle":"","parse-names":false,"suffix":""},{"dropping-particle":"","family":"Tollett","given":"Jane","non-dropping-particle":"","parse-names":false,"suffix":""},{"dropping-particle":"","family":"Wernicke","given":"Joachim","non-dropping-particle":"","parse-names":false,"suffix":""},{"dropping-particle":"","family":"Witter","given":"James","non-dropping-particle":"","parse-names":false,"suffix":""}],"container-title":"Pain","id":"ITEM-1","issued":{"date-parts":[["2005"]]},"title":"Core outcome measures for chronic pain clinical trials: IMMPACT recommendations","type":"article-journal"},"uris":["http://www.mendeley.com/documents/?uuid=ccb3086e-510b-4ee0-ba50-26de70f3336c","http://www.mendeley.com/documents/?uuid=a361090b-3eff-4054-8a05-f3341137df7d"]}],"mendeley":{"formattedCitation":"{77}","plainTextFormattedCitation":"{77}","previouslyFormattedCitation":"{76}"},"properties":{"noteIndex":0},"schema":"https://github.com/citation-style-language/schema/raw/master/csl-citation.json"}</w:instrText>
      </w:r>
      <w:r w:rsidR="00E14C7F">
        <w:rPr>
          <w:rFonts w:ascii="Arial" w:hAnsi="Arial"/>
        </w:rPr>
        <w:fldChar w:fldCharType="separate"/>
      </w:r>
      <w:r w:rsidR="00F24E13" w:rsidRPr="00F24E13">
        <w:rPr>
          <w:rFonts w:ascii="Arial" w:hAnsi="Arial"/>
          <w:noProof/>
        </w:rPr>
        <w:t>{77}</w:t>
      </w:r>
      <w:r w:rsidR="00E14C7F">
        <w:rPr>
          <w:rFonts w:ascii="Arial" w:hAnsi="Arial"/>
        </w:rPr>
        <w:fldChar w:fldCharType="end"/>
      </w:r>
      <w:r w:rsidR="00E14C7F">
        <w:rPr>
          <w:rFonts w:ascii="Arial" w:hAnsi="Arial"/>
        </w:rPr>
        <w:t>.</w:t>
      </w:r>
      <w:r w:rsidR="000922D5">
        <w:rPr>
          <w:rFonts w:ascii="Arial" w:hAnsi="Arial"/>
        </w:rPr>
        <w:t xml:space="preserve"> </w:t>
      </w:r>
    </w:p>
    <w:p w14:paraId="3DF73148" w14:textId="3585CF64" w:rsidR="00422718" w:rsidRPr="00B85900" w:rsidRDefault="00FD0D7D" w:rsidP="00422718">
      <w:pPr>
        <w:spacing w:line="480" w:lineRule="auto"/>
        <w:ind w:firstLine="720"/>
        <w:jc w:val="both"/>
        <w:rPr>
          <w:rFonts w:ascii="Arial" w:hAnsi="Arial" w:cs="Arial"/>
        </w:rPr>
      </w:pPr>
      <w:r w:rsidRPr="00B85900">
        <w:rPr>
          <w:rFonts w:ascii="Arial" w:hAnsi="Arial" w:cs="Arial"/>
        </w:rPr>
        <w:t>Of note, patient-reported measures are</w:t>
      </w:r>
      <w:r>
        <w:rPr>
          <w:rFonts w:ascii="Arial" w:hAnsi="Arial" w:cs="Arial"/>
        </w:rPr>
        <w:t xml:space="preserve"> prominent in the above core outcome sets and</w:t>
      </w:r>
      <w:r w:rsidRPr="00B85900">
        <w:rPr>
          <w:rFonts w:ascii="Arial" w:hAnsi="Arial" w:cs="Arial"/>
        </w:rPr>
        <w:t xml:space="preserve"> the primary outcome for a number of neurology</w:t>
      </w:r>
      <w:r>
        <w:rPr>
          <w:rFonts w:ascii="Arial" w:hAnsi="Arial" w:cs="Arial"/>
        </w:rPr>
        <w:t xml:space="preserve"> and psychiatry</w:t>
      </w:r>
      <w:r w:rsidRPr="00B85900">
        <w:rPr>
          <w:rFonts w:ascii="Arial" w:hAnsi="Arial" w:cs="Arial"/>
        </w:rPr>
        <w:t xml:space="preserve"> clinical trials (e.g., headache, depression, anxiety</w:t>
      </w:r>
      <w:r>
        <w:rPr>
          <w:rFonts w:ascii="Arial" w:hAnsi="Arial" w:cs="Arial"/>
        </w:rPr>
        <w:t xml:space="preserve"> and</w:t>
      </w:r>
      <w:r w:rsidRPr="00B85900">
        <w:rPr>
          <w:rFonts w:ascii="Arial" w:hAnsi="Arial" w:cs="Arial"/>
        </w:rPr>
        <w:t xml:space="preserve"> PTSD)</w:t>
      </w:r>
      <w:r>
        <w:rPr>
          <w:rFonts w:ascii="Arial" w:hAnsi="Arial" w:cs="Arial"/>
        </w:rPr>
        <w:t>,</w:t>
      </w:r>
      <w:r w:rsidRPr="00B85900">
        <w:rPr>
          <w:rFonts w:ascii="Arial" w:hAnsi="Arial" w:cs="Arial"/>
        </w:rPr>
        <w:t xml:space="preserve"> underscoring the utility of self-reported symptom surveys.  </w:t>
      </w:r>
      <w:r w:rsidR="00754268">
        <w:rPr>
          <w:rFonts w:ascii="Arial" w:hAnsi="Arial" w:cs="Arial"/>
        </w:rPr>
        <w:t>In conclusion</w:t>
      </w:r>
      <w:r w:rsidR="000922D5" w:rsidRPr="00B85900">
        <w:rPr>
          <w:rFonts w:ascii="Arial" w:hAnsi="Arial" w:cs="Arial"/>
        </w:rPr>
        <w:t xml:space="preserve">, there was been </w:t>
      </w:r>
      <w:r w:rsidR="00754268">
        <w:rPr>
          <w:rFonts w:ascii="Arial" w:hAnsi="Arial" w:cs="Arial"/>
        </w:rPr>
        <w:t>variable</w:t>
      </w:r>
      <w:r w:rsidR="000922D5" w:rsidRPr="00B85900">
        <w:rPr>
          <w:rFonts w:ascii="Arial" w:hAnsi="Arial" w:cs="Arial"/>
        </w:rPr>
        <w:t xml:space="preserve"> progress in other disorders</w:t>
      </w:r>
      <w:r w:rsidR="00B85900" w:rsidRPr="00B85900">
        <w:rPr>
          <w:rFonts w:ascii="Arial" w:hAnsi="Arial" w:cs="Arial"/>
        </w:rPr>
        <w:t xml:space="preserve"> of potential relevance</w:t>
      </w:r>
      <w:r w:rsidR="000922D5" w:rsidRPr="00B85900">
        <w:rPr>
          <w:rFonts w:ascii="Arial" w:hAnsi="Arial" w:cs="Arial"/>
        </w:rPr>
        <w:t xml:space="preserve"> </w:t>
      </w:r>
      <w:r>
        <w:rPr>
          <w:rFonts w:ascii="Arial" w:hAnsi="Arial" w:cs="Arial"/>
        </w:rPr>
        <w:t>with respect to</w:t>
      </w:r>
      <w:r w:rsidR="000922D5" w:rsidRPr="00B85900">
        <w:rPr>
          <w:rFonts w:ascii="Arial" w:hAnsi="Arial" w:cs="Arial"/>
        </w:rPr>
        <w:t xml:space="preserve"> inform</w:t>
      </w:r>
      <w:r>
        <w:rPr>
          <w:rFonts w:ascii="Arial" w:hAnsi="Arial" w:cs="Arial"/>
        </w:rPr>
        <w:t>ing</w:t>
      </w:r>
      <w:r w:rsidR="000922D5" w:rsidRPr="00B85900">
        <w:rPr>
          <w:rFonts w:ascii="Arial" w:hAnsi="Arial" w:cs="Arial"/>
        </w:rPr>
        <w:t xml:space="preserve"> FND</w:t>
      </w:r>
      <w:r>
        <w:rPr>
          <w:rFonts w:ascii="Arial" w:hAnsi="Arial" w:cs="Arial"/>
        </w:rPr>
        <w:t xml:space="preserve"> </w:t>
      </w:r>
      <w:r w:rsidRPr="00B85900">
        <w:rPr>
          <w:rFonts w:ascii="Arial" w:hAnsi="Arial" w:cs="Arial"/>
        </w:rPr>
        <w:t>and there are many example disorders to consider</w:t>
      </w:r>
      <w:r w:rsidR="00754268">
        <w:rPr>
          <w:rFonts w:ascii="Arial" w:hAnsi="Arial" w:cs="Arial"/>
        </w:rPr>
        <w:t xml:space="preserve">, but no single disorder stands out as </w:t>
      </w:r>
      <w:r w:rsidR="005357C6">
        <w:rPr>
          <w:rFonts w:ascii="Arial" w:hAnsi="Arial" w:cs="Arial"/>
        </w:rPr>
        <w:t>uniquely relevant</w:t>
      </w:r>
      <w:r w:rsidR="000922D5" w:rsidRPr="00B85900">
        <w:rPr>
          <w:rFonts w:ascii="Arial" w:hAnsi="Arial" w:cs="Arial"/>
        </w:rPr>
        <w:t>.</w:t>
      </w:r>
      <w:r>
        <w:rPr>
          <w:rFonts w:ascii="Arial" w:hAnsi="Arial" w:cs="Arial"/>
        </w:rPr>
        <w:t xml:space="preserve"> It will therefore be of use to continue to monitor outcome measure set developments in most of these disorders.</w:t>
      </w:r>
      <w:r w:rsidR="000922D5" w:rsidRPr="00B85900">
        <w:rPr>
          <w:rFonts w:ascii="Arial" w:hAnsi="Arial" w:cs="Arial"/>
        </w:rPr>
        <w:t xml:space="preserve">  </w:t>
      </w:r>
    </w:p>
    <w:p w14:paraId="691EC2D2" w14:textId="77777777" w:rsidR="00CC127C" w:rsidRDefault="00CC127C" w:rsidP="00D56938">
      <w:pPr>
        <w:rPr>
          <w:rFonts w:ascii="Arial" w:hAnsi="Arial" w:cs="Arial"/>
          <w:b/>
          <w:sz w:val="28"/>
          <w:szCs w:val="22"/>
        </w:rPr>
      </w:pPr>
    </w:p>
    <w:p w14:paraId="32E27D5A" w14:textId="77777777" w:rsidR="00B85900" w:rsidRDefault="00B85900">
      <w:pPr>
        <w:rPr>
          <w:rFonts w:ascii="Arial" w:hAnsi="Arial" w:cs="Arial"/>
          <w:b/>
          <w:sz w:val="28"/>
          <w:szCs w:val="22"/>
        </w:rPr>
      </w:pPr>
      <w:r>
        <w:rPr>
          <w:rFonts w:ascii="Arial" w:hAnsi="Arial" w:cs="Arial"/>
          <w:b/>
          <w:sz w:val="28"/>
          <w:szCs w:val="22"/>
        </w:rPr>
        <w:br w:type="page"/>
      </w:r>
    </w:p>
    <w:p w14:paraId="122879C2" w14:textId="1CA9A317" w:rsidR="006E1D73" w:rsidRDefault="004F25BA" w:rsidP="00D56938">
      <w:pPr>
        <w:rPr>
          <w:rFonts w:ascii="Arial" w:hAnsi="Arial" w:cs="Arial"/>
          <w:b/>
          <w:sz w:val="28"/>
          <w:szCs w:val="22"/>
        </w:rPr>
      </w:pPr>
      <w:r w:rsidRPr="0097560C">
        <w:rPr>
          <w:rFonts w:ascii="Arial" w:hAnsi="Arial" w:cs="Arial"/>
          <w:b/>
          <w:sz w:val="28"/>
          <w:szCs w:val="22"/>
        </w:rPr>
        <w:lastRenderedPageBreak/>
        <w:t>C</w:t>
      </w:r>
      <w:r w:rsidR="006F5643" w:rsidRPr="0097560C">
        <w:rPr>
          <w:rFonts w:ascii="Arial" w:hAnsi="Arial" w:cs="Arial"/>
          <w:b/>
          <w:sz w:val="28"/>
          <w:szCs w:val="22"/>
        </w:rPr>
        <w:t>onclusions and f</w:t>
      </w:r>
      <w:r w:rsidR="006B10BD" w:rsidRPr="0097560C">
        <w:rPr>
          <w:rFonts w:ascii="Arial" w:hAnsi="Arial" w:cs="Arial"/>
          <w:b/>
          <w:sz w:val="28"/>
          <w:szCs w:val="22"/>
        </w:rPr>
        <w:t>uture work</w:t>
      </w:r>
    </w:p>
    <w:p w14:paraId="232748FC" w14:textId="77777777" w:rsidR="00F664FD" w:rsidRPr="0097560C" w:rsidRDefault="00F664FD" w:rsidP="006A476C">
      <w:pPr>
        <w:spacing w:line="480" w:lineRule="auto"/>
        <w:jc w:val="both"/>
        <w:rPr>
          <w:rFonts w:ascii="Arial" w:hAnsi="Arial"/>
          <w:sz w:val="28"/>
        </w:rPr>
      </w:pPr>
    </w:p>
    <w:p w14:paraId="45AA8DF9" w14:textId="2ECEB1E1" w:rsidR="0068032E" w:rsidRDefault="0097560C" w:rsidP="00F664FD">
      <w:pPr>
        <w:spacing w:line="480" w:lineRule="auto"/>
        <w:ind w:firstLine="720"/>
        <w:jc w:val="both"/>
        <w:rPr>
          <w:rFonts w:ascii="Arial" w:hAnsi="Arial"/>
        </w:rPr>
      </w:pPr>
      <w:r w:rsidRPr="001B6571">
        <w:rPr>
          <w:rFonts w:ascii="Arial" w:hAnsi="Arial"/>
        </w:rPr>
        <w:t xml:space="preserve">FND </w:t>
      </w:r>
      <w:r w:rsidR="00FF1B2B">
        <w:rPr>
          <w:rFonts w:ascii="Arial" w:hAnsi="Arial" w:cs="Arial"/>
        </w:rPr>
        <w:t>poses particular questions and challenges to the development and selection of</w:t>
      </w:r>
      <w:r w:rsidR="001139BD">
        <w:rPr>
          <w:rFonts w:ascii="Arial" w:hAnsi="Arial" w:cs="Arial"/>
        </w:rPr>
        <w:t xml:space="preserve"> optimal</w:t>
      </w:r>
      <w:r w:rsidR="00FF1B2B">
        <w:rPr>
          <w:rFonts w:ascii="Arial" w:hAnsi="Arial" w:cs="Arial"/>
        </w:rPr>
        <w:t xml:space="preserve"> outcome measures. It has many</w:t>
      </w:r>
      <w:r w:rsidRPr="001B6571">
        <w:rPr>
          <w:rFonts w:ascii="Arial" w:hAnsi="Arial" w:cs="Arial"/>
        </w:rPr>
        <w:t xml:space="preserve"> </w:t>
      </w:r>
      <w:r>
        <w:rPr>
          <w:rFonts w:ascii="Arial" w:hAnsi="Arial"/>
        </w:rPr>
        <w:t>features</w:t>
      </w:r>
      <w:r w:rsidRPr="001B6571">
        <w:rPr>
          <w:rFonts w:ascii="Arial" w:hAnsi="Arial"/>
        </w:rPr>
        <w:t xml:space="preserve"> </w:t>
      </w:r>
      <w:r w:rsidR="00FF1B2B">
        <w:rPr>
          <w:rFonts w:ascii="Arial" w:hAnsi="Arial"/>
        </w:rPr>
        <w:t xml:space="preserve">that </w:t>
      </w:r>
      <w:r w:rsidRPr="001B6571">
        <w:rPr>
          <w:rFonts w:ascii="Arial" w:hAnsi="Arial"/>
        </w:rPr>
        <w:t>potential</w:t>
      </w:r>
      <w:r>
        <w:rPr>
          <w:rFonts w:ascii="Arial" w:hAnsi="Arial"/>
        </w:rPr>
        <w:t>ly</w:t>
      </w:r>
      <w:r w:rsidRPr="001B6571">
        <w:rPr>
          <w:rFonts w:ascii="Arial" w:hAnsi="Arial"/>
        </w:rPr>
        <w:t xml:space="preserve"> impact on </w:t>
      </w:r>
      <w:r w:rsidR="00FF1B2B">
        <w:rPr>
          <w:rFonts w:ascii="Arial" w:hAnsi="Arial"/>
        </w:rPr>
        <w:t>this process</w:t>
      </w:r>
      <w:r w:rsidRPr="001B6571">
        <w:rPr>
          <w:rFonts w:ascii="Arial" w:hAnsi="Arial"/>
        </w:rPr>
        <w:t xml:space="preserve">. </w:t>
      </w:r>
      <w:r w:rsidR="001139BD">
        <w:rPr>
          <w:rFonts w:ascii="Arial" w:hAnsi="Arial" w:cs="Arial"/>
        </w:rPr>
        <w:t>First</w:t>
      </w:r>
      <w:r w:rsidRPr="001B6571">
        <w:rPr>
          <w:rFonts w:ascii="Arial" w:hAnsi="Arial"/>
        </w:rPr>
        <w:t xml:space="preserve">, </w:t>
      </w:r>
      <w:r w:rsidR="00A502CA">
        <w:rPr>
          <w:rFonts w:ascii="Arial" w:hAnsi="Arial"/>
        </w:rPr>
        <w:t xml:space="preserve">the wide variety of core and associated symptoms means that </w:t>
      </w:r>
      <w:r w:rsidRPr="001B6571">
        <w:rPr>
          <w:rFonts w:ascii="Arial" w:hAnsi="Arial"/>
        </w:rPr>
        <w:t>i</w:t>
      </w:r>
      <w:r w:rsidR="001139BD">
        <w:rPr>
          <w:rFonts w:ascii="Arial" w:hAnsi="Arial"/>
        </w:rPr>
        <w:t xml:space="preserve">t should not be assumed that a </w:t>
      </w:r>
      <w:r w:rsidR="006B5FD7">
        <w:rPr>
          <w:rFonts w:ascii="Arial" w:hAnsi="Arial"/>
        </w:rPr>
        <w:t xml:space="preserve">single </w:t>
      </w:r>
      <w:r w:rsidRPr="001B6571">
        <w:rPr>
          <w:rFonts w:ascii="Arial" w:hAnsi="Arial"/>
        </w:rPr>
        <w:t>core</w:t>
      </w:r>
      <w:r w:rsidR="006B5FD7">
        <w:rPr>
          <w:rFonts w:ascii="Arial" w:hAnsi="Arial"/>
        </w:rPr>
        <w:t xml:space="preserve"> (</w:t>
      </w:r>
      <w:r w:rsidR="0068032E">
        <w:rPr>
          <w:rFonts w:ascii="Arial" w:hAnsi="Arial"/>
        </w:rPr>
        <w:t>‘</w:t>
      </w:r>
      <w:r w:rsidR="006B5FD7">
        <w:rPr>
          <w:rFonts w:ascii="Arial" w:hAnsi="Arial"/>
        </w:rPr>
        <w:t>primary</w:t>
      </w:r>
      <w:r w:rsidR="0068032E">
        <w:rPr>
          <w:rFonts w:ascii="Arial" w:hAnsi="Arial"/>
        </w:rPr>
        <w:t>’</w:t>
      </w:r>
      <w:r w:rsidR="006B5FD7">
        <w:rPr>
          <w:rFonts w:ascii="Arial" w:hAnsi="Arial"/>
        </w:rPr>
        <w:t>)</w:t>
      </w:r>
      <w:r w:rsidRPr="001B6571">
        <w:rPr>
          <w:rFonts w:ascii="Arial" w:hAnsi="Arial"/>
        </w:rPr>
        <w:t xml:space="preserve"> </w:t>
      </w:r>
      <w:r>
        <w:rPr>
          <w:rFonts w:ascii="Arial" w:hAnsi="Arial" w:cs="Arial"/>
        </w:rPr>
        <w:t xml:space="preserve">FND </w:t>
      </w:r>
      <w:r w:rsidRPr="001B6571">
        <w:rPr>
          <w:rFonts w:ascii="Arial" w:hAnsi="Arial"/>
        </w:rPr>
        <w:t>s</w:t>
      </w:r>
      <w:r w:rsidR="001139BD">
        <w:rPr>
          <w:rFonts w:ascii="Arial" w:hAnsi="Arial"/>
        </w:rPr>
        <w:t>ymptom</w:t>
      </w:r>
      <w:r w:rsidRPr="001B6571">
        <w:rPr>
          <w:rFonts w:ascii="Arial" w:hAnsi="Arial"/>
        </w:rPr>
        <w:t xml:space="preserve"> </w:t>
      </w:r>
      <w:r w:rsidR="001139BD">
        <w:rPr>
          <w:rFonts w:ascii="Arial" w:hAnsi="Arial"/>
        </w:rPr>
        <w:t>is</w:t>
      </w:r>
      <w:r w:rsidRPr="001B6571">
        <w:rPr>
          <w:rFonts w:ascii="Arial" w:hAnsi="Arial"/>
        </w:rPr>
        <w:t xml:space="preserve"> the most </w:t>
      </w:r>
      <w:r w:rsidR="001139BD">
        <w:rPr>
          <w:rFonts w:ascii="Arial" w:hAnsi="Arial"/>
        </w:rPr>
        <w:t xml:space="preserve">meaningful aspect of the disorder to measure. </w:t>
      </w:r>
      <w:r w:rsidR="00D36DEE">
        <w:rPr>
          <w:rFonts w:ascii="Arial" w:hAnsi="Arial"/>
        </w:rPr>
        <w:t>As such</w:t>
      </w:r>
      <w:r w:rsidR="00FB6A18">
        <w:rPr>
          <w:rFonts w:ascii="Arial" w:hAnsi="Arial"/>
        </w:rPr>
        <w:t>,</w:t>
      </w:r>
      <w:r w:rsidR="00D36DEE">
        <w:rPr>
          <w:rFonts w:ascii="Arial" w:hAnsi="Arial"/>
        </w:rPr>
        <w:t xml:space="preserve"> i</w:t>
      </w:r>
      <w:r w:rsidR="0068032E">
        <w:rPr>
          <w:rFonts w:ascii="Arial" w:hAnsi="Arial"/>
        </w:rPr>
        <w:t xml:space="preserve">t might also be important to measure other </w:t>
      </w:r>
      <w:r w:rsidR="006A7AE5">
        <w:rPr>
          <w:rFonts w:ascii="Arial" w:hAnsi="Arial"/>
        </w:rPr>
        <w:t xml:space="preserve">concurrently present </w:t>
      </w:r>
      <w:r w:rsidR="0068032E">
        <w:rPr>
          <w:rFonts w:ascii="Arial" w:hAnsi="Arial"/>
        </w:rPr>
        <w:t>FND symptoms</w:t>
      </w:r>
      <w:r w:rsidR="006A7AE5">
        <w:rPr>
          <w:rFonts w:ascii="Arial" w:hAnsi="Arial"/>
        </w:rPr>
        <w:t>, as well as</w:t>
      </w:r>
      <w:r w:rsidR="0068032E">
        <w:rPr>
          <w:rFonts w:ascii="Arial" w:hAnsi="Arial"/>
        </w:rPr>
        <w:t xml:space="preserve"> </w:t>
      </w:r>
      <w:r w:rsidR="00BD0962">
        <w:rPr>
          <w:rFonts w:ascii="Arial" w:hAnsi="Arial"/>
        </w:rPr>
        <w:t>other physical and psychological symptoms.</w:t>
      </w:r>
    </w:p>
    <w:p w14:paraId="066EEAFE" w14:textId="113AC301" w:rsidR="0097560C" w:rsidRPr="00F664FD" w:rsidRDefault="001139BD" w:rsidP="00F664FD">
      <w:pPr>
        <w:spacing w:line="480" w:lineRule="auto"/>
        <w:ind w:firstLine="720"/>
        <w:jc w:val="both"/>
        <w:rPr>
          <w:rFonts w:ascii="Arial" w:hAnsi="Arial" w:cs="Arial"/>
        </w:rPr>
      </w:pPr>
      <w:r>
        <w:rPr>
          <w:rFonts w:ascii="Arial" w:hAnsi="Arial"/>
        </w:rPr>
        <w:t>Secondly</w:t>
      </w:r>
      <w:r w:rsidR="00E3534B">
        <w:rPr>
          <w:rFonts w:ascii="Arial" w:hAnsi="Arial"/>
        </w:rPr>
        <w:t>,</w:t>
      </w:r>
      <w:r w:rsidR="0097560C" w:rsidRPr="001B6571">
        <w:rPr>
          <w:rFonts w:ascii="Arial" w:hAnsi="Arial"/>
        </w:rPr>
        <w:t xml:space="preserve"> symptom variability </w:t>
      </w:r>
      <w:r w:rsidR="00FB6A18">
        <w:rPr>
          <w:rFonts w:ascii="Arial" w:hAnsi="Arial"/>
        </w:rPr>
        <w:t xml:space="preserve">across FND </w:t>
      </w:r>
      <w:proofErr w:type="spellStart"/>
      <w:r w:rsidR="00FB6A18">
        <w:rPr>
          <w:rFonts w:ascii="Arial" w:hAnsi="Arial"/>
        </w:rPr>
        <w:t>semiologies</w:t>
      </w:r>
      <w:proofErr w:type="spellEnd"/>
      <w:r w:rsidR="00FB6A18">
        <w:rPr>
          <w:rFonts w:ascii="Arial" w:hAnsi="Arial"/>
        </w:rPr>
        <w:t xml:space="preserve"> </w:t>
      </w:r>
      <w:r w:rsidR="0097560C">
        <w:rPr>
          <w:rFonts w:ascii="Arial" w:hAnsi="Arial" w:cs="Arial"/>
        </w:rPr>
        <w:t>suggests</w:t>
      </w:r>
      <w:r w:rsidR="0097560C" w:rsidRPr="001B6571">
        <w:rPr>
          <w:rFonts w:ascii="Arial" w:hAnsi="Arial"/>
        </w:rPr>
        <w:t xml:space="preserve"> that momentary assessment might be less reliable than longer</w:t>
      </w:r>
      <w:r w:rsidR="0097560C" w:rsidRPr="00B24269">
        <w:rPr>
          <w:rFonts w:ascii="Arial" w:hAnsi="Arial" w:cs="Arial"/>
        </w:rPr>
        <w:t>-</w:t>
      </w:r>
      <w:r w:rsidR="00A502CA">
        <w:rPr>
          <w:rFonts w:ascii="Arial" w:hAnsi="Arial"/>
        </w:rPr>
        <w:t>term</w:t>
      </w:r>
      <w:r w:rsidR="008015FF">
        <w:rPr>
          <w:rFonts w:ascii="Arial" w:hAnsi="Arial"/>
        </w:rPr>
        <w:t xml:space="preserve"> assessments particularly </w:t>
      </w:r>
      <w:r w:rsidR="0067029E">
        <w:rPr>
          <w:rFonts w:ascii="Arial" w:hAnsi="Arial"/>
        </w:rPr>
        <w:t xml:space="preserve">in cases of paroxysmal or intermittent FND. </w:t>
      </w:r>
      <w:r w:rsidR="00A502CA">
        <w:rPr>
          <w:rFonts w:ascii="Arial" w:hAnsi="Arial"/>
        </w:rPr>
        <w:t>Finally</w:t>
      </w:r>
      <w:r w:rsidR="00E3534B">
        <w:rPr>
          <w:rFonts w:ascii="Arial" w:hAnsi="Arial"/>
        </w:rPr>
        <w:t>,</w:t>
      </w:r>
      <w:r w:rsidR="00A502CA">
        <w:rPr>
          <w:rFonts w:ascii="Arial" w:hAnsi="Arial"/>
        </w:rPr>
        <w:t xml:space="preserve"> </w:t>
      </w:r>
      <w:r w:rsidR="00F664FD">
        <w:rPr>
          <w:rFonts w:ascii="Arial" w:hAnsi="Arial"/>
        </w:rPr>
        <w:t>t</w:t>
      </w:r>
      <w:r w:rsidR="0097560C">
        <w:rPr>
          <w:rFonts w:ascii="Arial" w:hAnsi="Arial"/>
        </w:rPr>
        <w:t xml:space="preserve">he nature of FND means that </w:t>
      </w:r>
      <w:bookmarkStart w:id="4" w:name="_Hlk11079441"/>
      <w:r w:rsidR="0097560C">
        <w:rPr>
          <w:rFonts w:ascii="Arial" w:hAnsi="Arial"/>
        </w:rPr>
        <w:t>subjective report</w:t>
      </w:r>
      <w:r w:rsidR="00A55C18">
        <w:rPr>
          <w:rFonts w:ascii="Arial" w:hAnsi="Arial"/>
        </w:rPr>
        <w:t xml:space="preserve"> measures</w:t>
      </w:r>
      <w:r w:rsidR="0097560C">
        <w:rPr>
          <w:rFonts w:ascii="Arial" w:hAnsi="Arial"/>
        </w:rPr>
        <w:t xml:space="preserve"> </w:t>
      </w:r>
      <w:r w:rsidR="0096418E">
        <w:rPr>
          <w:rFonts w:ascii="Arial" w:hAnsi="Arial"/>
        </w:rPr>
        <w:t>may be</w:t>
      </w:r>
      <w:r w:rsidR="0097560C">
        <w:rPr>
          <w:rFonts w:ascii="Arial" w:hAnsi="Arial"/>
        </w:rPr>
        <w:t xml:space="preserve"> </w:t>
      </w:r>
      <w:r w:rsidR="00FF1B2B">
        <w:rPr>
          <w:rFonts w:ascii="Arial" w:hAnsi="Arial"/>
        </w:rPr>
        <w:t>potentially</w:t>
      </w:r>
      <w:r w:rsidR="0097560C">
        <w:rPr>
          <w:rFonts w:ascii="Arial" w:hAnsi="Arial"/>
        </w:rPr>
        <w:t xml:space="preserve"> </w:t>
      </w:r>
      <w:r w:rsidR="0096418E">
        <w:rPr>
          <w:rFonts w:ascii="Arial" w:hAnsi="Arial"/>
        </w:rPr>
        <w:t xml:space="preserve">as </w:t>
      </w:r>
      <w:r w:rsidR="0097560C">
        <w:rPr>
          <w:rFonts w:ascii="Arial" w:hAnsi="Arial"/>
        </w:rPr>
        <w:t xml:space="preserve">clinically meaningful </w:t>
      </w:r>
      <w:r w:rsidR="0096418E">
        <w:rPr>
          <w:rFonts w:ascii="Arial" w:hAnsi="Arial"/>
        </w:rPr>
        <w:t xml:space="preserve">as </w:t>
      </w:r>
      <w:r w:rsidR="0097560C">
        <w:rPr>
          <w:rFonts w:ascii="Arial" w:hAnsi="Arial"/>
        </w:rPr>
        <w:t xml:space="preserve">objective </w:t>
      </w:r>
      <w:r w:rsidR="0097560C" w:rsidRPr="001B6571">
        <w:rPr>
          <w:rFonts w:ascii="Arial" w:hAnsi="Arial"/>
        </w:rPr>
        <w:t>outcome measures</w:t>
      </w:r>
      <w:bookmarkEnd w:id="4"/>
      <w:r w:rsidR="0097560C">
        <w:rPr>
          <w:rFonts w:ascii="Arial" w:hAnsi="Arial" w:cs="Arial"/>
        </w:rPr>
        <w:t>. The U.S. Food and Drug Administration has also raised the profile and importance of patient</w:t>
      </w:r>
      <w:r w:rsidR="00995FA4">
        <w:rPr>
          <w:rFonts w:ascii="Arial" w:hAnsi="Arial" w:cs="Arial"/>
        </w:rPr>
        <w:t>-</w:t>
      </w:r>
      <w:r w:rsidR="0097560C">
        <w:rPr>
          <w:rFonts w:ascii="Arial" w:hAnsi="Arial" w:cs="Arial"/>
        </w:rPr>
        <w:t>rated outcome measures in their guidance on medicinal product development</w:t>
      </w:r>
      <w:r w:rsidR="0097560C">
        <w:rPr>
          <w:rFonts w:ascii="Arial" w:hAnsi="Arial" w:cs="Arial"/>
        </w:rPr>
        <w:fldChar w:fldCharType="begin" w:fldLock="1"/>
      </w:r>
      <w:r w:rsidR="00F24E13">
        <w:rPr>
          <w:rFonts w:ascii="Arial" w:hAnsi="Arial" w:cs="Arial"/>
        </w:rPr>
        <w:instrText>ADDIN CSL_CITATION {"citationItems":[{"id":"ITEM-1","itemData":{"author":[{"dropping-particle":"","family":"FDA","given":"","non-dropping-particle":"","parse-names":false,"suffix":""}],"id":"ITEM-1","issued":{"date-parts":[["2009"]]},"title":"Guidance for industry: patient-reported outcome measures: use in medical product development to support labeling claims","type":"article-journal"},"uris":["http://www.mendeley.com/documents/?uuid=7905e76e-ad6a-4c7c-b7a3-b17f0400b555"]}],"mendeley":{"formattedCitation":"{78}","plainTextFormattedCitation":"{78}","previouslyFormattedCitation":"{77}"},"properties":{"noteIndex":0},"schema":"https://github.com/citation-style-language/schema/raw/master/csl-citation.json"}</w:instrText>
      </w:r>
      <w:r w:rsidR="0097560C">
        <w:rPr>
          <w:rFonts w:ascii="Arial" w:hAnsi="Arial" w:cs="Arial"/>
        </w:rPr>
        <w:fldChar w:fldCharType="separate"/>
      </w:r>
      <w:r w:rsidR="00F24E13" w:rsidRPr="00F24E13">
        <w:rPr>
          <w:rFonts w:ascii="Arial" w:hAnsi="Arial" w:cs="Arial"/>
          <w:noProof/>
        </w:rPr>
        <w:t>{78}</w:t>
      </w:r>
      <w:r w:rsidR="0097560C">
        <w:rPr>
          <w:rFonts w:ascii="Arial" w:hAnsi="Arial" w:cs="Arial"/>
        </w:rPr>
        <w:fldChar w:fldCharType="end"/>
      </w:r>
      <w:r w:rsidR="0097560C">
        <w:rPr>
          <w:rFonts w:ascii="Arial" w:hAnsi="Arial" w:cs="Arial"/>
        </w:rPr>
        <w:t>.</w:t>
      </w:r>
      <w:r>
        <w:rPr>
          <w:rFonts w:ascii="Arial" w:hAnsi="Arial" w:cs="Arial"/>
        </w:rPr>
        <w:t xml:space="preserve"> However, </w:t>
      </w:r>
      <w:bookmarkStart w:id="5" w:name="_Hlk11079494"/>
      <w:r>
        <w:rPr>
          <w:rFonts w:ascii="Arial" w:hAnsi="Arial" w:cs="Arial"/>
        </w:rPr>
        <w:t>there is a clear need to continue to study the relationship between subje</w:t>
      </w:r>
      <w:r w:rsidR="00F664FD">
        <w:rPr>
          <w:rFonts w:ascii="Arial" w:hAnsi="Arial" w:cs="Arial"/>
        </w:rPr>
        <w:t xml:space="preserve">ctive </w:t>
      </w:r>
      <w:r w:rsidR="00DB7329">
        <w:rPr>
          <w:rFonts w:ascii="Arial" w:hAnsi="Arial" w:cs="Arial"/>
        </w:rPr>
        <w:t xml:space="preserve">and </w:t>
      </w:r>
      <w:r w:rsidR="00F664FD">
        <w:rPr>
          <w:rFonts w:ascii="Arial" w:hAnsi="Arial" w:cs="Arial"/>
        </w:rPr>
        <w:t>objective outcomes mea</w:t>
      </w:r>
      <w:r>
        <w:rPr>
          <w:rFonts w:ascii="Arial" w:hAnsi="Arial" w:cs="Arial"/>
        </w:rPr>
        <w:t>s</w:t>
      </w:r>
      <w:r w:rsidR="00F664FD">
        <w:rPr>
          <w:rFonts w:ascii="Arial" w:hAnsi="Arial" w:cs="Arial"/>
        </w:rPr>
        <w:t>ures in this patient group</w:t>
      </w:r>
      <w:r w:rsidR="00DB7329">
        <w:rPr>
          <w:rFonts w:ascii="Arial" w:hAnsi="Arial" w:cs="Arial"/>
        </w:rPr>
        <w:t>.</w:t>
      </w:r>
      <w:r w:rsidR="00F664FD">
        <w:rPr>
          <w:rFonts w:ascii="Arial" w:hAnsi="Arial" w:cs="Arial"/>
        </w:rPr>
        <w:t xml:space="preserve"> </w:t>
      </w:r>
      <w:r w:rsidR="00DB7329">
        <w:rPr>
          <w:rFonts w:ascii="Arial" w:hAnsi="Arial" w:cs="Arial"/>
        </w:rPr>
        <w:t>In the inter</w:t>
      </w:r>
      <w:r w:rsidR="00FB6A18">
        <w:rPr>
          <w:rFonts w:ascii="Arial" w:hAnsi="Arial" w:cs="Arial"/>
        </w:rPr>
        <w:t>i</w:t>
      </w:r>
      <w:r w:rsidR="00DB7329">
        <w:rPr>
          <w:rFonts w:ascii="Arial" w:hAnsi="Arial" w:cs="Arial"/>
        </w:rPr>
        <w:t>m,</w:t>
      </w:r>
      <w:r w:rsidR="00F664FD">
        <w:rPr>
          <w:rFonts w:ascii="Arial" w:hAnsi="Arial" w:cs="Arial"/>
        </w:rPr>
        <w:t xml:space="preserve"> a</w:t>
      </w:r>
      <w:r>
        <w:rPr>
          <w:rFonts w:ascii="Arial" w:hAnsi="Arial" w:cs="Arial"/>
        </w:rPr>
        <w:t xml:space="preserve"> complementary set of objective (clinician-rated, performance based) and patient-rated measures may collectively provide an adequate representation of symptom burden and associated disability.</w:t>
      </w:r>
    </w:p>
    <w:bookmarkEnd w:id="5"/>
    <w:p w14:paraId="03DD2CFB" w14:textId="238B7C67" w:rsidR="004C2515" w:rsidRPr="006A476C" w:rsidRDefault="00F664FD" w:rsidP="00905D05">
      <w:pPr>
        <w:spacing w:line="480" w:lineRule="auto"/>
        <w:ind w:firstLine="720"/>
        <w:jc w:val="both"/>
        <w:rPr>
          <w:rFonts w:ascii="Arial" w:hAnsi="Arial"/>
        </w:rPr>
      </w:pPr>
      <w:r>
        <w:rPr>
          <w:rFonts w:ascii="Arial" w:hAnsi="Arial"/>
        </w:rPr>
        <w:t>In order to develop an optimal outcome set it</w:t>
      </w:r>
      <w:r w:rsidR="006E1D73" w:rsidRPr="006A476C">
        <w:rPr>
          <w:rFonts w:ascii="Arial" w:hAnsi="Arial"/>
        </w:rPr>
        <w:t xml:space="preserve"> will be important to formally assess the views of the full spectrum of</w:t>
      </w:r>
      <w:r w:rsidR="006B10BD" w:rsidRPr="006A476C">
        <w:rPr>
          <w:rFonts w:ascii="Arial" w:hAnsi="Arial"/>
        </w:rPr>
        <w:t xml:space="preserve"> stakeholder</w:t>
      </w:r>
      <w:r w:rsidR="006E1D73" w:rsidRPr="006A476C">
        <w:rPr>
          <w:rFonts w:ascii="Arial" w:hAnsi="Arial"/>
        </w:rPr>
        <w:t>s about these issues, notably patients and care</w:t>
      </w:r>
      <w:r w:rsidR="00FB6A18">
        <w:rPr>
          <w:rFonts w:ascii="Arial" w:hAnsi="Arial"/>
        </w:rPr>
        <w:t>give</w:t>
      </w:r>
      <w:r w:rsidR="006E1D73" w:rsidRPr="006A476C">
        <w:rPr>
          <w:rFonts w:ascii="Arial" w:hAnsi="Arial"/>
        </w:rPr>
        <w:t>rs</w:t>
      </w:r>
      <w:r w:rsidR="00FB6A18">
        <w:rPr>
          <w:rFonts w:ascii="Arial" w:hAnsi="Arial"/>
        </w:rPr>
        <w:t>,</w:t>
      </w:r>
      <w:r w:rsidR="006E1D73" w:rsidRPr="006A476C">
        <w:rPr>
          <w:rFonts w:ascii="Arial" w:hAnsi="Arial"/>
        </w:rPr>
        <w:t xml:space="preserve"> as well as all the relevant </w:t>
      </w:r>
      <w:r w:rsidR="00D2652F" w:rsidRPr="00D2652F">
        <w:rPr>
          <w:rFonts w:ascii="Arial" w:hAnsi="Arial" w:cs="Arial"/>
        </w:rPr>
        <w:t>clinicians</w:t>
      </w:r>
      <w:r w:rsidR="006E1D73" w:rsidRPr="006A476C">
        <w:rPr>
          <w:rFonts w:ascii="Arial" w:hAnsi="Arial"/>
        </w:rPr>
        <w:t xml:space="preserve"> who</w:t>
      </w:r>
      <w:r w:rsidR="006F5643" w:rsidRPr="006A476C">
        <w:rPr>
          <w:rFonts w:ascii="Arial" w:hAnsi="Arial"/>
        </w:rPr>
        <w:t xml:space="preserve"> treat the disorder</w:t>
      </w:r>
      <w:r w:rsidR="008015FF">
        <w:rPr>
          <w:rFonts w:ascii="Arial" w:hAnsi="Arial"/>
        </w:rPr>
        <w:t xml:space="preserve">, particularly </w:t>
      </w:r>
      <w:r w:rsidR="006E1D73" w:rsidRPr="006A476C">
        <w:rPr>
          <w:rFonts w:ascii="Arial" w:hAnsi="Arial"/>
        </w:rPr>
        <w:t xml:space="preserve">neurologists, psychiatrists, psychologists, </w:t>
      </w:r>
      <w:r w:rsidR="00270F5A">
        <w:rPr>
          <w:rFonts w:ascii="Arial" w:hAnsi="Arial" w:cs="Arial"/>
        </w:rPr>
        <w:t>psychotherapists</w:t>
      </w:r>
      <w:r w:rsidR="00D2652F">
        <w:rPr>
          <w:rFonts w:ascii="Arial" w:hAnsi="Arial" w:cs="Arial"/>
        </w:rPr>
        <w:t xml:space="preserve">, </w:t>
      </w:r>
      <w:r w:rsidR="006E1D73" w:rsidRPr="006A476C">
        <w:rPr>
          <w:rFonts w:ascii="Arial" w:hAnsi="Arial"/>
        </w:rPr>
        <w:t>physiotherapists, occupational therapists</w:t>
      </w:r>
      <w:r w:rsidR="00D2652F">
        <w:rPr>
          <w:rFonts w:ascii="Arial" w:hAnsi="Arial" w:cs="Arial"/>
        </w:rPr>
        <w:t xml:space="preserve">, speech and language </w:t>
      </w:r>
      <w:r w:rsidR="00B42350">
        <w:rPr>
          <w:rFonts w:ascii="Arial" w:hAnsi="Arial" w:cs="Arial"/>
        </w:rPr>
        <w:t>therapists</w:t>
      </w:r>
      <w:r w:rsidR="00186707">
        <w:rPr>
          <w:rFonts w:ascii="Arial" w:hAnsi="Arial" w:cs="Arial"/>
        </w:rPr>
        <w:t>, social workers</w:t>
      </w:r>
      <w:r w:rsidR="0052625A">
        <w:rPr>
          <w:rFonts w:ascii="Arial" w:hAnsi="Arial" w:cs="Arial"/>
        </w:rPr>
        <w:t>, nurses</w:t>
      </w:r>
      <w:r w:rsidR="00D2652F">
        <w:rPr>
          <w:rFonts w:ascii="Arial" w:hAnsi="Arial" w:cs="Arial"/>
        </w:rPr>
        <w:t xml:space="preserve"> and other allied clinicians</w:t>
      </w:r>
      <w:r w:rsidR="00CE29C2">
        <w:rPr>
          <w:rFonts w:ascii="Arial" w:hAnsi="Arial" w:cs="Arial"/>
        </w:rPr>
        <w:t xml:space="preserve"> such as family (primary care</w:t>
      </w:r>
      <w:r w:rsidR="006E1D73" w:rsidRPr="006A476C">
        <w:rPr>
          <w:rFonts w:ascii="Arial" w:hAnsi="Arial" w:cs="Arial"/>
        </w:rPr>
        <w:t>)</w:t>
      </w:r>
      <w:r w:rsidR="00CE29C2">
        <w:rPr>
          <w:rFonts w:ascii="Arial" w:hAnsi="Arial" w:cs="Arial"/>
        </w:rPr>
        <w:t xml:space="preserve"> phys</w:t>
      </w:r>
      <w:r w:rsidR="00EB0D64">
        <w:rPr>
          <w:rFonts w:ascii="Arial" w:hAnsi="Arial" w:cs="Arial"/>
        </w:rPr>
        <w:t>i</w:t>
      </w:r>
      <w:r w:rsidR="00CE29C2">
        <w:rPr>
          <w:rFonts w:ascii="Arial" w:hAnsi="Arial" w:cs="Arial"/>
        </w:rPr>
        <w:t>cians</w:t>
      </w:r>
      <w:r w:rsidR="006E1D73" w:rsidRPr="006A476C">
        <w:rPr>
          <w:rFonts w:ascii="Arial" w:hAnsi="Arial" w:cs="Arial"/>
        </w:rPr>
        <w:t>.</w:t>
      </w:r>
      <w:r w:rsidR="006E1D73" w:rsidRPr="006A476C">
        <w:rPr>
          <w:rFonts w:ascii="Arial" w:hAnsi="Arial"/>
        </w:rPr>
        <w:t xml:space="preserve"> Such work is currently </w:t>
      </w:r>
      <w:r w:rsidR="006E1D73" w:rsidRPr="006A476C">
        <w:rPr>
          <w:rFonts w:ascii="Arial" w:hAnsi="Arial"/>
        </w:rPr>
        <w:lastRenderedPageBreak/>
        <w:t xml:space="preserve">being undertaken by </w:t>
      </w:r>
      <w:r w:rsidR="00A636B1">
        <w:rPr>
          <w:rFonts w:ascii="Arial" w:hAnsi="Arial"/>
        </w:rPr>
        <w:t xml:space="preserve">the </w:t>
      </w:r>
      <w:r w:rsidR="006E1D73" w:rsidRPr="006A476C">
        <w:rPr>
          <w:rFonts w:ascii="Arial" w:hAnsi="Arial"/>
        </w:rPr>
        <w:t>FND-COM</w:t>
      </w:r>
      <w:r w:rsidR="00A636B1">
        <w:rPr>
          <w:rFonts w:ascii="Arial" w:hAnsi="Arial"/>
        </w:rPr>
        <w:t xml:space="preserve"> group, in the form of a qualitative interview-based study</w:t>
      </w:r>
      <w:r w:rsidR="009D791D">
        <w:rPr>
          <w:rFonts w:ascii="Arial" w:hAnsi="Arial"/>
        </w:rPr>
        <w:t xml:space="preserve"> </w:t>
      </w:r>
      <w:r w:rsidR="00A636B1">
        <w:rPr>
          <w:rFonts w:ascii="Arial" w:hAnsi="Arial"/>
        </w:rPr>
        <w:t>exploring the views of patients, carers and experienced healthcare professionals on outcomes, recovery and outcome measurement in FND</w:t>
      </w:r>
      <w:r w:rsidR="006E1D73" w:rsidRPr="006A476C">
        <w:rPr>
          <w:rFonts w:ascii="Arial" w:hAnsi="Arial"/>
        </w:rPr>
        <w:t xml:space="preserve">. </w:t>
      </w:r>
    </w:p>
    <w:p w14:paraId="0F0D3E58" w14:textId="0C9749EC" w:rsidR="005C7188" w:rsidRDefault="006E1D73" w:rsidP="008015FF">
      <w:pPr>
        <w:widowControl w:val="0"/>
        <w:autoSpaceDE w:val="0"/>
        <w:autoSpaceDN w:val="0"/>
        <w:adjustRightInd w:val="0"/>
        <w:spacing w:line="480" w:lineRule="auto"/>
        <w:ind w:firstLine="720"/>
        <w:contextualSpacing/>
        <w:jc w:val="both"/>
        <w:rPr>
          <w:rFonts w:ascii="Arial" w:hAnsi="Arial" w:cs="Arial"/>
        </w:rPr>
      </w:pPr>
      <w:r w:rsidRPr="006A476C">
        <w:rPr>
          <w:rFonts w:ascii="Arial" w:hAnsi="Arial"/>
        </w:rPr>
        <w:t>A s</w:t>
      </w:r>
      <w:r w:rsidR="00B31C0A" w:rsidRPr="006A476C">
        <w:rPr>
          <w:rFonts w:ascii="Arial" w:hAnsi="Arial"/>
        </w:rPr>
        <w:t>ystematic review</w:t>
      </w:r>
      <w:r w:rsidRPr="006A476C">
        <w:rPr>
          <w:rFonts w:ascii="Arial" w:hAnsi="Arial"/>
        </w:rPr>
        <w:t xml:space="preserve"> of </w:t>
      </w:r>
      <w:r w:rsidR="00640C7F" w:rsidRPr="006A476C">
        <w:rPr>
          <w:rFonts w:ascii="Arial" w:hAnsi="Arial"/>
        </w:rPr>
        <w:t>outcome measures</w:t>
      </w:r>
      <w:r w:rsidRPr="006A476C">
        <w:rPr>
          <w:rFonts w:ascii="Arial" w:hAnsi="Arial"/>
        </w:rPr>
        <w:t xml:space="preserve"> in FND</w:t>
      </w:r>
      <w:r w:rsidR="00B31C0A" w:rsidRPr="006A476C">
        <w:rPr>
          <w:rFonts w:ascii="Arial" w:hAnsi="Arial"/>
        </w:rPr>
        <w:t xml:space="preserve"> </w:t>
      </w:r>
      <w:r w:rsidRPr="006A476C">
        <w:rPr>
          <w:rFonts w:ascii="Arial" w:hAnsi="Arial"/>
        </w:rPr>
        <w:t xml:space="preserve">is underway to define </w:t>
      </w:r>
      <w:r w:rsidR="00BA6C86">
        <w:rPr>
          <w:rFonts w:ascii="Arial" w:hAnsi="Arial"/>
        </w:rPr>
        <w:t>those</w:t>
      </w:r>
      <w:r w:rsidRPr="006A476C">
        <w:rPr>
          <w:rFonts w:ascii="Arial" w:hAnsi="Arial"/>
        </w:rPr>
        <w:t xml:space="preserve"> </w:t>
      </w:r>
      <w:r w:rsidR="00640C7F" w:rsidRPr="006A476C">
        <w:rPr>
          <w:rFonts w:ascii="Arial" w:hAnsi="Arial"/>
        </w:rPr>
        <w:t>outcome measures</w:t>
      </w:r>
      <w:r w:rsidR="004C2515" w:rsidRPr="006A476C">
        <w:rPr>
          <w:rFonts w:ascii="Arial" w:hAnsi="Arial"/>
        </w:rPr>
        <w:t xml:space="preserve"> </w:t>
      </w:r>
      <w:r w:rsidR="00BA6C86">
        <w:rPr>
          <w:rFonts w:ascii="Arial" w:hAnsi="Arial"/>
        </w:rPr>
        <w:t xml:space="preserve">that </w:t>
      </w:r>
      <w:r w:rsidR="004C2515" w:rsidRPr="006A476C">
        <w:rPr>
          <w:rFonts w:ascii="Arial" w:hAnsi="Arial"/>
        </w:rPr>
        <w:t>have been developed for FND</w:t>
      </w:r>
      <w:r w:rsidR="00DB3E0E">
        <w:rPr>
          <w:rFonts w:ascii="Arial" w:hAnsi="Arial"/>
        </w:rPr>
        <w:t>,</w:t>
      </w:r>
      <w:r w:rsidR="004C2515" w:rsidRPr="006A476C">
        <w:rPr>
          <w:rFonts w:ascii="Arial" w:hAnsi="Arial"/>
        </w:rPr>
        <w:t xml:space="preserve"> as well as which </w:t>
      </w:r>
      <w:r w:rsidR="00640C7F" w:rsidRPr="006A476C">
        <w:rPr>
          <w:rFonts w:ascii="Arial" w:hAnsi="Arial"/>
        </w:rPr>
        <w:t>outcome measures</w:t>
      </w:r>
      <w:r w:rsidR="004C2515" w:rsidRPr="006A476C">
        <w:rPr>
          <w:rFonts w:ascii="Arial" w:hAnsi="Arial"/>
        </w:rPr>
        <w:t xml:space="preserve"> have been selected </w:t>
      </w:r>
      <w:r w:rsidR="00DB3E0E">
        <w:rPr>
          <w:rFonts w:ascii="Arial" w:hAnsi="Arial"/>
        </w:rPr>
        <w:t xml:space="preserve">most commonly </w:t>
      </w:r>
      <w:r w:rsidR="004C2515" w:rsidRPr="006A476C">
        <w:rPr>
          <w:rFonts w:ascii="Arial" w:hAnsi="Arial"/>
        </w:rPr>
        <w:t xml:space="preserve">for use in </w:t>
      </w:r>
      <w:r w:rsidR="00D2652F">
        <w:rPr>
          <w:rFonts w:ascii="Arial" w:hAnsi="Arial" w:cs="Arial"/>
        </w:rPr>
        <w:t xml:space="preserve">clinical </w:t>
      </w:r>
      <w:r w:rsidR="004C2515" w:rsidRPr="006A476C">
        <w:rPr>
          <w:rFonts w:ascii="Arial" w:hAnsi="Arial"/>
        </w:rPr>
        <w:t xml:space="preserve">trials to date. Such work will inform the development of </w:t>
      </w:r>
      <w:r w:rsidR="00DB3E0E">
        <w:rPr>
          <w:rFonts w:ascii="Arial" w:hAnsi="Arial"/>
        </w:rPr>
        <w:t xml:space="preserve">initial </w:t>
      </w:r>
      <w:r w:rsidR="004C2515" w:rsidRPr="006A476C">
        <w:rPr>
          <w:rFonts w:ascii="Arial" w:hAnsi="Arial"/>
        </w:rPr>
        <w:t>consensus recommend</w:t>
      </w:r>
      <w:r w:rsidR="006F5643" w:rsidRPr="006A476C">
        <w:rPr>
          <w:rFonts w:ascii="Arial" w:hAnsi="Arial"/>
        </w:rPr>
        <w:t xml:space="preserve">ations and eventually a formal </w:t>
      </w:r>
      <w:r w:rsidR="00587B1A">
        <w:rPr>
          <w:rFonts w:ascii="Arial" w:hAnsi="Arial"/>
        </w:rPr>
        <w:t>Core Outcome Set</w:t>
      </w:r>
      <w:r w:rsidR="00587B1A" w:rsidRPr="006A476C">
        <w:rPr>
          <w:rFonts w:ascii="Arial" w:hAnsi="Arial"/>
        </w:rPr>
        <w:t xml:space="preserve"> </w:t>
      </w:r>
      <w:r w:rsidR="006F5643" w:rsidRPr="006A476C">
        <w:rPr>
          <w:rFonts w:ascii="Arial" w:hAnsi="Arial"/>
        </w:rPr>
        <w:t>according to COMET guidelines</w:t>
      </w:r>
      <w:r w:rsidR="007E7E48" w:rsidRPr="006A476C">
        <w:rPr>
          <w:rFonts w:ascii="Arial" w:hAnsi="Arial"/>
        </w:rPr>
        <w:fldChar w:fldCharType="begin" w:fldLock="1"/>
      </w:r>
      <w:r w:rsidR="00F24E13">
        <w:rPr>
          <w:rFonts w:ascii="Arial" w:hAnsi="Arial"/>
        </w:rPr>
        <w:instrText>ADDIN CSL_CITATION {"citationItems":[{"id":"ITEM-1","itemData":{"DOI":"10.1371/journal.pmed.1002447","ISSN":"15491676","abstract":"Background","author":[{"dropping-particle":"","family":"Kirkham","given":"Jamie J.","non-dropping-particle":"","parse-names":false,"suffix":""},{"dropping-particle":"","family":"Davis","given":"Katherine","non-dropping-particle":"","parse-names":false,"suffix":""},{"dropping-particle":"","family":"Altman","given":"Douglas G.","non-dropping-particle":"","parse-names":false,"suffix":""},{"dropping-particle":"","family":"Blazeby","given":"Jane M.","non-dropping-particle":"","parse-names":false,"suffix":""},{"dropping-particle":"","family":"Clarke","given":"Mike","non-dropping-particle":"","parse-names":false,"suffix":""},{"dropping-particle":"","family":"Tunis","given":"Sean","non-dropping-particle":"","parse-names":false,"suffix":""},{"dropping-particle":"","family":"Williamson","given":"Paula R.","non-dropping-particle":"","parse-names":false,"suffix":""}],"container-title":"PLoS Medicine","id":"ITEM-1","issued":{"date-parts":[["2017"]]},"title":"Core Outcome Set-STAndards for Development: The COS-STAD recommendations","type":"article-journal"},"uris":["http://www.mendeley.com/documents/?uuid=b5bd8271-3268-4781-91fb-f5a2a3b5d6c7"]}],"mendeley":{"formattedCitation":"{79}","plainTextFormattedCitation":"{79}","previouslyFormattedCitation":"{78}"},"properties":{"noteIndex":0},"schema":"https://github.com/citation-style-language/schema/raw/master/csl-citation.json"}</w:instrText>
      </w:r>
      <w:r w:rsidR="007E7E48" w:rsidRPr="006A476C">
        <w:rPr>
          <w:rFonts w:ascii="Arial" w:hAnsi="Arial"/>
        </w:rPr>
        <w:fldChar w:fldCharType="separate"/>
      </w:r>
      <w:r w:rsidR="00F24E13" w:rsidRPr="00F24E13">
        <w:rPr>
          <w:rFonts w:ascii="Arial" w:hAnsi="Arial"/>
          <w:noProof/>
        </w:rPr>
        <w:t>{79}</w:t>
      </w:r>
      <w:r w:rsidR="007E7E48" w:rsidRPr="006A476C">
        <w:rPr>
          <w:rFonts w:ascii="Arial" w:hAnsi="Arial"/>
        </w:rPr>
        <w:fldChar w:fldCharType="end"/>
      </w:r>
      <w:r w:rsidR="004C2515" w:rsidRPr="006A476C">
        <w:rPr>
          <w:rFonts w:ascii="Arial" w:hAnsi="Arial"/>
        </w:rPr>
        <w:t xml:space="preserve">. The potential need for the development of new </w:t>
      </w:r>
      <w:r w:rsidR="00640C7F" w:rsidRPr="006A476C">
        <w:rPr>
          <w:rFonts w:ascii="Arial" w:hAnsi="Arial"/>
        </w:rPr>
        <w:t>outcome measures</w:t>
      </w:r>
      <w:r w:rsidR="004C2515" w:rsidRPr="006A476C">
        <w:rPr>
          <w:rFonts w:ascii="Arial" w:hAnsi="Arial"/>
        </w:rPr>
        <w:t xml:space="preserve"> for FND needs to be considered</w:t>
      </w:r>
      <w:r w:rsidR="00D2652F">
        <w:rPr>
          <w:rFonts w:ascii="Arial" w:hAnsi="Arial" w:cs="Arial"/>
        </w:rPr>
        <w:t xml:space="preserve">, as well as the possibility of combining existing outcome measures to delineate a </w:t>
      </w:r>
      <w:r w:rsidR="00D2652F" w:rsidRPr="00186707">
        <w:rPr>
          <w:rFonts w:ascii="Arial" w:hAnsi="Arial" w:cs="Arial"/>
        </w:rPr>
        <w:t xml:space="preserve">suggested battery of instruments. </w:t>
      </w:r>
      <w:r w:rsidR="001624D1" w:rsidRPr="00186707">
        <w:rPr>
          <w:rFonts w:ascii="Arial" w:hAnsi="Arial" w:cs="Arial"/>
        </w:rPr>
        <w:t xml:space="preserve">Work is </w:t>
      </w:r>
      <w:r w:rsidR="00F664FD" w:rsidRPr="00186707">
        <w:rPr>
          <w:rFonts w:ascii="Arial" w:hAnsi="Arial" w:cs="Arial"/>
        </w:rPr>
        <w:t xml:space="preserve">also </w:t>
      </w:r>
      <w:r w:rsidR="001624D1" w:rsidRPr="00186707">
        <w:rPr>
          <w:rFonts w:ascii="Arial" w:hAnsi="Arial" w:cs="Arial"/>
        </w:rPr>
        <w:t xml:space="preserve">needed </w:t>
      </w:r>
      <w:r w:rsidR="00FF1B2B" w:rsidRPr="00186707">
        <w:rPr>
          <w:rFonts w:ascii="Arial" w:hAnsi="Arial" w:cs="Arial"/>
        </w:rPr>
        <w:t xml:space="preserve">to </w:t>
      </w:r>
      <w:r w:rsidR="00F664FD" w:rsidRPr="00186707">
        <w:rPr>
          <w:rFonts w:ascii="Arial" w:hAnsi="Arial" w:cs="Arial"/>
        </w:rPr>
        <w:t>study</w:t>
      </w:r>
      <w:r w:rsidR="00FF1B2B" w:rsidRPr="00186707">
        <w:rPr>
          <w:rFonts w:ascii="Arial" w:hAnsi="Arial" w:cs="Arial"/>
        </w:rPr>
        <w:t xml:space="preserve"> </w:t>
      </w:r>
      <w:r w:rsidR="00F664FD" w:rsidRPr="00186707">
        <w:rPr>
          <w:rFonts w:ascii="Arial" w:hAnsi="Arial" w:cs="Arial"/>
        </w:rPr>
        <w:t>whether</w:t>
      </w:r>
      <w:r w:rsidR="00FF1B2B" w:rsidRPr="00186707">
        <w:rPr>
          <w:rFonts w:ascii="Arial" w:hAnsi="Arial" w:cs="Arial"/>
        </w:rPr>
        <w:t xml:space="preserve"> </w:t>
      </w:r>
      <w:r w:rsidR="00F664FD" w:rsidRPr="00186707">
        <w:rPr>
          <w:rFonts w:ascii="Arial" w:hAnsi="Arial" w:cs="Arial"/>
        </w:rPr>
        <w:t xml:space="preserve">in particular FND </w:t>
      </w:r>
      <w:r w:rsidR="00B42350">
        <w:rPr>
          <w:rFonts w:ascii="Arial" w:hAnsi="Arial" w:cs="Arial"/>
        </w:rPr>
        <w:t>sub-groups</w:t>
      </w:r>
      <w:r w:rsidR="00F664FD" w:rsidRPr="00186707">
        <w:rPr>
          <w:rFonts w:ascii="Arial" w:hAnsi="Arial" w:cs="Arial"/>
        </w:rPr>
        <w:t xml:space="preserve"> different outcome measures might be preferable;</w:t>
      </w:r>
      <w:r w:rsidR="001624D1" w:rsidRPr="00186707">
        <w:rPr>
          <w:rFonts w:ascii="Arial" w:hAnsi="Arial" w:cs="Arial"/>
        </w:rPr>
        <w:t xml:space="preserve"> for </w:t>
      </w:r>
      <w:r w:rsidR="00186707" w:rsidRPr="00186707">
        <w:rPr>
          <w:rFonts w:ascii="Arial" w:hAnsi="Arial" w:cs="Arial"/>
        </w:rPr>
        <w:t>example,</w:t>
      </w:r>
      <w:r w:rsidR="001624D1" w:rsidRPr="00186707">
        <w:rPr>
          <w:rFonts w:ascii="Arial" w:hAnsi="Arial" w:cs="Arial"/>
        </w:rPr>
        <w:t xml:space="preserve"> </w:t>
      </w:r>
      <w:r w:rsidR="00F664FD" w:rsidRPr="00186707">
        <w:rPr>
          <w:rFonts w:ascii="Arial" w:hAnsi="Arial" w:cs="Arial"/>
        </w:rPr>
        <w:t xml:space="preserve">in </w:t>
      </w:r>
      <w:r w:rsidR="001624D1" w:rsidRPr="00186707">
        <w:rPr>
          <w:rFonts w:ascii="Arial" w:hAnsi="Arial" w:cs="Arial"/>
        </w:rPr>
        <w:t>child</w:t>
      </w:r>
      <w:r w:rsidR="00EB0D64" w:rsidRPr="00186707">
        <w:rPr>
          <w:rFonts w:ascii="Arial" w:hAnsi="Arial" w:cs="Arial"/>
        </w:rPr>
        <w:t>r</w:t>
      </w:r>
      <w:r w:rsidR="00F664FD" w:rsidRPr="00186707">
        <w:rPr>
          <w:rFonts w:ascii="Arial" w:hAnsi="Arial" w:cs="Arial"/>
        </w:rPr>
        <w:t>en or in those with particular comorbidities such as trauma</w:t>
      </w:r>
      <w:r w:rsidR="00186707" w:rsidRPr="00186707">
        <w:rPr>
          <w:rFonts w:ascii="Arial" w:hAnsi="Arial" w:cs="Arial"/>
        </w:rPr>
        <w:t>-</w:t>
      </w:r>
      <w:r w:rsidR="00F664FD" w:rsidRPr="00186707">
        <w:rPr>
          <w:rFonts w:ascii="Arial" w:hAnsi="Arial" w:cs="Arial"/>
        </w:rPr>
        <w:t xml:space="preserve">related conditions or </w:t>
      </w:r>
      <w:r w:rsidR="001624D1" w:rsidRPr="00186707">
        <w:rPr>
          <w:rFonts w:ascii="Arial" w:hAnsi="Arial" w:cs="Arial"/>
        </w:rPr>
        <w:t>learning disabilities</w:t>
      </w:r>
      <w:r w:rsidR="00F664FD" w:rsidRPr="00186707">
        <w:rPr>
          <w:rFonts w:ascii="Arial" w:hAnsi="Arial" w:cs="Arial"/>
        </w:rPr>
        <w:t xml:space="preserve">. It is also possible that different cultures might </w:t>
      </w:r>
      <w:r w:rsidR="00754268">
        <w:rPr>
          <w:rFonts w:ascii="Arial" w:hAnsi="Arial" w:cs="Arial"/>
        </w:rPr>
        <w:t>benefit from</w:t>
      </w:r>
      <w:r w:rsidR="00F664FD" w:rsidRPr="00186707">
        <w:rPr>
          <w:rFonts w:ascii="Arial" w:hAnsi="Arial" w:cs="Arial"/>
        </w:rPr>
        <w:t xml:space="preserve"> different optimal outcome measures.</w:t>
      </w:r>
      <w:r w:rsidR="00186707" w:rsidRPr="00186707">
        <w:rPr>
          <w:rFonts w:ascii="Arial" w:hAnsi="Arial" w:cs="Arial"/>
        </w:rPr>
        <w:t xml:space="preserve">  </w:t>
      </w:r>
      <w:r w:rsidR="00CE2C9D" w:rsidRPr="00186707">
        <w:rPr>
          <w:rFonts w:ascii="Arial" w:hAnsi="Arial" w:cs="Arial"/>
        </w:rPr>
        <w:t>Finally, it may be important to note that the most useful outcome measures for research may differ from those most useful for clinical practice</w:t>
      </w:r>
      <w:r w:rsidR="005619D1" w:rsidRPr="00186707">
        <w:rPr>
          <w:rFonts w:ascii="Arial" w:hAnsi="Arial" w:cs="Arial"/>
        </w:rPr>
        <w:t>,</w:t>
      </w:r>
      <w:r w:rsidR="00CE2C9D" w:rsidRPr="00186707">
        <w:rPr>
          <w:rFonts w:ascii="Arial" w:hAnsi="Arial" w:cs="Arial"/>
        </w:rPr>
        <w:t xml:space="preserve"> where there may be less concern for measurement psychometrics and greater focus on what is important for patients and </w:t>
      </w:r>
      <w:r w:rsidR="003F03CF" w:rsidRPr="00186707">
        <w:rPr>
          <w:rFonts w:ascii="Arial" w:hAnsi="Arial" w:cs="Arial"/>
        </w:rPr>
        <w:t xml:space="preserve">healthcare </w:t>
      </w:r>
      <w:r w:rsidR="00CE2C9D" w:rsidRPr="00186707">
        <w:rPr>
          <w:rFonts w:ascii="Arial" w:hAnsi="Arial" w:cs="Arial"/>
        </w:rPr>
        <w:t xml:space="preserve">commissioners. For example, </w:t>
      </w:r>
      <w:r w:rsidR="00A83091" w:rsidRPr="00186707">
        <w:rPr>
          <w:rFonts w:ascii="Arial" w:hAnsi="Arial" w:cs="Arial"/>
        </w:rPr>
        <w:t xml:space="preserve">patients might be more concerned </w:t>
      </w:r>
      <w:r w:rsidR="00CE2C9D" w:rsidRPr="00186707">
        <w:rPr>
          <w:rFonts w:ascii="Arial" w:hAnsi="Arial" w:cs="Arial"/>
        </w:rPr>
        <w:t>with performance of activities of</w:t>
      </w:r>
      <w:r w:rsidR="00A83091" w:rsidRPr="00186707">
        <w:rPr>
          <w:rFonts w:ascii="Arial" w:hAnsi="Arial" w:cs="Arial"/>
        </w:rPr>
        <w:t xml:space="preserve"> daily living (such as walking and </w:t>
      </w:r>
      <w:r w:rsidR="00CE2C9D" w:rsidRPr="00186707">
        <w:rPr>
          <w:rFonts w:ascii="Arial" w:hAnsi="Arial" w:cs="Arial"/>
        </w:rPr>
        <w:t>socia</w:t>
      </w:r>
      <w:r w:rsidR="00A83091" w:rsidRPr="00186707">
        <w:rPr>
          <w:rFonts w:ascii="Arial" w:hAnsi="Arial" w:cs="Arial"/>
        </w:rPr>
        <w:t>l activities</w:t>
      </w:r>
      <w:r w:rsidR="00CE2C9D" w:rsidRPr="00186707">
        <w:rPr>
          <w:rFonts w:ascii="Arial" w:hAnsi="Arial" w:cs="Arial"/>
        </w:rPr>
        <w:t xml:space="preserve">) and </w:t>
      </w:r>
      <w:r w:rsidR="00A83091" w:rsidRPr="00186707">
        <w:rPr>
          <w:rFonts w:ascii="Arial" w:hAnsi="Arial" w:cs="Arial"/>
        </w:rPr>
        <w:t xml:space="preserve">commissioners </w:t>
      </w:r>
      <w:r w:rsidR="003F03CF" w:rsidRPr="00186707">
        <w:rPr>
          <w:rFonts w:ascii="Arial" w:hAnsi="Arial" w:cs="Arial"/>
        </w:rPr>
        <w:t xml:space="preserve">with </w:t>
      </w:r>
      <w:r w:rsidR="00CE2C9D" w:rsidRPr="00186707">
        <w:rPr>
          <w:rFonts w:ascii="Arial" w:hAnsi="Arial" w:cs="Arial"/>
        </w:rPr>
        <w:t>cost-savings</w:t>
      </w:r>
      <w:r w:rsidR="00A83091" w:rsidRPr="00186707">
        <w:rPr>
          <w:rFonts w:ascii="Arial" w:hAnsi="Arial" w:cs="Arial"/>
        </w:rPr>
        <w:t xml:space="preserve"> and employment status</w:t>
      </w:r>
      <w:r w:rsidR="00CE2C9D" w:rsidRPr="00186707">
        <w:rPr>
          <w:rFonts w:ascii="Arial" w:hAnsi="Arial" w:cs="Arial"/>
        </w:rPr>
        <w:t>.</w:t>
      </w:r>
      <w:r w:rsidR="0096418E">
        <w:rPr>
          <w:rFonts w:ascii="Arial" w:hAnsi="Arial" w:cs="Arial"/>
        </w:rPr>
        <w:t xml:space="preserve"> </w:t>
      </w:r>
    </w:p>
    <w:p w14:paraId="188ABCD4" w14:textId="3E520CF8" w:rsidR="0031331A" w:rsidRDefault="0096418E" w:rsidP="00754268">
      <w:pPr>
        <w:widowControl w:val="0"/>
        <w:autoSpaceDE w:val="0"/>
        <w:autoSpaceDN w:val="0"/>
        <w:adjustRightInd w:val="0"/>
        <w:spacing w:line="480" w:lineRule="auto"/>
        <w:ind w:firstLine="720"/>
        <w:contextualSpacing/>
        <w:jc w:val="both"/>
        <w:rPr>
          <w:rFonts w:ascii="Arial" w:hAnsi="Arial"/>
        </w:rPr>
      </w:pPr>
      <w:r>
        <w:rPr>
          <w:rFonts w:ascii="Arial" w:hAnsi="Arial" w:cs="Arial"/>
        </w:rPr>
        <w:t>Medical science often search</w:t>
      </w:r>
      <w:r w:rsidR="005C7188">
        <w:rPr>
          <w:rFonts w:ascii="Arial" w:hAnsi="Arial" w:cs="Arial"/>
        </w:rPr>
        <w:t>es</w:t>
      </w:r>
      <w:r>
        <w:rPr>
          <w:rFonts w:ascii="Arial" w:hAnsi="Arial" w:cs="Arial"/>
        </w:rPr>
        <w:t xml:space="preserve"> for </w:t>
      </w:r>
      <w:r w:rsidR="00A5317E">
        <w:rPr>
          <w:rFonts w:ascii="Arial" w:hAnsi="Arial" w:cs="Arial"/>
        </w:rPr>
        <w:t xml:space="preserve">singular </w:t>
      </w:r>
      <w:r>
        <w:rPr>
          <w:rFonts w:ascii="Arial" w:hAnsi="Arial" w:cs="Arial"/>
        </w:rPr>
        <w:t xml:space="preserve">diagnostic and treatment </w:t>
      </w:r>
      <w:r w:rsidR="00A5317E">
        <w:rPr>
          <w:rFonts w:ascii="Arial" w:hAnsi="Arial" w:cs="Arial"/>
        </w:rPr>
        <w:t>approach to dis</w:t>
      </w:r>
      <w:r w:rsidR="00BD09C7">
        <w:rPr>
          <w:rFonts w:ascii="Arial" w:hAnsi="Arial" w:cs="Arial"/>
        </w:rPr>
        <w:t>order</w:t>
      </w:r>
      <w:r w:rsidR="00A5317E">
        <w:rPr>
          <w:rFonts w:ascii="Arial" w:hAnsi="Arial" w:cs="Arial"/>
        </w:rPr>
        <w:t xml:space="preserve">s. For FND, a neuropsychiatric disorder with </w:t>
      </w:r>
      <w:r w:rsidR="005C7188">
        <w:rPr>
          <w:rFonts w:ascii="Arial" w:hAnsi="Arial" w:cs="Arial"/>
        </w:rPr>
        <w:t>highly variable</w:t>
      </w:r>
      <w:r w:rsidR="00A5317E">
        <w:rPr>
          <w:rFonts w:ascii="Arial" w:hAnsi="Arial" w:cs="Arial"/>
        </w:rPr>
        <w:t xml:space="preserve"> </w:t>
      </w:r>
      <w:proofErr w:type="spellStart"/>
      <w:r w:rsidR="00A5317E">
        <w:rPr>
          <w:rFonts w:ascii="Arial" w:hAnsi="Arial" w:cs="Arial"/>
        </w:rPr>
        <w:t>semiologic</w:t>
      </w:r>
      <w:proofErr w:type="spellEnd"/>
      <w:r w:rsidR="00BD09C7">
        <w:rPr>
          <w:rFonts w:ascii="Arial" w:hAnsi="Arial" w:cs="Arial"/>
        </w:rPr>
        <w:t xml:space="preserve"> </w:t>
      </w:r>
      <w:r w:rsidR="00A5317E">
        <w:rPr>
          <w:rFonts w:ascii="Arial" w:hAnsi="Arial" w:cs="Arial"/>
        </w:rPr>
        <w:t xml:space="preserve">manifestations, multiple comorbidities, and </w:t>
      </w:r>
      <w:r w:rsidR="00BD09C7">
        <w:rPr>
          <w:rFonts w:ascii="Arial" w:hAnsi="Arial" w:cs="Arial"/>
        </w:rPr>
        <w:t>associated</w:t>
      </w:r>
      <w:r w:rsidR="00A5317E">
        <w:rPr>
          <w:rFonts w:ascii="Arial" w:hAnsi="Arial" w:cs="Arial"/>
        </w:rPr>
        <w:t xml:space="preserve"> psychosocial elements, a single </w:t>
      </w:r>
      <w:r w:rsidR="00671252">
        <w:rPr>
          <w:rFonts w:ascii="Arial" w:hAnsi="Arial" w:cs="Arial"/>
        </w:rPr>
        <w:t xml:space="preserve">simple </w:t>
      </w:r>
      <w:r w:rsidR="00A5317E">
        <w:rPr>
          <w:rFonts w:ascii="Arial" w:hAnsi="Arial" w:cs="Arial"/>
        </w:rPr>
        <w:t xml:space="preserve">outcome measure may not be </w:t>
      </w:r>
      <w:r w:rsidR="00671252">
        <w:rPr>
          <w:rFonts w:ascii="Arial" w:hAnsi="Arial" w:cs="Arial"/>
        </w:rPr>
        <w:t>optimal</w:t>
      </w:r>
      <w:r w:rsidR="00A5317E">
        <w:rPr>
          <w:rFonts w:ascii="Arial" w:hAnsi="Arial" w:cs="Arial"/>
        </w:rPr>
        <w:t xml:space="preserve">. A concise battery of measures, both clinician-scored and self-reported, monitoring physical, psychological and social </w:t>
      </w:r>
      <w:r w:rsidR="00A5317E">
        <w:rPr>
          <w:rFonts w:ascii="Arial" w:hAnsi="Arial" w:cs="Arial"/>
        </w:rPr>
        <w:lastRenderedPageBreak/>
        <w:t>aspects of the disorder</w:t>
      </w:r>
      <w:r w:rsidR="005C7188">
        <w:rPr>
          <w:rFonts w:ascii="Arial" w:hAnsi="Arial" w:cs="Arial"/>
        </w:rPr>
        <w:t>, ideally allowing comparison to other disorders,</w:t>
      </w:r>
      <w:r w:rsidR="00A5317E">
        <w:rPr>
          <w:rFonts w:ascii="Arial" w:hAnsi="Arial" w:cs="Arial"/>
        </w:rPr>
        <w:t xml:space="preserve"> may be an approach to</w:t>
      </w:r>
      <w:r w:rsidR="00BD09C7">
        <w:rPr>
          <w:rFonts w:ascii="Arial" w:hAnsi="Arial" w:cs="Arial"/>
        </w:rPr>
        <w:t xml:space="preserve"> most meaningfully</w:t>
      </w:r>
      <w:r w:rsidR="00A5317E">
        <w:rPr>
          <w:rFonts w:ascii="Arial" w:hAnsi="Arial" w:cs="Arial"/>
        </w:rPr>
        <w:t xml:space="preserve"> assess and monitor the whole person with FND.</w:t>
      </w:r>
    </w:p>
    <w:p w14:paraId="0D90FC41" w14:textId="77777777" w:rsidR="0031331A" w:rsidRDefault="0031331A" w:rsidP="0044205D">
      <w:pPr>
        <w:widowControl w:val="0"/>
        <w:autoSpaceDE w:val="0"/>
        <w:autoSpaceDN w:val="0"/>
        <w:adjustRightInd w:val="0"/>
        <w:contextualSpacing/>
        <w:rPr>
          <w:rFonts w:ascii="Arial" w:hAnsi="Arial"/>
        </w:rPr>
      </w:pPr>
    </w:p>
    <w:p w14:paraId="2DEC0893" w14:textId="77777777" w:rsidR="002E3ACA" w:rsidRDefault="002E3ACA" w:rsidP="0044205D">
      <w:pPr>
        <w:widowControl w:val="0"/>
        <w:autoSpaceDE w:val="0"/>
        <w:autoSpaceDN w:val="0"/>
        <w:adjustRightInd w:val="0"/>
        <w:contextualSpacing/>
        <w:rPr>
          <w:rFonts w:ascii="Arial" w:hAnsi="Arial"/>
        </w:rPr>
      </w:pPr>
    </w:p>
    <w:p w14:paraId="13C8D5E5" w14:textId="1D7ADD85" w:rsidR="00B47CD4" w:rsidRPr="006A476C" w:rsidRDefault="0044205D" w:rsidP="0044205D">
      <w:pPr>
        <w:widowControl w:val="0"/>
        <w:autoSpaceDE w:val="0"/>
        <w:autoSpaceDN w:val="0"/>
        <w:adjustRightInd w:val="0"/>
        <w:contextualSpacing/>
        <w:rPr>
          <w:rFonts w:ascii="Arial" w:hAnsi="Arial"/>
        </w:rPr>
      </w:pPr>
      <w:r w:rsidRPr="006A476C">
        <w:rPr>
          <w:rFonts w:ascii="Arial" w:hAnsi="Arial"/>
        </w:rPr>
        <w:t>_________________________________________________</w:t>
      </w:r>
      <w:r w:rsidR="00E05F7D">
        <w:rPr>
          <w:rFonts w:ascii="Arial" w:hAnsi="Arial"/>
        </w:rPr>
        <w:t>_________________</w:t>
      </w:r>
    </w:p>
    <w:p w14:paraId="3BE5A299" w14:textId="77777777" w:rsidR="00E05F7D" w:rsidRDefault="00E05F7D" w:rsidP="006B10BD">
      <w:pPr>
        <w:rPr>
          <w:rFonts w:ascii="Arial" w:hAnsi="Arial"/>
          <w:b/>
        </w:rPr>
      </w:pPr>
    </w:p>
    <w:p w14:paraId="6DE5D0F6" w14:textId="702551A8" w:rsidR="006B10BD" w:rsidRPr="006A476C" w:rsidRDefault="006B10BD" w:rsidP="006B10BD">
      <w:pPr>
        <w:rPr>
          <w:rFonts w:ascii="Arial" w:hAnsi="Arial"/>
        </w:rPr>
      </w:pPr>
      <w:r w:rsidRPr="00F664FD">
        <w:rPr>
          <w:rFonts w:ascii="Arial" w:hAnsi="Arial"/>
          <w:b/>
        </w:rPr>
        <w:t>Box 2:</w:t>
      </w:r>
      <w:r w:rsidRPr="006A476C">
        <w:rPr>
          <w:rFonts w:ascii="Arial" w:hAnsi="Arial"/>
        </w:rPr>
        <w:t xml:space="preserve">  Summary points </w:t>
      </w:r>
      <w:r w:rsidR="00A40E79">
        <w:rPr>
          <w:rFonts w:ascii="Arial" w:hAnsi="Arial"/>
        </w:rPr>
        <w:t>and recommendations</w:t>
      </w:r>
    </w:p>
    <w:p w14:paraId="248E5897" w14:textId="77777777" w:rsidR="006B10BD" w:rsidRPr="006A476C" w:rsidRDefault="006B10BD" w:rsidP="006B10BD">
      <w:pPr>
        <w:rPr>
          <w:rFonts w:ascii="Arial" w:hAnsi="Arial"/>
        </w:rPr>
      </w:pPr>
    </w:p>
    <w:p w14:paraId="7C4370DE" w14:textId="28B5C7AE" w:rsidR="0013086C" w:rsidRPr="00FF1B2B" w:rsidRDefault="00A40E79" w:rsidP="00FF1B2B">
      <w:pPr>
        <w:pStyle w:val="ListParagraph"/>
        <w:numPr>
          <w:ilvl w:val="0"/>
          <w:numId w:val="1"/>
        </w:numPr>
        <w:spacing w:line="480" w:lineRule="auto"/>
        <w:jc w:val="both"/>
        <w:rPr>
          <w:rFonts w:ascii="Arial" w:hAnsi="Arial"/>
        </w:rPr>
      </w:pPr>
      <w:r>
        <w:rPr>
          <w:rFonts w:ascii="Arial" w:hAnsi="Arial"/>
        </w:rPr>
        <w:t xml:space="preserve">The </w:t>
      </w:r>
      <w:r w:rsidR="006E73BE" w:rsidRPr="006A476C">
        <w:rPr>
          <w:rFonts w:ascii="Arial" w:hAnsi="Arial"/>
        </w:rPr>
        <w:t xml:space="preserve">range of </w:t>
      </w:r>
      <w:r w:rsidR="003D7019">
        <w:rPr>
          <w:rFonts w:ascii="Arial" w:hAnsi="Arial"/>
        </w:rPr>
        <w:t xml:space="preserve">core symptoms of FND </w:t>
      </w:r>
      <w:r>
        <w:rPr>
          <w:rFonts w:ascii="Arial" w:hAnsi="Arial"/>
        </w:rPr>
        <w:t>and the</w:t>
      </w:r>
      <w:r w:rsidR="003D7019">
        <w:rPr>
          <w:rFonts w:ascii="Arial" w:hAnsi="Arial"/>
        </w:rPr>
        <w:t xml:space="preserve"> high levels of</w:t>
      </w:r>
      <w:r w:rsidR="0013086C" w:rsidRPr="006A476C">
        <w:rPr>
          <w:rFonts w:ascii="Arial" w:hAnsi="Arial"/>
        </w:rPr>
        <w:t xml:space="preserve"> </w:t>
      </w:r>
      <w:r w:rsidR="003D7019">
        <w:rPr>
          <w:rFonts w:ascii="Arial" w:hAnsi="Arial" w:cs="Arial"/>
        </w:rPr>
        <w:t xml:space="preserve">associated </w:t>
      </w:r>
      <w:r>
        <w:rPr>
          <w:rFonts w:ascii="Arial" w:hAnsi="Arial" w:cs="Arial"/>
        </w:rPr>
        <w:t xml:space="preserve">other </w:t>
      </w:r>
      <w:r w:rsidR="003D7019">
        <w:rPr>
          <w:rFonts w:ascii="Arial" w:hAnsi="Arial" w:cs="Arial"/>
        </w:rPr>
        <w:t>physical and psychological</w:t>
      </w:r>
      <w:r w:rsidR="00D2652F">
        <w:rPr>
          <w:rFonts w:ascii="Arial" w:hAnsi="Arial" w:cs="Arial"/>
        </w:rPr>
        <w:t xml:space="preserve"> </w:t>
      </w:r>
      <w:r w:rsidR="0013086C" w:rsidRPr="006A476C">
        <w:rPr>
          <w:rFonts w:ascii="Arial" w:hAnsi="Arial"/>
        </w:rPr>
        <w:t xml:space="preserve">symptoms </w:t>
      </w:r>
      <w:r w:rsidR="003D7019">
        <w:rPr>
          <w:rFonts w:ascii="Arial" w:hAnsi="Arial"/>
        </w:rPr>
        <w:t>c</w:t>
      </w:r>
      <w:r>
        <w:rPr>
          <w:rFonts w:ascii="Arial" w:hAnsi="Arial"/>
        </w:rPr>
        <w:t>omplicates the choice of the most important symptoms to measure</w:t>
      </w:r>
      <w:r w:rsidR="006B5FD7">
        <w:rPr>
          <w:rFonts w:ascii="Arial" w:hAnsi="Arial"/>
        </w:rPr>
        <w:t>. Consequently</w:t>
      </w:r>
      <w:r w:rsidR="00DF7518">
        <w:rPr>
          <w:rFonts w:ascii="Arial" w:hAnsi="Arial"/>
        </w:rPr>
        <w:t xml:space="preserve"> a measure of both the primary core symptom and a </w:t>
      </w:r>
      <w:r w:rsidR="00D36DEE">
        <w:rPr>
          <w:rFonts w:ascii="Arial" w:hAnsi="Arial"/>
        </w:rPr>
        <w:t xml:space="preserve">general </w:t>
      </w:r>
      <w:r w:rsidR="00DF7518">
        <w:rPr>
          <w:rFonts w:ascii="Arial" w:hAnsi="Arial"/>
        </w:rPr>
        <w:t xml:space="preserve">measure of all FND symptoms should be </w:t>
      </w:r>
      <w:r w:rsidR="006B5FD7">
        <w:rPr>
          <w:rFonts w:ascii="Arial" w:hAnsi="Arial"/>
        </w:rPr>
        <w:t>obtained, along with measures of key other physical and psychological symptoms (see Fig 1)</w:t>
      </w:r>
      <w:r w:rsidR="00D36DEE">
        <w:rPr>
          <w:rFonts w:ascii="Arial" w:hAnsi="Arial"/>
        </w:rPr>
        <w:t>,</w:t>
      </w:r>
      <w:r w:rsidR="006B5FD7">
        <w:rPr>
          <w:rFonts w:ascii="Arial" w:hAnsi="Arial"/>
        </w:rPr>
        <w:t xml:space="preserve"> when practicable.</w:t>
      </w:r>
    </w:p>
    <w:p w14:paraId="750D3116" w14:textId="77777777" w:rsidR="00A502CA" w:rsidRDefault="0013086C" w:rsidP="006A476C">
      <w:pPr>
        <w:pStyle w:val="ListParagraph"/>
        <w:numPr>
          <w:ilvl w:val="0"/>
          <w:numId w:val="1"/>
        </w:numPr>
        <w:spacing w:line="480" w:lineRule="auto"/>
        <w:jc w:val="both"/>
        <w:rPr>
          <w:rFonts w:ascii="Arial" w:hAnsi="Arial"/>
        </w:rPr>
      </w:pPr>
      <w:r w:rsidRPr="006A476C">
        <w:rPr>
          <w:rFonts w:ascii="Arial" w:hAnsi="Arial"/>
        </w:rPr>
        <w:t>Temporal var</w:t>
      </w:r>
      <w:r w:rsidR="001139BD">
        <w:rPr>
          <w:rFonts w:ascii="Arial" w:hAnsi="Arial"/>
        </w:rPr>
        <w:t>iability in symptoms means that</w:t>
      </w:r>
      <w:r w:rsidRPr="006A476C">
        <w:rPr>
          <w:rFonts w:ascii="Arial" w:hAnsi="Arial"/>
        </w:rPr>
        <w:t xml:space="preserve"> </w:t>
      </w:r>
      <w:r w:rsidR="00E54B2F">
        <w:rPr>
          <w:rFonts w:ascii="Arial" w:hAnsi="Arial"/>
        </w:rPr>
        <w:t>‘</w:t>
      </w:r>
      <w:r w:rsidRPr="006A476C">
        <w:rPr>
          <w:rFonts w:ascii="Arial" w:hAnsi="Arial"/>
        </w:rPr>
        <w:t>snapshot</w:t>
      </w:r>
      <w:r w:rsidR="00E54B2F">
        <w:rPr>
          <w:rFonts w:ascii="Arial" w:hAnsi="Arial"/>
        </w:rPr>
        <w:t>’</w:t>
      </w:r>
      <w:r w:rsidRPr="006A476C">
        <w:rPr>
          <w:rFonts w:ascii="Arial" w:hAnsi="Arial"/>
        </w:rPr>
        <w:t xml:space="preserve"> (momentary</w:t>
      </w:r>
      <w:r w:rsidR="001139BD">
        <w:rPr>
          <w:rFonts w:ascii="Arial" w:hAnsi="Arial" w:cs="Arial"/>
        </w:rPr>
        <w:t xml:space="preserve"> or ‘state’</w:t>
      </w:r>
      <w:r w:rsidRPr="006A476C">
        <w:rPr>
          <w:rFonts w:ascii="Arial" w:hAnsi="Arial" w:cs="Arial"/>
        </w:rPr>
        <w:t>)</w:t>
      </w:r>
      <w:r w:rsidRPr="006A476C">
        <w:rPr>
          <w:rFonts w:ascii="Arial" w:hAnsi="Arial"/>
        </w:rPr>
        <w:t xml:space="preserve"> assessments </w:t>
      </w:r>
      <w:r w:rsidR="00E54B2F">
        <w:rPr>
          <w:rFonts w:ascii="Arial" w:hAnsi="Arial"/>
        </w:rPr>
        <w:t>are</w:t>
      </w:r>
      <w:r w:rsidR="001139BD">
        <w:rPr>
          <w:rFonts w:ascii="Arial" w:hAnsi="Arial"/>
        </w:rPr>
        <w:t xml:space="preserve"> likely to be</w:t>
      </w:r>
      <w:r w:rsidRPr="006A476C">
        <w:rPr>
          <w:rFonts w:ascii="Arial" w:hAnsi="Arial"/>
        </w:rPr>
        <w:t xml:space="preserve"> less meaningful </w:t>
      </w:r>
      <w:r w:rsidRPr="006A476C">
        <w:rPr>
          <w:rFonts w:ascii="Arial" w:hAnsi="Arial" w:cs="Arial"/>
        </w:rPr>
        <w:t>tha</w:t>
      </w:r>
      <w:r w:rsidR="00D2652F">
        <w:rPr>
          <w:rFonts w:ascii="Arial" w:hAnsi="Arial" w:cs="Arial"/>
        </w:rPr>
        <w:t>n</w:t>
      </w:r>
      <w:r w:rsidR="001139BD">
        <w:rPr>
          <w:rFonts w:ascii="Arial" w:hAnsi="Arial" w:cs="Arial"/>
        </w:rPr>
        <w:t xml:space="preserve"> </w:t>
      </w:r>
      <w:r w:rsidR="00D2652F">
        <w:rPr>
          <w:rFonts w:ascii="Arial" w:hAnsi="Arial" w:cs="Arial"/>
        </w:rPr>
        <w:t>assessments reflecting symptom severity</w:t>
      </w:r>
      <w:r w:rsidRPr="006A476C">
        <w:rPr>
          <w:rFonts w:ascii="Arial" w:hAnsi="Arial"/>
        </w:rPr>
        <w:t xml:space="preserve"> over longer time periods (days or weeks)</w:t>
      </w:r>
      <w:r w:rsidR="00A502CA">
        <w:rPr>
          <w:rFonts w:ascii="Arial" w:hAnsi="Arial"/>
        </w:rPr>
        <w:t>.</w:t>
      </w:r>
    </w:p>
    <w:p w14:paraId="0DFBAE7C" w14:textId="36BC1DDD" w:rsidR="00A502CA" w:rsidRPr="00A40E79" w:rsidRDefault="00A502CA" w:rsidP="00A502CA">
      <w:pPr>
        <w:pStyle w:val="ListParagraph"/>
        <w:numPr>
          <w:ilvl w:val="0"/>
          <w:numId w:val="1"/>
        </w:numPr>
        <w:spacing w:line="480" w:lineRule="auto"/>
        <w:jc w:val="both"/>
        <w:rPr>
          <w:rFonts w:ascii="Arial" w:hAnsi="Arial"/>
        </w:rPr>
      </w:pPr>
      <w:bookmarkStart w:id="6" w:name="_Hlk11082756"/>
      <w:r>
        <w:rPr>
          <w:rFonts w:ascii="Arial" w:hAnsi="Arial"/>
        </w:rPr>
        <w:t>The</w:t>
      </w:r>
      <w:r w:rsidRPr="006A476C">
        <w:rPr>
          <w:rFonts w:ascii="Arial" w:hAnsi="Arial"/>
        </w:rPr>
        <w:t xml:space="preserve"> discrepancy between patient report and objective measures</w:t>
      </w:r>
      <w:r>
        <w:rPr>
          <w:rFonts w:ascii="Arial" w:hAnsi="Arial"/>
        </w:rPr>
        <w:t>, relating to a diagnostic feature of FND,</w:t>
      </w:r>
      <w:r w:rsidRPr="006A476C">
        <w:rPr>
          <w:rFonts w:ascii="Arial" w:hAnsi="Arial"/>
        </w:rPr>
        <w:t xml:space="preserve"> challenge</w:t>
      </w:r>
      <w:r>
        <w:rPr>
          <w:rFonts w:ascii="Arial" w:hAnsi="Arial"/>
        </w:rPr>
        <w:t>s</w:t>
      </w:r>
      <w:r w:rsidRPr="006A476C">
        <w:rPr>
          <w:rFonts w:ascii="Arial" w:hAnsi="Arial"/>
        </w:rPr>
        <w:t xml:space="preserve"> the </w:t>
      </w:r>
      <w:r w:rsidRPr="00D2652F">
        <w:rPr>
          <w:rFonts w:ascii="Arial" w:hAnsi="Arial" w:cs="Arial"/>
        </w:rPr>
        <w:t>usual</w:t>
      </w:r>
      <w:r w:rsidRPr="006A476C">
        <w:rPr>
          <w:rFonts w:ascii="Arial" w:hAnsi="Arial"/>
        </w:rPr>
        <w:t xml:space="preserve"> prefere</w:t>
      </w:r>
      <w:r>
        <w:rPr>
          <w:rFonts w:ascii="Arial" w:hAnsi="Arial"/>
        </w:rPr>
        <w:t xml:space="preserve">nce for objective measures. </w:t>
      </w:r>
      <w:r w:rsidR="007E32E2">
        <w:rPr>
          <w:rFonts w:ascii="Arial" w:hAnsi="Arial" w:cs="Arial"/>
        </w:rPr>
        <w:t xml:space="preserve">A complementary set of </w:t>
      </w:r>
      <w:r w:rsidR="00AC4F47">
        <w:rPr>
          <w:rFonts w:ascii="Arial" w:hAnsi="Arial" w:cs="Arial"/>
        </w:rPr>
        <w:t>self</w:t>
      </w:r>
      <w:r w:rsidRPr="00A40E79">
        <w:rPr>
          <w:rFonts w:ascii="Arial" w:hAnsi="Arial" w:cs="Arial"/>
        </w:rPr>
        <w:t>-reported (subjective) and objective (</w:t>
      </w:r>
      <w:r w:rsidR="007E32E2">
        <w:rPr>
          <w:rFonts w:ascii="Arial" w:hAnsi="Arial" w:cs="Arial"/>
        </w:rPr>
        <w:t xml:space="preserve">e.g. performance base or some </w:t>
      </w:r>
      <w:r w:rsidRPr="00A40E79">
        <w:rPr>
          <w:rFonts w:ascii="Arial" w:hAnsi="Arial" w:cs="Arial"/>
        </w:rPr>
        <w:t>clinician-rated) measurements may provide a particularly robust core outcome measure set for this population</w:t>
      </w:r>
      <w:r>
        <w:rPr>
          <w:rFonts w:ascii="Arial" w:hAnsi="Arial" w:cs="Arial"/>
        </w:rPr>
        <w:t xml:space="preserve"> and the basis of research into the relative benefits of each.</w:t>
      </w:r>
    </w:p>
    <w:bookmarkEnd w:id="6"/>
    <w:p w14:paraId="238F7BE4" w14:textId="36C29135" w:rsidR="00A502CA" w:rsidRPr="00A502CA" w:rsidRDefault="0013086C" w:rsidP="00A502CA">
      <w:pPr>
        <w:pStyle w:val="ListParagraph"/>
        <w:numPr>
          <w:ilvl w:val="0"/>
          <w:numId w:val="1"/>
        </w:numPr>
        <w:spacing w:line="480" w:lineRule="auto"/>
        <w:jc w:val="both"/>
        <w:rPr>
          <w:rFonts w:ascii="Arial" w:hAnsi="Arial" w:cs="Arial"/>
        </w:rPr>
      </w:pPr>
      <w:r w:rsidRPr="006A476C">
        <w:rPr>
          <w:rFonts w:ascii="Arial" w:hAnsi="Arial"/>
        </w:rPr>
        <w:t xml:space="preserve"> </w:t>
      </w:r>
      <w:r w:rsidR="00A502CA">
        <w:rPr>
          <w:rFonts w:ascii="Arial" w:hAnsi="Arial"/>
        </w:rPr>
        <w:t>There is a need to develop an outcome measure set for FND including research</w:t>
      </w:r>
      <w:r w:rsidR="008015FF">
        <w:rPr>
          <w:rFonts w:ascii="Arial" w:hAnsi="Arial"/>
        </w:rPr>
        <w:t xml:space="preserve"> </w:t>
      </w:r>
      <w:r w:rsidR="00A502CA">
        <w:rPr>
          <w:rFonts w:ascii="Arial" w:hAnsi="Arial"/>
        </w:rPr>
        <w:t xml:space="preserve">into: </w:t>
      </w:r>
    </w:p>
    <w:p w14:paraId="1AAA3C54" w14:textId="77777777" w:rsidR="00A502CA" w:rsidRPr="00956C8A" w:rsidRDefault="00A502CA" w:rsidP="00A502CA">
      <w:pPr>
        <w:pStyle w:val="ListParagraph"/>
        <w:numPr>
          <w:ilvl w:val="1"/>
          <w:numId w:val="1"/>
        </w:numPr>
        <w:spacing w:line="480" w:lineRule="auto"/>
        <w:jc w:val="both"/>
        <w:rPr>
          <w:rFonts w:ascii="Arial" w:hAnsi="Arial" w:cs="Arial"/>
        </w:rPr>
      </w:pPr>
      <w:r>
        <w:rPr>
          <w:rFonts w:ascii="Arial" w:hAnsi="Arial"/>
        </w:rPr>
        <w:t>Existing outcome measures that have been used in, or are available for use in, FND trials and clinical practice. The need for the development of an FND specific scale should be considered.</w:t>
      </w:r>
    </w:p>
    <w:p w14:paraId="2EFB445D" w14:textId="787A82B7" w:rsidR="00956C8A" w:rsidRPr="00A502CA" w:rsidRDefault="00956C8A" w:rsidP="00A502CA">
      <w:pPr>
        <w:pStyle w:val="ListParagraph"/>
        <w:numPr>
          <w:ilvl w:val="1"/>
          <w:numId w:val="1"/>
        </w:numPr>
        <w:spacing w:line="480" w:lineRule="auto"/>
        <w:jc w:val="both"/>
        <w:rPr>
          <w:rFonts w:ascii="Arial" w:hAnsi="Arial" w:cs="Arial"/>
        </w:rPr>
      </w:pPr>
      <w:r>
        <w:rPr>
          <w:rFonts w:ascii="Arial" w:hAnsi="Arial"/>
        </w:rPr>
        <w:lastRenderedPageBreak/>
        <w:t>Personalised outcome measures that might be suitable for FND</w:t>
      </w:r>
    </w:p>
    <w:p w14:paraId="26930897" w14:textId="77777777" w:rsidR="00A502CA" w:rsidRPr="00A502CA" w:rsidRDefault="00A502CA" w:rsidP="00A502CA">
      <w:pPr>
        <w:pStyle w:val="ListParagraph"/>
        <w:numPr>
          <w:ilvl w:val="1"/>
          <w:numId w:val="1"/>
        </w:numPr>
        <w:spacing w:line="480" w:lineRule="auto"/>
        <w:jc w:val="both"/>
        <w:rPr>
          <w:rFonts w:ascii="Arial" w:hAnsi="Arial" w:cs="Arial"/>
        </w:rPr>
      </w:pPr>
      <w:r>
        <w:rPr>
          <w:rFonts w:ascii="Arial" w:hAnsi="Arial"/>
        </w:rPr>
        <w:t xml:space="preserve"> Stakeholder views on outcome measures, specifically patients, carers and relevant healthcare professionals. </w:t>
      </w:r>
    </w:p>
    <w:p w14:paraId="63D35D5B" w14:textId="71BD5F18" w:rsidR="00A502CA" w:rsidRPr="00C752C7" w:rsidRDefault="00A502CA" w:rsidP="00A502CA">
      <w:pPr>
        <w:pStyle w:val="ListParagraph"/>
        <w:numPr>
          <w:ilvl w:val="1"/>
          <w:numId w:val="1"/>
        </w:numPr>
        <w:spacing w:line="480" w:lineRule="auto"/>
        <w:jc w:val="both"/>
        <w:rPr>
          <w:rFonts w:ascii="Arial" w:hAnsi="Arial" w:cs="Arial"/>
        </w:rPr>
      </w:pPr>
      <w:r>
        <w:rPr>
          <w:rFonts w:ascii="Arial" w:hAnsi="Arial"/>
        </w:rPr>
        <w:t>How different cultures, ages and other patient characteristics might impact on optimal outcome measurement.</w:t>
      </w:r>
    </w:p>
    <w:p w14:paraId="3C665AEF" w14:textId="739BA4CA" w:rsidR="0044205D" w:rsidRPr="006A476C" w:rsidRDefault="0044205D" w:rsidP="0044205D">
      <w:pPr>
        <w:widowControl w:val="0"/>
        <w:autoSpaceDE w:val="0"/>
        <w:autoSpaceDN w:val="0"/>
        <w:adjustRightInd w:val="0"/>
        <w:contextualSpacing/>
        <w:rPr>
          <w:rFonts w:ascii="Arial" w:hAnsi="Arial"/>
        </w:rPr>
      </w:pPr>
      <w:r w:rsidRPr="006A476C">
        <w:rPr>
          <w:rFonts w:ascii="Arial" w:hAnsi="Arial"/>
        </w:rPr>
        <w:t>__________________________________________________</w:t>
      </w:r>
      <w:r w:rsidR="00E05F7D">
        <w:rPr>
          <w:rFonts w:ascii="Arial" w:hAnsi="Arial"/>
        </w:rPr>
        <w:t>_________________</w:t>
      </w:r>
    </w:p>
    <w:p w14:paraId="1F587C8B" w14:textId="77777777" w:rsidR="001630A8" w:rsidRPr="006A476C" w:rsidRDefault="001630A8" w:rsidP="001630A8">
      <w:pPr>
        <w:rPr>
          <w:rFonts w:ascii="Arial" w:hAnsi="Arial"/>
        </w:rPr>
      </w:pPr>
    </w:p>
    <w:p w14:paraId="5627E4B4" w14:textId="77777777" w:rsidR="0031331A" w:rsidRDefault="0031331A" w:rsidP="007E32E2">
      <w:pPr>
        <w:spacing w:line="480" w:lineRule="auto"/>
        <w:jc w:val="both"/>
        <w:rPr>
          <w:rFonts w:ascii="Arial" w:hAnsi="Arial" w:cs="Arial"/>
          <w:b/>
          <w:sz w:val="28"/>
        </w:rPr>
      </w:pPr>
    </w:p>
    <w:p w14:paraId="537DB4B7" w14:textId="77777777" w:rsidR="0031331A" w:rsidRDefault="0031331A" w:rsidP="007E32E2">
      <w:pPr>
        <w:spacing w:line="480" w:lineRule="auto"/>
        <w:jc w:val="both"/>
        <w:rPr>
          <w:rFonts w:ascii="Arial" w:hAnsi="Arial" w:cs="Arial"/>
          <w:b/>
          <w:sz w:val="28"/>
        </w:rPr>
      </w:pPr>
    </w:p>
    <w:p w14:paraId="6AD0092B" w14:textId="06D96EF4" w:rsidR="00EB3C3F" w:rsidRPr="00F664FD" w:rsidRDefault="006F5643" w:rsidP="007E32E2">
      <w:pPr>
        <w:spacing w:line="480" w:lineRule="auto"/>
        <w:jc w:val="both"/>
        <w:rPr>
          <w:rFonts w:ascii="Arial" w:hAnsi="Arial" w:cs="Arial"/>
          <w:b/>
          <w:sz w:val="28"/>
        </w:rPr>
      </w:pPr>
      <w:r w:rsidRPr="00F664FD">
        <w:rPr>
          <w:rFonts w:ascii="Arial" w:hAnsi="Arial" w:cs="Arial"/>
          <w:b/>
          <w:sz w:val="28"/>
        </w:rPr>
        <w:t xml:space="preserve">Funding </w:t>
      </w:r>
      <w:r w:rsidR="00C45E0D" w:rsidRPr="00F664FD">
        <w:rPr>
          <w:rFonts w:ascii="Arial" w:hAnsi="Arial" w:cs="Arial"/>
          <w:b/>
          <w:sz w:val="28"/>
        </w:rPr>
        <w:t xml:space="preserve">/ </w:t>
      </w:r>
      <w:r w:rsidRPr="00F664FD">
        <w:rPr>
          <w:rFonts w:ascii="Arial" w:hAnsi="Arial" w:cs="Arial"/>
          <w:b/>
          <w:sz w:val="28"/>
        </w:rPr>
        <w:t>Conflicts of interest</w:t>
      </w:r>
      <w:r w:rsidR="00EB3C3F" w:rsidRPr="00F664FD">
        <w:rPr>
          <w:rFonts w:ascii="Arial" w:hAnsi="Arial" w:cs="Arial"/>
          <w:b/>
          <w:sz w:val="28"/>
        </w:rPr>
        <w:t xml:space="preserve"> </w:t>
      </w:r>
    </w:p>
    <w:p w14:paraId="31E54963" w14:textId="77777777" w:rsidR="0031331A" w:rsidRDefault="0031331A" w:rsidP="007E32E2">
      <w:pPr>
        <w:spacing w:line="480" w:lineRule="auto"/>
        <w:jc w:val="both"/>
        <w:rPr>
          <w:rFonts w:ascii="Arial" w:hAnsi="Arial" w:cs="Arial"/>
        </w:rPr>
      </w:pPr>
    </w:p>
    <w:p w14:paraId="7FCF9E75" w14:textId="5C1457D9" w:rsidR="00D00557" w:rsidRPr="00462F65" w:rsidRDefault="00D00557" w:rsidP="007E32E2">
      <w:pPr>
        <w:spacing w:line="480" w:lineRule="auto"/>
        <w:jc w:val="both"/>
        <w:rPr>
          <w:rFonts w:ascii="Arial" w:hAnsi="Arial" w:cs="Arial"/>
        </w:rPr>
      </w:pPr>
      <w:r w:rsidRPr="00462F65">
        <w:rPr>
          <w:rFonts w:ascii="Arial" w:hAnsi="Arial" w:cs="Arial"/>
        </w:rPr>
        <w:t xml:space="preserve">D.L.P. has received honoraria from the American Academy of Neurology, Movement Disorder Society and Harvard Medical School. </w:t>
      </w:r>
    </w:p>
    <w:p w14:paraId="7BE53217" w14:textId="77777777" w:rsidR="00EB3C3F" w:rsidRPr="00462F65" w:rsidRDefault="00EB3C3F" w:rsidP="007E32E2">
      <w:pPr>
        <w:spacing w:line="480" w:lineRule="auto"/>
        <w:jc w:val="both"/>
        <w:rPr>
          <w:rFonts w:ascii="Arial" w:hAnsi="Arial" w:cs="Arial"/>
        </w:rPr>
      </w:pPr>
    </w:p>
    <w:p w14:paraId="22BF9597" w14:textId="474CA4BF" w:rsidR="00EB3C3F" w:rsidRPr="00462F65" w:rsidRDefault="00FF1ADA" w:rsidP="007E32E2">
      <w:pPr>
        <w:spacing w:line="480" w:lineRule="auto"/>
        <w:jc w:val="both"/>
        <w:rPr>
          <w:rFonts w:ascii="Arial" w:hAnsi="Arial" w:cs="Arial"/>
        </w:rPr>
      </w:pPr>
      <w:r w:rsidRPr="00462F65">
        <w:rPr>
          <w:rFonts w:ascii="Arial" w:hAnsi="Arial" w:cs="Arial"/>
        </w:rPr>
        <w:t xml:space="preserve">M.H. may accrue revenue on US Patent for an Immunotoxin (MAB-Ricin) for the treatment of focal movement disorders and for a Coil for Magnetic Stimulation and methods for using the same (H-coil); in relation to the latter, he has received license fee payments from the NIH (from </w:t>
      </w:r>
      <w:proofErr w:type="spellStart"/>
      <w:r w:rsidRPr="00462F65">
        <w:rPr>
          <w:rFonts w:ascii="Arial" w:hAnsi="Arial" w:cs="Arial"/>
        </w:rPr>
        <w:t>Brainsway</w:t>
      </w:r>
      <w:proofErr w:type="spellEnd"/>
      <w:r w:rsidRPr="00462F65">
        <w:rPr>
          <w:rFonts w:ascii="Arial" w:hAnsi="Arial" w:cs="Arial"/>
        </w:rPr>
        <w:t xml:space="preserve">). He is on the Medical Advisory Boards of CALA Health, </w:t>
      </w:r>
      <w:proofErr w:type="spellStart"/>
      <w:r w:rsidRPr="00462F65">
        <w:rPr>
          <w:rFonts w:ascii="Arial" w:hAnsi="Arial" w:cs="Arial"/>
        </w:rPr>
        <w:t>Brainsway</w:t>
      </w:r>
      <w:proofErr w:type="spellEnd"/>
      <w:r w:rsidRPr="00462F65">
        <w:rPr>
          <w:rFonts w:ascii="Arial" w:hAnsi="Arial" w:cs="Arial"/>
        </w:rPr>
        <w:t xml:space="preserve">, and Cadent. He is on the Editorial Board of approximately 15 journals and receives royalties and/or honoraria from publishing from Cambridge University Press, Oxford University Press, Springer, and Elsevier. Grant research funds have come from Merz for treatment studies of focal hand dystonia, Allergan for studies of methods to inject botulinum toxins, Medtronic, Inc. for a study of DBS for dystonia, and CALA Health for studies of a device to suppress tremor.  </w:t>
      </w:r>
    </w:p>
    <w:p w14:paraId="625910AC" w14:textId="0DE175CC" w:rsidR="00587B1A" w:rsidRPr="00462F65" w:rsidRDefault="00587B1A" w:rsidP="007E32E2">
      <w:pPr>
        <w:spacing w:line="480" w:lineRule="auto"/>
        <w:jc w:val="both"/>
        <w:rPr>
          <w:rFonts w:ascii="Arial" w:hAnsi="Arial" w:cs="Arial"/>
        </w:rPr>
      </w:pPr>
    </w:p>
    <w:p w14:paraId="67995C41" w14:textId="38549354" w:rsidR="00DF2759" w:rsidRPr="00462F65" w:rsidRDefault="00587B1A" w:rsidP="007E32E2">
      <w:pPr>
        <w:spacing w:line="480" w:lineRule="auto"/>
        <w:jc w:val="both"/>
        <w:rPr>
          <w:rFonts w:ascii="Arial" w:hAnsi="Arial" w:cs="Arial"/>
        </w:rPr>
      </w:pPr>
      <w:r w:rsidRPr="00462F65">
        <w:rPr>
          <w:rFonts w:ascii="Arial" w:hAnsi="Arial" w:cs="Arial"/>
        </w:rPr>
        <w:lastRenderedPageBreak/>
        <w:t>J</w:t>
      </w:r>
      <w:r w:rsidR="00462F65">
        <w:rPr>
          <w:rFonts w:ascii="Arial" w:hAnsi="Arial" w:cs="Arial"/>
        </w:rPr>
        <w:t>.</w:t>
      </w:r>
      <w:r w:rsidRPr="00462F65">
        <w:rPr>
          <w:rFonts w:ascii="Arial" w:hAnsi="Arial" w:cs="Arial"/>
        </w:rPr>
        <w:t>S</w:t>
      </w:r>
      <w:r w:rsidR="00462F65">
        <w:rPr>
          <w:rFonts w:ascii="Arial" w:hAnsi="Arial" w:cs="Arial"/>
        </w:rPr>
        <w:t>.</w:t>
      </w:r>
      <w:r w:rsidRPr="00462F65">
        <w:rPr>
          <w:rFonts w:ascii="Arial" w:hAnsi="Arial" w:cs="Arial"/>
        </w:rPr>
        <w:t xml:space="preserve"> reports independent expert testimony work for personal injury </w:t>
      </w:r>
      <w:r w:rsidR="001139BD">
        <w:rPr>
          <w:rFonts w:ascii="Arial" w:hAnsi="Arial" w:cs="Arial"/>
        </w:rPr>
        <w:t>and medical negligence claims and receives r</w:t>
      </w:r>
      <w:r w:rsidRPr="00462F65">
        <w:rPr>
          <w:rFonts w:ascii="Arial" w:hAnsi="Arial" w:cs="Arial"/>
        </w:rPr>
        <w:t xml:space="preserve">oyalties from UpToDate for articles on functional </w:t>
      </w:r>
      <w:r w:rsidR="0021190C">
        <w:rPr>
          <w:rFonts w:ascii="Arial" w:hAnsi="Arial" w:cs="Arial"/>
        </w:rPr>
        <w:t>neurological</w:t>
      </w:r>
      <w:r w:rsidRPr="00462F65">
        <w:rPr>
          <w:rFonts w:ascii="Arial" w:hAnsi="Arial" w:cs="Arial"/>
        </w:rPr>
        <w:t xml:space="preserve"> disorder and runs a free non-profit self-help website, </w:t>
      </w:r>
      <w:hyperlink r:id="rId16" w:history="1">
        <w:r w:rsidR="00DF2759" w:rsidRPr="00462F65">
          <w:rPr>
            <w:rStyle w:val="Hyperlink"/>
            <w:rFonts w:ascii="Arial" w:hAnsi="Arial" w:cs="Arial"/>
          </w:rPr>
          <w:t>www.neurosymptoms.org</w:t>
        </w:r>
      </w:hyperlink>
      <w:r w:rsidRPr="00462F65">
        <w:rPr>
          <w:rFonts w:ascii="Arial" w:hAnsi="Arial" w:cs="Arial"/>
        </w:rPr>
        <w:t>.</w:t>
      </w:r>
    </w:p>
    <w:p w14:paraId="66F00954" w14:textId="77777777" w:rsidR="00462F65" w:rsidRDefault="00462F65" w:rsidP="007E32E2">
      <w:pPr>
        <w:spacing w:line="480" w:lineRule="auto"/>
        <w:jc w:val="both"/>
        <w:rPr>
          <w:rFonts w:ascii="Arial" w:hAnsi="Arial" w:cs="Arial"/>
        </w:rPr>
      </w:pPr>
    </w:p>
    <w:p w14:paraId="52458C85" w14:textId="6FED3B74" w:rsidR="00DF2759" w:rsidRPr="00462F65" w:rsidRDefault="00DF2759" w:rsidP="007E32E2">
      <w:pPr>
        <w:spacing w:line="480" w:lineRule="auto"/>
        <w:jc w:val="both"/>
        <w:rPr>
          <w:rFonts w:ascii="Arial" w:hAnsi="Arial" w:cs="Arial"/>
        </w:rPr>
      </w:pPr>
      <w:r w:rsidRPr="00462F65">
        <w:rPr>
          <w:rFonts w:ascii="Arial" w:hAnsi="Arial" w:cs="Arial"/>
        </w:rPr>
        <w:t>L</w:t>
      </w:r>
      <w:r w:rsidR="00462F65">
        <w:rPr>
          <w:rFonts w:ascii="Arial" w:hAnsi="Arial" w:cs="Arial"/>
        </w:rPr>
        <w:t>.</w:t>
      </w:r>
      <w:r w:rsidRPr="00462F65">
        <w:rPr>
          <w:rFonts w:ascii="Arial" w:hAnsi="Arial" w:cs="Arial"/>
        </w:rPr>
        <w:t>H</w:t>
      </w:r>
      <w:r w:rsidR="00462F65">
        <w:rPr>
          <w:rFonts w:ascii="Arial" w:hAnsi="Arial" w:cs="Arial"/>
        </w:rPr>
        <w:t>.</w:t>
      </w:r>
      <w:r w:rsidRPr="00462F65">
        <w:rPr>
          <w:rFonts w:ascii="Arial" w:hAnsi="Arial" w:cs="Arial"/>
        </w:rPr>
        <w:t xml:space="preserve">G reports salary support from the </w:t>
      </w:r>
      <w:r w:rsidR="00462F65">
        <w:rPr>
          <w:rFonts w:ascii="Arial" w:hAnsi="Arial" w:cs="Arial"/>
        </w:rPr>
        <w:t xml:space="preserve">UK </w:t>
      </w:r>
      <w:r w:rsidRPr="00462F65">
        <w:rPr>
          <w:rFonts w:ascii="Arial" w:hAnsi="Arial" w:cs="Arial"/>
        </w:rPr>
        <w:t>National Institute for Health Research (NIHR) Maudsley Biomedical Research Centre at the South London and Maudsley NHS Foundation Trust and King’s College London.</w:t>
      </w:r>
      <w:r w:rsidR="00462F65">
        <w:rPr>
          <w:rFonts w:ascii="Arial" w:hAnsi="Arial" w:cs="Arial"/>
        </w:rPr>
        <w:t xml:space="preserve"> T.R.N. and S.P.</w:t>
      </w:r>
      <w:r w:rsidR="007E32E2">
        <w:rPr>
          <w:rFonts w:ascii="Arial" w:hAnsi="Arial" w:cs="Arial"/>
        </w:rPr>
        <w:t xml:space="preserve"> </w:t>
      </w:r>
      <w:r w:rsidR="00462F65">
        <w:rPr>
          <w:rFonts w:ascii="Arial" w:hAnsi="Arial" w:cs="Arial"/>
        </w:rPr>
        <w:t xml:space="preserve">are also funded by a NIHR clinician scientist fellowship. </w:t>
      </w:r>
      <w:r w:rsidRPr="00462F65">
        <w:rPr>
          <w:rFonts w:ascii="Arial" w:hAnsi="Arial" w:cs="Arial"/>
        </w:rPr>
        <w:t>The views expressed in this publication are those of the authors and not necessarily those of the NHS, the NIHR or the Department of Health and Social Care.</w:t>
      </w:r>
    </w:p>
    <w:p w14:paraId="208E7D67" w14:textId="77777777" w:rsidR="00462F65" w:rsidRPr="00462F65" w:rsidRDefault="00462F65" w:rsidP="00B17F2F">
      <w:pPr>
        <w:spacing w:line="480" w:lineRule="auto"/>
        <w:jc w:val="both"/>
        <w:rPr>
          <w:rFonts w:ascii="Arial" w:hAnsi="Arial" w:cs="Arial"/>
        </w:rPr>
      </w:pPr>
    </w:p>
    <w:p w14:paraId="156DA047" w14:textId="77777777" w:rsidR="00462F65" w:rsidRPr="00462F65" w:rsidRDefault="00462F65" w:rsidP="00DF2759">
      <w:pPr>
        <w:rPr>
          <w:rFonts w:ascii="Arial" w:hAnsi="Arial" w:cs="Arial"/>
        </w:rPr>
      </w:pPr>
    </w:p>
    <w:p w14:paraId="2ADA97CD" w14:textId="77777777" w:rsidR="00EB3C3F" w:rsidRDefault="00EB3C3F" w:rsidP="001630A8">
      <w:pPr>
        <w:rPr>
          <w:rFonts w:ascii="Arial" w:hAnsi="Arial" w:cs="Arial"/>
          <w:b/>
        </w:rPr>
      </w:pPr>
    </w:p>
    <w:p w14:paraId="146990DF" w14:textId="77777777" w:rsidR="00C45E0D" w:rsidRDefault="00C45E0D" w:rsidP="001630A8">
      <w:pPr>
        <w:rPr>
          <w:rFonts w:ascii="Arial" w:hAnsi="Arial" w:cs="Arial"/>
          <w:b/>
        </w:rPr>
      </w:pPr>
    </w:p>
    <w:p w14:paraId="30E77A2D" w14:textId="77777777" w:rsidR="00C45E0D" w:rsidRDefault="00C45E0D" w:rsidP="001630A8">
      <w:pPr>
        <w:rPr>
          <w:rFonts w:ascii="Arial" w:hAnsi="Arial" w:cs="Arial"/>
          <w:b/>
        </w:rPr>
      </w:pPr>
    </w:p>
    <w:p w14:paraId="68EB5C90" w14:textId="77777777" w:rsidR="00F6777F" w:rsidRPr="006F5643" w:rsidRDefault="00F6777F" w:rsidP="001630A8">
      <w:pPr>
        <w:rPr>
          <w:rFonts w:ascii="Arial" w:hAnsi="Arial" w:cs="Arial"/>
          <w:b/>
        </w:rPr>
      </w:pPr>
    </w:p>
    <w:p w14:paraId="284ADFEC" w14:textId="77777777" w:rsidR="00F6777F" w:rsidRPr="006F5643" w:rsidRDefault="00F6777F" w:rsidP="001630A8">
      <w:pPr>
        <w:rPr>
          <w:rFonts w:ascii="Arial" w:hAnsi="Arial" w:cs="Arial"/>
          <w:b/>
        </w:rPr>
      </w:pPr>
    </w:p>
    <w:p w14:paraId="5B7D31E1" w14:textId="77777777" w:rsidR="00F6777F" w:rsidRPr="006F5643" w:rsidRDefault="00F6777F" w:rsidP="001630A8">
      <w:pPr>
        <w:rPr>
          <w:rFonts w:ascii="Arial" w:hAnsi="Arial" w:cs="Arial"/>
          <w:b/>
        </w:rPr>
      </w:pPr>
    </w:p>
    <w:p w14:paraId="20AE9EB0" w14:textId="77777777" w:rsidR="001630A8" w:rsidRPr="006F5643" w:rsidRDefault="001630A8" w:rsidP="001630A8">
      <w:pPr>
        <w:rPr>
          <w:rFonts w:ascii="Arial" w:hAnsi="Arial" w:cs="Arial"/>
          <w:b/>
        </w:rPr>
      </w:pPr>
    </w:p>
    <w:p w14:paraId="6DE4FD65" w14:textId="77777777" w:rsidR="00EB3C3F" w:rsidRDefault="00EB3C3F">
      <w:pPr>
        <w:rPr>
          <w:rFonts w:ascii="Arial" w:hAnsi="Arial" w:cs="Arial"/>
          <w:b/>
        </w:rPr>
      </w:pPr>
      <w:r>
        <w:rPr>
          <w:rFonts w:ascii="Arial" w:hAnsi="Arial" w:cs="Arial"/>
          <w:b/>
        </w:rPr>
        <w:br w:type="page"/>
      </w:r>
    </w:p>
    <w:p w14:paraId="660A96A2" w14:textId="09E33E98" w:rsidR="001630A8" w:rsidRPr="00F664FD" w:rsidRDefault="00F6777F" w:rsidP="001630A8">
      <w:pPr>
        <w:rPr>
          <w:rFonts w:ascii="Arial" w:hAnsi="Arial" w:cs="Arial"/>
          <w:b/>
          <w:sz w:val="28"/>
        </w:rPr>
      </w:pPr>
      <w:r w:rsidRPr="00F664FD">
        <w:rPr>
          <w:rFonts w:ascii="Arial" w:hAnsi="Arial" w:cs="Arial"/>
          <w:b/>
          <w:sz w:val="28"/>
        </w:rPr>
        <w:lastRenderedPageBreak/>
        <w:t>References</w:t>
      </w:r>
    </w:p>
    <w:p w14:paraId="3F41B6BE" w14:textId="77777777" w:rsidR="001630A8" w:rsidRPr="006F5643" w:rsidRDefault="001630A8" w:rsidP="001630A8">
      <w:pPr>
        <w:rPr>
          <w:rFonts w:ascii="Arial" w:hAnsi="Arial" w:cs="Arial"/>
          <w:b/>
        </w:rPr>
      </w:pPr>
    </w:p>
    <w:p w14:paraId="570C7475" w14:textId="77777777" w:rsidR="001630A8" w:rsidRPr="006A476C" w:rsidRDefault="001630A8" w:rsidP="001630A8">
      <w:pPr>
        <w:rPr>
          <w:rFonts w:ascii="Arial" w:hAnsi="Arial"/>
        </w:rPr>
      </w:pPr>
    </w:p>
    <w:p w14:paraId="2F8029F5" w14:textId="6FDB46FA" w:rsidR="00F24E13" w:rsidRPr="00F24E13" w:rsidRDefault="00F6777F" w:rsidP="00F24E13">
      <w:pPr>
        <w:widowControl w:val="0"/>
        <w:autoSpaceDE w:val="0"/>
        <w:autoSpaceDN w:val="0"/>
        <w:adjustRightInd w:val="0"/>
        <w:ind w:left="640" w:hanging="640"/>
        <w:rPr>
          <w:rFonts w:ascii="Cambria" w:hAnsi="Cambria"/>
          <w:noProof/>
          <w:lang w:val="en-US"/>
        </w:rPr>
      </w:pPr>
      <w:r w:rsidRPr="006A476C">
        <w:rPr>
          <w:rFonts w:ascii="Arial" w:hAnsi="Arial"/>
        </w:rPr>
        <w:fldChar w:fldCharType="begin" w:fldLock="1"/>
      </w:r>
      <w:r>
        <w:instrText xml:space="preserve">ADDIN Mendeley Bibliography CSL_BIBLIOGRAPHY </w:instrText>
      </w:r>
      <w:r w:rsidRPr="006A476C">
        <w:rPr>
          <w:rFonts w:ascii="Arial" w:hAnsi="Arial"/>
        </w:rPr>
        <w:fldChar w:fldCharType="separate"/>
      </w:r>
      <w:r w:rsidR="00F24E13" w:rsidRPr="00F24E13">
        <w:rPr>
          <w:rFonts w:ascii="Cambria" w:hAnsi="Cambria"/>
          <w:noProof/>
          <w:lang w:val="en-US"/>
        </w:rPr>
        <w:t xml:space="preserve">1. </w:t>
      </w:r>
      <w:r w:rsidR="00F24E13" w:rsidRPr="00F24E13">
        <w:rPr>
          <w:rFonts w:ascii="Cambria" w:hAnsi="Cambria"/>
          <w:noProof/>
          <w:lang w:val="en-US"/>
        </w:rPr>
        <w:tab/>
        <w:t xml:space="preserve">Espay AJ, Aybek S, Carson A, et al.: Current concepts in diagnosis and treatment of functional neurological disorders. JAMA Neurol. 2018; </w:t>
      </w:r>
    </w:p>
    <w:p w14:paraId="62D66090"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 </w:t>
      </w:r>
      <w:r w:rsidRPr="00F24E13">
        <w:rPr>
          <w:rFonts w:ascii="Cambria" w:hAnsi="Cambria"/>
          <w:noProof/>
          <w:lang w:val="en-US"/>
        </w:rPr>
        <w:tab/>
        <w:t xml:space="preserve">Voon V, Cavanna AE, Coburn K, et al.: Functional Neuroanatomy and Neurophysiology of Functional Neurological Disorders  (Conversion Disorder). J. Neuropsychiatry Clin. Neurosci. 2016; </w:t>
      </w:r>
    </w:p>
    <w:p w14:paraId="554355DE"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 </w:t>
      </w:r>
      <w:r w:rsidRPr="00F24E13">
        <w:rPr>
          <w:rFonts w:ascii="Cambria" w:hAnsi="Cambria"/>
          <w:noProof/>
          <w:lang w:val="en-US"/>
        </w:rPr>
        <w:tab/>
        <w:t>Stone J, Carson A, Duncan R, et al.: Who is referred to neurology clinics? - The diagnoses made in 3781 new patients [Internet]. Clin. Neurol. Neurosurg. 2010; 112:747–751Available from: http://dx.doi.org/10.1016/j.clineuro.2010.05.011</w:t>
      </w:r>
    </w:p>
    <w:p w14:paraId="13421286"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 </w:t>
      </w:r>
      <w:r w:rsidRPr="00F24E13">
        <w:rPr>
          <w:rFonts w:ascii="Cambria" w:hAnsi="Cambria"/>
          <w:noProof/>
          <w:lang w:val="en-US"/>
        </w:rPr>
        <w:tab/>
        <w:t>Carson A, Stone J, Hibberd C, et al.: Disability, distress and unemployment in neurology outpatients with symptoms “unexplained by organic disease” [Internet]. J Neurol Neurosurg Psychiatry 2011; 82:810–813Available from: http://www.ncbi.nlm.nih.gov/pubmed/21257981</w:t>
      </w:r>
    </w:p>
    <w:p w14:paraId="68CD4F3B"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5. </w:t>
      </w:r>
      <w:r w:rsidRPr="00F24E13">
        <w:rPr>
          <w:rFonts w:ascii="Cambria" w:hAnsi="Cambria"/>
          <w:noProof/>
          <w:lang w:val="en-US"/>
        </w:rPr>
        <w:tab/>
        <w:t>Carson AJ, Brown R, David AS, et al.: Functional (conversion) neurological symptoms: research since the millennium [Internet]. J Neurol Neurosurg Psychiatry 2012; 83:842–850Available from: http://www.ncbi.nlm.nih.gov/entrez/query.fcgi?cmd=Retrieve&amp;db=PubMed&amp;dopt=Citation&amp;list_uids=22661497</w:t>
      </w:r>
    </w:p>
    <w:p w14:paraId="27657F40"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 </w:t>
      </w:r>
      <w:r w:rsidRPr="00F24E13">
        <w:rPr>
          <w:rFonts w:ascii="Cambria" w:hAnsi="Cambria"/>
          <w:noProof/>
          <w:lang w:val="en-US"/>
        </w:rPr>
        <w:tab/>
        <w:t>FND Society [Internet][cited 2019 Apr 9] Available from: www.fndsociety.org</w:t>
      </w:r>
    </w:p>
    <w:p w14:paraId="7BCF748A"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7. </w:t>
      </w:r>
      <w:r w:rsidRPr="00F24E13">
        <w:rPr>
          <w:rFonts w:ascii="Cambria" w:hAnsi="Cambria"/>
          <w:noProof/>
          <w:lang w:val="en-US"/>
        </w:rPr>
        <w:tab/>
        <w:t>Goldstein LH, Chalder T, Chigwedere C, et al.: Cognitive-behavioral therapy for psychogenic nonepileptic seizures: a pilot RCT [Internet]. Neurology 2010; 74:1986–1994Available from: http://www.ncbi.nlm.nih.gov/entrez/query.fcgi?cmd=Retrieve&amp;db=PubMed&amp;dopt=Citation&amp;list_uids=20548043</w:t>
      </w:r>
    </w:p>
    <w:p w14:paraId="60B6DE79"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8. </w:t>
      </w:r>
      <w:r w:rsidRPr="00F24E13">
        <w:rPr>
          <w:rFonts w:ascii="Cambria" w:hAnsi="Cambria"/>
          <w:noProof/>
          <w:lang w:val="en-US"/>
        </w:rPr>
        <w:tab/>
        <w:t>LaFrance  Jr. WC, Baird GL, Barry JJ, et al.: Multicenter pilot treatment trial for psychogenic nonepileptic seizures: a randomized clinical trial [Internet]. JAMA Psychiatry 2014; 71:997–1005Available from: http://www.ncbi.nlm.nih.gov/entrez/query.fcgi?cmd=Retrieve&amp;db=PubMed&amp;dopt=Citation&amp;list_uids=24989152</w:t>
      </w:r>
    </w:p>
    <w:p w14:paraId="6281AA09"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9. </w:t>
      </w:r>
      <w:r w:rsidRPr="00F24E13">
        <w:rPr>
          <w:rFonts w:ascii="Cambria" w:hAnsi="Cambria"/>
          <w:noProof/>
          <w:lang w:val="en-US"/>
        </w:rPr>
        <w:tab/>
        <w:t xml:space="preserve">Nielsen G, Buszewicz M, Stevenson F, et al.: Randomised feasibility study of physiotherapy for patients with functional motor symptoms. J. Neurol. Neurosurg. Psychiatry 2017; </w:t>
      </w:r>
    </w:p>
    <w:p w14:paraId="2365128F"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10. </w:t>
      </w:r>
      <w:r w:rsidRPr="00F24E13">
        <w:rPr>
          <w:rFonts w:ascii="Cambria" w:hAnsi="Cambria"/>
          <w:noProof/>
          <w:lang w:val="en-US"/>
        </w:rPr>
        <w:tab/>
        <w:t xml:space="preserve">Goldstein LH, Mellers JDC, Landau S, et al.: COgnitive behavioural therapy vs standardised medical care for adults with Dissociative non-Epileptic Seizures (CODES): A multicentre randomised controlled trial protocol. BMC Neurol. 2015; </w:t>
      </w:r>
    </w:p>
    <w:p w14:paraId="7785B204"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11. </w:t>
      </w:r>
      <w:r w:rsidRPr="00F24E13">
        <w:rPr>
          <w:rFonts w:ascii="Cambria" w:hAnsi="Cambria"/>
          <w:noProof/>
          <w:lang w:val="en-US"/>
        </w:rPr>
        <w:tab/>
        <w:t>Nielsen G et. a.: Physio4FMD trial [Internet]2018; [cited 2019 Apr 1] Available from: http://www.isrctn.com/ISRCTN56136713?q=nielsen&amp;filters=&amp;sort=&amp;offset=3&amp;totalResults=26&amp;page=1&amp;pageSize=10&amp;searchType=basic-search</w:t>
      </w:r>
    </w:p>
    <w:p w14:paraId="5F0B3AE3"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12. </w:t>
      </w:r>
      <w:r w:rsidRPr="00F24E13">
        <w:rPr>
          <w:rFonts w:ascii="Cambria" w:hAnsi="Cambria"/>
          <w:noProof/>
          <w:lang w:val="en-US"/>
        </w:rPr>
        <w:tab/>
        <w:t>Prinsen CAC, Vohra S, Rose MR, et al.: How to select outcome measurement instruments for outcomes included in a “Core Outcome Set” – a practical guideline [Internet]. Trials 2016; 17:449Available from: http://trialsjournal.biomedcentral.com/articles/10.1186/s13063-016-1555-2</w:t>
      </w:r>
    </w:p>
    <w:p w14:paraId="4CDF04FC"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13. </w:t>
      </w:r>
      <w:r w:rsidRPr="00F24E13">
        <w:rPr>
          <w:rFonts w:ascii="Cambria" w:hAnsi="Cambria"/>
          <w:noProof/>
          <w:lang w:val="en-US"/>
        </w:rPr>
        <w:tab/>
        <w:t>Williamson PR, Altman DG, Bagley H, et al.: The COMET Handbook: Version 1.0. Trials 2017; 18</w:t>
      </w:r>
    </w:p>
    <w:p w14:paraId="22CF0E51"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14. </w:t>
      </w:r>
      <w:r w:rsidRPr="00F24E13">
        <w:rPr>
          <w:rFonts w:ascii="Cambria" w:hAnsi="Cambria"/>
          <w:noProof/>
          <w:lang w:val="en-US"/>
        </w:rPr>
        <w:tab/>
        <w:t>COMET_database: COMET website</w:t>
      </w:r>
    </w:p>
    <w:p w14:paraId="7C64F9F0"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15. </w:t>
      </w:r>
      <w:r w:rsidRPr="00F24E13">
        <w:rPr>
          <w:rFonts w:ascii="Cambria" w:hAnsi="Cambria"/>
          <w:noProof/>
          <w:lang w:val="en-US"/>
        </w:rPr>
        <w:tab/>
        <w:t xml:space="preserve">NIH: NIH Common Data Element (CDE) Resource Portal [Internet][cited 2019 Apr </w:t>
      </w:r>
      <w:r w:rsidRPr="00F24E13">
        <w:rPr>
          <w:rFonts w:ascii="Cambria" w:hAnsi="Cambria"/>
          <w:noProof/>
          <w:lang w:val="en-US"/>
        </w:rPr>
        <w:lastRenderedPageBreak/>
        <w:t>1] Available from: https://commondataelements.ninds.nih.gov/ProjReview.aspx#tab=Introduction</w:t>
      </w:r>
    </w:p>
    <w:p w14:paraId="48D55516"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16. </w:t>
      </w:r>
      <w:r w:rsidRPr="00F24E13">
        <w:rPr>
          <w:rFonts w:ascii="Cambria" w:hAnsi="Cambria"/>
          <w:noProof/>
          <w:lang w:val="en-US"/>
        </w:rPr>
        <w:tab/>
        <w:t>Nicholson TRJ: FND-COM COMET initiative [Internet]2017; Available from: http://www.comet-initiative.org/studies/details/951?result=true</w:t>
      </w:r>
    </w:p>
    <w:p w14:paraId="3B2E1239"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17. </w:t>
      </w:r>
      <w:r w:rsidRPr="00F24E13">
        <w:rPr>
          <w:rFonts w:ascii="Cambria" w:hAnsi="Cambria"/>
          <w:noProof/>
          <w:lang w:val="en-US"/>
        </w:rPr>
        <w:tab/>
        <w:t xml:space="preserve">Engel GL: The need for a new medical model: A challenge for biomedicine. Science (80-. ). 1977; </w:t>
      </w:r>
    </w:p>
    <w:p w14:paraId="717DD764"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18. </w:t>
      </w:r>
      <w:r w:rsidRPr="00F24E13">
        <w:rPr>
          <w:rFonts w:ascii="Cambria" w:hAnsi="Cambria"/>
          <w:noProof/>
          <w:lang w:val="en-US"/>
        </w:rPr>
        <w:tab/>
        <w:t>Wilson IB, Cleary PD, McDowell  I NC, et al.: Linking Clinical Variables With Health-Related Quality of Life [Internet]. JAMA 1995; 273:59[cited 2017 Jan 13] Available from: http://jama.jamanetwork.com/article.aspx?doi=10.1001/jama.1995.03520250075037</w:t>
      </w:r>
    </w:p>
    <w:p w14:paraId="03BD0A7F"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19. </w:t>
      </w:r>
      <w:r w:rsidRPr="00F24E13">
        <w:rPr>
          <w:rFonts w:ascii="Cambria" w:hAnsi="Cambria"/>
          <w:noProof/>
          <w:lang w:val="en-US"/>
        </w:rPr>
        <w:tab/>
        <w:t>Arthanat S, Nochajski SM, Stone J: The international classification of functioning, disability and health and its application to cognitive disorders [Internet]. Disabil Rehabil 2004; 26:235–245Available from: http://www.ncbi.nlm.nih.gov/entrez/query.fcgi?cmd=Retrieve&amp;db=PubMed&amp;dopt=Citation&amp;list_uids=15164957</w:t>
      </w:r>
    </w:p>
    <w:p w14:paraId="064864A9"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20. </w:t>
      </w:r>
      <w:r w:rsidRPr="00F24E13">
        <w:rPr>
          <w:rFonts w:ascii="Cambria" w:hAnsi="Cambria"/>
          <w:noProof/>
          <w:lang w:val="en-US"/>
        </w:rPr>
        <w:tab/>
        <w:t>WHO: ICF Beginners Guide [Internet]2002; [cited 2019 May 28] Available from: https://www.who.int/classifications/icf/icfbeginnersguide.pdf</w:t>
      </w:r>
    </w:p>
    <w:p w14:paraId="224A558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21. </w:t>
      </w:r>
      <w:r w:rsidRPr="00F24E13">
        <w:rPr>
          <w:rFonts w:ascii="Cambria" w:hAnsi="Cambria"/>
          <w:noProof/>
          <w:lang w:val="en-US"/>
        </w:rPr>
        <w:tab/>
        <w:t xml:space="preserve">Dodd S, Clarke M, Becker L, et al.: A taxonomy has been developed for outcomes in medical research to help improve knowledge discovery. J. Clin. Epidemiol. 2018; </w:t>
      </w:r>
    </w:p>
    <w:p w14:paraId="18C0D7DE"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22. </w:t>
      </w:r>
      <w:r w:rsidRPr="00F24E13">
        <w:rPr>
          <w:rFonts w:ascii="Cambria" w:hAnsi="Cambria"/>
          <w:noProof/>
          <w:lang w:val="en-US"/>
        </w:rPr>
        <w:tab/>
        <w:t xml:space="preserve">Ashworth M, Guerra D, Kordowicz M: Individualised or Standardised Outcome Measures: A Co-habitation? Adm. Policy Ment. Heal. Ment. Heal. Serv. Res. 2019; </w:t>
      </w:r>
    </w:p>
    <w:p w14:paraId="39262ABA"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23. </w:t>
      </w:r>
      <w:r w:rsidRPr="00F24E13">
        <w:rPr>
          <w:rFonts w:ascii="Cambria" w:hAnsi="Cambria"/>
          <w:noProof/>
          <w:lang w:val="en-US"/>
        </w:rPr>
        <w:tab/>
        <w:t xml:space="preserve">Law M, Baptiste S, Mccoll M, et al.: The Canadian Occupational Performance Measure: An Outcome Measure for Occupational Therapy. Can. J. Occup. Ther. 1990; </w:t>
      </w:r>
    </w:p>
    <w:p w14:paraId="0841FB90"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24. </w:t>
      </w:r>
      <w:r w:rsidRPr="00F24E13">
        <w:rPr>
          <w:rFonts w:ascii="Cambria" w:hAnsi="Cambria"/>
          <w:noProof/>
          <w:lang w:val="en-US"/>
        </w:rPr>
        <w:tab/>
        <w:t xml:space="preserve">Ashworth M, Robinson SI, Godfrey E, et al.: Measuring mental health outcomes in primary care: The psychometric properties of a new patient-generated outcome measure, “PSYCHLOPS” ('psychological outcome profiles’). Prim. Care Ment. Heal. 2005; </w:t>
      </w:r>
    </w:p>
    <w:p w14:paraId="665C7C8E"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25. </w:t>
      </w:r>
      <w:r w:rsidRPr="00F24E13">
        <w:rPr>
          <w:rFonts w:ascii="Cambria" w:hAnsi="Cambria"/>
          <w:noProof/>
          <w:lang w:val="en-US"/>
        </w:rPr>
        <w:tab/>
        <w:t xml:space="preserve">Nijkrake MJ, Keus SHJ, Quist-Anholts GWL, et al.: Evaluation of a patient-specific index as an outcome measure for physiotherapy in Parkinson’s disease. Eur. J. Phys. Rehabil. Med. 2009; </w:t>
      </w:r>
    </w:p>
    <w:p w14:paraId="05234B1A"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26. </w:t>
      </w:r>
      <w:r w:rsidRPr="00F24E13">
        <w:rPr>
          <w:rFonts w:ascii="Cambria" w:hAnsi="Cambria"/>
          <w:noProof/>
          <w:lang w:val="en-US"/>
        </w:rPr>
        <w:tab/>
        <w:t xml:space="preserve">Munneke M, Nijkrake MJ, Keus SH, et al.: Efficacy of community-based physiotherapy networks for patients with Parkinson’s disease: a cluster-randomised trial. Lancet Neurol. 2010; </w:t>
      </w:r>
    </w:p>
    <w:p w14:paraId="3604CD0F"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27. </w:t>
      </w:r>
      <w:r w:rsidRPr="00F24E13">
        <w:rPr>
          <w:rFonts w:ascii="Cambria" w:hAnsi="Cambria"/>
          <w:noProof/>
          <w:lang w:val="en-US"/>
        </w:rPr>
        <w:tab/>
        <w:t xml:space="preserve">Vanhoutte EK, Faber CG, Van Nes SI, et al.: Modifying the Medical Research Council grading system through Rasch analyses. Brain 2012; </w:t>
      </w:r>
    </w:p>
    <w:p w14:paraId="713B7D28"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28. </w:t>
      </w:r>
      <w:r w:rsidRPr="00F24E13">
        <w:rPr>
          <w:rFonts w:ascii="Cambria" w:hAnsi="Cambria"/>
          <w:noProof/>
          <w:lang w:val="en-US"/>
        </w:rPr>
        <w:tab/>
        <w:t>APA: Diagnostic and statistical manual of mental disorders : DSM-5 [Internet], 5th ed, Washington, DC, American Psychiatric Association, 2013Available from: http://online.statref.com/TOC.aspx?grpalias=JHU&amp;FxId=37</w:t>
      </w:r>
    </w:p>
    <w:p w14:paraId="123D5707"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29. </w:t>
      </w:r>
      <w:r w:rsidRPr="00F24E13">
        <w:rPr>
          <w:rFonts w:ascii="Cambria" w:hAnsi="Cambria"/>
          <w:noProof/>
          <w:lang w:val="en-US"/>
        </w:rPr>
        <w:tab/>
        <w:t xml:space="preserve">Stone J, LaFrance WC, Brown R, et al.: Conversion disorder: Current problems and potential solutions for DSM-5. J. Psychosom. Res. 2011; </w:t>
      </w:r>
    </w:p>
    <w:p w14:paraId="564065CF"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30. </w:t>
      </w:r>
      <w:r w:rsidRPr="00F24E13">
        <w:rPr>
          <w:rFonts w:ascii="Cambria" w:hAnsi="Cambria"/>
          <w:noProof/>
          <w:lang w:val="en-US"/>
        </w:rPr>
        <w:tab/>
        <w:t>Daum C, Hubschmid M, Aybek S: The value of “positive” clinical signs for weakness, sensory and gait disorders in conversion disorder: a systematic and narrative review [Internet]. J Neurol Neurosurg Psychiatry Available from: http://www.ncbi.nlm.nih.gov/entrez/query.fcgi?cmd=Retrieve&amp;db=PubMed&amp;dopt=Citation&amp;list_uids=23467417</w:t>
      </w:r>
    </w:p>
    <w:p w14:paraId="7F8E8DD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31. </w:t>
      </w:r>
      <w:r w:rsidRPr="00F24E13">
        <w:rPr>
          <w:rFonts w:ascii="Cambria" w:hAnsi="Cambria"/>
          <w:noProof/>
          <w:lang w:val="en-US"/>
        </w:rPr>
        <w:tab/>
        <w:t xml:space="preserve">Daum C, Gheorghita F, Spatola M, et al.: Interobserver agreement and validity of </w:t>
      </w:r>
      <w:r w:rsidRPr="00F24E13">
        <w:rPr>
          <w:rFonts w:ascii="Cambria" w:hAnsi="Cambria"/>
          <w:noProof/>
          <w:lang w:val="en-US"/>
        </w:rPr>
        <w:lastRenderedPageBreak/>
        <w:t xml:space="preserve">bedside “positive signs” for functional weakness, sensory and gait disorders in conversion disorder: A pilot study. J. Neurol. Neurosurg. Psychiatry 2015; </w:t>
      </w:r>
    </w:p>
    <w:p w14:paraId="1AE5450F"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32. </w:t>
      </w:r>
      <w:r w:rsidRPr="00F24E13">
        <w:rPr>
          <w:rFonts w:ascii="Cambria" w:hAnsi="Cambria"/>
          <w:noProof/>
          <w:lang w:val="en-US"/>
        </w:rPr>
        <w:tab/>
        <w:t>WHO: ICD-11, 2018</w:t>
      </w:r>
    </w:p>
    <w:p w14:paraId="689707F8"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33. </w:t>
      </w:r>
      <w:r w:rsidRPr="00F24E13">
        <w:rPr>
          <w:rFonts w:ascii="Cambria" w:hAnsi="Cambria"/>
          <w:noProof/>
          <w:lang w:val="en-US"/>
        </w:rPr>
        <w:tab/>
        <w:t xml:space="preserve">Syed TU, Lafrance WC, Kahriman ES, et al.: Can semiology predict psychogenic nonepileptic seizures? a prospective study. Ann. Neurol. 2011; </w:t>
      </w:r>
    </w:p>
    <w:p w14:paraId="0519A5CA"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34. </w:t>
      </w:r>
      <w:r w:rsidRPr="00F24E13">
        <w:rPr>
          <w:rFonts w:ascii="Cambria" w:hAnsi="Cambria"/>
          <w:noProof/>
          <w:lang w:val="en-US"/>
        </w:rPr>
        <w:tab/>
        <w:t xml:space="preserve">Avbersek A, Sisodiya S: Does the primary literature provide support for clinical signs used to distinguish psychogenic nonepileptic seizures from epileptic seizures? J. Neurol. Neurosurg. Psychiatry 2010; </w:t>
      </w:r>
    </w:p>
    <w:p w14:paraId="43F9F10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35. </w:t>
      </w:r>
      <w:r w:rsidRPr="00F24E13">
        <w:rPr>
          <w:rFonts w:ascii="Cambria" w:hAnsi="Cambria"/>
          <w:noProof/>
          <w:lang w:val="en-US"/>
        </w:rPr>
        <w:tab/>
        <w:t xml:space="preserve">Pennington C, Hayre A, Newson M, et al.: Functional Cognitive Disorder: A Common Cause of Subjective Cognitive Symptoms. J. Alzheimer’s Dis. 2015; </w:t>
      </w:r>
    </w:p>
    <w:p w14:paraId="66A1622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36. </w:t>
      </w:r>
      <w:r w:rsidRPr="00F24E13">
        <w:rPr>
          <w:rFonts w:ascii="Cambria" w:hAnsi="Cambria"/>
          <w:noProof/>
          <w:lang w:val="en-US"/>
        </w:rPr>
        <w:tab/>
        <w:t>Stone J, Pal S, Blackburn D, et al.: Functional (Psychogenic) Cognitive Disorders: A Perspective from the Neurology Clinic. J. Alzheimer’s Dis. 2015; 48:S5–S17</w:t>
      </w:r>
    </w:p>
    <w:p w14:paraId="58404C1C"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37. </w:t>
      </w:r>
      <w:r w:rsidRPr="00F24E13">
        <w:rPr>
          <w:rFonts w:ascii="Cambria" w:hAnsi="Cambria"/>
          <w:noProof/>
          <w:lang w:val="en-US"/>
        </w:rPr>
        <w:tab/>
        <w:t xml:space="preserve">Matin N, Young SS, Williams B, et al.: Neuropsychiatric Associations With Gender, Illness Duration, Work Disability, and Motor Subtype in a U.S. Functional Neurological Disorders Clinic Population. J. Neuropsychiatry Clin. Neurosci. 2017; </w:t>
      </w:r>
    </w:p>
    <w:p w14:paraId="35B4C05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38. </w:t>
      </w:r>
      <w:r w:rsidRPr="00F24E13">
        <w:rPr>
          <w:rFonts w:ascii="Cambria" w:hAnsi="Cambria"/>
          <w:noProof/>
          <w:lang w:val="en-US"/>
        </w:rPr>
        <w:tab/>
        <w:t xml:space="preserve">McKenzie PS, Oto M, Graham CD, et al.: Do patients whose psychogenic non-epileptic seizures resolve, “replace” them with other medically unexplained symptoms? Medically unexplained symptoms arising after a diagnosis of psychogenic non-epileptic seizures. J. Neurol. Neurosurg. Psychiatry 2011; </w:t>
      </w:r>
    </w:p>
    <w:p w14:paraId="724482BA"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39. </w:t>
      </w:r>
      <w:r w:rsidRPr="00F24E13">
        <w:rPr>
          <w:rFonts w:ascii="Cambria" w:hAnsi="Cambria"/>
          <w:noProof/>
          <w:lang w:val="en-US"/>
        </w:rPr>
        <w:tab/>
        <w:t xml:space="preserve">Jones B, Reuber M, Norman P: Correlates of health-related quality of life in adults with psychogenic nonepileptic seizures: A systematic review. Epilepsia 2016; </w:t>
      </w:r>
    </w:p>
    <w:p w14:paraId="49581CB2"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40. </w:t>
      </w:r>
      <w:r w:rsidRPr="00F24E13">
        <w:rPr>
          <w:rFonts w:ascii="Cambria" w:hAnsi="Cambria"/>
          <w:noProof/>
          <w:lang w:val="en-US"/>
        </w:rPr>
        <w:tab/>
        <w:t xml:space="preserve">LaFrance WC, Syc S: Depression and symptoms affect quality of life in psychogenic nonepileptic seizures. Neurology 2009; </w:t>
      </w:r>
    </w:p>
    <w:p w14:paraId="5451ADB5"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41. </w:t>
      </w:r>
      <w:r w:rsidRPr="00F24E13">
        <w:rPr>
          <w:rFonts w:ascii="Cambria" w:hAnsi="Cambria"/>
          <w:noProof/>
          <w:lang w:val="en-US"/>
        </w:rPr>
        <w:tab/>
        <w:t xml:space="preserve">Glass SP, Matin N, Williams B, et al.: Neuropsychiatric Factors Linked to Adherence and Short-Term Outcome in a U.S. Functional Neurological Disorders Clinic: A Retrospective Cohort Study. J. Neuropsychiatry Clin. Neurosci. 2017; </w:t>
      </w:r>
    </w:p>
    <w:p w14:paraId="5C81D8D0"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42. </w:t>
      </w:r>
      <w:r w:rsidRPr="00F24E13">
        <w:rPr>
          <w:rFonts w:ascii="Cambria" w:hAnsi="Cambria"/>
          <w:noProof/>
          <w:lang w:val="en-US"/>
        </w:rPr>
        <w:tab/>
        <w:t>Gelauff J, Stone J, Edwards M, et al.: The prognosis of functional (psychogenic) motor symptoms: a systematic review [Internet]. J Neurol Neurosurg Psychiatry 2014; 85:220–226Available from: http://www.ncbi.nlm.nih.gov/entrez/query.fcgi?cmd=Retrieve&amp;db=PubMed&amp;dopt=Citation&amp;list_uids=24029543</w:t>
      </w:r>
    </w:p>
    <w:p w14:paraId="7C677827"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43. </w:t>
      </w:r>
      <w:r w:rsidRPr="00F24E13">
        <w:rPr>
          <w:rFonts w:ascii="Cambria" w:hAnsi="Cambria"/>
          <w:noProof/>
          <w:lang w:val="en-US"/>
        </w:rPr>
        <w:tab/>
        <w:t>Kranick S, Ekanayake V, Martinez V, et al.: Psychopathology and psychogenic movement disorders [Internet]. Mov Disord 2011; Available from: http://www.ncbi.nlm.nih.gov/entrez/query.fcgi?cmd=Retrieve&amp;db=PubMed&amp;dopt=Citation&amp;list_uids=21714007</w:t>
      </w:r>
    </w:p>
    <w:p w14:paraId="28797325"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44. </w:t>
      </w:r>
      <w:r w:rsidRPr="00F24E13">
        <w:rPr>
          <w:rFonts w:ascii="Cambria" w:hAnsi="Cambria"/>
          <w:noProof/>
          <w:lang w:val="en-US"/>
        </w:rPr>
        <w:tab/>
        <w:t>Stone J, Warlow C, Sharpe M: The symptom of functional weakness: A controlled study of 107 patients. Brain 2010; 133:1537–1551</w:t>
      </w:r>
    </w:p>
    <w:p w14:paraId="56431966"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45. </w:t>
      </w:r>
      <w:r w:rsidRPr="00F24E13">
        <w:rPr>
          <w:rFonts w:ascii="Cambria" w:hAnsi="Cambria"/>
          <w:noProof/>
          <w:lang w:val="en-US"/>
        </w:rPr>
        <w:tab/>
        <w:t xml:space="preserve">Věchetová G, Slovák M, Kemlink D, et al.: The impact of non-motor symptoms on the health-related quality of life in patients with functional movement disorders. J. Psychosom. Res. 2018; </w:t>
      </w:r>
    </w:p>
    <w:p w14:paraId="6732386B"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46. </w:t>
      </w:r>
      <w:r w:rsidRPr="00F24E13">
        <w:rPr>
          <w:rFonts w:ascii="Cambria" w:hAnsi="Cambria"/>
          <w:noProof/>
          <w:lang w:val="en-US"/>
        </w:rPr>
        <w:tab/>
        <w:t xml:space="preserve">Gelauff JM, Kingma EM, Kalkman JS, et al.: Fatigue, not self-rated motor symptom severity, affects quality of life in functional motor disorders. J. Neurol. 2018; </w:t>
      </w:r>
    </w:p>
    <w:p w14:paraId="0CAB3CF6"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47. </w:t>
      </w:r>
      <w:r w:rsidRPr="00F24E13">
        <w:rPr>
          <w:rFonts w:ascii="Cambria" w:hAnsi="Cambria"/>
          <w:noProof/>
          <w:lang w:val="en-US"/>
        </w:rPr>
        <w:tab/>
        <w:t xml:space="preserve">Ludwig L, Pasman JA, Nicholson T, et al.: Stressful life events and maltreatment in conversion (functional neurological) disorder: systematic review and meta-analysis of case-control studies. The Lancet Psychiatry 2018; </w:t>
      </w:r>
    </w:p>
    <w:p w14:paraId="204E65E9"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48. </w:t>
      </w:r>
      <w:r w:rsidRPr="00F24E13">
        <w:rPr>
          <w:rFonts w:ascii="Cambria" w:hAnsi="Cambria"/>
          <w:noProof/>
          <w:lang w:val="en-US"/>
        </w:rPr>
        <w:tab/>
        <w:t xml:space="preserve">Reuber M, Mitchell AJ, Howlett S, et al.: Measuring outcome in psychogenic nonepileptic seizures: How relevant is seizure remission? Epilepsia 2005; </w:t>
      </w:r>
    </w:p>
    <w:p w14:paraId="7AA86C7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49. </w:t>
      </w:r>
      <w:r w:rsidRPr="00F24E13">
        <w:rPr>
          <w:rFonts w:ascii="Cambria" w:hAnsi="Cambria"/>
          <w:noProof/>
          <w:lang w:val="en-US"/>
        </w:rPr>
        <w:tab/>
        <w:t>Edwards MJ, Adams RA, Brown H, et al.: A Bayesian account of “hysteria.” Brain 2012; 135:3495–3512</w:t>
      </w:r>
    </w:p>
    <w:p w14:paraId="2A56F73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lastRenderedPageBreak/>
        <w:t xml:space="preserve">50. </w:t>
      </w:r>
      <w:r w:rsidRPr="00F24E13">
        <w:rPr>
          <w:rFonts w:ascii="Cambria" w:hAnsi="Cambria"/>
          <w:noProof/>
          <w:lang w:val="en-US"/>
        </w:rPr>
        <w:tab/>
        <w:t>Van den Bergh O, Witthöft M, Petersen S, et al.: Symptoms and the body: Taking the inferential leap [Internet]. Neurosci. Biobehav. Rev. 2017; 74:185–203[cited 2017 Jan 31] Available from: http://www.ncbi.nlm.nih.gov/pubmed/28108416</w:t>
      </w:r>
    </w:p>
    <w:p w14:paraId="6557B480"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51. </w:t>
      </w:r>
      <w:r w:rsidRPr="00F24E13">
        <w:rPr>
          <w:rFonts w:ascii="Cambria" w:hAnsi="Cambria"/>
          <w:noProof/>
          <w:lang w:val="en-US"/>
        </w:rPr>
        <w:tab/>
        <w:t xml:space="preserve">Baizabal-Carvallo JF, Hallett M, Jankovic J: Pathogenesis and pathophysiology of functional (psychogenic) movement disorders. Neurobiol. Dis. 2019; </w:t>
      </w:r>
    </w:p>
    <w:p w14:paraId="70B48E6E"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52. </w:t>
      </w:r>
      <w:r w:rsidRPr="00F24E13">
        <w:rPr>
          <w:rFonts w:ascii="Cambria" w:hAnsi="Cambria"/>
          <w:noProof/>
          <w:lang w:val="en-US"/>
        </w:rPr>
        <w:tab/>
        <w:t xml:space="preserve">Keynejad RC, Frodl T, Kanaan R, et al.: Stress and functional neurological disorders: Mechanistic insights. J. Neurol. Neurosurg. Psychiatry 2018; </w:t>
      </w:r>
    </w:p>
    <w:p w14:paraId="59C8FC6F"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53. </w:t>
      </w:r>
      <w:r w:rsidRPr="00F24E13">
        <w:rPr>
          <w:rFonts w:ascii="Cambria" w:hAnsi="Cambria"/>
          <w:noProof/>
          <w:lang w:val="en-US"/>
        </w:rPr>
        <w:tab/>
        <w:t xml:space="preserve">Pick S, Goldstein LH, Perez DL, et al.: Emotional processing in functional neurological disorder: A review, biopsychosocial model and research agenda. J. Neurol. Neurosurg. Psychiatry 2018; </w:t>
      </w:r>
    </w:p>
    <w:p w14:paraId="0E890C83"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54. </w:t>
      </w:r>
      <w:r w:rsidRPr="00F24E13">
        <w:rPr>
          <w:rFonts w:ascii="Cambria" w:hAnsi="Cambria"/>
          <w:noProof/>
          <w:lang w:val="en-US"/>
        </w:rPr>
        <w:tab/>
        <w:t>Parees I, Saifee TA, Kassavetis P, et al.: Believing is perceiving: mismatch between self-report and actigraphy in psychogenic tremor [Internet]. Brain 2011; 135:117–123Available from: http://www.ncbi.nlm.nih.gov/entrez/query.fcgi?cmd=Retrieve&amp;db=PubMed&amp;dopt=Citation&amp;list_uids=22075068</w:t>
      </w:r>
    </w:p>
    <w:p w14:paraId="3AB1BD6E"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55. </w:t>
      </w:r>
      <w:r w:rsidRPr="00F24E13">
        <w:rPr>
          <w:rFonts w:ascii="Cambria" w:hAnsi="Cambria"/>
          <w:noProof/>
          <w:lang w:val="en-US"/>
        </w:rPr>
        <w:tab/>
        <w:t xml:space="preserve">Robson C, Drew P, Walker T, et al.: Catastrophising and normalising in patient’s accounts of their seizure experiences. Seizure 2012; </w:t>
      </w:r>
    </w:p>
    <w:p w14:paraId="4FBCF582"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56. </w:t>
      </w:r>
      <w:r w:rsidRPr="00F24E13">
        <w:rPr>
          <w:rFonts w:ascii="Cambria" w:hAnsi="Cambria"/>
          <w:noProof/>
          <w:lang w:val="en-US"/>
        </w:rPr>
        <w:tab/>
        <w:t xml:space="preserve">Kramer G, Dominguez-Vega ZT, Laarhoven HS, et al.: Similar association between objective and subjective symptoms in functional and organic tremor. Parkinsonism Relat. Disord. 2019; </w:t>
      </w:r>
    </w:p>
    <w:p w14:paraId="1F23602F"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57. </w:t>
      </w:r>
      <w:r w:rsidRPr="00F24E13">
        <w:rPr>
          <w:rFonts w:ascii="Cambria" w:hAnsi="Cambria"/>
          <w:noProof/>
          <w:lang w:val="en-US"/>
        </w:rPr>
        <w:tab/>
        <w:t xml:space="preserve">Nielsen G, Buszewicz M, Edwards MJ, et al.: A qualitative study of the experiences and perceptions of patients with functional motor disorder. Disabil. Rehabil. 2018; </w:t>
      </w:r>
    </w:p>
    <w:p w14:paraId="2B2DAA64"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58. </w:t>
      </w:r>
      <w:r w:rsidRPr="00F24E13">
        <w:rPr>
          <w:rFonts w:ascii="Cambria" w:hAnsi="Cambria"/>
          <w:noProof/>
          <w:lang w:val="en-US"/>
        </w:rPr>
        <w:tab/>
        <w:t xml:space="preserve">Rawlings GH, Reuber M: What patients say about living with psychogenic nonepileptic seizures: A systematic synthesis of qualitative studies. Seizure 2016; </w:t>
      </w:r>
    </w:p>
    <w:p w14:paraId="11EE8477"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59. </w:t>
      </w:r>
      <w:r w:rsidRPr="00F24E13">
        <w:rPr>
          <w:rFonts w:ascii="Cambria" w:hAnsi="Cambria"/>
          <w:noProof/>
          <w:lang w:val="en-US"/>
        </w:rPr>
        <w:tab/>
        <w:t>Nettleton S, Watt I, O’Malley L, et al.: Understanding the narratives of people who live with medically unexplained illness [Internet]. Patient Educ Couns 2005; 56:205–210Available from: http://www.ncbi.nlm.nih.gov/entrez/query.fcgi?cmd=Retrieve&amp;db=PubMed&amp;dopt=Citation&amp;list_uids=15653250</w:t>
      </w:r>
    </w:p>
    <w:p w14:paraId="065C7D4F"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60. </w:t>
      </w:r>
      <w:r w:rsidRPr="00F24E13">
        <w:rPr>
          <w:rFonts w:ascii="Cambria" w:hAnsi="Cambria"/>
          <w:noProof/>
          <w:lang w:val="en-US"/>
        </w:rPr>
        <w:tab/>
        <w:t xml:space="preserve">Michaelis R, Niedermann C, Reuber M, et al.: “Seizures have become a means of somehow learning things about myself” — A qualitative study of the development of self-efficacy and mastery during a psychotherapeutic intervention for people with epilepsy. Epilepsy Behav. 2018; </w:t>
      </w:r>
    </w:p>
    <w:p w14:paraId="253FFC65"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61. </w:t>
      </w:r>
      <w:r w:rsidRPr="00F24E13">
        <w:rPr>
          <w:rFonts w:ascii="Cambria" w:hAnsi="Cambria"/>
          <w:noProof/>
          <w:lang w:val="en-US"/>
        </w:rPr>
        <w:tab/>
        <w:t xml:space="preserve">Goetz CG, Tilley BC, Shaftman SR, et al.: Movement Disorder Society-Sponsored Revision of the Unified Parkinson’s Disease Rating Scale (MDS-UPDRS): Scale presentation and clinimetric testing results. Mov. Disord. 2008; </w:t>
      </w:r>
    </w:p>
    <w:p w14:paraId="22C2671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62. </w:t>
      </w:r>
      <w:r w:rsidRPr="00F24E13">
        <w:rPr>
          <w:rFonts w:ascii="Cambria" w:hAnsi="Cambria"/>
          <w:noProof/>
          <w:lang w:val="en-US"/>
        </w:rPr>
        <w:tab/>
        <w:t xml:space="preserve">De Roos P, Bloem BR, Kelley TA, et al.: A Consensus Set of Outcomes for Parkinson’s Disease from the International Consortium for Health Outcomes Measurement. J. Parkinsons. Dis. 2017; </w:t>
      </w:r>
    </w:p>
    <w:p w14:paraId="16FA94C3"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63. </w:t>
      </w:r>
      <w:r w:rsidRPr="00F24E13">
        <w:rPr>
          <w:rFonts w:ascii="Cambria" w:hAnsi="Cambria"/>
          <w:noProof/>
          <w:lang w:val="en-US"/>
        </w:rPr>
        <w:tab/>
        <w:t xml:space="preserve">Kieburtz K, Penney JB, Corno P, et al.: Unified huntington’s disease rating scale: Reliability and consistency. Neurology 2001; </w:t>
      </w:r>
    </w:p>
    <w:p w14:paraId="2629AC6C"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64. </w:t>
      </w:r>
      <w:r w:rsidRPr="00F24E13">
        <w:rPr>
          <w:rFonts w:ascii="Cambria" w:hAnsi="Cambria"/>
          <w:noProof/>
          <w:lang w:val="en-US"/>
        </w:rPr>
        <w:tab/>
        <w:t xml:space="preserve">Crudgington H, Rogers M, Bray L, et al.: Core Health Outcomes in Childhood Epilepsy (CHOICE): Development of a core outcome set using systematic review methods and a Delphi survey consensus. Epilepsia 2019; </w:t>
      </w:r>
    </w:p>
    <w:p w14:paraId="27C86BD3"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65. </w:t>
      </w:r>
      <w:r w:rsidRPr="00F24E13">
        <w:rPr>
          <w:rFonts w:ascii="Cambria" w:hAnsi="Cambria"/>
          <w:noProof/>
          <w:lang w:val="en-US"/>
        </w:rPr>
        <w:tab/>
        <w:t xml:space="preserve">Al Wattar BH, Tamilselvan K, Khan R, et al.: Development of a core outcome set for epilepsy in pregnancy (E-CORE): a national multi-stakeholder modified Delphi consensus study. BJOG An Int. J. Obstet. Gynaecol. 2017; </w:t>
      </w:r>
    </w:p>
    <w:p w14:paraId="4EDD4728"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66. </w:t>
      </w:r>
      <w:r w:rsidRPr="00F24E13">
        <w:rPr>
          <w:rFonts w:ascii="Cambria" w:hAnsi="Cambria"/>
          <w:noProof/>
          <w:lang w:val="en-US"/>
        </w:rPr>
        <w:tab/>
        <w:t xml:space="preserve">Loring DW, Lowenstein DH, Barbaro NM, et al.: Common data elements in </w:t>
      </w:r>
      <w:r w:rsidRPr="00F24E13">
        <w:rPr>
          <w:rFonts w:ascii="Cambria" w:hAnsi="Cambria"/>
          <w:noProof/>
          <w:lang w:val="en-US"/>
        </w:rPr>
        <w:lastRenderedPageBreak/>
        <w:t xml:space="preserve">epilepsy research: Development and implementation of the NINDS epilepsy CDE project. Epilepsia 2011; </w:t>
      </w:r>
    </w:p>
    <w:p w14:paraId="19FFAAA4"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67. </w:t>
      </w:r>
      <w:r w:rsidRPr="00F24E13">
        <w:rPr>
          <w:rFonts w:ascii="Cambria" w:hAnsi="Cambria"/>
          <w:noProof/>
          <w:lang w:val="en-US"/>
        </w:rPr>
        <w:tab/>
        <w:t xml:space="preserve">Noble AJ, Marson AG: Which outcomes should we measure in adult epilepsy trials? The views of people with epilepsy and informal carers. Epilepsy Behav. 2016; </w:t>
      </w:r>
    </w:p>
    <w:p w14:paraId="004218A5"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68. </w:t>
      </w:r>
      <w:r w:rsidRPr="00F24E13">
        <w:rPr>
          <w:rFonts w:ascii="Cambria" w:hAnsi="Cambria"/>
          <w:noProof/>
          <w:lang w:val="en-US"/>
        </w:rPr>
        <w:tab/>
        <w:t xml:space="preserve">Weathers FW, Bovin MJ, Lee DJ, et al.: The clinician-administered ptsd scale for DSM-5 (CAPS-5): Development and initial psychometric evaluation in military veterans. Psychol. Assess. 2018; </w:t>
      </w:r>
    </w:p>
    <w:p w14:paraId="02B814D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69. </w:t>
      </w:r>
      <w:r w:rsidRPr="00F24E13">
        <w:rPr>
          <w:rFonts w:ascii="Cambria" w:hAnsi="Cambria"/>
          <w:noProof/>
          <w:lang w:val="en-US"/>
        </w:rPr>
        <w:tab/>
        <w:t>Goldstein LH, Mellers JD: Ictal symptoms of anxiety, avoidance behaviour, and dissociation in patients with dissociative seizures [Internet]. J Neurol Neurosurg Psychiatry 2006; 77:616–621Available from: http://www.ncbi.nlm.nih.gov/entrez/query.fcgi?cmd=Retrieve&amp;db=PubMed&amp;dopt=Citation&amp;list_uids=16614021</w:t>
      </w:r>
    </w:p>
    <w:p w14:paraId="6B050820"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70. </w:t>
      </w:r>
      <w:r w:rsidRPr="00F24E13">
        <w:rPr>
          <w:rFonts w:ascii="Cambria" w:hAnsi="Cambria"/>
          <w:noProof/>
          <w:lang w:val="en-US"/>
        </w:rPr>
        <w:tab/>
        <w:t xml:space="preserve">Coyle PK, Sterman AB: Focal neurologic symptoms in panic attacks. Am. J. Psychiatry 1986; </w:t>
      </w:r>
    </w:p>
    <w:p w14:paraId="3B15916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71. </w:t>
      </w:r>
      <w:r w:rsidRPr="00F24E13">
        <w:rPr>
          <w:rFonts w:ascii="Cambria" w:hAnsi="Cambria"/>
          <w:noProof/>
          <w:lang w:val="en-US"/>
        </w:rPr>
        <w:tab/>
        <w:t xml:space="preserve">Obbarius A, van Maasakkers L, Baer L, et al.: Standardization of health outcomes assessment for depression and anxiety: recommendations from the ICHOM Depression and Anxiety Working Group. Qual. Life Res. 2017; </w:t>
      </w:r>
    </w:p>
    <w:p w14:paraId="4578C61C"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72. </w:t>
      </w:r>
      <w:r w:rsidRPr="00F24E13">
        <w:rPr>
          <w:rFonts w:ascii="Cambria" w:hAnsi="Cambria"/>
          <w:noProof/>
          <w:lang w:val="en-US"/>
        </w:rPr>
        <w:tab/>
        <w:t xml:space="preserve">Goodman WK, Price LH, Rasmussen SA, et al.: The Yale-Brown Obsessive Compulsive Scale: I. Development, Use, and Reliability. Arch. Gen. Psychiatry 1989; </w:t>
      </w:r>
    </w:p>
    <w:p w14:paraId="4554ECE6"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73. </w:t>
      </w:r>
      <w:r w:rsidRPr="00F24E13">
        <w:rPr>
          <w:rFonts w:ascii="Cambria" w:hAnsi="Cambria"/>
          <w:noProof/>
          <w:lang w:val="en-US"/>
        </w:rPr>
        <w:tab/>
        <w:t xml:space="preserve">Rief W, Burton C, Frostholm L, et al.: Core Outcome Domains for Clinical Trials on Somatic Symptom Disorder, Bodily Distress Disorder, and Functional Somatic Syndromes: European Network on Somatic Symptom Disorders Recommendations. Psychosom. Med. 2017; </w:t>
      </w:r>
    </w:p>
    <w:p w14:paraId="66110D64"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74. </w:t>
      </w:r>
      <w:r w:rsidRPr="00F24E13">
        <w:rPr>
          <w:rFonts w:ascii="Cambria" w:hAnsi="Cambria"/>
          <w:noProof/>
          <w:lang w:val="en-US"/>
        </w:rPr>
        <w:tab/>
        <w:t>Mease P, Arnold LM, Choy EH, et al.: Fibromyalgia syndrome module at OMERACT 9: Domain construct, in Journal of Rheumatology. 2009</w:t>
      </w:r>
    </w:p>
    <w:p w14:paraId="373BAD5D"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75. </w:t>
      </w:r>
      <w:r w:rsidRPr="00F24E13">
        <w:rPr>
          <w:rFonts w:ascii="Cambria" w:hAnsi="Cambria"/>
          <w:noProof/>
          <w:lang w:val="en-US"/>
        </w:rPr>
        <w:tab/>
        <w:t>Choy EH, Arnold LM, Clauw DJ, et al.: Content and criterion validity of the preliminary core dataset for clinical trials in fibromyalgia syndrome, in Journal of Rheumatology. 2009</w:t>
      </w:r>
    </w:p>
    <w:p w14:paraId="0776A22E"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76. </w:t>
      </w:r>
      <w:r w:rsidRPr="00F24E13">
        <w:rPr>
          <w:rFonts w:ascii="Cambria" w:hAnsi="Cambria"/>
          <w:noProof/>
          <w:lang w:val="en-US"/>
        </w:rPr>
        <w:tab/>
        <w:t xml:space="preserve">Kaiser U, Kopkow C, Deckert S, et al.: Developing a core outcome domain set to assessing effectiveness of interdisciplinary multimodal pain therapy: The VAPAIN consensus statement on core outcome domains. Pain 2018; </w:t>
      </w:r>
    </w:p>
    <w:p w14:paraId="6D386692"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77. </w:t>
      </w:r>
      <w:r w:rsidRPr="00F24E13">
        <w:rPr>
          <w:rFonts w:ascii="Cambria" w:hAnsi="Cambria"/>
          <w:noProof/>
          <w:lang w:val="en-US"/>
        </w:rPr>
        <w:tab/>
        <w:t xml:space="preserve">Dworkin RH, Turk DC, Farrar JT, et al.: Core outcome measures for chronic pain clinical trials: IMMPACT recommendations. Pain 2005; </w:t>
      </w:r>
    </w:p>
    <w:p w14:paraId="27C3E128" w14:textId="77777777" w:rsidR="00F24E13" w:rsidRPr="00F24E13" w:rsidRDefault="00F24E13" w:rsidP="00F24E13">
      <w:pPr>
        <w:widowControl w:val="0"/>
        <w:autoSpaceDE w:val="0"/>
        <w:autoSpaceDN w:val="0"/>
        <w:adjustRightInd w:val="0"/>
        <w:ind w:left="640" w:hanging="640"/>
        <w:rPr>
          <w:rFonts w:ascii="Cambria" w:hAnsi="Cambria"/>
          <w:noProof/>
          <w:lang w:val="en-US"/>
        </w:rPr>
      </w:pPr>
      <w:r w:rsidRPr="00F24E13">
        <w:rPr>
          <w:rFonts w:ascii="Cambria" w:hAnsi="Cambria"/>
          <w:noProof/>
          <w:lang w:val="en-US"/>
        </w:rPr>
        <w:t xml:space="preserve">78. </w:t>
      </w:r>
      <w:r w:rsidRPr="00F24E13">
        <w:rPr>
          <w:rFonts w:ascii="Cambria" w:hAnsi="Cambria"/>
          <w:noProof/>
          <w:lang w:val="en-US"/>
        </w:rPr>
        <w:tab/>
        <w:t>FDA: Guidance for industry: patient-reported outcome measures: use in medical product development to support labeling claims [Internet]2009; Available from: www.fda.gov/downloads/Drugs/GuidanceComplianceRegulatoryInformation/Guidances/UCM193282.pdf</w:t>
      </w:r>
    </w:p>
    <w:p w14:paraId="20A18796" w14:textId="77777777" w:rsidR="00F24E13" w:rsidRPr="00F24E13" w:rsidRDefault="00F24E13" w:rsidP="00F24E13">
      <w:pPr>
        <w:widowControl w:val="0"/>
        <w:autoSpaceDE w:val="0"/>
        <w:autoSpaceDN w:val="0"/>
        <w:adjustRightInd w:val="0"/>
        <w:ind w:left="640" w:hanging="640"/>
        <w:rPr>
          <w:rFonts w:ascii="Cambria" w:hAnsi="Cambria"/>
          <w:noProof/>
        </w:rPr>
      </w:pPr>
      <w:r w:rsidRPr="00F24E13">
        <w:rPr>
          <w:rFonts w:ascii="Cambria" w:hAnsi="Cambria"/>
          <w:noProof/>
          <w:lang w:val="en-US"/>
        </w:rPr>
        <w:t xml:space="preserve">79. </w:t>
      </w:r>
      <w:r w:rsidRPr="00F24E13">
        <w:rPr>
          <w:rFonts w:ascii="Cambria" w:hAnsi="Cambria"/>
          <w:noProof/>
          <w:lang w:val="en-US"/>
        </w:rPr>
        <w:tab/>
        <w:t xml:space="preserve">Kirkham JJ, Davis K, Altman DG, et al.: Core Outcome Set-STAndards for Development: The COS-STAD recommendations. PLoS Med. 2017; </w:t>
      </w:r>
    </w:p>
    <w:p w14:paraId="13DC99C1" w14:textId="109B7E3D" w:rsidR="009F7072" w:rsidRDefault="00F6777F" w:rsidP="00F24E13">
      <w:pPr>
        <w:widowControl w:val="0"/>
        <w:autoSpaceDE w:val="0"/>
        <w:autoSpaceDN w:val="0"/>
        <w:adjustRightInd w:val="0"/>
        <w:ind w:left="640" w:hanging="640"/>
        <w:rPr>
          <w:rFonts w:ascii="Arial" w:hAnsi="Arial"/>
        </w:rPr>
      </w:pPr>
      <w:r w:rsidRPr="006A476C">
        <w:rPr>
          <w:rFonts w:ascii="Arial" w:hAnsi="Arial"/>
        </w:rPr>
        <w:fldChar w:fldCharType="end"/>
      </w:r>
    </w:p>
    <w:p w14:paraId="38469445" w14:textId="77777777" w:rsidR="009F7072" w:rsidRDefault="009F7072">
      <w:pPr>
        <w:rPr>
          <w:rFonts w:ascii="Arial" w:hAnsi="Arial"/>
        </w:rPr>
      </w:pPr>
      <w:r>
        <w:rPr>
          <w:rFonts w:ascii="Arial" w:hAnsi="Arial"/>
        </w:rPr>
        <w:br w:type="page"/>
      </w:r>
    </w:p>
    <w:p w14:paraId="424A9622" w14:textId="77777777" w:rsidR="009F7072" w:rsidRDefault="009F7072" w:rsidP="009F7072">
      <w:pPr>
        <w:spacing w:line="480" w:lineRule="auto"/>
        <w:rPr>
          <w:rFonts w:ascii="Arial" w:hAnsi="Arial" w:cs="Arial"/>
          <w:b/>
        </w:rPr>
        <w:sectPr w:rsidR="009F7072" w:rsidSect="00C84ACA">
          <w:headerReference w:type="default" r:id="rId17"/>
          <w:footerReference w:type="default" r:id="rId18"/>
          <w:pgSz w:w="11900" w:h="16840"/>
          <w:pgMar w:top="1440" w:right="1440" w:bottom="1440" w:left="1440" w:header="708" w:footer="708" w:gutter="0"/>
          <w:cols w:space="708"/>
          <w:docGrid w:linePitch="360"/>
        </w:sectPr>
      </w:pPr>
    </w:p>
    <w:p w14:paraId="06B2F80E" w14:textId="6D9D3015" w:rsidR="009F7072" w:rsidRPr="00ED2CFC" w:rsidRDefault="009F7072" w:rsidP="009F7072">
      <w:pPr>
        <w:spacing w:line="480" w:lineRule="auto"/>
        <w:rPr>
          <w:rFonts w:ascii="Arial" w:hAnsi="Arial" w:cs="Arial"/>
        </w:rPr>
      </w:pPr>
      <w:r w:rsidRPr="00F67A03">
        <w:rPr>
          <w:rFonts w:ascii="Arial" w:hAnsi="Arial" w:cs="Arial"/>
          <w:b/>
        </w:rPr>
        <w:lastRenderedPageBreak/>
        <w:t>Table</w:t>
      </w:r>
      <w:r>
        <w:rPr>
          <w:rFonts w:ascii="Arial" w:hAnsi="Arial" w:cs="Arial"/>
          <w:b/>
        </w:rPr>
        <w:t xml:space="preserve"> 1</w:t>
      </w:r>
      <w:r w:rsidRPr="00F67A03">
        <w:rPr>
          <w:rFonts w:ascii="Arial" w:hAnsi="Arial" w:cs="Arial"/>
          <w:b/>
        </w:rPr>
        <w:t>:</w:t>
      </w:r>
      <w:r>
        <w:rPr>
          <w:rFonts w:ascii="Arial" w:hAnsi="Arial" w:cs="Arial"/>
        </w:rPr>
        <w:t xml:space="preserve"> Comparison of o</w:t>
      </w:r>
      <w:r w:rsidRPr="00ED2CFC">
        <w:rPr>
          <w:rFonts w:ascii="Arial" w:hAnsi="Arial" w:cs="Arial"/>
        </w:rPr>
        <w:t>utcome domain</w:t>
      </w:r>
      <w:r>
        <w:rPr>
          <w:rFonts w:ascii="Arial" w:hAnsi="Arial" w:cs="Arial"/>
        </w:rPr>
        <w:t xml:space="preserve"> classifications</w:t>
      </w:r>
    </w:p>
    <w:tbl>
      <w:tblPr>
        <w:tblStyle w:val="TableGrid"/>
        <w:tblW w:w="13291" w:type="dxa"/>
        <w:tblLayout w:type="fixed"/>
        <w:tblLook w:val="04A0" w:firstRow="1" w:lastRow="0" w:firstColumn="1" w:lastColumn="0" w:noHBand="0" w:noVBand="1"/>
      </w:tblPr>
      <w:tblGrid>
        <w:gridCol w:w="2802"/>
        <w:gridCol w:w="2551"/>
        <w:gridCol w:w="2977"/>
        <w:gridCol w:w="4961"/>
      </w:tblGrid>
      <w:tr w:rsidR="009F7072" w:rsidRPr="00ED2CFC" w14:paraId="3B5A09DB" w14:textId="77777777" w:rsidTr="00CF5E27">
        <w:trPr>
          <w:trHeight w:val="288"/>
        </w:trPr>
        <w:tc>
          <w:tcPr>
            <w:tcW w:w="2802" w:type="dxa"/>
          </w:tcPr>
          <w:p w14:paraId="1AE2F486" w14:textId="77777777" w:rsidR="009F7072" w:rsidRPr="001C69BB" w:rsidRDefault="009F7072" w:rsidP="00CF5E27">
            <w:pPr>
              <w:spacing w:line="480" w:lineRule="auto"/>
              <w:jc w:val="center"/>
              <w:rPr>
                <w:rFonts w:ascii="Arial" w:hAnsi="Arial" w:cs="Arial"/>
                <w:b/>
                <w:sz w:val="22"/>
              </w:rPr>
            </w:pPr>
            <w:r w:rsidRPr="001C69BB">
              <w:rPr>
                <w:rFonts w:ascii="Arial" w:hAnsi="Arial" w:cs="Arial"/>
                <w:b/>
                <w:sz w:val="22"/>
              </w:rPr>
              <w:t xml:space="preserve">Wilson &amp; Cleary </w:t>
            </w:r>
            <w:r w:rsidRPr="001C69BB">
              <w:rPr>
                <w:rFonts w:ascii="Arial" w:hAnsi="Arial"/>
                <w:sz w:val="22"/>
                <w:lang w:val="en-US"/>
              </w:rPr>
              <w:fldChar w:fldCharType="begin" w:fldLock="1"/>
            </w:r>
            <w:r w:rsidRPr="001C69BB">
              <w:rPr>
                <w:rFonts w:ascii="Arial" w:hAnsi="Arial"/>
                <w:sz w:val="22"/>
                <w:lang w:val="en-US"/>
              </w:rPr>
              <w:instrText>ADDIN CSL_CITATION {"citationItems":[{"id":"ITEM-1","itemData":{"DOI":"10.1001/jama.1995.03520250075037","ISSN":"0098-7484","author":[{"dropping-particle":"","family":"Wilson","given":"Ira B.","non-dropping-particle":"","parse-names":false,"suffix":""},{"dropping-particle":"","family":"Cleary","given":"Paul D.","non-dropping-particle":"","parse-names":false,"suffix":""},{"dropping-particle":"","family":"McDowell  I","given":"Newell C","non-dropping-particle":"","parse-names":false,"suffix":""},{"dropping-particle":"al","family":"Croog  SH","given":"Levine S, Testa MA, et","non-dropping-particle":"","parse-names":false,"suffix":""},{"dropping-particle":"al","family":"Bombardier  C","given":"Ware J, Russell IJ, et","non-dropping-particle":"","parse-names":false,"suffix":""},{"dropping-particle":"","family":"Group","given":"Canadian Erythropoietin Study","non-dropping-particle":"","parse-names":false,"suffix":""},{"dropping-particle":"al","family":"Cleary  PD","given":"Epstein AM, Oster G, et","non-dropping-particle":"","parse-names":false,"suffix":""},{"dropping-particle":"","family":"Parkerson  GR","given":"Broadhead WE, Tse CJ","non-dropping-particle":"","parse-names":false,"suffix":""},{"dropping-particle":"","family":"Hunt  SM","given":"McEwen J, McKenna SP","non-dropping-particle":"","parse-names":false,"suffix":""},{"dropping-particle":"","family":"Nelson  EC","given":"Wasson JH, Krik JW","non-dropping-particle":"","parse-names":false,"suffix":""},{"dropping-particle":"","family":"Stewart  AL","given":"Hays RD, Ware JE Jr","non-dropping-particle":"","parse-names":false,"suffix":""},{"dropping-particle":"","family":"McHorney  CA","given":"Ware JE, Rogers W, Raczek AE, Lu JFR","non-dropping-particle":"","parse-names":false,"suffix":""},{"dropping-particle":"","family":"Ware  JE","given":"Sherbourne CD","non-dropping-particle":"","parse-names":false,"suffix":""},{"dropping-particle":"","family":"McHorney  CA","given":"Ware JE Jr, Raczek AE","non-dropping-particle":"","parse-names":false,"suffix":""},{"dropping-particle":"","family":"McHorney  CA","given":"Ware JE, Lu JFR, Sherbourne CD","non-dropping-particle":"","parse-names":false,"suffix":""},{"dropping-particle":"","family":"M","given":"Bergner","non-dropping-particle":"","parse-names":false,"suffix":""},{"dropping-particle":"","family":"S","given":"Nagi","non-dropping-particle":"","parse-names":false,"suffix":""},{"dropping-particle":"","family":"Read  JL","given":"Quinn RJ, Hoefer MA","non-dropping-particle":"","parse-names":false,"suffix":""},{"dropping-particle":"","family":"Patrick  DL","given":"Bergner M","non-dropping-particle":"","parse-names":false,"suffix":""},{"dropping-particle":"","family":"LM","given":"Verbrugge","non-dropping-particle":"","parse-names":false,"suffix":""},{"dropping-particle":"","family":"Johnson  RJ","given":"Wolinsky FD","non-dropping-particle":"","parse-names":false,"suffix":""},{"dropping-particle":"","family":"Andrews  FM","given":"Withey SB","non-dropping-particle":"","parse-names":false,"suffix":""},{"dropping-particle":"","family":"Berg  RL","given":"Hallauer DS, Berk SN","non-dropping-particle":"","parse-names":false,"suffix":""},{"dropping-particle":"","family":"Burt  RS","given":"Wiley JA, Minor MJ, Murray JR","non-dropping-particle":"","parse-names":false,"suffix":""},{"dropping-particle":"","family":"JC","given":"Flanagan","non-dropping-particle":"","parse-names":false,"suffix":""},{"dropping-particle":"","family":"Patrick  DL","given":"Erickson P","non-dropping-particle":"","parse-names":false,"suffix":""},{"dropping-particle":"","family":"GW","given":"Torrance","non-dropping-particle":"","parse-names":false,"suffix":""},{"dropping-particle":"","family":"Guyatt  GH","given":"Feeny DH, Patrick DL","non-dropping-particle":"","parse-names":false,"suffix":""},{"dropping-particle":"","family":"JE","given":"Ware","non-dropping-particle":"","parse-names":false,"suffix":""},{"dropping-particle":"","family":"M","given":"Bergner","non-dropping-particle":"","parse-names":false,"suffix":""},{"dropping-particle":"","family":"Cleary  PD","given":"Greenfield S, McNeil BJ","non-dropping-particle":"","parse-names":false,"suffix":""},{"dropping-particle":"","family":"AL","given":"Stewart","non-dropping-particle":"","parse-names":false,"suffix":""},{"dropping-particle":"","family":"Guyatt  G","given":"Patrick D, Feeny D","non-dropping-particle":"","parse-names":false,"suffix":""},{"dropping-particle":"","family":"Guyatt  G","given":"Patrick D, Feeny D","non-dropping-particle":"","parse-names":false,"suffix":""},{"dropping-particle":"","family":"Ware  JE","given":"Brook RH, Davies AR, Lohr KN","non-dropping-particle":"","parse-names":false,"suffix":""},{"dropping-particle":"al","family":"Jette  AM","given":"Davies AR, Cleary PD, et","non-dropping-particle":"","parse-names":false,"suffix":""},{"dropping-particle":"","family":"JF","given":"Fries","non-dropping-particle":"","parse-names":false,"suffix":""},{"dropping-particle":"","family":"AR","given":"Feinstein","non-dropping-particle":"","parse-names":false,"suffix":""},{"dropping-particle":"","family":"JW","given":"Pennebaker","non-dropping-particle":"","parse-names":false,"suffix":""},{"dropping-particle":"","family":"Sherbourne  CD","given":"Allen HM, Kamberg CJ, Wells KB","non-dropping-particle":"","parse-names":false,"suffix":""},{"dropping-particle":"","family":"D","given":"Mechanic","non-dropping-particle":"","parse-names":false,"suffix":""},{"dropping-particle":"","family":"Mechanic  D","given":"Cleary PD, Greenley JR","non-dropping-particle":"","parse-names":false,"suffix":""},{"dropping-particle":"","family":"D","given":"Mechanic","non-dropping-particle":"","parse-names":false,"suffix":""},{"dropping-particle":"","family":"D","given":"Mechanic","non-dropping-particle":"","parse-names":false,"suffix":""},{"dropping-particle":"","family":"D","given":"Mechanic","non-dropping-particle":"","parse-names":false,"suffix":""},{"dropping-particle":"","family":"Cleary  PD","given":"Mechanic D, Greenley, JR","non-dropping-particle":"","parse-names":false,"suffix":""},{"dropping-particle":"","family":"Angel  R","given":"Cleary PD","non-dropping-particle":"","parse-names":false,"suffix":""},{"dropping-particle":"","family":"Barsky  AJ","given":"Cleary PD, Klerman GL","non-dropping-particle":"","parse-names":false,"suffix":""},{"dropping-particle":"","family":"Barsky  AJ","given":"Cleary PD, Sarnie MK, Klerman GL","non-dropping-particle":"","parse-names":false,"suffix":""},{"dropping-particle":"","family":"R","given":"Kellner","non-dropping-particle":"","parse-names":false,"suffix":""},{"dropping-particle":"","family":"Frimodt-Moller  PC","given":"Jensen KM, Iversen P, Madsen PO, Bruskewitz RC","non-dropping-particle":"","parse-names":false,"suffix":""},{"dropping-particle":"al","family":"Dwosh  IL","given":"Giles AR, Ford PM, et","non-dropping-particle":"","parse-names":false,"suffix":""},{"dropping-particle":"","family":"Alonso  J","given":"Anto JM, Gonzalez M, Fiz JA, Izquierdo J, Morera J","non-dropping-particle":"","parse-names":false,"suffix":""},{"dropping-particle":"","family":"Burdon  JGW","given":"Juniper EF, Killian KJ, Hargreave FE, Campbell EJM","non-dropping-particle":"","parse-names":false,"suffix":""},{"dropping-particle":"","family":"Mahler  DA","given":"Weinberg DH, Wells CK, Feinstein AR","non-dropping-particle":"","parse-names":false,"suffix":""},{"dropping-particle":"","family":"Mahler  DA","given":"Matthay RA, Snyder PE, Wells CK, Loke J","non-dropping-particle":"","parse-names":false,"suffix":""},{"dropping-particle":"","family":"Barsky  AJ","given":"Cleary PD, Sarnie MK, Ruskin JN","non-dropping-particle":"","parse-names":false,"suffix":""},{"dropping-particle":"","family":"Barsky  AJ","given":"Cleary PD, Barnett MA, Christiansen C, Ruskin JN","non-dropping-particle":"","parse-names":false,"suffix":""},{"dropping-particle":"","family":"Barsky  AJ","given":"Cleary PD, Brener J, Ruskin JN","non-dropping-particle":"","parse-names":false,"suffix":""},{"dropping-particle":"al","family":"Peterson  WL","given":"Sturdevant RAL, Frankl HD, et","non-dropping-particle":"","parse-names":false,"suffix":""},{"dropping-particle":"","family":"Hussar  AE","given":"Guller EJ","non-dropping-particle":"","parse-names":false,"suffix":""},{"dropping-particle":"","family":"Wiesel  SW","given":"Tsourmas N, Feffer HL, Citrin CM, Patronas N","non-dropping-particle":"","parse-names":false,"suffix":""},{"dropping-particle":"","family":"Boden  SD","given":"Davis DO, Dina TS, Patronas NJ, Wiesel SW","non-dropping-particle":"","parse-names":false,"suffix":""},{"dropping-particle":"","family":"Levkoff  SE","given":"Cleary PD, Wetle T","non-dropping-particle":"","parse-names":false,"suffix":""},{"dropping-particle":"","family":"DL","given":"Patrick","non-dropping-particle":"","parse-names":false,"suffix":""},{"dropping-particle":"","family":"Greenfield  S","given":"Nelson EC","non-dropping-particle":"","parse-names":false,"suffix":""},{"dropping-particle":"","family":"Laupacis  A","given":"Wong C, Churchill D","non-dropping-particle":"","parse-names":false,"suffix":""},{"dropping-particle":"","family":"Bombardier  C","given":"Raboud J","non-dropping-particle":"","parse-names":false,"suffix":""},{"dropping-particle":"","family":"Kaplan  RM","given":"Anderson JP, Wu AW, Mathews WC, Kozin F, Orenstein D","non-dropping-particle":"","parse-names":false,"suffix":""},{"dropping-particle":"al","family":"Cleary  PD","given":"Greenfield S, Mulley AG, et","non-dropping-particle":"","parse-names":false,"suffix":""},{"dropping-particle":"al","family":"Meenan  RM","given":"Anderson JJ, Kazis LE, et","non-dropping-particle":"","parse-names":false,"suffix":""},{"dropping-particle":"al","family":"Tugwell  P","given":"Bombardier C, Buchanan WW, et","non-dropping-particle":"","parse-names":false,"suffix":""},{"dropping-particle":"al","family":"Tugwell  P","given":"Bombardier C, Buchanan WW, et","non-dropping-particle":"","parse-names":false,"suffix":""},{"dropping-particle":"al","family":"Wassertheil-Smoller  S","given":"Blaufox D, Oberman A, et","non-dropping-particle":"","parse-names":false,"suffix":""},{"dropping-particle":"al","family":"Wachtel  T","given":"Piette J, Mor V, et","non-dropping-particle":"","parse-names":false,"suffix":""},{"dropping-particle":"","family":"Gelber  RD","given":"Goldhirsch A, Cavalli F","non-dropping-particle":"","parse-names":false,"suffix":""},{"dropping-particle":"al","family":"Gelber  RD","given":"Lenderking WR, Cotton DJ, et","non-dropping-particle":"","parse-names":false,"suffix":""},{"dropping-particle":"","family":"Lurie  N","given":"Ward NB, Shapiro MF, Brook RH","non-dropping-particle":"","parse-names":false,"suffix":""},{"dropping-particle":"","family":"Fowler  FJ","given":"Wennberg JE, Timothy RP, Barry MJ, Mulley AG, Hanley D","non-dropping-particle":"","parse-names":false,"suffix":""},{"dropping-particle":"","family":"Nerenz  DR","given":"Repasky DP, Whitehouse FW, Kahkonen DM","non-dropping-particle":"","parse-names":false,"suffix":""},{"dropping-particle":"al","family":"Cleary  PD","given":"Fowler FJ, Weissman J, et","non-dropping-particle":"","parse-names":false,"suffix":""},{"dropping-particle":"al","family":"Lenderking  WR","given":"Gelber RD, Cotton DJ, et","non-dropping-particle":"","parse-names":false,"suffix":""},{"dropping-particle":"","family":"Stewart  AL","given":"Ware JE Jr, eds","non-dropping-particle":"","parse-names":false,"suffix":""},{"dropping-particle":"","family":"Patrick  DL","given":"Erickson P","non-dropping-particle":"","parse-names":false,"suffix":""},{"dropping-particle":"","family":"Connelly  JE","given":"Philbrick JT, Smith GR, Kaiser DL, Wymer A","non-dropping-particle":"","parse-names":false,"suffix":""},{"dropping-particle":"","family":"Manning  WG","given":"Newhouse JP, Ware JE","non-dropping-particle":"","parse-names":false,"suffix":""},{"dropping-particle":"","family":"Wells  KB","given":"Manning WG, Duan N, Newhouse JP, Ware JE","non-dropping-particle":"","parse-names":false,"suffix":""},{"dropping-particle":"","family":"Berki  SE","given":"Ashcraft ML","non-dropping-particle":"","parse-names":false,"suffix":""},{"dropping-particle":"","family":"Idler  EL","given":"Kasl S","non-dropping-particle":"","parse-names":false,"suffix":""},{"dropping-particle":"","family":"Kaplan  GA","given":"Camacho T","non-dropping-particle":"","parse-names":false,"suffix":""},{"dropping-particle":"","family":"Idler  E","given":"Angel R","non-dropping-particle":"","parse-names":false,"suffix":""},{"dropping-particle":"","family":"Mossey  JM","given":"Shapiro E","non-dropping-particle":"","parse-names":false,"suffix":""},{"dropping-particle":"","family":"Idler  E","given":"Kasl SV, Lemke JH","non-dropping-particle":"","parse-names":false,"suffix":""},{"dropping-particle":"","family":"Kaplan  G","given":"Barell V, Lusky A","non-dropping-particle":"","parse-names":false,"suffix":""},{"dropping-particle":"","family":"TTH","given":"Wan","non-dropping-particle":"","parse-names":false,"suffix":""},{"dropping-particle":"","family":"Aneshensel  CS","given":"Frerichs RR, Huba GJ","non-dropping-particle":"","parse-names":false,"suffix":""},{"dropping-particle":"","family":"Blazer  DG","given":"Houpt JL","non-dropping-particle":"","parse-names":false,"suffix":""},{"dropping-particle":"","family":"Garrity  TF","given":"Somes GW, Marx MB","non-dropping-particle":"","parse-names":false,"suffix":""},{"dropping-particle":"","family":"GG","given":"Fillenbaum","non-dropping-particle":"","parse-names":false,"suffix":""},{"dropping-particle":"","family":"McCrae  RR","given":"Bartone PT, Costa PT","non-dropping-particle":"","parse-names":false,"suffix":""},{"dropping-particle":"","family":"Hessler  RM","given":"Kubish P, New PK, Ellison DL, Taylor FH","non-dropping-particle":"","parse-names":false,"suffix":""},{"dropping-particle":"","family":"Parkerson  GR","given":"Connis RT, Broadhead WE, Patrick DL, Taylor TR, Tse CJ","non-dropping-particle":"","parse-names":false,"suffix":""},{"dropping-particle":"","family":"E","given":"Diener","non-dropping-particle":"","parse-names":false,"suffix":""},{"dropping-particle":"","family":"CD","given":"Ryff","non-dropping-particle":"","parse-names":false,"suffix":""},{"dropping-particle":"","family":"R","given":"Veenhoven","non-dropping-particle":"","parse-names":false,"suffix":""},{"dropping-particle":"","family":"A","given":"Campbell","non-dropping-particle":"","parse-names":false,"suffix":""},{"dropping-particle":"","family":"Schwarz  N","given":"Strack F","non-dropping-particle":"","parse-names":false,"suffix":""},{"dropping-particle":"","family":"Patrick  DL","given":"Danis M, Doutherland LI, Hong G","non-dropping-particle":"","parse-names":false,"suffix":""},{"dropping-particle":"","family":"FJ","given":"Fowler","non-dropping-particle":"","parse-names":false,"suffix":""},{"dropping-particle":"","family":"JC","given":"Robinson","non-dropping-particle":"","parse-names":false,"suffix":""},{"dropping-particle":"","family":"B","given":"Fischhoff","non-dropping-particle":"","parse-names":false,"suffix":""},{"dropping-particle":"","family":"Froberg  DG","given":"Kane RL","non-dropping-particle":"","parse-names":false,"suffix":""},{"dropping-particle":"","family":"DA","given":"Revicki","non-dropping-particle":"","parse-names":false,"suffix":""},{"dropping-particle":"al","family":"Tsevat  J","given":"Goldman L, Lamas GA, et","non-dropping-particle":"","parse-names":false,"suffix":""},{"dropping-particle":"al","family":"Tsevat  J","given":"Weeks JC, Guadagnoli E, et","non-dropping-particle":"","parse-names":false,"suffix":""},{"dropping-particle":"","family":"Jr","given":"Mulley AG","non-dropping-particle":"","parse-names":false,"suffix":""},{"dropping-particle":"","family":"DA","given":"Lane","non-dropping-particle":"","parse-names":false,"suffix":""},{"dropping-particle":"","family":"Fowler  FJ Jr","given":"Cleary PD, Massagli MP, Weissman J, Epstein A","non-dropping-particle":"","parse-names":false,"suffix":""},{"dropping-particle":"","family":"SH","given":"Kaplan","non-dropping-particle":"","parse-names":false,"suffix":""},{"dropping-particle":"","family":"P","given":"Ellwood","non-dropping-particle":"","parse-names":false,"suffix":""},{"dropping-particle":"","family":"SO","given":"Thier","non-dropping-particle":"","parse-names":false,"suffix":""},{"dropping-particle":"","family":"Physicians","given":"American College of","non-dropping-particle":"","parse-names":false,"suffix":""},{"dropping-particle":"","family":"KN","given":"Lohr","non-dropping-particle":"","parse-names":false,"suffix":""},{"dropping-particle":"","family":"Nelson  EC","given":"Conger B, Douglass R","non-dropping-particle":"","parse-names":false,"suffix":""},{"dropping-particle":"al","family":"Calkins  DR","given":"Rubenstein LV, Cleary PD, et","non-dropping-particle":"","parse-names":false,"suffix":""},{"dropping-particle":"al","family":"Wasson  J","given":"Keller A, Rubenstein L, et","non-dropping-particle":"","parse-names":false,"suffix":""},{"dropping-particle":"","family":"Lefton  E","given":"Bonstelle S, Frengley JD","non-dropping-particle":"","parse-names":false,"suffix":""},{"dropping-particle":"","family":"Rubenstein  LZ","given":"Josephson KR, Wieland GD, English PA, Sayre JA, Kane RL","non-dropping-particle":"","parse-names":false,"suffix":""},{"dropping-particle":"","family":"Liem  PH","given":"Chernof FR, Carter WJ","non-dropping-particle":"","parse-names":false,"suffix":""},{"dropping-particle":"DE","family":"Applegate  WB","given":"Miller ST, Graney MJ, Elam JT, Burns R, Akins","non-dropping-particle":"","parse-names":false,"suffix":""},{"dropping-particle":"al","family":"Rubenstein  LV","given":"Calkins DR, Young RT, et","non-dropping-particle":"","parse-names":false,"suffix":""},{"dropping-particle":"","family":"Kazis  LE","given":"Callahan LF, Meenan RF, Pincus T","non-dropping-particle":"","parse-names":false,"suffix":""},{"dropping-particle":"","family":"Nelson  EC","given":"Berwick DM","non-dropping-particle":"","parse-names":false,"suffix":""}],"container-title":"JAMA","id":"ITEM-1","issue":"1","issued":{"date-parts":[["1995","1","4"]]},"page":"59","publisher":"American Medical Association","title":"Linking Clinical Variables With Health-Related Quality of Life","type":"article-journal","volume":"273"},"uris":["http://www.mendeley.com/documents/?uuid=3ab69277-b502-353f-974a-348a0a70d3fb"]}],"mendeley":{"formattedCitation":"{17}","plainTextFormattedCitation":"{17}","previouslyFormattedCitation":"{17}"},"properties":{"noteIndex":0},"schema":"https://github.com/citation-style-language/schema/raw/master/csl-citation.json"}</w:instrText>
            </w:r>
            <w:r w:rsidRPr="001C69BB">
              <w:rPr>
                <w:rFonts w:ascii="Arial" w:hAnsi="Arial"/>
                <w:sz w:val="22"/>
                <w:lang w:val="en-US"/>
              </w:rPr>
              <w:fldChar w:fldCharType="separate"/>
            </w:r>
            <w:r w:rsidRPr="001C69BB">
              <w:rPr>
                <w:rFonts w:ascii="Arial" w:hAnsi="Arial"/>
                <w:noProof/>
                <w:sz w:val="22"/>
                <w:lang w:val="en-US"/>
              </w:rPr>
              <w:t>{17}</w:t>
            </w:r>
            <w:r w:rsidRPr="001C69BB">
              <w:rPr>
                <w:rFonts w:ascii="Arial" w:hAnsi="Arial"/>
                <w:sz w:val="22"/>
                <w:lang w:val="en-US"/>
              </w:rPr>
              <w:fldChar w:fldCharType="end"/>
            </w:r>
          </w:p>
        </w:tc>
        <w:tc>
          <w:tcPr>
            <w:tcW w:w="2551" w:type="dxa"/>
          </w:tcPr>
          <w:p w14:paraId="0FCB7E71" w14:textId="77777777" w:rsidR="009F7072" w:rsidRPr="001C69BB" w:rsidRDefault="009F7072" w:rsidP="00CF5E27">
            <w:pPr>
              <w:spacing w:line="480" w:lineRule="auto"/>
              <w:jc w:val="center"/>
              <w:rPr>
                <w:rFonts w:ascii="Arial" w:hAnsi="Arial" w:cs="Arial"/>
                <w:b/>
                <w:sz w:val="22"/>
              </w:rPr>
            </w:pPr>
            <w:r w:rsidRPr="001C69BB">
              <w:rPr>
                <w:rFonts w:ascii="Arial" w:hAnsi="Arial" w:cs="Arial"/>
                <w:b/>
                <w:sz w:val="22"/>
              </w:rPr>
              <w:t xml:space="preserve">WHO ICF </w:t>
            </w:r>
            <w:r w:rsidRPr="001C69BB">
              <w:rPr>
                <w:rFonts w:ascii="Arial" w:hAnsi="Arial" w:cs="Arial"/>
                <w:color w:val="000000"/>
                <w:sz w:val="22"/>
                <w:lang w:val="en-US"/>
              </w:rPr>
              <w:fldChar w:fldCharType="begin" w:fldLock="1"/>
            </w:r>
            <w:r w:rsidRPr="001C69BB">
              <w:rPr>
                <w:rFonts w:ascii="Arial" w:hAnsi="Arial" w:cs="Arial"/>
                <w:color w:val="000000"/>
                <w:sz w:val="22"/>
                <w:lang w:val="en-US"/>
              </w:rPr>
              <w:instrText>ADDIN CSL_CITATION {"citationItems":[{"id":"ITEM-1","itemData":{"ISBN":"0963-8288 (Print)","PMID":"15164957","abstract":"PURPOSE: This paper describes the conceptual foundation and systematic framework of the International Classification of Functioning, Disability, and Health (ICF) as a mechanism for understanding the course and consequences of various health related states. The specific application of the ICF with persons with cognitive dysfunction is also presented. METHOD: A comprehensive literature review related to the conceptualization of the ICF, its classification scheme and coding process is presented. Information on cognitive disorders including prevalence, functional manifestations and the assessment of a person's cognitive functioning and the applicability of the ICF's holistic classification and coding of cognitive dysfunction within the components of body structure and function, activity and participation, and environmental attributes is also reviewed. CONCLUSION: The ICF has the potential to classify and interpret cognitive deficits on a global level and thereby reflects upon the overall health and functioning of the individual in major life activities. The coding system systematically organizes measures related to the person's cognitive status and the resulting functional outcomes. The ICF focuses on individuals' performance of activities in all aspects of life and validates the independence and well-being of persons with disabilities making it an important instrument to be used by rehabilitation professionals.","author":[{"dropping-particle":"","family":"Arthanat","given":"S","non-dropping-particle":"","parse-names":false,"suffix":""},{"dropping-particle":"","family":"Nochajski","given":"S M","non-dropping-particle":"","parse-names":false,"suffix":""},{"dropping-particle":"","family":"Stone","given":"J","non-dropping-particle":"","parse-names":false,"suffix":""}],"container-title":"Disabil Rehabil","edition":"2004/05/29","id":"ITEM-1","issue":"4","issued":{"date-parts":[["2004"]]},"language":"eng","note":"Arthanat, Sajay\nNochajski, Susan M\nStone, John\nReview\nEngland\nDisability and rehabilitation\nDisabil Rehabil. 2004 Feb 18;26(4):235-45.","page":"235-245","title":"The international classification of functioning, disability and health and its application to cognitive disorders","type":"article-journal","volume":"26"},"uris":["http://www.mendeley.com/documents/?uuid=b2fc934c-8744-46b1-b986-c610ae5d9ab4"]}],"mendeley":{"formattedCitation":"{18}","plainTextFormattedCitation":"{18}","previouslyFormattedCitation":"{18}"},"properties":{"noteIndex":0},"schema":"https://github.com/citation-style-language/schema/raw/master/csl-citation.json"}</w:instrText>
            </w:r>
            <w:r w:rsidRPr="001C69BB">
              <w:rPr>
                <w:rFonts w:ascii="Arial" w:hAnsi="Arial" w:cs="Arial"/>
                <w:color w:val="000000"/>
                <w:sz w:val="22"/>
                <w:lang w:val="en-US"/>
              </w:rPr>
              <w:fldChar w:fldCharType="separate"/>
            </w:r>
            <w:r w:rsidRPr="001C69BB">
              <w:rPr>
                <w:rFonts w:ascii="Arial" w:hAnsi="Arial" w:cs="Arial"/>
                <w:noProof/>
                <w:color w:val="000000"/>
                <w:sz w:val="22"/>
                <w:lang w:val="en-US"/>
              </w:rPr>
              <w:t>{18}</w:t>
            </w:r>
            <w:r w:rsidRPr="001C69BB">
              <w:rPr>
                <w:rFonts w:ascii="Arial" w:hAnsi="Arial" w:cs="Arial"/>
                <w:color w:val="000000"/>
                <w:sz w:val="22"/>
                <w:lang w:val="en-US"/>
              </w:rPr>
              <w:fldChar w:fldCharType="end"/>
            </w:r>
          </w:p>
        </w:tc>
        <w:tc>
          <w:tcPr>
            <w:tcW w:w="2977" w:type="dxa"/>
          </w:tcPr>
          <w:p w14:paraId="0CBE6CA7" w14:textId="77777777" w:rsidR="009F7072" w:rsidRPr="001C69BB" w:rsidRDefault="009F7072" w:rsidP="00CF5E27">
            <w:pPr>
              <w:spacing w:line="480" w:lineRule="auto"/>
              <w:jc w:val="center"/>
              <w:rPr>
                <w:rFonts w:ascii="Arial" w:hAnsi="Arial" w:cs="Arial"/>
                <w:b/>
                <w:sz w:val="22"/>
              </w:rPr>
            </w:pPr>
            <w:r w:rsidRPr="001C69BB">
              <w:rPr>
                <w:rFonts w:ascii="Arial" w:hAnsi="Arial" w:cs="Arial"/>
                <w:b/>
                <w:sz w:val="22"/>
              </w:rPr>
              <w:t xml:space="preserve">COMET </w:t>
            </w:r>
            <w:r w:rsidRPr="001C69BB">
              <w:rPr>
                <w:rFonts w:ascii="Arial" w:hAnsi="Arial"/>
                <w:sz w:val="22"/>
              </w:rPr>
              <w:fldChar w:fldCharType="begin" w:fldLock="1"/>
            </w:r>
            <w:r w:rsidRPr="001C69BB">
              <w:rPr>
                <w:rFonts w:ascii="Arial" w:hAnsi="Arial"/>
                <w:sz w:val="22"/>
              </w:rPr>
              <w:instrText>ADDIN CSL_CITATION {"citationItems":[{"id":"ITEM-1","itemData":{"DOI":"10.1016/j.jclinepi.2017.12.020","ISSN":"18785921","PMID":"29288712","abstract":"Objectives: There is increasing recognition that insufficient attention has been paid to the choice of outcomes measured in clinical trials. The lack of a standardized outcome classification system results in inconsistencies due to ambiguity and variation in how outcomes are described across different studies. Being able to classify by outcome would increase efficiency in searching sources such as clinical trial registries, patient registries, the Cochrane Database of Systematic Reviews, and the Core Outcome Measures in Effectiveness Trials (COMET) database of core outcome sets (COS), thus aiding knowledge discovery. Study Design and Setting: A literature review was carried out to determine existing outcome classification systems, none of which were sufficiently comprehensive or granular for classification of all potential outcomes from clinical trials. A new taxonomy for outcome classification was developed, and as proof of principle, outcomes extracted from all published COS in the COMET database, selected Cochrane reviews, and clinical trial registry entries were classified using this new system. Results: Application of this new taxonomy to COS in the COMET database revealed that 274/299 (92%) COS include at least one physiological outcome, whereas only 177 (59%) include at least one measure of impact (global quality of life or some measure of functioning) and only 105 (35%) made reference to adverse events. Conclusions: This outcome taxonomy will be used to annotate outcomes included in COS within the COMET database and is currently being piloted for use in Cochrane Reviews within the Cochrane Linked Data Project. Wider implementation of this standard taxonomy in trial and systematic review databases and registries will further promote efficient searching, reporting, and classification of trial outcomes.","author":[{"dropping-particle":"","family":"Dodd","given":"Susanna","non-dropping-particle":"","parse-names":false,"suffix":""},{"dropping-particle":"","family":"Clarke","given":"Mike","non-dropping-particle":"","parse-names":false,"suffix":""},{"dropping-particle":"","family":"Becker","given":"Lorne","non-dropping-particle":"","parse-names":false,"suffix":""},{"dropping-particle":"","family":"Mavergames","given":"Chris","non-dropping-particle":"","parse-names":false,"suffix":""},{"dropping-particle":"","family":"Fish","given":"Rebecca","non-dropping-particle":"","parse-names":false,"suffix":""},{"dropping-particle":"","family":"Williamson","given":"Paula R.","non-dropping-particle":"","parse-names":false,"suffix":""}],"container-title":"Journal of Clinical Epidemiology","id":"ITEM-1","issued":{"date-parts":[["2018"]]},"title":"A taxonomy has been developed for outcomes in medical research to help improve knowledge discovery","type":"article-journal"},"uris":["http://www.mendeley.com/documents/?uuid=a0abefdd-18e8-4637-bf37-3e80462f9bcd"]}],"mendeley":{"formattedCitation":"{20}","plainTextFormattedCitation":"{20}","previouslyFormattedCitation":"{20}"},"properties":{"noteIndex":0},"schema":"https://github.com/citation-style-language/schema/raw/master/csl-citation.json"}</w:instrText>
            </w:r>
            <w:r w:rsidRPr="001C69BB">
              <w:rPr>
                <w:rFonts w:ascii="Arial" w:hAnsi="Arial"/>
                <w:sz w:val="22"/>
              </w:rPr>
              <w:fldChar w:fldCharType="separate"/>
            </w:r>
            <w:r w:rsidRPr="001C69BB">
              <w:rPr>
                <w:rFonts w:ascii="Arial" w:hAnsi="Arial"/>
                <w:noProof/>
                <w:sz w:val="22"/>
              </w:rPr>
              <w:t>{20}</w:t>
            </w:r>
            <w:r w:rsidRPr="001C69BB">
              <w:rPr>
                <w:rFonts w:ascii="Arial" w:hAnsi="Arial"/>
                <w:sz w:val="22"/>
              </w:rPr>
              <w:fldChar w:fldCharType="end"/>
            </w:r>
          </w:p>
        </w:tc>
        <w:tc>
          <w:tcPr>
            <w:tcW w:w="4961" w:type="dxa"/>
          </w:tcPr>
          <w:p w14:paraId="005AED9B" w14:textId="77777777" w:rsidR="009F7072" w:rsidRPr="001C69BB" w:rsidRDefault="009F7072" w:rsidP="00CF5E27">
            <w:pPr>
              <w:spacing w:line="480" w:lineRule="auto"/>
              <w:jc w:val="center"/>
              <w:rPr>
                <w:rFonts w:ascii="Arial" w:hAnsi="Arial" w:cs="Arial"/>
                <w:b/>
                <w:sz w:val="22"/>
              </w:rPr>
            </w:pPr>
            <w:r w:rsidRPr="001C69BB">
              <w:rPr>
                <w:rFonts w:ascii="Arial" w:hAnsi="Arial" w:cs="Arial"/>
                <w:b/>
                <w:sz w:val="22"/>
              </w:rPr>
              <w:t>Concepts</w:t>
            </w:r>
          </w:p>
        </w:tc>
      </w:tr>
      <w:tr w:rsidR="009F7072" w:rsidRPr="00ED2CFC" w14:paraId="7E824F0D" w14:textId="77777777" w:rsidTr="00CF5E27">
        <w:tc>
          <w:tcPr>
            <w:tcW w:w="2802" w:type="dxa"/>
          </w:tcPr>
          <w:p w14:paraId="0838F965" w14:textId="77777777" w:rsidR="009F7072" w:rsidRPr="001C69BB" w:rsidRDefault="009F7072" w:rsidP="00CF5E27">
            <w:pPr>
              <w:spacing w:line="480" w:lineRule="auto"/>
              <w:rPr>
                <w:rFonts w:ascii="Arial Narrow" w:hAnsi="Arial Narrow" w:cs="Arial"/>
              </w:rPr>
            </w:pPr>
            <w:r w:rsidRPr="001C69BB">
              <w:rPr>
                <w:rFonts w:ascii="Arial Narrow" w:hAnsi="Arial Narrow" w:cs="Arial"/>
                <w:lang w:val="en-US"/>
              </w:rPr>
              <w:t xml:space="preserve">Biological / Physiological </w:t>
            </w:r>
          </w:p>
        </w:tc>
        <w:tc>
          <w:tcPr>
            <w:tcW w:w="2551" w:type="dxa"/>
          </w:tcPr>
          <w:p w14:paraId="0CC44999"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Body function/structure</w:t>
            </w:r>
          </w:p>
        </w:tc>
        <w:tc>
          <w:tcPr>
            <w:tcW w:w="2977" w:type="dxa"/>
            <w:vMerge w:val="restart"/>
          </w:tcPr>
          <w:p w14:paraId="61482502"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Physiological</w:t>
            </w:r>
          </w:p>
          <w:p w14:paraId="27C0A0EF"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 xml:space="preserve"> or clinical</w:t>
            </w:r>
          </w:p>
        </w:tc>
        <w:tc>
          <w:tcPr>
            <w:tcW w:w="4961" w:type="dxa"/>
          </w:tcPr>
          <w:p w14:paraId="23EAB72F" w14:textId="77777777" w:rsidR="009F7072" w:rsidRPr="001C69BB" w:rsidRDefault="009F7072" w:rsidP="00CF5E27">
            <w:pPr>
              <w:spacing w:line="480" w:lineRule="auto"/>
              <w:ind w:right="-1440"/>
              <w:rPr>
                <w:rFonts w:ascii="Arial Narrow" w:hAnsi="Arial Narrow" w:cs="Arial"/>
                <w:lang w:val="en-US"/>
              </w:rPr>
            </w:pPr>
            <w:r w:rsidRPr="001C69BB">
              <w:rPr>
                <w:rFonts w:ascii="Arial Narrow" w:hAnsi="Arial Narrow" w:cs="Arial"/>
                <w:lang w:val="en-US"/>
              </w:rPr>
              <w:t>Physiological / biological</w:t>
            </w:r>
          </w:p>
        </w:tc>
      </w:tr>
      <w:tr w:rsidR="009F7072" w:rsidRPr="00ED2CFC" w14:paraId="36F61AE4" w14:textId="77777777" w:rsidTr="00CF5E27">
        <w:tc>
          <w:tcPr>
            <w:tcW w:w="2802" w:type="dxa"/>
          </w:tcPr>
          <w:p w14:paraId="681FA2C7" w14:textId="77777777" w:rsidR="009F7072" w:rsidRPr="001C69BB" w:rsidRDefault="009F7072" w:rsidP="00CF5E27">
            <w:pPr>
              <w:spacing w:line="480" w:lineRule="auto"/>
              <w:rPr>
                <w:rFonts w:ascii="Arial Narrow" w:hAnsi="Arial Narrow" w:cs="Arial"/>
              </w:rPr>
            </w:pPr>
            <w:r w:rsidRPr="001C69BB">
              <w:rPr>
                <w:rFonts w:ascii="Arial Narrow" w:hAnsi="Arial Narrow" w:cs="Arial"/>
                <w:lang w:val="en-US"/>
              </w:rPr>
              <w:t>Symptom</w:t>
            </w:r>
          </w:p>
        </w:tc>
        <w:tc>
          <w:tcPr>
            <w:tcW w:w="2551" w:type="dxa"/>
          </w:tcPr>
          <w:p w14:paraId="20B48C47"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Impairment</w:t>
            </w:r>
          </w:p>
        </w:tc>
        <w:tc>
          <w:tcPr>
            <w:tcW w:w="2977" w:type="dxa"/>
            <w:vMerge/>
          </w:tcPr>
          <w:p w14:paraId="49764D6B" w14:textId="77777777" w:rsidR="009F7072" w:rsidRPr="001C69BB" w:rsidRDefault="009F7072" w:rsidP="00CF5E27">
            <w:pPr>
              <w:spacing w:line="480" w:lineRule="auto"/>
              <w:rPr>
                <w:rFonts w:ascii="Arial Narrow" w:hAnsi="Arial Narrow" w:cs="Arial"/>
              </w:rPr>
            </w:pPr>
          </w:p>
        </w:tc>
        <w:tc>
          <w:tcPr>
            <w:tcW w:w="4961" w:type="dxa"/>
          </w:tcPr>
          <w:p w14:paraId="5A84E29A" w14:textId="77777777" w:rsidR="009F7072" w:rsidRPr="001C69BB" w:rsidRDefault="009F7072" w:rsidP="00CF5E27">
            <w:pPr>
              <w:spacing w:line="480" w:lineRule="auto"/>
              <w:ind w:right="-1440"/>
              <w:rPr>
                <w:rFonts w:ascii="Arial Narrow" w:hAnsi="Arial Narrow" w:cs="Arial"/>
                <w:lang w:val="en-US"/>
              </w:rPr>
            </w:pPr>
            <w:r w:rsidRPr="001C69BB">
              <w:rPr>
                <w:rFonts w:ascii="Arial Narrow" w:hAnsi="Arial Narrow" w:cs="Arial"/>
                <w:lang w:val="en-US"/>
              </w:rPr>
              <w:t>Physical, psychological &amp; other symptoms</w:t>
            </w:r>
          </w:p>
        </w:tc>
      </w:tr>
      <w:tr w:rsidR="009F7072" w:rsidRPr="00ED2CFC" w14:paraId="22A3174A" w14:textId="77777777" w:rsidTr="00CF5E27">
        <w:tc>
          <w:tcPr>
            <w:tcW w:w="2802" w:type="dxa"/>
          </w:tcPr>
          <w:p w14:paraId="1A727AB7" w14:textId="77777777" w:rsidR="009F7072" w:rsidRPr="001C69BB" w:rsidRDefault="009F7072" w:rsidP="00CF5E27">
            <w:pPr>
              <w:spacing w:line="480" w:lineRule="auto"/>
              <w:rPr>
                <w:rFonts w:ascii="Arial Narrow" w:hAnsi="Arial Narrow" w:cs="Arial"/>
              </w:rPr>
            </w:pPr>
            <w:r w:rsidRPr="001C69BB">
              <w:rPr>
                <w:rFonts w:ascii="Arial Narrow" w:hAnsi="Arial Narrow" w:cs="Arial"/>
                <w:lang w:val="en-US"/>
              </w:rPr>
              <w:t>Function</w:t>
            </w:r>
          </w:p>
        </w:tc>
        <w:tc>
          <w:tcPr>
            <w:tcW w:w="2551" w:type="dxa"/>
          </w:tcPr>
          <w:p w14:paraId="34DA88CF"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Activity limitation</w:t>
            </w:r>
          </w:p>
        </w:tc>
        <w:tc>
          <w:tcPr>
            <w:tcW w:w="2977" w:type="dxa"/>
            <w:vMerge w:val="restart"/>
          </w:tcPr>
          <w:p w14:paraId="3EBF4E3B" w14:textId="77777777" w:rsidR="009F7072" w:rsidRPr="001C69BB" w:rsidRDefault="009F7072" w:rsidP="00CF5E27">
            <w:pPr>
              <w:spacing w:line="480" w:lineRule="auto"/>
              <w:rPr>
                <w:rFonts w:ascii="Arial Narrow" w:hAnsi="Arial Narrow" w:cs="Arial"/>
              </w:rPr>
            </w:pPr>
          </w:p>
          <w:p w14:paraId="4C290FE4"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Life impact</w:t>
            </w:r>
          </w:p>
          <w:p w14:paraId="5E536B3A" w14:textId="77777777" w:rsidR="009F7072" w:rsidRPr="001C69BB" w:rsidRDefault="009F7072" w:rsidP="00CF5E27">
            <w:pPr>
              <w:spacing w:line="480" w:lineRule="auto"/>
              <w:jc w:val="center"/>
              <w:rPr>
                <w:rFonts w:ascii="Arial Narrow" w:hAnsi="Arial Narrow" w:cs="Arial"/>
              </w:rPr>
            </w:pPr>
          </w:p>
        </w:tc>
        <w:tc>
          <w:tcPr>
            <w:tcW w:w="4961" w:type="dxa"/>
          </w:tcPr>
          <w:p w14:paraId="41458243" w14:textId="77777777" w:rsidR="009F7072" w:rsidRPr="001C69BB" w:rsidRDefault="009F7072" w:rsidP="00CF5E27">
            <w:pPr>
              <w:spacing w:line="480" w:lineRule="auto"/>
              <w:ind w:right="-1440"/>
              <w:rPr>
                <w:rFonts w:ascii="Arial Narrow" w:hAnsi="Arial Narrow" w:cs="Arial"/>
                <w:lang w:val="en-US"/>
              </w:rPr>
            </w:pPr>
            <w:r w:rsidRPr="001C69BB">
              <w:rPr>
                <w:rFonts w:ascii="Arial Narrow" w:hAnsi="Arial Narrow" w:cs="Arial"/>
                <w:lang w:val="en-US"/>
              </w:rPr>
              <w:t>Physical, psychological &amp; social impacts</w:t>
            </w:r>
          </w:p>
        </w:tc>
      </w:tr>
      <w:tr w:rsidR="009F7072" w:rsidRPr="00ED2CFC" w14:paraId="650CA232" w14:textId="77777777" w:rsidTr="00CF5E27">
        <w:tc>
          <w:tcPr>
            <w:tcW w:w="2802" w:type="dxa"/>
          </w:tcPr>
          <w:p w14:paraId="65C12847" w14:textId="77777777" w:rsidR="009F7072" w:rsidRPr="001C69BB" w:rsidRDefault="009F7072" w:rsidP="00CF5E27">
            <w:pPr>
              <w:spacing w:line="480" w:lineRule="auto"/>
              <w:rPr>
                <w:rFonts w:ascii="Arial Narrow" w:hAnsi="Arial Narrow" w:cs="Arial"/>
              </w:rPr>
            </w:pPr>
            <w:r w:rsidRPr="001C69BB">
              <w:rPr>
                <w:rFonts w:ascii="Arial Narrow" w:hAnsi="Arial Narrow" w:cs="Arial"/>
                <w:lang w:val="en-US"/>
              </w:rPr>
              <w:t>Quality of Life</w:t>
            </w:r>
          </w:p>
        </w:tc>
        <w:tc>
          <w:tcPr>
            <w:tcW w:w="2551" w:type="dxa"/>
          </w:tcPr>
          <w:p w14:paraId="3E33270D" w14:textId="77777777" w:rsidR="009F7072" w:rsidRPr="001C69BB" w:rsidRDefault="009F7072" w:rsidP="00CF5E27">
            <w:pPr>
              <w:spacing w:line="480" w:lineRule="auto"/>
              <w:jc w:val="center"/>
              <w:rPr>
                <w:rFonts w:ascii="Arial Narrow" w:hAnsi="Arial Narrow" w:cs="Arial"/>
              </w:rPr>
            </w:pPr>
            <w:r w:rsidRPr="001C69BB">
              <w:rPr>
                <w:rFonts w:ascii="Arial Narrow" w:hAnsi="Arial Narrow" w:cs="Arial"/>
              </w:rPr>
              <w:t>-</w:t>
            </w:r>
          </w:p>
        </w:tc>
        <w:tc>
          <w:tcPr>
            <w:tcW w:w="2977" w:type="dxa"/>
            <w:vMerge/>
          </w:tcPr>
          <w:p w14:paraId="4B6DEFD8" w14:textId="77777777" w:rsidR="009F7072" w:rsidRPr="001C69BB" w:rsidRDefault="009F7072" w:rsidP="00CF5E27">
            <w:pPr>
              <w:spacing w:line="480" w:lineRule="auto"/>
              <w:jc w:val="center"/>
              <w:rPr>
                <w:rFonts w:ascii="Arial Narrow" w:hAnsi="Arial Narrow" w:cs="Arial"/>
              </w:rPr>
            </w:pPr>
          </w:p>
        </w:tc>
        <w:tc>
          <w:tcPr>
            <w:tcW w:w="4961" w:type="dxa"/>
          </w:tcPr>
          <w:p w14:paraId="53970E4E" w14:textId="77777777" w:rsidR="009F7072" w:rsidRPr="001C69BB" w:rsidRDefault="009F7072" w:rsidP="00CF5E27">
            <w:pPr>
              <w:spacing w:line="480" w:lineRule="auto"/>
              <w:ind w:right="-1440"/>
              <w:rPr>
                <w:rFonts w:ascii="Arial Narrow" w:hAnsi="Arial Narrow" w:cs="Arial"/>
                <w:lang w:val="en-US"/>
              </w:rPr>
            </w:pPr>
            <w:r w:rsidRPr="001C69BB">
              <w:rPr>
                <w:rFonts w:ascii="Arial Narrow" w:hAnsi="Arial Narrow" w:cs="Arial"/>
                <w:lang w:val="en-US"/>
              </w:rPr>
              <w:t>Summary measure of quality of life</w:t>
            </w:r>
          </w:p>
        </w:tc>
      </w:tr>
      <w:tr w:rsidR="009F7072" w:rsidRPr="00ED2CFC" w14:paraId="1E0C7025" w14:textId="77777777" w:rsidTr="00CF5E27">
        <w:tc>
          <w:tcPr>
            <w:tcW w:w="2802" w:type="dxa"/>
          </w:tcPr>
          <w:p w14:paraId="30B74C87" w14:textId="77777777" w:rsidR="009F7072" w:rsidRPr="001C69BB" w:rsidRDefault="009F7072" w:rsidP="00CF5E27">
            <w:pPr>
              <w:spacing w:line="480" w:lineRule="auto"/>
              <w:rPr>
                <w:rFonts w:ascii="Arial Narrow" w:hAnsi="Arial Narrow" w:cs="Arial"/>
              </w:rPr>
            </w:pPr>
            <w:r w:rsidRPr="001C69BB">
              <w:rPr>
                <w:rFonts w:ascii="Arial Narrow" w:hAnsi="Arial Narrow" w:cs="Arial"/>
                <w:lang w:val="en-US"/>
              </w:rPr>
              <w:t>Health Perception</w:t>
            </w:r>
          </w:p>
        </w:tc>
        <w:tc>
          <w:tcPr>
            <w:tcW w:w="2551" w:type="dxa"/>
          </w:tcPr>
          <w:p w14:paraId="02FFB442" w14:textId="77777777" w:rsidR="009F7072" w:rsidRPr="001C69BB" w:rsidRDefault="009F7072" w:rsidP="00CF5E27">
            <w:pPr>
              <w:spacing w:line="480" w:lineRule="auto"/>
              <w:jc w:val="center"/>
              <w:rPr>
                <w:rFonts w:ascii="Arial Narrow" w:hAnsi="Arial Narrow" w:cs="Arial"/>
              </w:rPr>
            </w:pPr>
            <w:r w:rsidRPr="001C69BB">
              <w:rPr>
                <w:rFonts w:ascii="Arial Narrow" w:hAnsi="Arial Narrow" w:cs="Arial"/>
              </w:rPr>
              <w:t>-</w:t>
            </w:r>
          </w:p>
        </w:tc>
        <w:tc>
          <w:tcPr>
            <w:tcW w:w="2977" w:type="dxa"/>
            <w:vMerge/>
          </w:tcPr>
          <w:p w14:paraId="26B2F9F5" w14:textId="77777777" w:rsidR="009F7072" w:rsidRPr="001C69BB" w:rsidRDefault="009F7072" w:rsidP="00CF5E27">
            <w:pPr>
              <w:spacing w:line="480" w:lineRule="auto"/>
              <w:jc w:val="center"/>
              <w:rPr>
                <w:rFonts w:ascii="Arial Narrow" w:hAnsi="Arial Narrow" w:cs="Arial"/>
              </w:rPr>
            </w:pPr>
          </w:p>
        </w:tc>
        <w:tc>
          <w:tcPr>
            <w:tcW w:w="4961" w:type="dxa"/>
          </w:tcPr>
          <w:p w14:paraId="3B2BE567" w14:textId="77777777" w:rsidR="009F7072" w:rsidRPr="001C69BB" w:rsidRDefault="009F7072" w:rsidP="00CF5E27">
            <w:pPr>
              <w:spacing w:line="480" w:lineRule="auto"/>
              <w:ind w:right="-1440"/>
              <w:rPr>
                <w:rFonts w:ascii="Arial Narrow" w:hAnsi="Arial Narrow" w:cs="Arial"/>
                <w:lang w:val="en-US"/>
              </w:rPr>
            </w:pPr>
            <w:r w:rsidRPr="001C69BB">
              <w:rPr>
                <w:rFonts w:ascii="Arial Narrow" w:hAnsi="Arial Narrow" w:cs="Arial"/>
                <w:lang w:val="en-US"/>
              </w:rPr>
              <w:t>Subjective rating of general health</w:t>
            </w:r>
          </w:p>
        </w:tc>
      </w:tr>
      <w:tr w:rsidR="009F7072" w:rsidRPr="00ED2CFC" w14:paraId="05A3339C" w14:textId="77777777" w:rsidTr="00CF5E27">
        <w:tc>
          <w:tcPr>
            <w:tcW w:w="2802" w:type="dxa"/>
          </w:tcPr>
          <w:p w14:paraId="5E36F91B" w14:textId="77777777" w:rsidR="009F7072" w:rsidRPr="001C69BB" w:rsidRDefault="009F7072" w:rsidP="00CF5E27">
            <w:pPr>
              <w:spacing w:line="480" w:lineRule="auto"/>
              <w:jc w:val="center"/>
              <w:rPr>
                <w:rFonts w:ascii="Arial Narrow" w:hAnsi="Arial Narrow" w:cs="Arial"/>
              </w:rPr>
            </w:pPr>
            <w:r w:rsidRPr="001C69BB">
              <w:rPr>
                <w:rFonts w:ascii="Arial Narrow" w:hAnsi="Arial Narrow" w:cs="Arial"/>
              </w:rPr>
              <w:t>-</w:t>
            </w:r>
          </w:p>
        </w:tc>
        <w:tc>
          <w:tcPr>
            <w:tcW w:w="2551" w:type="dxa"/>
          </w:tcPr>
          <w:p w14:paraId="7DFF6D73"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Participation restriction</w:t>
            </w:r>
          </w:p>
        </w:tc>
        <w:tc>
          <w:tcPr>
            <w:tcW w:w="2977" w:type="dxa"/>
          </w:tcPr>
          <w:p w14:paraId="4B16E384" w14:textId="77777777" w:rsidR="009F7072" w:rsidRPr="001C69BB" w:rsidRDefault="009F7072" w:rsidP="00CF5E27">
            <w:pPr>
              <w:spacing w:line="480" w:lineRule="auto"/>
              <w:jc w:val="center"/>
              <w:rPr>
                <w:rFonts w:ascii="Arial Narrow" w:hAnsi="Arial Narrow" w:cs="Arial"/>
              </w:rPr>
            </w:pPr>
            <w:r w:rsidRPr="001C69BB">
              <w:rPr>
                <w:rFonts w:ascii="Arial Narrow" w:hAnsi="Arial Narrow" w:cs="Arial"/>
              </w:rPr>
              <w:t>-</w:t>
            </w:r>
          </w:p>
        </w:tc>
        <w:tc>
          <w:tcPr>
            <w:tcW w:w="4961" w:type="dxa"/>
          </w:tcPr>
          <w:p w14:paraId="482319D7"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Involvement in life situations</w:t>
            </w:r>
          </w:p>
        </w:tc>
      </w:tr>
      <w:tr w:rsidR="009F7072" w:rsidRPr="00ED2CFC" w14:paraId="1BFEE63C" w14:textId="77777777" w:rsidTr="00CF5E27">
        <w:tc>
          <w:tcPr>
            <w:tcW w:w="2802" w:type="dxa"/>
          </w:tcPr>
          <w:p w14:paraId="60FFADBA" w14:textId="77777777" w:rsidR="009F7072" w:rsidRPr="001C69BB" w:rsidRDefault="009F7072" w:rsidP="00CF5E27">
            <w:pPr>
              <w:spacing w:line="480" w:lineRule="auto"/>
              <w:jc w:val="center"/>
              <w:rPr>
                <w:rFonts w:ascii="Arial Narrow" w:hAnsi="Arial Narrow" w:cs="Arial"/>
              </w:rPr>
            </w:pPr>
            <w:r w:rsidRPr="001C69BB">
              <w:rPr>
                <w:rFonts w:ascii="Arial Narrow" w:hAnsi="Arial Narrow" w:cs="Arial"/>
              </w:rPr>
              <w:t>-</w:t>
            </w:r>
          </w:p>
        </w:tc>
        <w:tc>
          <w:tcPr>
            <w:tcW w:w="2551" w:type="dxa"/>
          </w:tcPr>
          <w:p w14:paraId="4BB8B267" w14:textId="77777777" w:rsidR="009F7072" w:rsidRPr="001C69BB" w:rsidRDefault="009F7072" w:rsidP="00CF5E27">
            <w:pPr>
              <w:spacing w:line="480" w:lineRule="auto"/>
              <w:jc w:val="center"/>
              <w:rPr>
                <w:rFonts w:ascii="Arial Narrow" w:hAnsi="Arial Narrow" w:cs="Arial"/>
              </w:rPr>
            </w:pPr>
            <w:r w:rsidRPr="001C69BB">
              <w:rPr>
                <w:rFonts w:ascii="Arial Narrow" w:hAnsi="Arial Narrow" w:cs="Arial"/>
              </w:rPr>
              <w:t>-</w:t>
            </w:r>
          </w:p>
        </w:tc>
        <w:tc>
          <w:tcPr>
            <w:tcW w:w="2977" w:type="dxa"/>
          </w:tcPr>
          <w:p w14:paraId="07A10099"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Resource use</w:t>
            </w:r>
          </w:p>
        </w:tc>
        <w:tc>
          <w:tcPr>
            <w:tcW w:w="4961" w:type="dxa"/>
          </w:tcPr>
          <w:p w14:paraId="46A0A5A1"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Health/social costs</w:t>
            </w:r>
          </w:p>
        </w:tc>
      </w:tr>
      <w:tr w:rsidR="009F7072" w:rsidRPr="00ED2CFC" w14:paraId="091BBC23" w14:textId="77777777" w:rsidTr="00CF5E27">
        <w:tc>
          <w:tcPr>
            <w:tcW w:w="2802" w:type="dxa"/>
          </w:tcPr>
          <w:p w14:paraId="1CD34FFC" w14:textId="77777777" w:rsidR="009F7072" w:rsidRPr="001C69BB" w:rsidRDefault="009F7072" w:rsidP="00CF5E27">
            <w:pPr>
              <w:spacing w:line="480" w:lineRule="auto"/>
              <w:jc w:val="center"/>
              <w:rPr>
                <w:rFonts w:ascii="Arial Narrow" w:hAnsi="Arial Narrow" w:cs="Arial"/>
              </w:rPr>
            </w:pPr>
            <w:r w:rsidRPr="001C69BB">
              <w:rPr>
                <w:rFonts w:ascii="Arial Narrow" w:hAnsi="Arial Narrow" w:cs="Arial"/>
              </w:rPr>
              <w:t>-</w:t>
            </w:r>
          </w:p>
        </w:tc>
        <w:tc>
          <w:tcPr>
            <w:tcW w:w="2551" w:type="dxa"/>
          </w:tcPr>
          <w:p w14:paraId="71B03542" w14:textId="77777777" w:rsidR="009F7072" w:rsidRPr="001C69BB" w:rsidRDefault="009F7072" w:rsidP="00CF5E27">
            <w:pPr>
              <w:spacing w:line="480" w:lineRule="auto"/>
              <w:jc w:val="center"/>
              <w:rPr>
                <w:rFonts w:ascii="Arial Narrow" w:hAnsi="Arial Narrow" w:cs="Arial"/>
              </w:rPr>
            </w:pPr>
            <w:r w:rsidRPr="001C69BB">
              <w:rPr>
                <w:rFonts w:ascii="Arial Narrow" w:hAnsi="Arial Narrow" w:cs="Arial"/>
              </w:rPr>
              <w:t>-</w:t>
            </w:r>
          </w:p>
        </w:tc>
        <w:tc>
          <w:tcPr>
            <w:tcW w:w="2977" w:type="dxa"/>
          </w:tcPr>
          <w:p w14:paraId="0FF82675"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Adverse events</w:t>
            </w:r>
          </w:p>
        </w:tc>
        <w:tc>
          <w:tcPr>
            <w:tcW w:w="4961" w:type="dxa"/>
          </w:tcPr>
          <w:p w14:paraId="3DE8052F"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Treatment side effects</w:t>
            </w:r>
          </w:p>
        </w:tc>
      </w:tr>
      <w:tr w:rsidR="009F7072" w:rsidRPr="00ED2CFC" w14:paraId="2DD1C7BF" w14:textId="77777777" w:rsidTr="00CF5E27">
        <w:tc>
          <w:tcPr>
            <w:tcW w:w="2802" w:type="dxa"/>
          </w:tcPr>
          <w:p w14:paraId="080D38F3" w14:textId="77777777" w:rsidR="009F7072" w:rsidRPr="001C69BB" w:rsidRDefault="009F7072" w:rsidP="00CF5E27">
            <w:pPr>
              <w:spacing w:line="480" w:lineRule="auto"/>
              <w:jc w:val="center"/>
              <w:rPr>
                <w:rFonts w:ascii="Arial Narrow" w:hAnsi="Arial Narrow" w:cs="Arial"/>
              </w:rPr>
            </w:pPr>
            <w:r w:rsidRPr="001C69BB">
              <w:rPr>
                <w:rFonts w:ascii="Arial Narrow" w:hAnsi="Arial Narrow" w:cs="Arial"/>
              </w:rPr>
              <w:t>-</w:t>
            </w:r>
          </w:p>
        </w:tc>
        <w:tc>
          <w:tcPr>
            <w:tcW w:w="2551" w:type="dxa"/>
          </w:tcPr>
          <w:p w14:paraId="7E4E7886" w14:textId="77777777" w:rsidR="009F7072" w:rsidRPr="001C69BB" w:rsidRDefault="009F7072" w:rsidP="00CF5E27">
            <w:pPr>
              <w:spacing w:line="480" w:lineRule="auto"/>
              <w:jc w:val="center"/>
              <w:rPr>
                <w:rFonts w:ascii="Arial Narrow" w:hAnsi="Arial Narrow" w:cs="Arial"/>
              </w:rPr>
            </w:pPr>
            <w:r w:rsidRPr="001C69BB">
              <w:rPr>
                <w:rFonts w:ascii="Arial Narrow" w:hAnsi="Arial Narrow" w:cs="Arial"/>
              </w:rPr>
              <w:t>-</w:t>
            </w:r>
          </w:p>
        </w:tc>
        <w:tc>
          <w:tcPr>
            <w:tcW w:w="2977" w:type="dxa"/>
          </w:tcPr>
          <w:p w14:paraId="23729A01"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Mortality</w:t>
            </w:r>
          </w:p>
        </w:tc>
        <w:tc>
          <w:tcPr>
            <w:tcW w:w="4961" w:type="dxa"/>
          </w:tcPr>
          <w:p w14:paraId="7E8ACC6F" w14:textId="77777777" w:rsidR="009F7072" w:rsidRPr="001C69BB" w:rsidRDefault="009F7072" w:rsidP="00CF5E27">
            <w:pPr>
              <w:spacing w:line="480" w:lineRule="auto"/>
              <w:rPr>
                <w:rFonts w:ascii="Arial Narrow" w:hAnsi="Arial Narrow" w:cs="Arial"/>
              </w:rPr>
            </w:pPr>
            <w:r w:rsidRPr="001C69BB">
              <w:rPr>
                <w:rFonts w:ascii="Arial Narrow" w:hAnsi="Arial Narrow" w:cs="Arial"/>
              </w:rPr>
              <w:t>Death</w:t>
            </w:r>
          </w:p>
        </w:tc>
      </w:tr>
    </w:tbl>
    <w:p w14:paraId="63E8A2F5" w14:textId="77777777" w:rsidR="009F7072" w:rsidRPr="001C69BB" w:rsidRDefault="009F7072" w:rsidP="009F7072">
      <w:pPr>
        <w:spacing w:line="480" w:lineRule="auto"/>
        <w:rPr>
          <w:rFonts w:ascii="Arial" w:hAnsi="Arial"/>
          <w:b/>
          <w:szCs w:val="18"/>
        </w:rPr>
      </w:pPr>
      <w:r w:rsidRPr="001C69BB">
        <w:rPr>
          <w:rFonts w:ascii="Arial" w:hAnsi="Arial"/>
          <w:b/>
          <w:szCs w:val="18"/>
        </w:rPr>
        <w:t xml:space="preserve">Key: </w:t>
      </w:r>
      <w:r w:rsidRPr="001C69BB">
        <w:rPr>
          <w:rFonts w:ascii="Arial" w:hAnsi="Arial" w:cs="Arial"/>
          <w:szCs w:val="18"/>
        </w:rPr>
        <w:t xml:space="preserve">ICF = </w:t>
      </w:r>
      <w:r w:rsidRPr="001C69BB">
        <w:rPr>
          <w:rFonts w:ascii="Arial" w:hAnsi="Arial" w:cs="Arial"/>
          <w:color w:val="000000"/>
          <w:szCs w:val="18"/>
          <w:lang w:val="en-US"/>
        </w:rPr>
        <w:t xml:space="preserve">International Classification of Functioning, Disability &amp; Health, COMET = </w:t>
      </w:r>
      <w:r w:rsidRPr="001C69BB">
        <w:rPr>
          <w:rFonts w:ascii="Arial" w:hAnsi="Arial"/>
          <w:szCs w:val="18"/>
        </w:rPr>
        <w:t>Core Outcome Measures in Effectiveness Trials (initiative),</w:t>
      </w:r>
      <w:r w:rsidRPr="001C69BB">
        <w:rPr>
          <w:rFonts w:ascii="Arial" w:hAnsi="Arial" w:cs="Arial"/>
          <w:color w:val="000000"/>
          <w:szCs w:val="18"/>
          <w:lang w:val="en-US"/>
        </w:rPr>
        <w:t xml:space="preserve"> WHO = World Health Organization</w:t>
      </w:r>
      <w:r>
        <w:rPr>
          <w:rFonts w:ascii="Arial" w:hAnsi="Arial" w:cs="Arial"/>
          <w:color w:val="000000"/>
          <w:szCs w:val="18"/>
          <w:lang w:val="en-US"/>
        </w:rPr>
        <w:t>.</w:t>
      </w:r>
    </w:p>
    <w:p w14:paraId="2E9476BA" w14:textId="77777777" w:rsidR="001630A8" w:rsidRPr="006A476C" w:rsidRDefault="001630A8" w:rsidP="00F24E13">
      <w:pPr>
        <w:widowControl w:val="0"/>
        <w:autoSpaceDE w:val="0"/>
        <w:autoSpaceDN w:val="0"/>
        <w:adjustRightInd w:val="0"/>
        <w:ind w:left="640" w:hanging="640"/>
        <w:rPr>
          <w:rFonts w:ascii="Arial" w:hAnsi="Arial"/>
        </w:rPr>
      </w:pPr>
    </w:p>
    <w:sectPr w:rsidR="001630A8" w:rsidRPr="006A476C" w:rsidSect="009F7072">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3B48" w14:textId="77777777" w:rsidR="009D0297" w:rsidRDefault="009D0297" w:rsidP="00C014B5">
      <w:r>
        <w:separator/>
      </w:r>
    </w:p>
  </w:endnote>
  <w:endnote w:type="continuationSeparator" w:id="0">
    <w:p w14:paraId="35EB88F1" w14:textId="77777777" w:rsidR="009D0297" w:rsidRDefault="009D0297" w:rsidP="00C014B5">
      <w:r>
        <w:continuationSeparator/>
      </w:r>
    </w:p>
  </w:endnote>
  <w:endnote w:type="continuationNotice" w:id="1">
    <w:p w14:paraId="70ABFF18" w14:textId="77777777" w:rsidR="009D0297" w:rsidRDefault="009D0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49AF" w14:textId="4A5589C9" w:rsidR="00350B7D" w:rsidRDefault="00350B7D">
    <w:pPr>
      <w:pStyle w:val="Footer"/>
      <w:jc w:val="right"/>
    </w:pPr>
  </w:p>
  <w:p w14:paraId="55AFCB7E" w14:textId="77777777" w:rsidR="00350B7D" w:rsidRDefault="0035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92E2" w14:textId="77777777" w:rsidR="009D0297" w:rsidRDefault="009D0297" w:rsidP="00C014B5">
      <w:r>
        <w:separator/>
      </w:r>
    </w:p>
  </w:footnote>
  <w:footnote w:type="continuationSeparator" w:id="0">
    <w:p w14:paraId="30535D39" w14:textId="77777777" w:rsidR="009D0297" w:rsidRDefault="009D0297" w:rsidP="00C014B5">
      <w:r>
        <w:continuationSeparator/>
      </w:r>
    </w:p>
  </w:footnote>
  <w:footnote w:type="continuationNotice" w:id="1">
    <w:p w14:paraId="7B1650FB" w14:textId="77777777" w:rsidR="009D0297" w:rsidRDefault="009D0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262759"/>
      <w:docPartObj>
        <w:docPartGallery w:val="Page Numbers (Top of Page)"/>
        <w:docPartUnique/>
      </w:docPartObj>
    </w:sdtPr>
    <w:sdtEndPr>
      <w:rPr>
        <w:noProof/>
      </w:rPr>
    </w:sdtEndPr>
    <w:sdtContent>
      <w:p w14:paraId="2BC38BBD" w14:textId="28ABFC52" w:rsidR="00350B7D" w:rsidRDefault="00350B7D">
        <w:pPr>
          <w:pStyle w:val="Header"/>
          <w:jc w:val="right"/>
        </w:pPr>
        <w:r>
          <w:fldChar w:fldCharType="begin"/>
        </w:r>
        <w:r>
          <w:instrText xml:space="preserve"> PAGE   \* MERGEFORMAT </w:instrText>
        </w:r>
        <w:r>
          <w:fldChar w:fldCharType="separate"/>
        </w:r>
        <w:r w:rsidR="00067815">
          <w:rPr>
            <w:noProof/>
          </w:rPr>
          <w:t>16</w:t>
        </w:r>
        <w:r>
          <w:rPr>
            <w:noProof/>
          </w:rPr>
          <w:fldChar w:fldCharType="end"/>
        </w:r>
      </w:p>
    </w:sdtContent>
  </w:sdt>
  <w:p w14:paraId="1F488C83" w14:textId="77777777" w:rsidR="00350B7D" w:rsidRDefault="00350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2AF"/>
    <w:multiLevelType w:val="multilevel"/>
    <w:tmpl w:val="71D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5FCA"/>
    <w:multiLevelType w:val="multilevel"/>
    <w:tmpl w:val="12AE1E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32423DB"/>
    <w:multiLevelType w:val="hybridMultilevel"/>
    <w:tmpl w:val="4F8E5368"/>
    <w:lvl w:ilvl="0" w:tplc="6CF6B4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3294E"/>
    <w:multiLevelType w:val="hybridMultilevel"/>
    <w:tmpl w:val="98847B16"/>
    <w:lvl w:ilvl="0" w:tplc="9B92DAB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2CB5"/>
    <w:multiLevelType w:val="multilevel"/>
    <w:tmpl w:val="A4002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F04AE"/>
    <w:multiLevelType w:val="multilevel"/>
    <w:tmpl w:val="48EE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1674F"/>
    <w:multiLevelType w:val="hybridMultilevel"/>
    <w:tmpl w:val="5730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E7567"/>
    <w:multiLevelType w:val="hybridMultilevel"/>
    <w:tmpl w:val="E5021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D16B3"/>
    <w:multiLevelType w:val="hybridMultilevel"/>
    <w:tmpl w:val="9228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74CF0"/>
    <w:multiLevelType w:val="hybridMultilevel"/>
    <w:tmpl w:val="C4E4E038"/>
    <w:lvl w:ilvl="0" w:tplc="9B92DAB2">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C75EB"/>
    <w:multiLevelType w:val="hybridMultilevel"/>
    <w:tmpl w:val="9738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A6903"/>
    <w:multiLevelType w:val="hybridMultilevel"/>
    <w:tmpl w:val="72B4BF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81D1D"/>
    <w:multiLevelType w:val="hybridMultilevel"/>
    <w:tmpl w:val="0FB60030"/>
    <w:lvl w:ilvl="0" w:tplc="F8B4D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E2B19"/>
    <w:multiLevelType w:val="hybridMultilevel"/>
    <w:tmpl w:val="EBF8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75F7F"/>
    <w:multiLevelType w:val="hybridMultilevel"/>
    <w:tmpl w:val="ACEC4C3A"/>
    <w:lvl w:ilvl="0" w:tplc="72E07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202E0"/>
    <w:multiLevelType w:val="hybridMultilevel"/>
    <w:tmpl w:val="08644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A133D"/>
    <w:multiLevelType w:val="hybridMultilevel"/>
    <w:tmpl w:val="920C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B36BE"/>
    <w:multiLevelType w:val="hybridMultilevel"/>
    <w:tmpl w:val="0CFEA978"/>
    <w:lvl w:ilvl="0" w:tplc="72E07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D436F"/>
    <w:multiLevelType w:val="hybridMultilevel"/>
    <w:tmpl w:val="96B0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6"/>
  </w:num>
  <w:num w:numId="4">
    <w:abstractNumId w:val="6"/>
  </w:num>
  <w:num w:numId="5">
    <w:abstractNumId w:val="11"/>
  </w:num>
  <w:num w:numId="6">
    <w:abstractNumId w:val="15"/>
  </w:num>
  <w:num w:numId="7">
    <w:abstractNumId w:val="8"/>
  </w:num>
  <w:num w:numId="8">
    <w:abstractNumId w:val="3"/>
  </w:num>
  <w:num w:numId="9">
    <w:abstractNumId w:val="17"/>
  </w:num>
  <w:num w:numId="10">
    <w:abstractNumId w:val="14"/>
  </w:num>
  <w:num w:numId="11">
    <w:abstractNumId w:val="1"/>
  </w:num>
  <w:num w:numId="12">
    <w:abstractNumId w:val="4"/>
  </w:num>
  <w:num w:numId="13">
    <w:abstractNumId w:val="0"/>
  </w:num>
  <w:num w:numId="14">
    <w:abstractNumId w:val="9"/>
  </w:num>
  <w:num w:numId="15">
    <w:abstractNumId w:val="2"/>
  </w:num>
  <w:num w:numId="16">
    <w:abstractNumId w:val="12"/>
  </w:num>
  <w:num w:numId="17">
    <w:abstractNumId w:val="13"/>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E5"/>
    <w:rsid w:val="00000952"/>
    <w:rsid w:val="00000C1B"/>
    <w:rsid w:val="00003472"/>
    <w:rsid w:val="00005216"/>
    <w:rsid w:val="00005CAF"/>
    <w:rsid w:val="00012317"/>
    <w:rsid w:val="00020176"/>
    <w:rsid w:val="00024E3D"/>
    <w:rsid w:val="0002552D"/>
    <w:rsid w:val="000267A3"/>
    <w:rsid w:val="000314FD"/>
    <w:rsid w:val="00036B75"/>
    <w:rsid w:val="00037425"/>
    <w:rsid w:val="0004295D"/>
    <w:rsid w:val="00043EB8"/>
    <w:rsid w:val="000447A7"/>
    <w:rsid w:val="00045CA2"/>
    <w:rsid w:val="00047879"/>
    <w:rsid w:val="00053FAC"/>
    <w:rsid w:val="00055E2A"/>
    <w:rsid w:val="0005616A"/>
    <w:rsid w:val="00057907"/>
    <w:rsid w:val="00057E40"/>
    <w:rsid w:val="000611B2"/>
    <w:rsid w:val="00067815"/>
    <w:rsid w:val="00072197"/>
    <w:rsid w:val="0007240F"/>
    <w:rsid w:val="0007287A"/>
    <w:rsid w:val="0007421E"/>
    <w:rsid w:val="00074D34"/>
    <w:rsid w:val="00074F8D"/>
    <w:rsid w:val="00080B46"/>
    <w:rsid w:val="000845A9"/>
    <w:rsid w:val="000857DC"/>
    <w:rsid w:val="000858CF"/>
    <w:rsid w:val="000922D5"/>
    <w:rsid w:val="00092944"/>
    <w:rsid w:val="0009342E"/>
    <w:rsid w:val="00095685"/>
    <w:rsid w:val="00096B99"/>
    <w:rsid w:val="000A281A"/>
    <w:rsid w:val="000A5C86"/>
    <w:rsid w:val="000A736D"/>
    <w:rsid w:val="000B1005"/>
    <w:rsid w:val="000B358E"/>
    <w:rsid w:val="000B7C2B"/>
    <w:rsid w:val="000B7CD5"/>
    <w:rsid w:val="000C0820"/>
    <w:rsid w:val="000C27C3"/>
    <w:rsid w:val="000C2E10"/>
    <w:rsid w:val="000C401C"/>
    <w:rsid w:val="000C7F2F"/>
    <w:rsid w:val="000D16F9"/>
    <w:rsid w:val="000D1CF6"/>
    <w:rsid w:val="000D603E"/>
    <w:rsid w:val="000D7E6B"/>
    <w:rsid w:val="000E28D9"/>
    <w:rsid w:val="000E3F20"/>
    <w:rsid w:val="000E6EB2"/>
    <w:rsid w:val="000E70CE"/>
    <w:rsid w:val="000F11A6"/>
    <w:rsid w:val="000F7C7A"/>
    <w:rsid w:val="00102D26"/>
    <w:rsid w:val="00105B95"/>
    <w:rsid w:val="00107632"/>
    <w:rsid w:val="00113231"/>
    <w:rsid w:val="001139BD"/>
    <w:rsid w:val="001151DB"/>
    <w:rsid w:val="00116C40"/>
    <w:rsid w:val="0011741F"/>
    <w:rsid w:val="00117AFF"/>
    <w:rsid w:val="00117D74"/>
    <w:rsid w:val="00121BD3"/>
    <w:rsid w:val="00122686"/>
    <w:rsid w:val="0012576C"/>
    <w:rsid w:val="00126633"/>
    <w:rsid w:val="00127AA0"/>
    <w:rsid w:val="00127AE3"/>
    <w:rsid w:val="0013086C"/>
    <w:rsid w:val="00131023"/>
    <w:rsid w:val="00131229"/>
    <w:rsid w:val="001359EA"/>
    <w:rsid w:val="00135B69"/>
    <w:rsid w:val="00140109"/>
    <w:rsid w:val="00140710"/>
    <w:rsid w:val="00141163"/>
    <w:rsid w:val="001447F6"/>
    <w:rsid w:val="00150A21"/>
    <w:rsid w:val="001521B9"/>
    <w:rsid w:val="00152D5D"/>
    <w:rsid w:val="00153F54"/>
    <w:rsid w:val="001559CC"/>
    <w:rsid w:val="00161D97"/>
    <w:rsid w:val="001624D1"/>
    <w:rsid w:val="001630A8"/>
    <w:rsid w:val="0016376B"/>
    <w:rsid w:val="001639C2"/>
    <w:rsid w:val="00170897"/>
    <w:rsid w:val="001729A4"/>
    <w:rsid w:val="00172FE0"/>
    <w:rsid w:val="001734E5"/>
    <w:rsid w:val="001735AC"/>
    <w:rsid w:val="00176FC0"/>
    <w:rsid w:val="00177923"/>
    <w:rsid w:val="0017795F"/>
    <w:rsid w:val="00180395"/>
    <w:rsid w:val="001803E7"/>
    <w:rsid w:val="00180873"/>
    <w:rsid w:val="0018112C"/>
    <w:rsid w:val="00185073"/>
    <w:rsid w:val="001865F2"/>
    <w:rsid w:val="00186707"/>
    <w:rsid w:val="00187F87"/>
    <w:rsid w:val="00191CDF"/>
    <w:rsid w:val="00192A7A"/>
    <w:rsid w:val="00194223"/>
    <w:rsid w:val="0019702F"/>
    <w:rsid w:val="0019705E"/>
    <w:rsid w:val="001A2780"/>
    <w:rsid w:val="001A28D1"/>
    <w:rsid w:val="001A33F5"/>
    <w:rsid w:val="001A5E35"/>
    <w:rsid w:val="001B6571"/>
    <w:rsid w:val="001C0D3E"/>
    <w:rsid w:val="001C1A46"/>
    <w:rsid w:val="001C2472"/>
    <w:rsid w:val="001C2EF7"/>
    <w:rsid w:val="001C5E6D"/>
    <w:rsid w:val="001C72B1"/>
    <w:rsid w:val="001D1215"/>
    <w:rsid w:val="001D2C92"/>
    <w:rsid w:val="001D2F01"/>
    <w:rsid w:val="001D350E"/>
    <w:rsid w:val="001D5026"/>
    <w:rsid w:val="001D50FC"/>
    <w:rsid w:val="001D61CD"/>
    <w:rsid w:val="001D65BD"/>
    <w:rsid w:val="001E1944"/>
    <w:rsid w:val="001E2D62"/>
    <w:rsid w:val="001E7629"/>
    <w:rsid w:val="001E7A9C"/>
    <w:rsid w:val="001F0F96"/>
    <w:rsid w:val="001F1D9F"/>
    <w:rsid w:val="00204D63"/>
    <w:rsid w:val="002106F6"/>
    <w:rsid w:val="00211160"/>
    <w:rsid w:val="0021190C"/>
    <w:rsid w:val="002130B2"/>
    <w:rsid w:val="002171B1"/>
    <w:rsid w:val="0022014C"/>
    <w:rsid w:val="00220E89"/>
    <w:rsid w:val="00222F9C"/>
    <w:rsid w:val="00223B9F"/>
    <w:rsid w:val="00223D3E"/>
    <w:rsid w:val="0022428F"/>
    <w:rsid w:val="002267CA"/>
    <w:rsid w:val="002275F1"/>
    <w:rsid w:val="002276F2"/>
    <w:rsid w:val="002411F1"/>
    <w:rsid w:val="00241A72"/>
    <w:rsid w:val="002439E8"/>
    <w:rsid w:val="0025162C"/>
    <w:rsid w:val="0025321E"/>
    <w:rsid w:val="002563DC"/>
    <w:rsid w:val="00257648"/>
    <w:rsid w:val="002579C0"/>
    <w:rsid w:val="0026070F"/>
    <w:rsid w:val="0026474F"/>
    <w:rsid w:val="00265662"/>
    <w:rsid w:val="00265D1A"/>
    <w:rsid w:val="00267CE8"/>
    <w:rsid w:val="00270F5A"/>
    <w:rsid w:val="00271735"/>
    <w:rsid w:val="00276206"/>
    <w:rsid w:val="0027710B"/>
    <w:rsid w:val="00277671"/>
    <w:rsid w:val="0028131B"/>
    <w:rsid w:val="00287475"/>
    <w:rsid w:val="00293E84"/>
    <w:rsid w:val="00295734"/>
    <w:rsid w:val="00296567"/>
    <w:rsid w:val="002966AF"/>
    <w:rsid w:val="002969B9"/>
    <w:rsid w:val="00297B02"/>
    <w:rsid w:val="002A02A4"/>
    <w:rsid w:val="002A0511"/>
    <w:rsid w:val="002A126D"/>
    <w:rsid w:val="002A2367"/>
    <w:rsid w:val="002A4212"/>
    <w:rsid w:val="002A7F51"/>
    <w:rsid w:val="002B20FB"/>
    <w:rsid w:val="002B41A8"/>
    <w:rsid w:val="002B7CEB"/>
    <w:rsid w:val="002C0532"/>
    <w:rsid w:val="002C1986"/>
    <w:rsid w:val="002C3855"/>
    <w:rsid w:val="002C4FE9"/>
    <w:rsid w:val="002C50A7"/>
    <w:rsid w:val="002C6012"/>
    <w:rsid w:val="002D6CCC"/>
    <w:rsid w:val="002E105D"/>
    <w:rsid w:val="002E1A7F"/>
    <w:rsid w:val="002E22B5"/>
    <w:rsid w:val="002E3ACA"/>
    <w:rsid w:val="002E483E"/>
    <w:rsid w:val="002E7845"/>
    <w:rsid w:val="002F1A38"/>
    <w:rsid w:val="002F3AF0"/>
    <w:rsid w:val="00300663"/>
    <w:rsid w:val="00300962"/>
    <w:rsid w:val="003053BF"/>
    <w:rsid w:val="0031331A"/>
    <w:rsid w:val="00314B11"/>
    <w:rsid w:val="00316023"/>
    <w:rsid w:val="00316B03"/>
    <w:rsid w:val="00322BD8"/>
    <w:rsid w:val="00323F65"/>
    <w:rsid w:val="0032479C"/>
    <w:rsid w:val="003249CC"/>
    <w:rsid w:val="00326D46"/>
    <w:rsid w:val="0032751C"/>
    <w:rsid w:val="00330D62"/>
    <w:rsid w:val="00331C9B"/>
    <w:rsid w:val="00332745"/>
    <w:rsid w:val="003340E2"/>
    <w:rsid w:val="00334E2C"/>
    <w:rsid w:val="00335421"/>
    <w:rsid w:val="00336AE8"/>
    <w:rsid w:val="00342B8A"/>
    <w:rsid w:val="0034334C"/>
    <w:rsid w:val="00343FA8"/>
    <w:rsid w:val="00347297"/>
    <w:rsid w:val="0034781D"/>
    <w:rsid w:val="00347DDC"/>
    <w:rsid w:val="00350B7D"/>
    <w:rsid w:val="0035441E"/>
    <w:rsid w:val="00356B2E"/>
    <w:rsid w:val="003608D5"/>
    <w:rsid w:val="00361ED3"/>
    <w:rsid w:val="00363843"/>
    <w:rsid w:val="00367FFE"/>
    <w:rsid w:val="003718F9"/>
    <w:rsid w:val="00380766"/>
    <w:rsid w:val="00380AAD"/>
    <w:rsid w:val="003818F6"/>
    <w:rsid w:val="003821C2"/>
    <w:rsid w:val="003826E6"/>
    <w:rsid w:val="003828E8"/>
    <w:rsid w:val="0038603A"/>
    <w:rsid w:val="00386CF1"/>
    <w:rsid w:val="003876CD"/>
    <w:rsid w:val="003908F0"/>
    <w:rsid w:val="00393377"/>
    <w:rsid w:val="003955BA"/>
    <w:rsid w:val="0039741C"/>
    <w:rsid w:val="003A04B7"/>
    <w:rsid w:val="003A2BF8"/>
    <w:rsid w:val="003A6F9D"/>
    <w:rsid w:val="003B09C9"/>
    <w:rsid w:val="003B1419"/>
    <w:rsid w:val="003B6867"/>
    <w:rsid w:val="003C01AD"/>
    <w:rsid w:val="003C11B9"/>
    <w:rsid w:val="003C180B"/>
    <w:rsid w:val="003C2357"/>
    <w:rsid w:val="003C387E"/>
    <w:rsid w:val="003C49BD"/>
    <w:rsid w:val="003D2D72"/>
    <w:rsid w:val="003D3200"/>
    <w:rsid w:val="003D3E8B"/>
    <w:rsid w:val="003D5048"/>
    <w:rsid w:val="003D7019"/>
    <w:rsid w:val="003E1E26"/>
    <w:rsid w:val="003E3891"/>
    <w:rsid w:val="003E40A4"/>
    <w:rsid w:val="003E6879"/>
    <w:rsid w:val="003F03CF"/>
    <w:rsid w:val="003F2F34"/>
    <w:rsid w:val="003F3B1A"/>
    <w:rsid w:val="003F7297"/>
    <w:rsid w:val="004002D0"/>
    <w:rsid w:val="0040059E"/>
    <w:rsid w:val="00401864"/>
    <w:rsid w:val="00402D5A"/>
    <w:rsid w:val="00403BD1"/>
    <w:rsid w:val="00407A45"/>
    <w:rsid w:val="004101F6"/>
    <w:rsid w:val="00411E98"/>
    <w:rsid w:val="00413059"/>
    <w:rsid w:val="00413693"/>
    <w:rsid w:val="00413739"/>
    <w:rsid w:val="004158D1"/>
    <w:rsid w:val="00420B32"/>
    <w:rsid w:val="004215FF"/>
    <w:rsid w:val="00421FDD"/>
    <w:rsid w:val="00422718"/>
    <w:rsid w:val="00424FF7"/>
    <w:rsid w:val="0043167C"/>
    <w:rsid w:val="00432862"/>
    <w:rsid w:val="00433B6A"/>
    <w:rsid w:val="004343C3"/>
    <w:rsid w:val="00435E45"/>
    <w:rsid w:val="0044205D"/>
    <w:rsid w:val="004429DF"/>
    <w:rsid w:val="00443125"/>
    <w:rsid w:val="00444612"/>
    <w:rsid w:val="0045075D"/>
    <w:rsid w:val="00451014"/>
    <w:rsid w:val="004523A1"/>
    <w:rsid w:val="0045342E"/>
    <w:rsid w:val="00453E2C"/>
    <w:rsid w:val="00454535"/>
    <w:rsid w:val="00455A8A"/>
    <w:rsid w:val="00456006"/>
    <w:rsid w:val="0045630F"/>
    <w:rsid w:val="00456B81"/>
    <w:rsid w:val="00457851"/>
    <w:rsid w:val="00462F65"/>
    <w:rsid w:val="00465127"/>
    <w:rsid w:val="004660A7"/>
    <w:rsid w:val="0047116A"/>
    <w:rsid w:val="00472CBD"/>
    <w:rsid w:val="00474883"/>
    <w:rsid w:val="004808E0"/>
    <w:rsid w:val="00482C20"/>
    <w:rsid w:val="00482CD0"/>
    <w:rsid w:val="00486180"/>
    <w:rsid w:val="00486A94"/>
    <w:rsid w:val="00487EE4"/>
    <w:rsid w:val="00491105"/>
    <w:rsid w:val="00491AB6"/>
    <w:rsid w:val="00492D28"/>
    <w:rsid w:val="00495585"/>
    <w:rsid w:val="00496E2A"/>
    <w:rsid w:val="004A1EC8"/>
    <w:rsid w:val="004A47C6"/>
    <w:rsid w:val="004A5D17"/>
    <w:rsid w:val="004A5ECF"/>
    <w:rsid w:val="004B06B4"/>
    <w:rsid w:val="004B349C"/>
    <w:rsid w:val="004B3E12"/>
    <w:rsid w:val="004B4659"/>
    <w:rsid w:val="004B4AD4"/>
    <w:rsid w:val="004B7E75"/>
    <w:rsid w:val="004C2515"/>
    <w:rsid w:val="004C3F8C"/>
    <w:rsid w:val="004C70DD"/>
    <w:rsid w:val="004D1D48"/>
    <w:rsid w:val="004D37A1"/>
    <w:rsid w:val="004D3E09"/>
    <w:rsid w:val="004D5C96"/>
    <w:rsid w:val="004D6838"/>
    <w:rsid w:val="004E302F"/>
    <w:rsid w:val="004E3301"/>
    <w:rsid w:val="004E3703"/>
    <w:rsid w:val="004E3CAD"/>
    <w:rsid w:val="004E4D59"/>
    <w:rsid w:val="004F1B7C"/>
    <w:rsid w:val="004F25BA"/>
    <w:rsid w:val="004F5391"/>
    <w:rsid w:val="004F7842"/>
    <w:rsid w:val="004F7DCC"/>
    <w:rsid w:val="005047E1"/>
    <w:rsid w:val="00510FE2"/>
    <w:rsid w:val="0051203F"/>
    <w:rsid w:val="00514456"/>
    <w:rsid w:val="00516F22"/>
    <w:rsid w:val="00517E2E"/>
    <w:rsid w:val="00522B1F"/>
    <w:rsid w:val="00523554"/>
    <w:rsid w:val="005246C6"/>
    <w:rsid w:val="0052625A"/>
    <w:rsid w:val="005273E4"/>
    <w:rsid w:val="00527450"/>
    <w:rsid w:val="005274E0"/>
    <w:rsid w:val="005318CC"/>
    <w:rsid w:val="00531E0D"/>
    <w:rsid w:val="00532EAB"/>
    <w:rsid w:val="0053449A"/>
    <w:rsid w:val="005357C6"/>
    <w:rsid w:val="005361A4"/>
    <w:rsid w:val="00536912"/>
    <w:rsid w:val="005374A1"/>
    <w:rsid w:val="00540AC1"/>
    <w:rsid w:val="00541714"/>
    <w:rsid w:val="00541ED4"/>
    <w:rsid w:val="00542015"/>
    <w:rsid w:val="005433E5"/>
    <w:rsid w:val="00543551"/>
    <w:rsid w:val="005442D5"/>
    <w:rsid w:val="00544B87"/>
    <w:rsid w:val="00551C11"/>
    <w:rsid w:val="00551CD4"/>
    <w:rsid w:val="005522BF"/>
    <w:rsid w:val="00554D79"/>
    <w:rsid w:val="00555B5A"/>
    <w:rsid w:val="005562E9"/>
    <w:rsid w:val="005607F3"/>
    <w:rsid w:val="005619D1"/>
    <w:rsid w:val="00562794"/>
    <w:rsid w:val="00563C23"/>
    <w:rsid w:val="00566AB6"/>
    <w:rsid w:val="005710C6"/>
    <w:rsid w:val="00575658"/>
    <w:rsid w:val="0058588A"/>
    <w:rsid w:val="00587B1A"/>
    <w:rsid w:val="00587EA4"/>
    <w:rsid w:val="00592EC0"/>
    <w:rsid w:val="0059422C"/>
    <w:rsid w:val="0059479C"/>
    <w:rsid w:val="005A2C4D"/>
    <w:rsid w:val="005A5161"/>
    <w:rsid w:val="005A5ED7"/>
    <w:rsid w:val="005A7A76"/>
    <w:rsid w:val="005B22D5"/>
    <w:rsid w:val="005B29E7"/>
    <w:rsid w:val="005B4477"/>
    <w:rsid w:val="005B54AB"/>
    <w:rsid w:val="005B7345"/>
    <w:rsid w:val="005C104E"/>
    <w:rsid w:val="005C116B"/>
    <w:rsid w:val="005C2765"/>
    <w:rsid w:val="005C3259"/>
    <w:rsid w:val="005C7188"/>
    <w:rsid w:val="005D0965"/>
    <w:rsid w:val="005D1E67"/>
    <w:rsid w:val="005D259E"/>
    <w:rsid w:val="005D28B1"/>
    <w:rsid w:val="005D486C"/>
    <w:rsid w:val="005D772F"/>
    <w:rsid w:val="005E0945"/>
    <w:rsid w:val="005E2F84"/>
    <w:rsid w:val="005E5368"/>
    <w:rsid w:val="005E6204"/>
    <w:rsid w:val="005E65AC"/>
    <w:rsid w:val="005E72A5"/>
    <w:rsid w:val="005F2CBB"/>
    <w:rsid w:val="006000ED"/>
    <w:rsid w:val="00603157"/>
    <w:rsid w:val="006035B9"/>
    <w:rsid w:val="00603B26"/>
    <w:rsid w:val="0060518F"/>
    <w:rsid w:val="006065AF"/>
    <w:rsid w:val="00606C50"/>
    <w:rsid w:val="00606ED3"/>
    <w:rsid w:val="006078E3"/>
    <w:rsid w:val="006113CE"/>
    <w:rsid w:val="00615B11"/>
    <w:rsid w:val="006164DC"/>
    <w:rsid w:val="0062090C"/>
    <w:rsid w:val="0062190D"/>
    <w:rsid w:val="00622ED7"/>
    <w:rsid w:val="006325B2"/>
    <w:rsid w:val="00634B4D"/>
    <w:rsid w:val="0063558C"/>
    <w:rsid w:val="00636922"/>
    <w:rsid w:val="00637D02"/>
    <w:rsid w:val="0064010A"/>
    <w:rsid w:val="00640C7F"/>
    <w:rsid w:val="00640EBB"/>
    <w:rsid w:val="006504D3"/>
    <w:rsid w:val="00650FBD"/>
    <w:rsid w:val="006524D3"/>
    <w:rsid w:val="00655093"/>
    <w:rsid w:val="0065530C"/>
    <w:rsid w:val="006605E0"/>
    <w:rsid w:val="00661319"/>
    <w:rsid w:val="006625E8"/>
    <w:rsid w:val="00664410"/>
    <w:rsid w:val="00665BC0"/>
    <w:rsid w:val="00665E74"/>
    <w:rsid w:val="006675C8"/>
    <w:rsid w:val="00667DAE"/>
    <w:rsid w:val="0067012C"/>
    <w:rsid w:val="0067029E"/>
    <w:rsid w:val="00671252"/>
    <w:rsid w:val="0067463F"/>
    <w:rsid w:val="00674742"/>
    <w:rsid w:val="006758E5"/>
    <w:rsid w:val="006773B2"/>
    <w:rsid w:val="0068032E"/>
    <w:rsid w:val="00683DCF"/>
    <w:rsid w:val="00684A62"/>
    <w:rsid w:val="00690585"/>
    <w:rsid w:val="00692EE9"/>
    <w:rsid w:val="0069559B"/>
    <w:rsid w:val="006969C2"/>
    <w:rsid w:val="006A1BFD"/>
    <w:rsid w:val="006A35F4"/>
    <w:rsid w:val="006A476C"/>
    <w:rsid w:val="006A5040"/>
    <w:rsid w:val="006A642A"/>
    <w:rsid w:val="006A7AE5"/>
    <w:rsid w:val="006B0544"/>
    <w:rsid w:val="006B10BD"/>
    <w:rsid w:val="006B13BC"/>
    <w:rsid w:val="006B268F"/>
    <w:rsid w:val="006B471C"/>
    <w:rsid w:val="006B5FD7"/>
    <w:rsid w:val="006B7D0D"/>
    <w:rsid w:val="006C0A84"/>
    <w:rsid w:val="006C1567"/>
    <w:rsid w:val="006C316E"/>
    <w:rsid w:val="006C346F"/>
    <w:rsid w:val="006D1DD2"/>
    <w:rsid w:val="006D41BB"/>
    <w:rsid w:val="006D565B"/>
    <w:rsid w:val="006D6D00"/>
    <w:rsid w:val="006E1D73"/>
    <w:rsid w:val="006E6225"/>
    <w:rsid w:val="006E73BE"/>
    <w:rsid w:val="006E7967"/>
    <w:rsid w:val="006F0C4E"/>
    <w:rsid w:val="006F1A32"/>
    <w:rsid w:val="006F4EF6"/>
    <w:rsid w:val="006F5643"/>
    <w:rsid w:val="006F69BE"/>
    <w:rsid w:val="006F77B0"/>
    <w:rsid w:val="006F7938"/>
    <w:rsid w:val="00703091"/>
    <w:rsid w:val="00704142"/>
    <w:rsid w:val="0070456D"/>
    <w:rsid w:val="00706727"/>
    <w:rsid w:val="00706F80"/>
    <w:rsid w:val="00707E5B"/>
    <w:rsid w:val="00710245"/>
    <w:rsid w:val="00713986"/>
    <w:rsid w:val="00716779"/>
    <w:rsid w:val="0072028F"/>
    <w:rsid w:val="00723134"/>
    <w:rsid w:val="00723FD2"/>
    <w:rsid w:val="00724116"/>
    <w:rsid w:val="0072445A"/>
    <w:rsid w:val="00724694"/>
    <w:rsid w:val="00725688"/>
    <w:rsid w:val="00730CA8"/>
    <w:rsid w:val="0073141F"/>
    <w:rsid w:val="00733D71"/>
    <w:rsid w:val="00733F38"/>
    <w:rsid w:val="00737E55"/>
    <w:rsid w:val="007460E2"/>
    <w:rsid w:val="00750696"/>
    <w:rsid w:val="0075372E"/>
    <w:rsid w:val="00753969"/>
    <w:rsid w:val="00753D12"/>
    <w:rsid w:val="00754268"/>
    <w:rsid w:val="00754F5E"/>
    <w:rsid w:val="00761267"/>
    <w:rsid w:val="007622E0"/>
    <w:rsid w:val="007631F7"/>
    <w:rsid w:val="007638EB"/>
    <w:rsid w:val="00763A14"/>
    <w:rsid w:val="0077111B"/>
    <w:rsid w:val="00771713"/>
    <w:rsid w:val="00783E4C"/>
    <w:rsid w:val="00790D1F"/>
    <w:rsid w:val="007925FB"/>
    <w:rsid w:val="00793737"/>
    <w:rsid w:val="00796403"/>
    <w:rsid w:val="00797D3E"/>
    <w:rsid w:val="007A0E81"/>
    <w:rsid w:val="007A0E85"/>
    <w:rsid w:val="007A1D5D"/>
    <w:rsid w:val="007A30F6"/>
    <w:rsid w:val="007A756F"/>
    <w:rsid w:val="007B152E"/>
    <w:rsid w:val="007B2C2A"/>
    <w:rsid w:val="007B34E9"/>
    <w:rsid w:val="007B4A9C"/>
    <w:rsid w:val="007B4EB3"/>
    <w:rsid w:val="007B59FD"/>
    <w:rsid w:val="007C00D3"/>
    <w:rsid w:val="007C0F10"/>
    <w:rsid w:val="007C4057"/>
    <w:rsid w:val="007C4DEB"/>
    <w:rsid w:val="007C4F99"/>
    <w:rsid w:val="007C798D"/>
    <w:rsid w:val="007D0D5D"/>
    <w:rsid w:val="007D1A06"/>
    <w:rsid w:val="007D1C71"/>
    <w:rsid w:val="007D7353"/>
    <w:rsid w:val="007E306E"/>
    <w:rsid w:val="007E32E2"/>
    <w:rsid w:val="007E3E22"/>
    <w:rsid w:val="007E538D"/>
    <w:rsid w:val="007E6634"/>
    <w:rsid w:val="007E7B87"/>
    <w:rsid w:val="007E7E48"/>
    <w:rsid w:val="007F2273"/>
    <w:rsid w:val="007F5AE7"/>
    <w:rsid w:val="007F77E6"/>
    <w:rsid w:val="0080037F"/>
    <w:rsid w:val="008015FF"/>
    <w:rsid w:val="00804708"/>
    <w:rsid w:val="0081369C"/>
    <w:rsid w:val="00813B77"/>
    <w:rsid w:val="00814408"/>
    <w:rsid w:val="008144F7"/>
    <w:rsid w:val="00816C17"/>
    <w:rsid w:val="00817DFD"/>
    <w:rsid w:val="00820622"/>
    <w:rsid w:val="008216DA"/>
    <w:rsid w:val="00823119"/>
    <w:rsid w:val="00824164"/>
    <w:rsid w:val="0082765E"/>
    <w:rsid w:val="00830B0C"/>
    <w:rsid w:val="00831A0B"/>
    <w:rsid w:val="00832B62"/>
    <w:rsid w:val="00833366"/>
    <w:rsid w:val="00833E66"/>
    <w:rsid w:val="00834065"/>
    <w:rsid w:val="00837D02"/>
    <w:rsid w:val="00841F00"/>
    <w:rsid w:val="008432DF"/>
    <w:rsid w:val="00845B61"/>
    <w:rsid w:val="00846362"/>
    <w:rsid w:val="00846D25"/>
    <w:rsid w:val="00850DA5"/>
    <w:rsid w:val="008519E5"/>
    <w:rsid w:val="00854E06"/>
    <w:rsid w:val="0085688E"/>
    <w:rsid w:val="008572E3"/>
    <w:rsid w:val="00861668"/>
    <w:rsid w:val="00861EF4"/>
    <w:rsid w:val="0086528C"/>
    <w:rsid w:val="00870439"/>
    <w:rsid w:val="0087153C"/>
    <w:rsid w:val="00871C4E"/>
    <w:rsid w:val="00873588"/>
    <w:rsid w:val="0087481D"/>
    <w:rsid w:val="0088150D"/>
    <w:rsid w:val="00881E5F"/>
    <w:rsid w:val="0088628B"/>
    <w:rsid w:val="0088759F"/>
    <w:rsid w:val="0088765A"/>
    <w:rsid w:val="008877B9"/>
    <w:rsid w:val="00890F82"/>
    <w:rsid w:val="0089204B"/>
    <w:rsid w:val="00892AC1"/>
    <w:rsid w:val="0089367C"/>
    <w:rsid w:val="00894B26"/>
    <w:rsid w:val="00897373"/>
    <w:rsid w:val="008A1F30"/>
    <w:rsid w:val="008A2ED5"/>
    <w:rsid w:val="008A6631"/>
    <w:rsid w:val="008A6F1C"/>
    <w:rsid w:val="008A779C"/>
    <w:rsid w:val="008A7B5F"/>
    <w:rsid w:val="008B2DCB"/>
    <w:rsid w:val="008B702D"/>
    <w:rsid w:val="008B7539"/>
    <w:rsid w:val="008C302C"/>
    <w:rsid w:val="008D0280"/>
    <w:rsid w:val="008D2A25"/>
    <w:rsid w:val="008D3990"/>
    <w:rsid w:val="008D6386"/>
    <w:rsid w:val="008E4BC1"/>
    <w:rsid w:val="008E637F"/>
    <w:rsid w:val="008E6436"/>
    <w:rsid w:val="008F01CD"/>
    <w:rsid w:val="008F14BD"/>
    <w:rsid w:val="008F1772"/>
    <w:rsid w:val="008F17AC"/>
    <w:rsid w:val="008F42B7"/>
    <w:rsid w:val="008F4DE4"/>
    <w:rsid w:val="008F663C"/>
    <w:rsid w:val="008F691B"/>
    <w:rsid w:val="00905D05"/>
    <w:rsid w:val="009073C2"/>
    <w:rsid w:val="00910913"/>
    <w:rsid w:val="00912517"/>
    <w:rsid w:val="00914BB4"/>
    <w:rsid w:val="00921169"/>
    <w:rsid w:val="0092316E"/>
    <w:rsid w:val="0092380D"/>
    <w:rsid w:val="00924286"/>
    <w:rsid w:val="00925B83"/>
    <w:rsid w:val="00930F38"/>
    <w:rsid w:val="009312D0"/>
    <w:rsid w:val="00933610"/>
    <w:rsid w:val="00933BE2"/>
    <w:rsid w:val="00934CB0"/>
    <w:rsid w:val="00942DDD"/>
    <w:rsid w:val="00942E9E"/>
    <w:rsid w:val="00943A27"/>
    <w:rsid w:val="0094406C"/>
    <w:rsid w:val="00945AF4"/>
    <w:rsid w:val="00946606"/>
    <w:rsid w:val="00952115"/>
    <w:rsid w:val="00954398"/>
    <w:rsid w:val="009558EF"/>
    <w:rsid w:val="00955E18"/>
    <w:rsid w:val="0095638A"/>
    <w:rsid w:val="00956C8A"/>
    <w:rsid w:val="00961638"/>
    <w:rsid w:val="0096418E"/>
    <w:rsid w:val="00966B20"/>
    <w:rsid w:val="00966C00"/>
    <w:rsid w:val="00967FB7"/>
    <w:rsid w:val="00971CAF"/>
    <w:rsid w:val="00971E9C"/>
    <w:rsid w:val="0097302A"/>
    <w:rsid w:val="009754FD"/>
    <w:rsid w:val="0097560C"/>
    <w:rsid w:val="00976F73"/>
    <w:rsid w:val="009774B1"/>
    <w:rsid w:val="009832BC"/>
    <w:rsid w:val="00983C57"/>
    <w:rsid w:val="00987252"/>
    <w:rsid w:val="009948D7"/>
    <w:rsid w:val="00995FA4"/>
    <w:rsid w:val="00996045"/>
    <w:rsid w:val="00996D20"/>
    <w:rsid w:val="009974CA"/>
    <w:rsid w:val="009A1CFC"/>
    <w:rsid w:val="009A5518"/>
    <w:rsid w:val="009B125D"/>
    <w:rsid w:val="009B4522"/>
    <w:rsid w:val="009B515A"/>
    <w:rsid w:val="009B5D51"/>
    <w:rsid w:val="009B6435"/>
    <w:rsid w:val="009B704E"/>
    <w:rsid w:val="009C2AD0"/>
    <w:rsid w:val="009C2BFE"/>
    <w:rsid w:val="009C4B61"/>
    <w:rsid w:val="009C7432"/>
    <w:rsid w:val="009D0297"/>
    <w:rsid w:val="009D1C56"/>
    <w:rsid w:val="009D791D"/>
    <w:rsid w:val="009E21FA"/>
    <w:rsid w:val="009F1063"/>
    <w:rsid w:val="009F2F55"/>
    <w:rsid w:val="009F3C75"/>
    <w:rsid w:val="009F7072"/>
    <w:rsid w:val="00A01DCE"/>
    <w:rsid w:val="00A02462"/>
    <w:rsid w:val="00A06112"/>
    <w:rsid w:val="00A07E27"/>
    <w:rsid w:val="00A1047E"/>
    <w:rsid w:val="00A12BDB"/>
    <w:rsid w:val="00A1315C"/>
    <w:rsid w:val="00A1341F"/>
    <w:rsid w:val="00A13D43"/>
    <w:rsid w:val="00A17C66"/>
    <w:rsid w:val="00A22C22"/>
    <w:rsid w:val="00A33DE4"/>
    <w:rsid w:val="00A37424"/>
    <w:rsid w:val="00A40CDA"/>
    <w:rsid w:val="00A40E79"/>
    <w:rsid w:val="00A4229C"/>
    <w:rsid w:val="00A42917"/>
    <w:rsid w:val="00A471FF"/>
    <w:rsid w:val="00A502CA"/>
    <w:rsid w:val="00A5317E"/>
    <w:rsid w:val="00A54EA5"/>
    <w:rsid w:val="00A557DA"/>
    <w:rsid w:val="00A55C18"/>
    <w:rsid w:val="00A57F05"/>
    <w:rsid w:val="00A61135"/>
    <w:rsid w:val="00A636B1"/>
    <w:rsid w:val="00A6384C"/>
    <w:rsid w:val="00A66684"/>
    <w:rsid w:val="00A66AC7"/>
    <w:rsid w:val="00A746CB"/>
    <w:rsid w:val="00A751F0"/>
    <w:rsid w:val="00A77916"/>
    <w:rsid w:val="00A81AB1"/>
    <w:rsid w:val="00A82090"/>
    <w:rsid w:val="00A82CF2"/>
    <w:rsid w:val="00A83066"/>
    <w:rsid w:val="00A83091"/>
    <w:rsid w:val="00A84B31"/>
    <w:rsid w:val="00A84C00"/>
    <w:rsid w:val="00A909BA"/>
    <w:rsid w:val="00A91BB6"/>
    <w:rsid w:val="00A939D1"/>
    <w:rsid w:val="00A976BE"/>
    <w:rsid w:val="00A9794C"/>
    <w:rsid w:val="00AA1CC1"/>
    <w:rsid w:val="00AA7B48"/>
    <w:rsid w:val="00AB08F1"/>
    <w:rsid w:val="00AB298B"/>
    <w:rsid w:val="00AB2B0C"/>
    <w:rsid w:val="00AB4706"/>
    <w:rsid w:val="00AC07DD"/>
    <w:rsid w:val="00AC0874"/>
    <w:rsid w:val="00AC1F93"/>
    <w:rsid w:val="00AC4763"/>
    <w:rsid w:val="00AC4F47"/>
    <w:rsid w:val="00AC6E07"/>
    <w:rsid w:val="00AC7012"/>
    <w:rsid w:val="00AC7841"/>
    <w:rsid w:val="00AD1408"/>
    <w:rsid w:val="00AD158A"/>
    <w:rsid w:val="00AD1AF7"/>
    <w:rsid w:val="00AD293A"/>
    <w:rsid w:val="00AD3B45"/>
    <w:rsid w:val="00AD43F1"/>
    <w:rsid w:val="00AD5847"/>
    <w:rsid w:val="00AE3109"/>
    <w:rsid w:val="00AE4D6E"/>
    <w:rsid w:val="00B01D40"/>
    <w:rsid w:val="00B04804"/>
    <w:rsid w:val="00B053E5"/>
    <w:rsid w:val="00B11763"/>
    <w:rsid w:val="00B11B30"/>
    <w:rsid w:val="00B130FF"/>
    <w:rsid w:val="00B13354"/>
    <w:rsid w:val="00B175D8"/>
    <w:rsid w:val="00B17F2F"/>
    <w:rsid w:val="00B2041D"/>
    <w:rsid w:val="00B21036"/>
    <w:rsid w:val="00B24269"/>
    <w:rsid w:val="00B2432E"/>
    <w:rsid w:val="00B25C18"/>
    <w:rsid w:val="00B266A9"/>
    <w:rsid w:val="00B27504"/>
    <w:rsid w:val="00B30E09"/>
    <w:rsid w:val="00B31C0A"/>
    <w:rsid w:val="00B33747"/>
    <w:rsid w:val="00B37332"/>
    <w:rsid w:val="00B407BE"/>
    <w:rsid w:val="00B42350"/>
    <w:rsid w:val="00B431F4"/>
    <w:rsid w:val="00B461E5"/>
    <w:rsid w:val="00B46B2F"/>
    <w:rsid w:val="00B47CD4"/>
    <w:rsid w:val="00B5259D"/>
    <w:rsid w:val="00B6039F"/>
    <w:rsid w:val="00B6094A"/>
    <w:rsid w:val="00B621DE"/>
    <w:rsid w:val="00B6360A"/>
    <w:rsid w:val="00B64004"/>
    <w:rsid w:val="00B640E4"/>
    <w:rsid w:val="00B709A1"/>
    <w:rsid w:val="00B71964"/>
    <w:rsid w:val="00B71D7E"/>
    <w:rsid w:val="00B72206"/>
    <w:rsid w:val="00B76955"/>
    <w:rsid w:val="00B80355"/>
    <w:rsid w:val="00B83917"/>
    <w:rsid w:val="00B84A0F"/>
    <w:rsid w:val="00B85900"/>
    <w:rsid w:val="00B87CDA"/>
    <w:rsid w:val="00B9033D"/>
    <w:rsid w:val="00B91E0C"/>
    <w:rsid w:val="00B97915"/>
    <w:rsid w:val="00BA119B"/>
    <w:rsid w:val="00BA16BF"/>
    <w:rsid w:val="00BA59A6"/>
    <w:rsid w:val="00BA6C86"/>
    <w:rsid w:val="00BA6CA4"/>
    <w:rsid w:val="00BA7FA6"/>
    <w:rsid w:val="00BB087F"/>
    <w:rsid w:val="00BB1282"/>
    <w:rsid w:val="00BB3085"/>
    <w:rsid w:val="00BB3749"/>
    <w:rsid w:val="00BB37A3"/>
    <w:rsid w:val="00BB6FB3"/>
    <w:rsid w:val="00BC03BF"/>
    <w:rsid w:val="00BC24BC"/>
    <w:rsid w:val="00BC49B7"/>
    <w:rsid w:val="00BC59A4"/>
    <w:rsid w:val="00BC72BA"/>
    <w:rsid w:val="00BD0962"/>
    <w:rsid w:val="00BD09C7"/>
    <w:rsid w:val="00BD304B"/>
    <w:rsid w:val="00BE3AEE"/>
    <w:rsid w:val="00BE3EF6"/>
    <w:rsid w:val="00BE707B"/>
    <w:rsid w:val="00BF1A60"/>
    <w:rsid w:val="00BF3118"/>
    <w:rsid w:val="00BF486C"/>
    <w:rsid w:val="00C0093D"/>
    <w:rsid w:val="00C014B5"/>
    <w:rsid w:val="00C03861"/>
    <w:rsid w:val="00C052D2"/>
    <w:rsid w:val="00C06610"/>
    <w:rsid w:val="00C06FF3"/>
    <w:rsid w:val="00C10434"/>
    <w:rsid w:val="00C14DD0"/>
    <w:rsid w:val="00C15969"/>
    <w:rsid w:val="00C217DA"/>
    <w:rsid w:val="00C23647"/>
    <w:rsid w:val="00C260FD"/>
    <w:rsid w:val="00C30A6C"/>
    <w:rsid w:val="00C33CA7"/>
    <w:rsid w:val="00C340B3"/>
    <w:rsid w:val="00C35DF2"/>
    <w:rsid w:val="00C37078"/>
    <w:rsid w:val="00C408A8"/>
    <w:rsid w:val="00C433DC"/>
    <w:rsid w:val="00C4361D"/>
    <w:rsid w:val="00C44E2A"/>
    <w:rsid w:val="00C45E0D"/>
    <w:rsid w:val="00C46A3E"/>
    <w:rsid w:val="00C470E6"/>
    <w:rsid w:val="00C475EE"/>
    <w:rsid w:val="00C47E5C"/>
    <w:rsid w:val="00C5027B"/>
    <w:rsid w:val="00C50580"/>
    <w:rsid w:val="00C50918"/>
    <w:rsid w:val="00C5392D"/>
    <w:rsid w:val="00C5462B"/>
    <w:rsid w:val="00C56ABB"/>
    <w:rsid w:val="00C633CC"/>
    <w:rsid w:val="00C64B8A"/>
    <w:rsid w:val="00C66B1B"/>
    <w:rsid w:val="00C710EA"/>
    <w:rsid w:val="00C73910"/>
    <w:rsid w:val="00C752C7"/>
    <w:rsid w:val="00C7579A"/>
    <w:rsid w:val="00C7609D"/>
    <w:rsid w:val="00C768EC"/>
    <w:rsid w:val="00C813B0"/>
    <w:rsid w:val="00C84ACA"/>
    <w:rsid w:val="00C857E9"/>
    <w:rsid w:val="00C92449"/>
    <w:rsid w:val="00C92DF7"/>
    <w:rsid w:val="00C9439B"/>
    <w:rsid w:val="00C9498E"/>
    <w:rsid w:val="00C96285"/>
    <w:rsid w:val="00C97E40"/>
    <w:rsid w:val="00CA2E9D"/>
    <w:rsid w:val="00CA4187"/>
    <w:rsid w:val="00CA5D03"/>
    <w:rsid w:val="00CA7AAE"/>
    <w:rsid w:val="00CA7BF3"/>
    <w:rsid w:val="00CB022B"/>
    <w:rsid w:val="00CB18CE"/>
    <w:rsid w:val="00CB2728"/>
    <w:rsid w:val="00CB3298"/>
    <w:rsid w:val="00CB37A5"/>
    <w:rsid w:val="00CB4D16"/>
    <w:rsid w:val="00CB5FCA"/>
    <w:rsid w:val="00CB6F42"/>
    <w:rsid w:val="00CB7319"/>
    <w:rsid w:val="00CB7E38"/>
    <w:rsid w:val="00CC127C"/>
    <w:rsid w:val="00CC15E3"/>
    <w:rsid w:val="00CC1A49"/>
    <w:rsid w:val="00CC2826"/>
    <w:rsid w:val="00CC3511"/>
    <w:rsid w:val="00CC74AA"/>
    <w:rsid w:val="00CC7915"/>
    <w:rsid w:val="00CD4405"/>
    <w:rsid w:val="00CD4529"/>
    <w:rsid w:val="00CD47C9"/>
    <w:rsid w:val="00CD5092"/>
    <w:rsid w:val="00CD6560"/>
    <w:rsid w:val="00CE2419"/>
    <w:rsid w:val="00CE29C2"/>
    <w:rsid w:val="00CE2C9D"/>
    <w:rsid w:val="00CE2F17"/>
    <w:rsid w:val="00CE341B"/>
    <w:rsid w:val="00CE6082"/>
    <w:rsid w:val="00CE6F7D"/>
    <w:rsid w:val="00CF31D6"/>
    <w:rsid w:val="00CF4146"/>
    <w:rsid w:val="00CF59A1"/>
    <w:rsid w:val="00D00557"/>
    <w:rsid w:val="00D020D9"/>
    <w:rsid w:val="00D0488C"/>
    <w:rsid w:val="00D113C8"/>
    <w:rsid w:val="00D116A9"/>
    <w:rsid w:val="00D1567A"/>
    <w:rsid w:val="00D15BE0"/>
    <w:rsid w:val="00D15E6A"/>
    <w:rsid w:val="00D17300"/>
    <w:rsid w:val="00D20D83"/>
    <w:rsid w:val="00D226AD"/>
    <w:rsid w:val="00D2406A"/>
    <w:rsid w:val="00D24FFA"/>
    <w:rsid w:val="00D2652F"/>
    <w:rsid w:val="00D26932"/>
    <w:rsid w:val="00D2697D"/>
    <w:rsid w:val="00D274D6"/>
    <w:rsid w:val="00D307F7"/>
    <w:rsid w:val="00D30C40"/>
    <w:rsid w:val="00D31BA5"/>
    <w:rsid w:val="00D330CC"/>
    <w:rsid w:val="00D33669"/>
    <w:rsid w:val="00D34045"/>
    <w:rsid w:val="00D36DEE"/>
    <w:rsid w:val="00D37437"/>
    <w:rsid w:val="00D37F5E"/>
    <w:rsid w:val="00D40B35"/>
    <w:rsid w:val="00D42B7A"/>
    <w:rsid w:val="00D439BD"/>
    <w:rsid w:val="00D443DC"/>
    <w:rsid w:val="00D457AB"/>
    <w:rsid w:val="00D47E4D"/>
    <w:rsid w:val="00D515C5"/>
    <w:rsid w:val="00D51616"/>
    <w:rsid w:val="00D522A5"/>
    <w:rsid w:val="00D52FC9"/>
    <w:rsid w:val="00D54A9D"/>
    <w:rsid w:val="00D56938"/>
    <w:rsid w:val="00D56F27"/>
    <w:rsid w:val="00D601E4"/>
    <w:rsid w:val="00D6133F"/>
    <w:rsid w:val="00D64EC7"/>
    <w:rsid w:val="00D71778"/>
    <w:rsid w:val="00D72D84"/>
    <w:rsid w:val="00D7381F"/>
    <w:rsid w:val="00D740D8"/>
    <w:rsid w:val="00D77706"/>
    <w:rsid w:val="00D813AB"/>
    <w:rsid w:val="00D846AF"/>
    <w:rsid w:val="00D84B07"/>
    <w:rsid w:val="00D85179"/>
    <w:rsid w:val="00D87F46"/>
    <w:rsid w:val="00D9171D"/>
    <w:rsid w:val="00D95730"/>
    <w:rsid w:val="00D95C91"/>
    <w:rsid w:val="00DA08B5"/>
    <w:rsid w:val="00DA46D8"/>
    <w:rsid w:val="00DA5B11"/>
    <w:rsid w:val="00DA612A"/>
    <w:rsid w:val="00DA61A8"/>
    <w:rsid w:val="00DB3E0E"/>
    <w:rsid w:val="00DB7329"/>
    <w:rsid w:val="00DC1C20"/>
    <w:rsid w:val="00DC1D97"/>
    <w:rsid w:val="00DC3567"/>
    <w:rsid w:val="00DC7E9E"/>
    <w:rsid w:val="00DD22C1"/>
    <w:rsid w:val="00DD5732"/>
    <w:rsid w:val="00DD65F0"/>
    <w:rsid w:val="00DE09D0"/>
    <w:rsid w:val="00DE2ADD"/>
    <w:rsid w:val="00DE382D"/>
    <w:rsid w:val="00DF0331"/>
    <w:rsid w:val="00DF1CD4"/>
    <w:rsid w:val="00DF2759"/>
    <w:rsid w:val="00DF291C"/>
    <w:rsid w:val="00DF3CEF"/>
    <w:rsid w:val="00DF7518"/>
    <w:rsid w:val="00DF754D"/>
    <w:rsid w:val="00E00CB4"/>
    <w:rsid w:val="00E05F7D"/>
    <w:rsid w:val="00E10251"/>
    <w:rsid w:val="00E11305"/>
    <w:rsid w:val="00E11B06"/>
    <w:rsid w:val="00E13FB3"/>
    <w:rsid w:val="00E14C7F"/>
    <w:rsid w:val="00E156B7"/>
    <w:rsid w:val="00E166CE"/>
    <w:rsid w:val="00E21FCC"/>
    <w:rsid w:val="00E22426"/>
    <w:rsid w:val="00E22CD7"/>
    <w:rsid w:val="00E33B9C"/>
    <w:rsid w:val="00E34F65"/>
    <w:rsid w:val="00E3534B"/>
    <w:rsid w:val="00E354D4"/>
    <w:rsid w:val="00E41C01"/>
    <w:rsid w:val="00E4387F"/>
    <w:rsid w:val="00E465FD"/>
    <w:rsid w:val="00E47FF3"/>
    <w:rsid w:val="00E50DA1"/>
    <w:rsid w:val="00E51ED0"/>
    <w:rsid w:val="00E52773"/>
    <w:rsid w:val="00E54B2F"/>
    <w:rsid w:val="00E60266"/>
    <w:rsid w:val="00E605F2"/>
    <w:rsid w:val="00E633C2"/>
    <w:rsid w:val="00E63818"/>
    <w:rsid w:val="00E64416"/>
    <w:rsid w:val="00E6591D"/>
    <w:rsid w:val="00E66556"/>
    <w:rsid w:val="00E668CD"/>
    <w:rsid w:val="00E66E5F"/>
    <w:rsid w:val="00E74FDD"/>
    <w:rsid w:val="00E76A60"/>
    <w:rsid w:val="00E81F0C"/>
    <w:rsid w:val="00E82AB6"/>
    <w:rsid w:val="00E82F1C"/>
    <w:rsid w:val="00E83D9D"/>
    <w:rsid w:val="00E86007"/>
    <w:rsid w:val="00E927AE"/>
    <w:rsid w:val="00E95078"/>
    <w:rsid w:val="00E955AB"/>
    <w:rsid w:val="00E95670"/>
    <w:rsid w:val="00E95BCC"/>
    <w:rsid w:val="00EA1200"/>
    <w:rsid w:val="00EA1A39"/>
    <w:rsid w:val="00EA331C"/>
    <w:rsid w:val="00EB0D64"/>
    <w:rsid w:val="00EB30C9"/>
    <w:rsid w:val="00EB3C3F"/>
    <w:rsid w:val="00EB4913"/>
    <w:rsid w:val="00EC238B"/>
    <w:rsid w:val="00EC27CE"/>
    <w:rsid w:val="00ED06F3"/>
    <w:rsid w:val="00ED2360"/>
    <w:rsid w:val="00ED2B9F"/>
    <w:rsid w:val="00ED4942"/>
    <w:rsid w:val="00ED6C8F"/>
    <w:rsid w:val="00ED6E60"/>
    <w:rsid w:val="00ED766C"/>
    <w:rsid w:val="00EE665C"/>
    <w:rsid w:val="00EE7B6A"/>
    <w:rsid w:val="00EF1497"/>
    <w:rsid w:val="00EF1613"/>
    <w:rsid w:val="00EF2D16"/>
    <w:rsid w:val="00F01948"/>
    <w:rsid w:val="00F0376D"/>
    <w:rsid w:val="00F05B0E"/>
    <w:rsid w:val="00F10231"/>
    <w:rsid w:val="00F10F43"/>
    <w:rsid w:val="00F11137"/>
    <w:rsid w:val="00F12D90"/>
    <w:rsid w:val="00F14C63"/>
    <w:rsid w:val="00F151A9"/>
    <w:rsid w:val="00F155D6"/>
    <w:rsid w:val="00F16879"/>
    <w:rsid w:val="00F24E13"/>
    <w:rsid w:val="00F25262"/>
    <w:rsid w:val="00F25FF1"/>
    <w:rsid w:val="00F26557"/>
    <w:rsid w:val="00F31035"/>
    <w:rsid w:val="00F31A86"/>
    <w:rsid w:val="00F3564A"/>
    <w:rsid w:val="00F3748C"/>
    <w:rsid w:val="00F421BE"/>
    <w:rsid w:val="00F444CA"/>
    <w:rsid w:val="00F47609"/>
    <w:rsid w:val="00F5091F"/>
    <w:rsid w:val="00F52893"/>
    <w:rsid w:val="00F55C88"/>
    <w:rsid w:val="00F572F0"/>
    <w:rsid w:val="00F57316"/>
    <w:rsid w:val="00F61723"/>
    <w:rsid w:val="00F664FD"/>
    <w:rsid w:val="00F66DB4"/>
    <w:rsid w:val="00F6777F"/>
    <w:rsid w:val="00F74D9B"/>
    <w:rsid w:val="00F75833"/>
    <w:rsid w:val="00F80BE9"/>
    <w:rsid w:val="00F81365"/>
    <w:rsid w:val="00F82C6D"/>
    <w:rsid w:val="00F84D71"/>
    <w:rsid w:val="00F86AAA"/>
    <w:rsid w:val="00F92068"/>
    <w:rsid w:val="00F9428A"/>
    <w:rsid w:val="00F944A6"/>
    <w:rsid w:val="00F94DCC"/>
    <w:rsid w:val="00F94EFA"/>
    <w:rsid w:val="00F96C0C"/>
    <w:rsid w:val="00FA271F"/>
    <w:rsid w:val="00FA3568"/>
    <w:rsid w:val="00FA47DE"/>
    <w:rsid w:val="00FA52ED"/>
    <w:rsid w:val="00FB3D00"/>
    <w:rsid w:val="00FB4D59"/>
    <w:rsid w:val="00FB574E"/>
    <w:rsid w:val="00FB6A18"/>
    <w:rsid w:val="00FB73E0"/>
    <w:rsid w:val="00FC01AF"/>
    <w:rsid w:val="00FC0E17"/>
    <w:rsid w:val="00FC1DE7"/>
    <w:rsid w:val="00FC268E"/>
    <w:rsid w:val="00FC4E71"/>
    <w:rsid w:val="00FC620F"/>
    <w:rsid w:val="00FC77BA"/>
    <w:rsid w:val="00FD0C82"/>
    <w:rsid w:val="00FD0D7D"/>
    <w:rsid w:val="00FD31DB"/>
    <w:rsid w:val="00FD3EF8"/>
    <w:rsid w:val="00FD567D"/>
    <w:rsid w:val="00FD5FBC"/>
    <w:rsid w:val="00FE011F"/>
    <w:rsid w:val="00FE0CA6"/>
    <w:rsid w:val="00FE0D72"/>
    <w:rsid w:val="00FE1AA3"/>
    <w:rsid w:val="00FE2C54"/>
    <w:rsid w:val="00FE4D08"/>
    <w:rsid w:val="00FE623B"/>
    <w:rsid w:val="00FF1ADA"/>
    <w:rsid w:val="00FF1B2B"/>
    <w:rsid w:val="00FF2499"/>
    <w:rsid w:val="00FF50E9"/>
    <w:rsid w:val="00FF73C3"/>
    <w:rsid w:val="00FF7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7B607"/>
  <w14:defaultImageDpi w14:val="300"/>
  <w15:docId w15:val="{7C484995-4F40-43D8-9ABC-CD392FD4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14B5"/>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692EE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C4B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A84"/>
    <w:pPr>
      <w:ind w:left="720"/>
      <w:contextualSpacing/>
    </w:pPr>
  </w:style>
  <w:style w:type="character" w:styleId="CommentReference">
    <w:name w:val="annotation reference"/>
    <w:basedOn w:val="DefaultParagraphFont"/>
    <w:uiPriority w:val="99"/>
    <w:semiHidden/>
    <w:unhideWhenUsed/>
    <w:rsid w:val="00B47CD4"/>
    <w:rPr>
      <w:sz w:val="18"/>
      <w:szCs w:val="18"/>
    </w:rPr>
  </w:style>
  <w:style w:type="paragraph" w:styleId="CommentText">
    <w:name w:val="annotation text"/>
    <w:basedOn w:val="Normal"/>
    <w:link w:val="CommentTextChar"/>
    <w:uiPriority w:val="99"/>
    <w:unhideWhenUsed/>
    <w:rsid w:val="00B47CD4"/>
  </w:style>
  <w:style w:type="character" w:customStyle="1" w:styleId="CommentTextChar">
    <w:name w:val="Comment Text Char"/>
    <w:basedOn w:val="DefaultParagraphFont"/>
    <w:link w:val="CommentText"/>
    <w:uiPriority w:val="99"/>
    <w:rsid w:val="00B47CD4"/>
  </w:style>
  <w:style w:type="paragraph" w:styleId="CommentSubject">
    <w:name w:val="annotation subject"/>
    <w:basedOn w:val="CommentText"/>
    <w:next w:val="CommentText"/>
    <w:link w:val="CommentSubjectChar"/>
    <w:uiPriority w:val="99"/>
    <w:semiHidden/>
    <w:unhideWhenUsed/>
    <w:rsid w:val="00B47CD4"/>
    <w:rPr>
      <w:b/>
      <w:bCs/>
      <w:sz w:val="20"/>
      <w:szCs w:val="20"/>
    </w:rPr>
  </w:style>
  <w:style w:type="character" w:customStyle="1" w:styleId="CommentSubjectChar">
    <w:name w:val="Comment Subject Char"/>
    <w:basedOn w:val="CommentTextChar"/>
    <w:link w:val="CommentSubject"/>
    <w:uiPriority w:val="99"/>
    <w:semiHidden/>
    <w:rsid w:val="00B47CD4"/>
    <w:rPr>
      <w:b/>
      <w:bCs/>
      <w:sz w:val="20"/>
      <w:szCs w:val="20"/>
    </w:rPr>
  </w:style>
  <w:style w:type="paragraph" w:styleId="BalloonText">
    <w:name w:val="Balloon Text"/>
    <w:basedOn w:val="Normal"/>
    <w:link w:val="BalloonTextChar"/>
    <w:uiPriority w:val="99"/>
    <w:semiHidden/>
    <w:unhideWhenUsed/>
    <w:rsid w:val="00B47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CD4"/>
    <w:rPr>
      <w:rFonts w:ascii="Lucida Grande" w:hAnsi="Lucida Grande" w:cs="Lucida Grande"/>
      <w:sz w:val="18"/>
      <w:szCs w:val="18"/>
    </w:rPr>
  </w:style>
  <w:style w:type="character" w:styleId="Hyperlink">
    <w:name w:val="Hyperlink"/>
    <w:basedOn w:val="DefaultParagraphFont"/>
    <w:uiPriority w:val="99"/>
    <w:unhideWhenUsed/>
    <w:rsid w:val="00D307F7"/>
    <w:rPr>
      <w:color w:val="0000FF" w:themeColor="hyperlink"/>
      <w:u w:val="single"/>
    </w:rPr>
  </w:style>
  <w:style w:type="character" w:customStyle="1" w:styleId="apple-converted-space">
    <w:name w:val="apple-converted-space"/>
    <w:basedOn w:val="DefaultParagraphFont"/>
    <w:rsid w:val="0040059E"/>
  </w:style>
  <w:style w:type="character" w:styleId="Emphasis">
    <w:name w:val="Emphasis"/>
    <w:basedOn w:val="DefaultParagraphFont"/>
    <w:uiPriority w:val="20"/>
    <w:qFormat/>
    <w:rsid w:val="0040059E"/>
    <w:rPr>
      <w:i/>
      <w:iCs/>
    </w:rPr>
  </w:style>
  <w:style w:type="paragraph" w:styleId="Revision">
    <w:name w:val="Revision"/>
    <w:hidden/>
    <w:uiPriority w:val="99"/>
    <w:semiHidden/>
    <w:rsid w:val="002A7F51"/>
  </w:style>
  <w:style w:type="character" w:customStyle="1" w:styleId="Heading1Char">
    <w:name w:val="Heading 1 Char"/>
    <w:basedOn w:val="DefaultParagraphFont"/>
    <w:link w:val="Heading1"/>
    <w:uiPriority w:val="9"/>
    <w:rsid w:val="00C014B5"/>
    <w:rPr>
      <w:rFonts w:ascii="Times New Roman" w:eastAsia="Times New Roman" w:hAnsi="Times New Roman" w:cs="Times New Roman"/>
      <w:b/>
      <w:bCs/>
      <w:kern w:val="36"/>
      <w:sz w:val="48"/>
      <w:szCs w:val="48"/>
      <w:lang w:val="en-US"/>
    </w:rPr>
  </w:style>
  <w:style w:type="paragraph" w:customStyle="1" w:styleId="Title1">
    <w:name w:val="Title1"/>
    <w:basedOn w:val="Normal"/>
    <w:rsid w:val="00C014B5"/>
    <w:pPr>
      <w:spacing w:before="100" w:beforeAutospacing="1" w:after="100" w:afterAutospacing="1"/>
    </w:pPr>
    <w:rPr>
      <w:rFonts w:ascii="Times New Roman" w:eastAsia="Times New Roman" w:hAnsi="Times New Roman" w:cs="Times New Roman"/>
      <w:lang w:val="en-US"/>
    </w:rPr>
  </w:style>
  <w:style w:type="paragraph" w:customStyle="1" w:styleId="desc">
    <w:name w:val="desc"/>
    <w:basedOn w:val="Normal"/>
    <w:rsid w:val="00C014B5"/>
    <w:pPr>
      <w:spacing w:before="100" w:beforeAutospacing="1" w:after="100" w:afterAutospacing="1"/>
    </w:pPr>
    <w:rPr>
      <w:rFonts w:ascii="Times New Roman" w:eastAsia="Times New Roman" w:hAnsi="Times New Roman" w:cs="Times New Roman"/>
      <w:lang w:val="en-US"/>
    </w:rPr>
  </w:style>
  <w:style w:type="paragraph" w:customStyle="1" w:styleId="details">
    <w:name w:val="details"/>
    <w:basedOn w:val="Normal"/>
    <w:rsid w:val="00C014B5"/>
    <w:pPr>
      <w:spacing w:before="100" w:beforeAutospacing="1" w:after="100" w:afterAutospacing="1"/>
    </w:pPr>
    <w:rPr>
      <w:rFonts w:ascii="Times New Roman" w:eastAsia="Times New Roman" w:hAnsi="Times New Roman" w:cs="Times New Roman"/>
      <w:lang w:val="en-US"/>
    </w:rPr>
  </w:style>
  <w:style w:type="character" w:customStyle="1" w:styleId="jrnl">
    <w:name w:val="jrnl"/>
    <w:basedOn w:val="DefaultParagraphFont"/>
    <w:rsid w:val="00C014B5"/>
  </w:style>
  <w:style w:type="paragraph" w:styleId="Header">
    <w:name w:val="header"/>
    <w:basedOn w:val="Normal"/>
    <w:link w:val="HeaderChar"/>
    <w:uiPriority w:val="99"/>
    <w:unhideWhenUsed/>
    <w:rsid w:val="00C014B5"/>
    <w:pPr>
      <w:tabs>
        <w:tab w:val="center" w:pos="4680"/>
        <w:tab w:val="right" w:pos="9360"/>
      </w:tabs>
    </w:pPr>
  </w:style>
  <w:style w:type="character" w:customStyle="1" w:styleId="HeaderChar">
    <w:name w:val="Header Char"/>
    <w:basedOn w:val="DefaultParagraphFont"/>
    <w:link w:val="Header"/>
    <w:uiPriority w:val="99"/>
    <w:rsid w:val="00C014B5"/>
  </w:style>
  <w:style w:type="paragraph" w:styleId="Footer">
    <w:name w:val="footer"/>
    <w:basedOn w:val="Normal"/>
    <w:link w:val="FooterChar"/>
    <w:uiPriority w:val="99"/>
    <w:unhideWhenUsed/>
    <w:rsid w:val="00C014B5"/>
    <w:pPr>
      <w:tabs>
        <w:tab w:val="center" w:pos="4680"/>
        <w:tab w:val="right" w:pos="9360"/>
      </w:tabs>
    </w:pPr>
  </w:style>
  <w:style w:type="character" w:customStyle="1" w:styleId="FooterChar">
    <w:name w:val="Footer Char"/>
    <w:basedOn w:val="DefaultParagraphFont"/>
    <w:link w:val="Footer"/>
    <w:uiPriority w:val="99"/>
    <w:rsid w:val="00C014B5"/>
  </w:style>
  <w:style w:type="character" w:customStyle="1" w:styleId="highlight">
    <w:name w:val="highlight"/>
    <w:basedOn w:val="DefaultParagraphFont"/>
    <w:rsid w:val="00C014B5"/>
  </w:style>
  <w:style w:type="paragraph" w:styleId="Title">
    <w:name w:val="Title"/>
    <w:basedOn w:val="Normal"/>
    <w:link w:val="TitleChar"/>
    <w:uiPriority w:val="10"/>
    <w:qFormat/>
    <w:rsid w:val="00C014B5"/>
    <w:pPr>
      <w:spacing w:before="100" w:beforeAutospacing="1" w:after="100" w:afterAutospacing="1"/>
    </w:pPr>
    <w:rPr>
      <w:rFonts w:ascii="Times" w:hAnsi="Times"/>
      <w:sz w:val="20"/>
      <w:szCs w:val="20"/>
      <w:lang w:val="en-US"/>
    </w:rPr>
  </w:style>
  <w:style w:type="character" w:customStyle="1" w:styleId="TitleChar">
    <w:name w:val="Title Char"/>
    <w:basedOn w:val="DefaultParagraphFont"/>
    <w:link w:val="Title"/>
    <w:uiPriority w:val="10"/>
    <w:rsid w:val="00C014B5"/>
    <w:rPr>
      <w:rFonts w:ascii="Times" w:hAnsi="Times"/>
      <w:sz w:val="20"/>
      <w:szCs w:val="20"/>
      <w:lang w:val="en-US"/>
    </w:rPr>
  </w:style>
  <w:style w:type="character" w:styleId="FollowedHyperlink">
    <w:name w:val="FollowedHyperlink"/>
    <w:basedOn w:val="DefaultParagraphFont"/>
    <w:uiPriority w:val="99"/>
    <w:semiHidden/>
    <w:unhideWhenUsed/>
    <w:rsid w:val="00C014B5"/>
    <w:rPr>
      <w:color w:val="800080" w:themeColor="followedHyperlink"/>
      <w:u w:val="single"/>
    </w:rPr>
  </w:style>
  <w:style w:type="character" w:customStyle="1" w:styleId="UnresolvedMention1">
    <w:name w:val="Unresolved Mention1"/>
    <w:basedOn w:val="DefaultParagraphFont"/>
    <w:uiPriority w:val="99"/>
    <w:semiHidden/>
    <w:unhideWhenUsed/>
    <w:rsid w:val="00DF2759"/>
    <w:rPr>
      <w:color w:val="605E5C"/>
      <w:shd w:val="clear" w:color="auto" w:fill="E1DFDD"/>
    </w:rPr>
  </w:style>
  <w:style w:type="paragraph" w:styleId="NormalWeb">
    <w:name w:val="Normal (Web)"/>
    <w:basedOn w:val="Normal"/>
    <w:uiPriority w:val="99"/>
    <w:unhideWhenUsed/>
    <w:rsid w:val="00D439BD"/>
    <w:pPr>
      <w:spacing w:before="100" w:beforeAutospacing="1" w:after="100" w:afterAutospacing="1"/>
    </w:pPr>
    <w:rPr>
      <w:rFonts w:ascii="Times New Roman" w:hAnsi="Times New Roman" w:cs="Times New Roman"/>
      <w:sz w:val="20"/>
      <w:szCs w:val="20"/>
    </w:rPr>
  </w:style>
  <w:style w:type="character" w:customStyle="1" w:styleId="complextitleprimary">
    <w:name w:val="complextitle_primary"/>
    <w:basedOn w:val="DefaultParagraphFont"/>
    <w:rsid w:val="00433B6A"/>
  </w:style>
  <w:style w:type="character" w:customStyle="1" w:styleId="complextitlesecondary">
    <w:name w:val="complextitle_secondary"/>
    <w:basedOn w:val="DefaultParagraphFont"/>
    <w:rsid w:val="00433B6A"/>
  </w:style>
  <w:style w:type="character" w:customStyle="1" w:styleId="Heading4Char">
    <w:name w:val="Heading 4 Char"/>
    <w:basedOn w:val="DefaultParagraphFont"/>
    <w:link w:val="Heading4"/>
    <w:uiPriority w:val="9"/>
    <w:semiHidden/>
    <w:rsid w:val="009C4B61"/>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9C4B61"/>
  </w:style>
  <w:style w:type="character" w:customStyle="1" w:styleId="separator">
    <w:name w:val="separator"/>
    <w:basedOn w:val="DefaultParagraphFont"/>
    <w:rsid w:val="009C4B61"/>
  </w:style>
  <w:style w:type="character" w:customStyle="1" w:styleId="value">
    <w:name w:val="value"/>
    <w:basedOn w:val="DefaultParagraphFont"/>
    <w:rsid w:val="009C4B61"/>
  </w:style>
  <w:style w:type="paragraph" w:styleId="NoSpacing">
    <w:name w:val="No Spacing"/>
    <w:uiPriority w:val="1"/>
    <w:qFormat/>
    <w:rsid w:val="004B06B4"/>
    <w:rPr>
      <w:rFonts w:eastAsiaTheme="minorHAnsi"/>
      <w:sz w:val="22"/>
      <w:szCs w:val="22"/>
    </w:rPr>
  </w:style>
  <w:style w:type="character" w:customStyle="1" w:styleId="UnresolvedMention2">
    <w:name w:val="Unresolved Mention2"/>
    <w:basedOn w:val="DefaultParagraphFont"/>
    <w:uiPriority w:val="99"/>
    <w:semiHidden/>
    <w:unhideWhenUsed/>
    <w:rsid w:val="00F84D71"/>
    <w:rPr>
      <w:color w:val="605E5C"/>
      <w:shd w:val="clear" w:color="auto" w:fill="E1DFDD"/>
    </w:rPr>
  </w:style>
  <w:style w:type="paragraph" w:styleId="HTMLPreformatted">
    <w:name w:val="HTML Preformatted"/>
    <w:basedOn w:val="Normal"/>
    <w:link w:val="HTMLPreformattedChar"/>
    <w:uiPriority w:val="99"/>
    <w:semiHidden/>
    <w:unhideWhenUsed/>
    <w:rsid w:val="009C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C7432"/>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692EE9"/>
    <w:rPr>
      <w:rFonts w:asciiTheme="majorHAnsi" w:eastAsiaTheme="majorEastAsia" w:hAnsiTheme="majorHAnsi" w:cstheme="majorBidi"/>
      <w:color w:val="243F60" w:themeColor="accent1" w:themeShade="7F"/>
    </w:rPr>
  </w:style>
  <w:style w:type="character" w:customStyle="1" w:styleId="ui-ncbitoggler-master-text">
    <w:name w:val="ui-ncbitoggler-master-text"/>
    <w:basedOn w:val="DefaultParagraphFont"/>
    <w:rsid w:val="00692EE9"/>
  </w:style>
  <w:style w:type="paragraph" w:customStyle="1" w:styleId="Title2">
    <w:name w:val="Title2"/>
    <w:basedOn w:val="Normal"/>
    <w:rsid w:val="00332745"/>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630">
      <w:bodyDiv w:val="1"/>
      <w:marLeft w:val="0"/>
      <w:marRight w:val="0"/>
      <w:marTop w:val="0"/>
      <w:marBottom w:val="0"/>
      <w:divBdr>
        <w:top w:val="none" w:sz="0" w:space="0" w:color="auto"/>
        <w:left w:val="none" w:sz="0" w:space="0" w:color="auto"/>
        <w:bottom w:val="none" w:sz="0" w:space="0" w:color="auto"/>
        <w:right w:val="none" w:sz="0" w:space="0" w:color="auto"/>
      </w:divBdr>
    </w:div>
    <w:div w:id="12610913">
      <w:bodyDiv w:val="1"/>
      <w:marLeft w:val="0"/>
      <w:marRight w:val="0"/>
      <w:marTop w:val="0"/>
      <w:marBottom w:val="0"/>
      <w:divBdr>
        <w:top w:val="none" w:sz="0" w:space="0" w:color="auto"/>
        <w:left w:val="none" w:sz="0" w:space="0" w:color="auto"/>
        <w:bottom w:val="none" w:sz="0" w:space="0" w:color="auto"/>
        <w:right w:val="none" w:sz="0" w:space="0" w:color="auto"/>
      </w:divBdr>
      <w:divsChild>
        <w:div w:id="1046948003">
          <w:marLeft w:val="0"/>
          <w:marRight w:val="0"/>
          <w:marTop w:val="34"/>
          <w:marBottom w:val="34"/>
          <w:divBdr>
            <w:top w:val="none" w:sz="0" w:space="0" w:color="auto"/>
            <w:left w:val="none" w:sz="0" w:space="0" w:color="auto"/>
            <w:bottom w:val="none" w:sz="0" w:space="0" w:color="auto"/>
            <w:right w:val="none" w:sz="0" w:space="0" w:color="auto"/>
          </w:divBdr>
        </w:div>
      </w:divsChild>
    </w:div>
    <w:div w:id="28379932">
      <w:bodyDiv w:val="1"/>
      <w:marLeft w:val="0"/>
      <w:marRight w:val="0"/>
      <w:marTop w:val="0"/>
      <w:marBottom w:val="0"/>
      <w:divBdr>
        <w:top w:val="none" w:sz="0" w:space="0" w:color="auto"/>
        <w:left w:val="none" w:sz="0" w:space="0" w:color="auto"/>
        <w:bottom w:val="none" w:sz="0" w:space="0" w:color="auto"/>
        <w:right w:val="none" w:sz="0" w:space="0" w:color="auto"/>
      </w:divBdr>
      <w:divsChild>
        <w:div w:id="1050882145">
          <w:marLeft w:val="0"/>
          <w:marRight w:val="0"/>
          <w:marTop w:val="34"/>
          <w:marBottom w:val="34"/>
          <w:divBdr>
            <w:top w:val="none" w:sz="0" w:space="0" w:color="auto"/>
            <w:left w:val="none" w:sz="0" w:space="0" w:color="auto"/>
            <w:bottom w:val="none" w:sz="0" w:space="0" w:color="auto"/>
            <w:right w:val="none" w:sz="0" w:space="0" w:color="auto"/>
          </w:divBdr>
        </w:div>
      </w:divsChild>
    </w:div>
    <w:div w:id="275868641">
      <w:bodyDiv w:val="1"/>
      <w:marLeft w:val="0"/>
      <w:marRight w:val="0"/>
      <w:marTop w:val="0"/>
      <w:marBottom w:val="0"/>
      <w:divBdr>
        <w:top w:val="none" w:sz="0" w:space="0" w:color="auto"/>
        <w:left w:val="none" w:sz="0" w:space="0" w:color="auto"/>
        <w:bottom w:val="none" w:sz="0" w:space="0" w:color="auto"/>
        <w:right w:val="none" w:sz="0" w:space="0" w:color="auto"/>
      </w:divBdr>
    </w:div>
    <w:div w:id="287589123">
      <w:bodyDiv w:val="1"/>
      <w:marLeft w:val="0"/>
      <w:marRight w:val="0"/>
      <w:marTop w:val="0"/>
      <w:marBottom w:val="0"/>
      <w:divBdr>
        <w:top w:val="none" w:sz="0" w:space="0" w:color="auto"/>
        <w:left w:val="none" w:sz="0" w:space="0" w:color="auto"/>
        <w:bottom w:val="none" w:sz="0" w:space="0" w:color="auto"/>
        <w:right w:val="none" w:sz="0" w:space="0" w:color="auto"/>
      </w:divBdr>
      <w:divsChild>
        <w:div w:id="1272085139">
          <w:marLeft w:val="0"/>
          <w:marRight w:val="0"/>
          <w:marTop w:val="34"/>
          <w:marBottom w:val="34"/>
          <w:divBdr>
            <w:top w:val="none" w:sz="0" w:space="0" w:color="auto"/>
            <w:left w:val="none" w:sz="0" w:space="0" w:color="auto"/>
            <w:bottom w:val="none" w:sz="0" w:space="0" w:color="auto"/>
            <w:right w:val="none" w:sz="0" w:space="0" w:color="auto"/>
          </w:divBdr>
        </w:div>
      </w:divsChild>
    </w:div>
    <w:div w:id="358169087">
      <w:bodyDiv w:val="1"/>
      <w:marLeft w:val="0"/>
      <w:marRight w:val="0"/>
      <w:marTop w:val="0"/>
      <w:marBottom w:val="0"/>
      <w:divBdr>
        <w:top w:val="none" w:sz="0" w:space="0" w:color="auto"/>
        <w:left w:val="none" w:sz="0" w:space="0" w:color="auto"/>
        <w:bottom w:val="none" w:sz="0" w:space="0" w:color="auto"/>
        <w:right w:val="none" w:sz="0" w:space="0" w:color="auto"/>
      </w:divBdr>
    </w:div>
    <w:div w:id="358623627">
      <w:bodyDiv w:val="1"/>
      <w:marLeft w:val="0"/>
      <w:marRight w:val="0"/>
      <w:marTop w:val="0"/>
      <w:marBottom w:val="0"/>
      <w:divBdr>
        <w:top w:val="none" w:sz="0" w:space="0" w:color="auto"/>
        <w:left w:val="none" w:sz="0" w:space="0" w:color="auto"/>
        <w:bottom w:val="none" w:sz="0" w:space="0" w:color="auto"/>
        <w:right w:val="none" w:sz="0" w:space="0" w:color="auto"/>
      </w:divBdr>
    </w:div>
    <w:div w:id="376928903">
      <w:bodyDiv w:val="1"/>
      <w:marLeft w:val="0"/>
      <w:marRight w:val="0"/>
      <w:marTop w:val="0"/>
      <w:marBottom w:val="0"/>
      <w:divBdr>
        <w:top w:val="none" w:sz="0" w:space="0" w:color="auto"/>
        <w:left w:val="none" w:sz="0" w:space="0" w:color="auto"/>
        <w:bottom w:val="none" w:sz="0" w:space="0" w:color="auto"/>
        <w:right w:val="none" w:sz="0" w:space="0" w:color="auto"/>
      </w:divBdr>
      <w:divsChild>
        <w:div w:id="1920213702">
          <w:marLeft w:val="0"/>
          <w:marRight w:val="0"/>
          <w:marTop w:val="34"/>
          <w:marBottom w:val="34"/>
          <w:divBdr>
            <w:top w:val="none" w:sz="0" w:space="0" w:color="auto"/>
            <w:left w:val="none" w:sz="0" w:space="0" w:color="auto"/>
            <w:bottom w:val="none" w:sz="0" w:space="0" w:color="auto"/>
            <w:right w:val="none" w:sz="0" w:space="0" w:color="auto"/>
          </w:divBdr>
        </w:div>
      </w:divsChild>
    </w:div>
    <w:div w:id="469832423">
      <w:bodyDiv w:val="1"/>
      <w:marLeft w:val="0"/>
      <w:marRight w:val="0"/>
      <w:marTop w:val="0"/>
      <w:marBottom w:val="0"/>
      <w:divBdr>
        <w:top w:val="none" w:sz="0" w:space="0" w:color="auto"/>
        <w:left w:val="none" w:sz="0" w:space="0" w:color="auto"/>
        <w:bottom w:val="none" w:sz="0" w:space="0" w:color="auto"/>
        <w:right w:val="none" w:sz="0" w:space="0" w:color="auto"/>
      </w:divBdr>
      <w:divsChild>
        <w:div w:id="838154888">
          <w:marLeft w:val="0"/>
          <w:marRight w:val="0"/>
          <w:marTop w:val="34"/>
          <w:marBottom w:val="34"/>
          <w:divBdr>
            <w:top w:val="none" w:sz="0" w:space="0" w:color="auto"/>
            <w:left w:val="none" w:sz="0" w:space="0" w:color="auto"/>
            <w:bottom w:val="none" w:sz="0" w:space="0" w:color="auto"/>
            <w:right w:val="none" w:sz="0" w:space="0" w:color="auto"/>
          </w:divBdr>
        </w:div>
      </w:divsChild>
    </w:div>
    <w:div w:id="581305854">
      <w:bodyDiv w:val="1"/>
      <w:marLeft w:val="0"/>
      <w:marRight w:val="0"/>
      <w:marTop w:val="0"/>
      <w:marBottom w:val="0"/>
      <w:divBdr>
        <w:top w:val="none" w:sz="0" w:space="0" w:color="auto"/>
        <w:left w:val="none" w:sz="0" w:space="0" w:color="auto"/>
        <w:bottom w:val="none" w:sz="0" w:space="0" w:color="auto"/>
        <w:right w:val="none" w:sz="0" w:space="0" w:color="auto"/>
      </w:divBdr>
    </w:div>
    <w:div w:id="700740370">
      <w:bodyDiv w:val="1"/>
      <w:marLeft w:val="0"/>
      <w:marRight w:val="0"/>
      <w:marTop w:val="0"/>
      <w:marBottom w:val="0"/>
      <w:divBdr>
        <w:top w:val="none" w:sz="0" w:space="0" w:color="auto"/>
        <w:left w:val="none" w:sz="0" w:space="0" w:color="auto"/>
        <w:bottom w:val="none" w:sz="0" w:space="0" w:color="auto"/>
        <w:right w:val="none" w:sz="0" w:space="0" w:color="auto"/>
      </w:divBdr>
    </w:div>
    <w:div w:id="768819314">
      <w:bodyDiv w:val="1"/>
      <w:marLeft w:val="0"/>
      <w:marRight w:val="0"/>
      <w:marTop w:val="0"/>
      <w:marBottom w:val="0"/>
      <w:divBdr>
        <w:top w:val="none" w:sz="0" w:space="0" w:color="auto"/>
        <w:left w:val="none" w:sz="0" w:space="0" w:color="auto"/>
        <w:bottom w:val="none" w:sz="0" w:space="0" w:color="auto"/>
        <w:right w:val="none" w:sz="0" w:space="0" w:color="auto"/>
      </w:divBdr>
      <w:divsChild>
        <w:div w:id="768283197">
          <w:marLeft w:val="0"/>
          <w:marRight w:val="0"/>
          <w:marTop w:val="34"/>
          <w:marBottom w:val="34"/>
          <w:divBdr>
            <w:top w:val="none" w:sz="0" w:space="0" w:color="auto"/>
            <w:left w:val="none" w:sz="0" w:space="0" w:color="auto"/>
            <w:bottom w:val="none" w:sz="0" w:space="0" w:color="auto"/>
            <w:right w:val="none" w:sz="0" w:space="0" w:color="auto"/>
          </w:divBdr>
        </w:div>
      </w:divsChild>
    </w:div>
    <w:div w:id="940378843">
      <w:bodyDiv w:val="1"/>
      <w:marLeft w:val="0"/>
      <w:marRight w:val="0"/>
      <w:marTop w:val="0"/>
      <w:marBottom w:val="0"/>
      <w:divBdr>
        <w:top w:val="none" w:sz="0" w:space="0" w:color="auto"/>
        <w:left w:val="none" w:sz="0" w:space="0" w:color="auto"/>
        <w:bottom w:val="none" w:sz="0" w:space="0" w:color="auto"/>
        <w:right w:val="none" w:sz="0" w:space="0" w:color="auto"/>
      </w:divBdr>
    </w:div>
    <w:div w:id="1084567808">
      <w:bodyDiv w:val="1"/>
      <w:marLeft w:val="0"/>
      <w:marRight w:val="0"/>
      <w:marTop w:val="0"/>
      <w:marBottom w:val="0"/>
      <w:divBdr>
        <w:top w:val="none" w:sz="0" w:space="0" w:color="auto"/>
        <w:left w:val="none" w:sz="0" w:space="0" w:color="auto"/>
        <w:bottom w:val="none" w:sz="0" w:space="0" w:color="auto"/>
        <w:right w:val="none" w:sz="0" w:space="0" w:color="auto"/>
      </w:divBdr>
      <w:divsChild>
        <w:div w:id="274365183">
          <w:marLeft w:val="0"/>
          <w:marRight w:val="0"/>
          <w:marTop w:val="34"/>
          <w:marBottom w:val="34"/>
          <w:divBdr>
            <w:top w:val="none" w:sz="0" w:space="0" w:color="auto"/>
            <w:left w:val="none" w:sz="0" w:space="0" w:color="auto"/>
            <w:bottom w:val="none" w:sz="0" w:space="0" w:color="auto"/>
            <w:right w:val="none" w:sz="0" w:space="0" w:color="auto"/>
          </w:divBdr>
        </w:div>
      </w:divsChild>
    </w:div>
    <w:div w:id="1110203371">
      <w:bodyDiv w:val="1"/>
      <w:marLeft w:val="0"/>
      <w:marRight w:val="0"/>
      <w:marTop w:val="0"/>
      <w:marBottom w:val="0"/>
      <w:divBdr>
        <w:top w:val="none" w:sz="0" w:space="0" w:color="auto"/>
        <w:left w:val="none" w:sz="0" w:space="0" w:color="auto"/>
        <w:bottom w:val="none" w:sz="0" w:space="0" w:color="auto"/>
        <w:right w:val="none" w:sz="0" w:space="0" w:color="auto"/>
      </w:divBdr>
    </w:div>
    <w:div w:id="1303656806">
      <w:bodyDiv w:val="1"/>
      <w:marLeft w:val="0"/>
      <w:marRight w:val="0"/>
      <w:marTop w:val="0"/>
      <w:marBottom w:val="0"/>
      <w:divBdr>
        <w:top w:val="none" w:sz="0" w:space="0" w:color="auto"/>
        <w:left w:val="none" w:sz="0" w:space="0" w:color="auto"/>
        <w:bottom w:val="none" w:sz="0" w:space="0" w:color="auto"/>
        <w:right w:val="none" w:sz="0" w:space="0" w:color="auto"/>
      </w:divBdr>
      <w:divsChild>
        <w:div w:id="147675685">
          <w:marLeft w:val="0"/>
          <w:marRight w:val="0"/>
          <w:marTop w:val="34"/>
          <w:marBottom w:val="34"/>
          <w:divBdr>
            <w:top w:val="none" w:sz="0" w:space="0" w:color="auto"/>
            <w:left w:val="none" w:sz="0" w:space="0" w:color="auto"/>
            <w:bottom w:val="none" w:sz="0" w:space="0" w:color="auto"/>
            <w:right w:val="none" w:sz="0" w:space="0" w:color="auto"/>
          </w:divBdr>
        </w:div>
      </w:divsChild>
    </w:div>
    <w:div w:id="1328559455">
      <w:bodyDiv w:val="1"/>
      <w:marLeft w:val="0"/>
      <w:marRight w:val="0"/>
      <w:marTop w:val="0"/>
      <w:marBottom w:val="0"/>
      <w:divBdr>
        <w:top w:val="none" w:sz="0" w:space="0" w:color="auto"/>
        <w:left w:val="none" w:sz="0" w:space="0" w:color="auto"/>
        <w:bottom w:val="none" w:sz="0" w:space="0" w:color="auto"/>
        <w:right w:val="none" w:sz="0" w:space="0" w:color="auto"/>
      </w:divBdr>
    </w:div>
    <w:div w:id="1340309030">
      <w:bodyDiv w:val="1"/>
      <w:marLeft w:val="0"/>
      <w:marRight w:val="0"/>
      <w:marTop w:val="0"/>
      <w:marBottom w:val="0"/>
      <w:divBdr>
        <w:top w:val="none" w:sz="0" w:space="0" w:color="auto"/>
        <w:left w:val="none" w:sz="0" w:space="0" w:color="auto"/>
        <w:bottom w:val="none" w:sz="0" w:space="0" w:color="auto"/>
        <w:right w:val="none" w:sz="0" w:space="0" w:color="auto"/>
      </w:divBdr>
    </w:div>
    <w:div w:id="1452671180">
      <w:bodyDiv w:val="1"/>
      <w:marLeft w:val="0"/>
      <w:marRight w:val="0"/>
      <w:marTop w:val="0"/>
      <w:marBottom w:val="0"/>
      <w:divBdr>
        <w:top w:val="none" w:sz="0" w:space="0" w:color="auto"/>
        <w:left w:val="none" w:sz="0" w:space="0" w:color="auto"/>
        <w:bottom w:val="none" w:sz="0" w:space="0" w:color="auto"/>
        <w:right w:val="none" w:sz="0" w:space="0" w:color="auto"/>
      </w:divBdr>
      <w:divsChild>
        <w:div w:id="38750929">
          <w:marLeft w:val="0"/>
          <w:marRight w:val="0"/>
          <w:marTop w:val="0"/>
          <w:marBottom w:val="0"/>
          <w:divBdr>
            <w:top w:val="none" w:sz="0" w:space="0" w:color="auto"/>
            <w:left w:val="none" w:sz="0" w:space="0" w:color="auto"/>
            <w:bottom w:val="none" w:sz="0" w:space="0" w:color="auto"/>
            <w:right w:val="none" w:sz="0" w:space="0" w:color="auto"/>
          </w:divBdr>
          <w:divsChild>
            <w:div w:id="1065030567">
              <w:marLeft w:val="0"/>
              <w:marRight w:val="0"/>
              <w:marTop w:val="0"/>
              <w:marBottom w:val="0"/>
              <w:divBdr>
                <w:top w:val="none" w:sz="0" w:space="0" w:color="auto"/>
                <w:left w:val="none" w:sz="0" w:space="0" w:color="auto"/>
                <w:bottom w:val="none" w:sz="0" w:space="0" w:color="auto"/>
                <w:right w:val="none" w:sz="0" w:space="0" w:color="auto"/>
              </w:divBdr>
              <w:divsChild>
                <w:div w:id="1184713408">
                  <w:marLeft w:val="0"/>
                  <w:marRight w:val="0"/>
                  <w:marTop w:val="0"/>
                  <w:marBottom w:val="0"/>
                  <w:divBdr>
                    <w:top w:val="none" w:sz="0" w:space="0" w:color="auto"/>
                    <w:left w:val="none" w:sz="0" w:space="0" w:color="auto"/>
                    <w:bottom w:val="none" w:sz="0" w:space="0" w:color="auto"/>
                    <w:right w:val="none" w:sz="0" w:space="0" w:color="auto"/>
                  </w:divBdr>
                  <w:divsChild>
                    <w:div w:id="16641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52590">
      <w:bodyDiv w:val="1"/>
      <w:marLeft w:val="0"/>
      <w:marRight w:val="0"/>
      <w:marTop w:val="0"/>
      <w:marBottom w:val="0"/>
      <w:divBdr>
        <w:top w:val="none" w:sz="0" w:space="0" w:color="auto"/>
        <w:left w:val="none" w:sz="0" w:space="0" w:color="auto"/>
        <w:bottom w:val="none" w:sz="0" w:space="0" w:color="auto"/>
        <w:right w:val="none" w:sz="0" w:space="0" w:color="auto"/>
      </w:divBdr>
      <w:divsChild>
        <w:div w:id="603074442">
          <w:marLeft w:val="0"/>
          <w:marRight w:val="0"/>
          <w:marTop w:val="34"/>
          <w:marBottom w:val="34"/>
          <w:divBdr>
            <w:top w:val="none" w:sz="0" w:space="0" w:color="auto"/>
            <w:left w:val="none" w:sz="0" w:space="0" w:color="auto"/>
            <w:bottom w:val="none" w:sz="0" w:space="0" w:color="auto"/>
            <w:right w:val="none" w:sz="0" w:space="0" w:color="auto"/>
          </w:divBdr>
        </w:div>
      </w:divsChild>
    </w:div>
    <w:div w:id="1486585064">
      <w:bodyDiv w:val="1"/>
      <w:marLeft w:val="0"/>
      <w:marRight w:val="0"/>
      <w:marTop w:val="0"/>
      <w:marBottom w:val="0"/>
      <w:divBdr>
        <w:top w:val="none" w:sz="0" w:space="0" w:color="auto"/>
        <w:left w:val="none" w:sz="0" w:space="0" w:color="auto"/>
        <w:bottom w:val="none" w:sz="0" w:space="0" w:color="auto"/>
        <w:right w:val="none" w:sz="0" w:space="0" w:color="auto"/>
      </w:divBdr>
      <w:divsChild>
        <w:div w:id="273831157">
          <w:marLeft w:val="0"/>
          <w:marRight w:val="0"/>
          <w:marTop w:val="34"/>
          <w:marBottom w:val="34"/>
          <w:divBdr>
            <w:top w:val="none" w:sz="0" w:space="0" w:color="auto"/>
            <w:left w:val="none" w:sz="0" w:space="0" w:color="auto"/>
            <w:bottom w:val="none" w:sz="0" w:space="0" w:color="auto"/>
            <w:right w:val="none" w:sz="0" w:space="0" w:color="auto"/>
          </w:divBdr>
        </w:div>
      </w:divsChild>
    </w:div>
    <w:div w:id="1616669734">
      <w:bodyDiv w:val="1"/>
      <w:marLeft w:val="0"/>
      <w:marRight w:val="0"/>
      <w:marTop w:val="0"/>
      <w:marBottom w:val="0"/>
      <w:divBdr>
        <w:top w:val="none" w:sz="0" w:space="0" w:color="auto"/>
        <w:left w:val="none" w:sz="0" w:space="0" w:color="auto"/>
        <w:bottom w:val="none" w:sz="0" w:space="0" w:color="auto"/>
        <w:right w:val="none" w:sz="0" w:space="0" w:color="auto"/>
      </w:divBdr>
      <w:divsChild>
        <w:div w:id="1837308362">
          <w:marLeft w:val="0"/>
          <w:marRight w:val="0"/>
          <w:marTop w:val="34"/>
          <w:marBottom w:val="34"/>
          <w:divBdr>
            <w:top w:val="none" w:sz="0" w:space="0" w:color="auto"/>
            <w:left w:val="none" w:sz="0" w:space="0" w:color="auto"/>
            <w:bottom w:val="none" w:sz="0" w:space="0" w:color="auto"/>
            <w:right w:val="none" w:sz="0" w:space="0" w:color="auto"/>
          </w:divBdr>
        </w:div>
      </w:divsChild>
    </w:div>
    <w:div w:id="1702392109">
      <w:bodyDiv w:val="1"/>
      <w:marLeft w:val="0"/>
      <w:marRight w:val="0"/>
      <w:marTop w:val="0"/>
      <w:marBottom w:val="0"/>
      <w:divBdr>
        <w:top w:val="none" w:sz="0" w:space="0" w:color="auto"/>
        <w:left w:val="none" w:sz="0" w:space="0" w:color="auto"/>
        <w:bottom w:val="none" w:sz="0" w:space="0" w:color="auto"/>
        <w:right w:val="none" w:sz="0" w:space="0" w:color="auto"/>
      </w:divBdr>
    </w:div>
    <w:div w:id="1718433307">
      <w:bodyDiv w:val="1"/>
      <w:marLeft w:val="0"/>
      <w:marRight w:val="0"/>
      <w:marTop w:val="0"/>
      <w:marBottom w:val="0"/>
      <w:divBdr>
        <w:top w:val="none" w:sz="0" w:space="0" w:color="auto"/>
        <w:left w:val="none" w:sz="0" w:space="0" w:color="auto"/>
        <w:bottom w:val="none" w:sz="0" w:space="0" w:color="auto"/>
        <w:right w:val="none" w:sz="0" w:space="0" w:color="auto"/>
      </w:divBdr>
      <w:divsChild>
        <w:div w:id="3553233">
          <w:marLeft w:val="0"/>
          <w:marRight w:val="0"/>
          <w:marTop w:val="34"/>
          <w:marBottom w:val="34"/>
          <w:divBdr>
            <w:top w:val="none" w:sz="0" w:space="0" w:color="auto"/>
            <w:left w:val="none" w:sz="0" w:space="0" w:color="auto"/>
            <w:bottom w:val="none" w:sz="0" w:space="0" w:color="auto"/>
            <w:right w:val="none" w:sz="0" w:space="0" w:color="auto"/>
          </w:divBdr>
        </w:div>
      </w:divsChild>
    </w:div>
    <w:div w:id="1827626977">
      <w:bodyDiv w:val="1"/>
      <w:marLeft w:val="0"/>
      <w:marRight w:val="0"/>
      <w:marTop w:val="0"/>
      <w:marBottom w:val="0"/>
      <w:divBdr>
        <w:top w:val="none" w:sz="0" w:space="0" w:color="auto"/>
        <w:left w:val="none" w:sz="0" w:space="0" w:color="auto"/>
        <w:bottom w:val="none" w:sz="0" w:space="0" w:color="auto"/>
        <w:right w:val="none" w:sz="0" w:space="0" w:color="auto"/>
      </w:divBdr>
    </w:div>
    <w:div w:id="1829326154">
      <w:bodyDiv w:val="1"/>
      <w:marLeft w:val="0"/>
      <w:marRight w:val="0"/>
      <w:marTop w:val="0"/>
      <w:marBottom w:val="0"/>
      <w:divBdr>
        <w:top w:val="none" w:sz="0" w:space="0" w:color="auto"/>
        <w:left w:val="none" w:sz="0" w:space="0" w:color="auto"/>
        <w:bottom w:val="none" w:sz="0" w:space="0" w:color="auto"/>
        <w:right w:val="none" w:sz="0" w:space="0" w:color="auto"/>
      </w:divBdr>
      <w:divsChild>
        <w:div w:id="333070954">
          <w:marLeft w:val="0"/>
          <w:marRight w:val="0"/>
          <w:marTop w:val="34"/>
          <w:marBottom w:val="34"/>
          <w:divBdr>
            <w:top w:val="none" w:sz="0" w:space="0" w:color="auto"/>
            <w:left w:val="none" w:sz="0" w:space="0" w:color="auto"/>
            <w:bottom w:val="none" w:sz="0" w:space="0" w:color="auto"/>
            <w:right w:val="none" w:sz="0" w:space="0" w:color="auto"/>
          </w:divBdr>
        </w:div>
      </w:divsChild>
    </w:div>
    <w:div w:id="1887109147">
      <w:bodyDiv w:val="1"/>
      <w:marLeft w:val="0"/>
      <w:marRight w:val="0"/>
      <w:marTop w:val="0"/>
      <w:marBottom w:val="0"/>
      <w:divBdr>
        <w:top w:val="none" w:sz="0" w:space="0" w:color="auto"/>
        <w:left w:val="none" w:sz="0" w:space="0" w:color="auto"/>
        <w:bottom w:val="none" w:sz="0" w:space="0" w:color="auto"/>
        <w:right w:val="none" w:sz="0" w:space="0" w:color="auto"/>
      </w:divBdr>
      <w:divsChild>
        <w:div w:id="1007438320">
          <w:marLeft w:val="0"/>
          <w:marRight w:val="0"/>
          <w:marTop w:val="0"/>
          <w:marBottom w:val="0"/>
          <w:divBdr>
            <w:top w:val="none" w:sz="0" w:space="0" w:color="auto"/>
            <w:left w:val="none" w:sz="0" w:space="0" w:color="auto"/>
            <w:bottom w:val="none" w:sz="0" w:space="0" w:color="auto"/>
            <w:right w:val="none" w:sz="0" w:space="0" w:color="auto"/>
          </w:divBdr>
        </w:div>
        <w:div w:id="1108507336">
          <w:marLeft w:val="0"/>
          <w:marRight w:val="0"/>
          <w:marTop w:val="0"/>
          <w:marBottom w:val="0"/>
          <w:divBdr>
            <w:top w:val="none" w:sz="0" w:space="0" w:color="auto"/>
            <w:left w:val="none" w:sz="0" w:space="0" w:color="auto"/>
            <w:bottom w:val="none" w:sz="0" w:space="0" w:color="auto"/>
            <w:right w:val="none" w:sz="0" w:space="0" w:color="auto"/>
          </w:divBdr>
          <w:divsChild>
            <w:div w:id="1352730166">
              <w:marLeft w:val="0"/>
              <w:marRight w:val="0"/>
              <w:marTop w:val="0"/>
              <w:marBottom w:val="0"/>
              <w:divBdr>
                <w:top w:val="none" w:sz="0" w:space="0" w:color="auto"/>
                <w:left w:val="none" w:sz="0" w:space="0" w:color="auto"/>
                <w:bottom w:val="none" w:sz="0" w:space="0" w:color="auto"/>
                <w:right w:val="none" w:sz="0" w:space="0" w:color="auto"/>
              </w:divBdr>
              <w:divsChild>
                <w:div w:id="541752751">
                  <w:marLeft w:val="0"/>
                  <w:marRight w:val="0"/>
                  <w:marTop w:val="0"/>
                  <w:marBottom w:val="0"/>
                  <w:divBdr>
                    <w:top w:val="none" w:sz="0" w:space="0" w:color="auto"/>
                    <w:left w:val="none" w:sz="0" w:space="0" w:color="auto"/>
                    <w:bottom w:val="none" w:sz="0" w:space="0" w:color="auto"/>
                    <w:right w:val="none" w:sz="0" w:space="0" w:color="auto"/>
                  </w:divBdr>
                </w:div>
                <w:div w:id="16055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8284">
      <w:bodyDiv w:val="1"/>
      <w:marLeft w:val="0"/>
      <w:marRight w:val="0"/>
      <w:marTop w:val="0"/>
      <w:marBottom w:val="0"/>
      <w:divBdr>
        <w:top w:val="none" w:sz="0" w:space="0" w:color="auto"/>
        <w:left w:val="none" w:sz="0" w:space="0" w:color="auto"/>
        <w:bottom w:val="none" w:sz="0" w:space="0" w:color="auto"/>
        <w:right w:val="none" w:sz="0" w:space="0" w:color="auto"/>
      </w:divBdr>
      <w:divsChild>
        <w:div w:id="1177034620">
          <w:marLeft w:val="0"/>
          <w:marRight w:val="0"/>
          <w:marTop w:val="288"/>
          <w:marBottom w:val="100"/>
          <w:divBdr>
            <w:top w:val="none" w:sz="0" w:space="0" w:color="auto"/>
            <w:left w:val="none" w:sz="0" w:space="0" w:color="auto"/>
            <w:bottom w:val="none" w:sz="0" w:space="0" w:color="auto"/>
            <w:right w:val="none" w:sz="0" w:space="0" w:color="auto"/>
          </w:divBdr>
          <w:divsChild>
            <w:div w:id="9550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1394">
      <w:bodyDiv w:val="1"/>
      <w:marLeft w:val="0"/>
      <w:marRight w:val="0"/>
      <w:marTop w:val="0"/>
      <w:marBottom w:val="0"/>
      <w:divBdr>
        <w:top w:val="none" w:sz="0" w:space="0" w:color="auto"/>
        <w:left w:val="none" w:sz="0" w:space="0" w:color="auto"/>
        <w:bottom w:val="none" w:sz="0" w:space="0" w:color="auto"/>
        <w:right w:val="none" w:sz="0" w:space="0" w:color="auto"/>
      </w:divBdr>
      <w:divsChild>
        <w:div w:id="281503764">
          <w:marLeft w:val="0"/>
          <w:marRight w:val="0"/>
          <w:marTop w:val="34"/>
          <w:marBottom w:val="34"/>
          <w:divBdr>
            <w:top w:val="none" w:sz="0" w:space="0" w:color="auto"/>
            <w:left w:val="none" w:sz="0" w:space="0" w:color="auto"/>
            <w:bottom w:val="none" w:sz="0" w:space="0" w:color="auto"/>
            <w:right w:val="none" w:sz="0" w:space="0" w:color="auto"/>
          </w:divBdr>
        </w:div>
      </w:divsChild>
    </w:div>
    <w:div w:id="1935747231">
      <w:bodyDiv w:val="1"/>
      <w:marLeft w:val="0"/>
      <w:marRight w:val="0"/>
      <w:marTop w:val="0"/>
      <w:marBottom w:val="0"/>
      <w:divBdr>
        <w:top w:val="none" w:sz="0" w:space="0" w:color="auto"/>
        <w:left w:val="none" w:sz="0" w:space="0" w:color="auto"/>
        <w:bottom w:val="none" w:sz="0" w:space="0" w:color="auto"/>
        <w:right w:val="none" w:sz="0" w:space="0" w:color="auto"/>
      </w:divBdr>
      <w:divsChild>
        <w:div w:id="5715257">
          <w:marLeft w:val="0"/>
          <w:marRight w:val="0"/>
          <w:marTop w:val="34"/>
          <w:marBottom w:val="34"/>
          <w:divBdr>
            <w:top w:val="none" w:sz="0" w:space="0" w:color="auto"/>
            <w:left w:val="none" w:sz="0" w:space="0" w:color="auto"/>
            <w:bottom w:val="none" w:sz="0" w:space="0" w:color="auto"/>
            <w:right w:val="none" w:sz="0" w:space="0" w:color="auto"/>
          </w:divBdr>
        </w:div>
      </w:divsChild>
    </w:div>
    <w:div w:id="1994211630">
      <w:bodyDiv w:val="1"/>
      <w:marLeft w:val="0"/>
      <w:marRight w:val="0"/>
      <w:marTop w:val="0"/>
      <w:marBottom w:val="0"/>
      <w:divBdr>
        <w:top w:val="none" w:sz="0" w:space="0" w:color="auto"/>
        <w:left w:val="none" w:sz="0" w:space="0" w:color="auto"/>
        <w:bottom w:val="none" w:sz="0" w:space="0" w:color="auto"/>
        <w:right w:val="none" w:sz="0" w:space="0" w:color="auto"/>
      </w:divBdr>
      <w:divsChild>
        <w:div w:id="2080865048">
          <w:marLeft w:val="0"/>
          <w:marRight w:val="0"/>
          <w:marTop w:val="34"/>
          <w:marBottom w:val="34"/>
          <w:divBdr>
            <w:top w:val="none" w:sz="0" w:space="0" w:color="auto"/>
            <w:left w:val="none" w:sz="0" w:space="0" w:color="auto"/>
            <w:bottom w:val="none" w:sz="0" w:space="0" w:color="auto"/>
            <w:right w:val="none" w:sz="0" w:space="0" w:color="auto"/>
          </w:divBdr>
        </w:div>
      </w:divsChild>
    </w:div>
    <w:div w:id="2000376292">
      <w:bodyDiv w:val="1"/>
      <w:marLeft w:val="0"/>
      <w:marRight w:val="0"/>
      <w:marTop w:val="0"/>
      <w:marBottom w:val="0"/>
      <w:divBdr>
        <w:top w:val="none" w:sz="0" w:space="0" w:color="auto"/>
        <w:left w:val="none" w:sz="0" w:space="0" w:color="auto"/>
        <w:bottom w:val="none" w:sz="0" w:space="0" w:color="auto"/>
        <w:right w:val="none" w:sz="0" w:space="0" w:color="auto"/>
      </w:divBdr>
    </w:div>
    <w:div w:id="2052218533">
      <w:bodyDiv w:val="1"/>
      <w:marLeft w:val="0"/>
      <w:marRight w:val="0"/>
      <w:marTop w:val="0"/>
      <w:marBottom w:val="0"/>
      <w:divBdr>
        <w:top w:val="none" w:sz="0" w:space="0" w:color="auto"/>
        <w:left w:val="none" w:sz="0" w:space="0" w:color="auto"/>
        <w:bottom w:val="none" w:sz="0" w:space="0" w:color="auto"/>
        <w:right w:val="none" w:sz="0" w:space="0" w:color="auto"/>
      </w:divBdr>
      <w:divsChild>
        <w:div w:id="521092006">
          <w:marLeft w:val="0"/>
          <w:marRight w:val="0"/>
          <w:marTop w:val="34"/>
          <w:marBottom w:val="34"/>
          <w:divBdr>
            <w:top w:val="none" w:sz="0" w:space="0" w:color="auto"/>
            <w:left w:val="none" w:sz="0" w:space="0" w:color="auto"/>
            <w:bottom w:val="none" w:sz="0" w:space="0" w:color="auto"/>
            <w:right w:val="none" w:sz="0" w:space="0" w:color="auto"/>
          </w:divBdr>
        </w:div>
      </w:divsChild>
    </w:div>
    <w:div w:id="2092461774">
      <w:bodyDiv w:val="1"/>
      <w:marLeft w:val="0"/>
      <w:marRight w:val="0"/>
      <w:marTop w:val="0"/>
      <w:marBottom w:val="0"/>
      <w:divBdr>
        <w:top w:val="none" w:sz="0" w:space="0" w:color="auto"/>
        <w:left w:val="none" w:sz="0" w:space="0" w:color="auto"/>
        <w:bottom w:val="none" w:sz="0" w:space="0" w:color="auto"/>
        <w:right w:val="none" w:sz="0" w:space="0" w:color="auto"/>
      </w:divBdr>
    </w:div>
    <w:div w:id="2109763980">
      <w:bodyDiv w:val="1"/>
      <w:marLeft w:val="0"/>
      <w:marRight w:val="0"/>
      <w:marTop w:val="0"/>
      <w:marBottom w:val="0"/>
      <w:divBdr>
        <w:top w:val="none" w:sz="0" w:space="0" w:color="auto"/>
        <w:left w:val="none" w:sz="0" w:space="0" w:color="auto"/>
        <w:bottom w:val="none" w:sz="0" w:space="0" w:color="auto"/>
        <w:right w:val="none" w:sz="0" w:space="0" w:color="auto"/>
      </w:divBdr>
    </w:div>
    <w:div w:id="2143765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urosymptom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timothy.nicholson@kcl.ac.uk"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B951-72D4-415B-A0D2-86C813E06C66}">
  <ds:schemaRefs>
    <ds:schemaRef ds:uri="http://schemas.openxmlformats.org/officeDocument/2006/bibliography"/>
  </ds:schemaRefs>
</ds:datastoreItem>
</file>

<file path=customXml/itemProps2.xml><?xml version="1.0" encoding="utf-8"?>
<ds:datastoreItem xmlns:ds="http://schemas.openxmlformats.org/officeDocument/2006/customXml" ds:itemID="{C53B703F-B777-0846-86E8-59463BF7AE90}">
  <ds:schemaRefs>
    <ds:schemaRef ds:uri="http://schemas.openxmlformats.org/officeDocument/2006/bibliography"/>
  </ds:schemaRefs>
</ds:datastoreItem>
</file>

<file path=customXml/itemProps3.xml><?xml version="1.0" encoding="utf-8"?>
<ds:datastoreItem xmlns:ds="http://schemas.openxmlformats.org/officeDocument/2006/customXml" ds:itemID="{DD6EFE42-8664-5B4F-8FF8-DAF1CA91083F}">
  <ds:schemaRefs>
    <ds:schemaRef ds:uri="http://schemas.openxmlformats.org/officeDocument/2006/bibliography"/>
  </ds:schemaRefs>
</ds:datastoreItem>
</file>

<file path=customXml/itemProps4.xml><?xml version="1.0" encoding="utf-8"?>
<ds:datastoreItem xmlns:ds="http://schemas.openxmlformats.org/officeDocument/2006/customXml" ds:itemID="{DF8D2516-8F4C-0341-ABF5-9E2F0FA43A7B}">
  <ds:schemaRefs>
    <ds:schemaRef ds:uri="http://schemas.openxmlformats.org/officeDocument/2006/bibliography"/>
  </ds:schemaRefs>
</ds:datastoreItem>
</file>

<file path=customXml/itemProps5.xml><?xml version="1.0" encoding="utf-8"?>
<ds:datastoreItem xmlns:ds="http://schemas.openxmlformats.org/officeDocument/2006/customXml" ds:itemID="{665A9671-4511-1344-B4B4-C302E7A7D2B2}">
  <ds:schemaRefs>
    <ds:schemaRef ds:uri="http://schemas.openxmlformats.org/officeDocument/2006/bibliography"/>
  </ds:schemaRefs>
</ds:datastoreItem>
</file>

<file path=customXml/itemProps6.xml><?xml version="1.0" encoding="utf-8"?>
<ds:datastoreItem xmlns:ds="http://schemas.openxmlformats.org/officeDocument/2006/customXml" ds:itemID="{785D2F17-FE12-2F40-9855-B7F267EB6D8A}">
  <ds:schemaRefs>
    <ds:schemaRef ds:uri="http://schemas.openxmlformats.org/officeDocument/2006/bibliography"/>
  </ds:schemaRefs>
</ds:datastoreItem>
</file>

<file path=customXml/itemProps7.xml><?xml version="1.0" encoding="utf-8"?>
<ds:datastoreItem xmlns:ds="http://schemas.openxmlformats.org/officeDocument/2006/customXml" ds:itemID="{97563B1C-2618-498E-AC8E-8EB2333B907C}">
  <ds:schemaRefs>
    <ds:schemaRef ds:uri="http://schemas.openxmlformats.org/officeDocument/2006/bibliography"/>
  </ds:schemaRefs>
</ds:datastoreItem>
</file>

<file path=customXml/itemProps8.xml><?xml version="1.0" encoding="utf-8"?>
<ds:datastoreItem xmlns:ds="http://schemas.openxmlformats.org/officeDocument/2006/customXml" ds:itemID="{08D9D096-2CD9-46F4-A696-EA92BE2A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59510</Words>
  <Characters>339213</Characters>
  <Application>Microsoft Office Word</Application>
  <DocSecurity>0</DocSecurity>
  <Lines>2826</Lines>
  <Paragraphs>795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nicholson</dc:creator>
  <cp:keywords/>
  <dc:description/>
  <cp:lastModifiedBy>Glenn Nielsen</cp:lastModifiedBy>
  <cp:revision>2</cp:revision>
  <cp:lastPrinted>2016-11-23T09:28:00Z</cp:lastPrinted>
  <dcterms:created xsi:type="dcterms:W3CDTF">2020-02-17T15:06:00Z</dcterms:created>
  <dcterms:modified xsi:type="dcterms:W3CDTF">2020-02-17T15:06:00Z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be6fceee-02f6-3122-af42-c1d98755ba48</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http://www.zotero.org/styles/the-journal-of-neuropsychiatry-and-clinical-neurosciences</vt:lpwstr>
  </property>
  <property fmtid="{D5CDD505-2E9C-101B-9397-08002B2CF9AE}" pid="23" name="Mendeley Recent Style Name 9_1">
    <vt:lpwstr>The Journal of Neuropsychiatry and Clinical Neurosciences</vt:lpwstr>
  </property>
  <property fmtid="{D5CDD505-2E9C-101B-9397-08002B2CF9AE}" pid="24" name="Mendeley Citation Style_1">
    <vt:lpwstr>http://www.zotero.org/styles/the-journal-of-neuropsychiatry-and-clinical-neurosciences</vt:lpwstr>
  </property>
  <property fmtid="{D5CDD505-2E9C-101B-9397-08002B2CF9AE}" pid="25" name="MSIP_Label_2063cd7f-2d21-486a-9f29-9c1683fdd175_Enabled">
    <vt:lpwstr>True</vt:lpwstr>
  </property>
  <property fmtid="{D5CDD505-2E9C-101B-9397-08002B2CF9AE}" pid="26" name="MSIP_Label_2063cd7f-2d21-486a-9f29-9c1683fdd175_SiteId">
    <vt:lpwstr>00000000-0000-0000-0000-000000000000</vt:lpwstr>
  </property>
  <property fmtid="{D5CDD505-2E9C-101B-9397-08002B2CF9AE}" pid="27" name="MSIP_Label_2063cd7f-2d21-486a-9f29-9c1683fdd175_Owner">
    <vt:lpwstr>75109@vfn.cz</vt:lpwstr>
  </property>
  <property fmtid="{D5CDD505-2E9C-101B-9397-08002B2CF9AE}" pid="28" name="MSIP_Label_2063cd7f-2d21-486a-9f29-9c1683fdd175_SetDate">
    <vt:lpwstr>2019-06-07T15:06:41.4905159Z</vt:lpwstr>
  </property>
  <property fmtid="{D5CDD505-2E9C-101B-9397-08002B2CF9AE}" pid="29" name="MSIP_Label_2063cd7f-2d21-486a-9f29-9c1683fdd175_Name">
    <vt:lpwstr>Veřejné</vt:lpwstr>
  </property>
  <property fmtid="{D5CDD505-2E9C-101B-9397-08002B2CF9AE}" pid="30" name="MSIP_Label_2063cd7f-2d21-486a-9f29-9c1683fdd175_Application">
    <vt:lpwstr>Microsoft Azure Information Protection</vt:lpwstr>
  </property>
  <property fmtid="{D5CDD505-2E9C-101B-9397-08002B2CF9AE}" pid="31" name="MSIP_Label_2063cd7f-2d21-486a-9f29-9c1683fdd175_Extended_MSFT_Method">
    <vt:lpwstr>Automatic</vt:lpwstr>
  </property>
  <property fmtid="{D5CDD505-2E9C-101B-9397-08002B2CF9AE}" pid="32" name="Sensitivity">
    <vt:lpwstr>Veřejné</vt:lpwstr>
  </property>
</Properties>
</file>