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B9B4" w14:textId="6522713E" w:rsidR="00E264C9" w:rsidRPr="00103D0F" w:rsidRDefault="00E264C9" w:rsidP="00E264C9">
      <w:pPr>
        <w:pStyle w:val="Heading1"/>
      </w:pPr>
      <w:r>
        <w:t>The combined</w:t>
      </w:r>
      <w:r w:rsidR="004617E9">
        <w:t xml:space="preserve"> health</w:t>
      </w:r>
      <w:r>
        <w:t xml:space="preserve"> risks of cigarette smoking and </w:t>
      </w:r>
      <w:r w:rsidR="00AD4B18">
        <w:t xml:space="preserve">low levels of </w:t>
      </w:r>
      <w:r>
        <w:t>physical activity</w:t>
      </w:r>
      <w:r w:rsidR="00103D0F">
        <w:t>: a</w:t>
      </w:r>
      <w:r w:rsidRPr="00103D0F">
        <w:t xml:space="preserve"> prospective cohort study</w:t>
      </w:r>
      <w:r w:rsidR="00252765">
        <w:t xml:space="preserve"> in England</w:t>
      </w:r>
      <w:r w:rsidR="00F23D01" w:rsidRPr="00103D0F">
        <w:t xml:space="preserve"> with 12-year follow-up</w:t>
      </w:r>
    </w:p>
    <w:p w14:paraId="0508193E" w14:textId="77777777" w:rsidR="00E264C9" w:rsidRPr="00777C3B" w:rsidRDefault="00E264C9" w:rsidP="00E264C9"/>
    <w:p w14:paraId="22BD13E7" w14:textId="77777777" w:rsidR="00E264C9" w:rsidRDefault="00E264C9" w:rsidP="00E264C9">
      <w:pPr>
        <w:spacing w:after="200" w:line="276" w:lineRule="auto"/>
        <w:jc w:val="center"/>
      </w:pPr>
      <w:r>
        <w:t>Sarah E. Jackson</w:t>
      </w:r>
      <w:r>
        <w:rPr>
          <w:vertAlign w:val="superscript"/>
        </w:rPr>
        <w:t>1</w:t>
      </w:r>
      <w:r>
        <w:t xml:space="preserve">, </w:t>
      </w:r>
      <w:r w:rsidRPr="001A1665">
        <w:t>Jamie Brown</w:t>
      </w:r>
      <w:r w:rsidRPr="00C001FE">
        <w:rPr>
          <w:vertAlign w:val="superscript"/>
        </w:rPr>
        <w:t>1,2</w:t>
      </w:r>
      <w:r w:rsidRPr="001A1665">
        <w:t>, Michael Ussher</w:t>
      </w:r>
      <w:r w:rsidRPr="00C001FE">
        <w:rPr>
          <w:vertAlign w:val="superscript"/>
        </w:rPr>
        <w:t>3</w:t>
      </w:r>
      <w:r>
        <w:rPr>
          <w:vertAlign w:val="superscript"/>
        </w:rPr>
        <w:t>,</w:t>
      </w:r>
      <w:r w:rsidRPr="00C001FE">
        <w:rPr>
          <w:vertAlign w:val="superscript"/>
        </w:rPr>
        <w:t>4</w:t>
      </w:r>
      <w:r w:rsidRPr="001A1665">
        <w:t>,</w:t>
      </w:r>
      <w:r>
        <w:t xml:space="preserve"> Lion Shahab</w:t>
      </w:r>
      <w:r w:rsidRPr="00C001FE">
        <w:rPr>
          <w:vertAlign w:val="superscript"/>
        </w:rPr>
        <w:t>1</w:t>
      </w:r>
      <w:r>
        <w:t>, Andrew Steptoe</w:t>
      </w:r>
      <w:r w:rsidRPr="00C001FE">
        <w:rPr>
          <w:vertAlign w:val="superscript"/>
        </w:rPr>
        <w:t>1</w:t>
      </w:r>
      <w:r>
        <w:t>,</w:t>
      </w:r>
      <w:r w:rsidRPr="001A1665">
        <w:t xml:space="preserve"> Lee Smith</w:t>
      </w:r>
      <w:r w:rsidRPr="00C001FE">
        <w:rPr>
          <w:vertAlign w:val="superscript"/>
        </w:rPr>
        <w:t>5</w:t>
      </w:r>
    </w:p>
    <w:p w14:paraId="4AB1371F" w14:textId="77777777" w:rsidR="00E264C9" w:rsidRDefault="00E264C9" w:rsidP="00E264C9">
      <w:pPr>
        <w:spacing w:after="200" w:line="276" w:lineRule="auto"/>
        <w:jc w:val="center"/>
      </w:pPr>
    </w:p>
    <w:p w14:paraId="0B9C6E91" w14:textId="77777777" w:rsidR="00E264C9" w:rsidRDefault="00E264C9" w:rsidP="0061671C">
      <w:pPr>
        <w:spacing w:after="0"/>
      </w:pPr>
      <w:r>
        <w:rPr>
          <w:vertAlign w:val="superscript"/>
        </w:rPr>
        <w:t xml:space="preserve">1 </w:t>
      </w:r>
      <w:r>
        <w:t>Department of Behavioural Science and Health, University College London, London, UK</w:t>
      </w:r>
    </w:p>
    <w:p w14:paraId="0B4A5D09" w14:textId="77777777" w:rsidR="00E264C9" w:rsidRPr="001A1665" w:rsidRDefault="00E264C9" w:rsidP="0061671C">
      <w:pPr>
        <w:spacing w:after="0"/>
      </w:pPr>
      <w:r w:rsidRPr="0027195C">
        <w:rPr>
          <w:vertAlign w:val="superscript"/>
        </w:rPr>
        <w:t>2</w:t>
      </w:r>
      <w:r w:rsidRPr="001A1665">
        <w:t xml:space="preserve"> Department of Clinical, Educational and Health Psychology, University College London, UK</w:t>
      </w:r>
    </w:p>
    <w:p w14:paraId="3EDFEA20" w14:textId="6CDB8A88" w:rsidR="00E264C9" w:rsidRDefault="00E264C9" w:rsidP="0061671C">
      <w:pPr>
        <w:spacing w:after="0"/>
      </w:pPr>
      <w:r w:rsidRPr="0027195C">
        <w:rPr>
          <w:vertAlign w:val="superscript"/>
        </w:rPr>
        <w:t>3</w:t>
      </w:r>
      <w:r w:rsidRPr="001A1665">
        <w:t xml:space="preserve"> </w:t>
      </w:r>
      <w:r>
        <w:t>Population Health Research Institute, St George’s</w:t>
      </w:r>
      <w:r w:rsidR="00561A1C">
        <w:t>,</w:t>
      </w:r>
      <w:r>
        <w:t xml:space="preserve"> University of London, London, UK</w:t>
      </w:r>
    </w:p>
    <w:p w14:paraId="2F25AEE2" w14:textId="77777777" w:rsidR="00E264C9" w:rsidRPr="001A1665" w:rsidRDefault="00E264C9" w:rsidP="0061671C">
      <w:pPr>
        <w:spacing w:after="0"/>
      </w:pPr>
      <w:r w:rsidRPr="0027195C">
        <w:rPr>
          <w:vertAlign w:val="superscript"/>
        </w:rPr>
        <w:t>4</w:t>
      </w:r>
      <w:r>
        <w:t xml:space="preserve"> Institute of Social Marketing and Health, University of Stirling, Stirling, UK</w:t>
      </w:r>
    </w:p>
    <w:p w14:paraId="53B2E519" w14:textId="77777777" w:rsidR="00E264C9" w:rsidRDefault="00E264C9" w:rsidP="0061671C">
      <w:pPr>
        <w:spacing w:after="0"/>
      </w:pPr>
      <w:r w:rsidRPr="0027195C">
        <w:rPr>
          <w:vertAlign w:val="superscript"/>
        </w:rPr>
        <w:t>5</w:t>
      </w:r>
      <w:r>
        <w:t xml:space="preserve"> </w:t>
      </w:r>
      <w:r w:rsidRPr="001A1665">
        <w:t>The Cambridge Centre for Sport and Exercise Sciences, Anglia Ruskin University, UK</w:t>
      </w:r>
    </w:p>
    <w:p w14:paraId="110BD77C" w14:textId="77777777" w:rsidR="00E264C9" w:rsidRDefault="00E264C9" w:rsidP="00A267BF">
      <w:pPr>
        <w:spacing w:after="0" w:line="276" w:lineRule="auto"/>
        <w:jc w:val="center"/>
      </w:pPr>
    </w:p>
    <w:p w14:paraId="0E567D00" w14:textId="77777777" w:rsidR="00E264C9" w:rsidRDefault="00E264C9" w:rsidP="00E264C9">
      <w:pPr>
        <w:spacing w:after="200" w:line="276" w:lineRule="auto"/>
        <w:jc w:val="center"/>
      </w:pPr>
    </w:p>
    <w:p w14:paraId="27063162" w14:textId="77777777" w:rsidR="00E264C9" w:rsidRDefault="00E264C9" w:rsidP="00E264C9">
      <w:r>
        <w:t xml:space="preserve">Corresponding author: Dr Sarah Jackson, Department of Behavioural Science and Health, University College London, 1-19 Torrington Place, London WC1E 7HB, UK. </w:t>
      </w:r>
      <w:hyperlink r:id="rId8" w:history="1">
        <w:r w:rsidRPr="00D75B6C">
          <w:rPr>
            <w:rStyle w:val="Hyperlink"/>
          </w:rPr>
          <w:t>s.e.jackson@ucl.ac.uk</w:t>
        </w:r>
      </w:hyperlink>
      <w:r>
        <w:t xml:space="preserve"> +44 (0)207 679 8312</w:t>
      </w:r>
    </w:p>
    <w:p w14:paraId="33A141E9" w14:textId="77777777" w:rsidR="00E264C9" w:rsidRDefault="00E264C9" w:rsidP="00E264C9">
      <w:pPr>
        <w:spacing w:after="200" w:line="276" w:lineRule="auto"/>
      </w:pPr>
    </w:p>
    <w:p w14:paraId="67515C3F" w14:textId="170AE571" w:rsidR="00E264C9" w:rsidRPr="00851DCE" w:rsidRDefault="00E264C9" w:rsidP="00E264C9">
      <w:pPr>
        <w:spacing w:after="200" w:line="276" w:lineRule="auto"/>
      </w:pPr>
      <w:r>
        <w:br w:type="page"/>
      </w:r>
    </w:p>
    <w:p w14:paraId="374CD4D9" w14:textId="77777777" w:rsidR="00E264C9" w:rsidRDefault="00E264C9" w:rsidP="00E264C9">
      <w:pPr>
        <w:pStyle w:val="Heading2"/>
      </w:pPr>
      <w:r>
        <w:lastRenderedPageBreak/>
        <w:t>Abstract</w:t>
      </w:r>
    </w:p>
    <w:p w14:paraId="2C2584EA" w14:textId="77777777" w:rsidR="00103D0F" w:rsidRDefault="00103D0F" w:rsidP="00103D0F">
      <w:pPr>
        <w:spacing w:after="200"/>
      </w:pPr>
      <w:r>
        <w:rPr>
          <w:b/>
        </w:rPr>
        <w:t xml:space="preserve">Objectives: </w:t>
      </w:r>
      <w:r>
        <w:t>To (i) estimate the combined</w:t>
      </w:r>
      <w:r w:rsidRPr="001A1665">
        <w:t xml:space="preserve"> risks of </w:t>
      </w:r>
      <w:r>
        <w:t>cigarette smoking and physical inactivity for chronic disease, disability, and depressive symptoms, and (ii) determine whether risks associated with these behaviours are additive or synergistic.</w:t>
      </w:r>
    </w:p>
    <w:p w14:paraId="3668C359" w14:textId="77777777" w:rsidR="00103D0F" w:rsidRPr="00FE6DAA" w:rsidRDefault="00103D0F" w:rsidP="00103D0F">
      <w:pPr>
        <w:spacing w:after="200"/>
      </w:pPr>
      <w:r>
        <w:rPr>
          <w:b/>
        </w:rPr>
        <w:t xml:space="preserve">Design and setting: </w:t>
      </w:r>
      <w:r>
        <w:t>Longitudinal observational population study using data from Waves 2 (2004/05) through 8 (2016/17) of the English Longitudinal Study of Ageing, a prospective study of community-dwelling older adults in England.</w:t>
      </w:r>
    </w:p>
    <w:p w14:paraId="6C1B0BF7" w14:textId="77777777" w:rsidR="00103D0F" w:rsidRPr="00FE6DAA" w:rsidRDefault="00103D0F" w:rsidP="00103D0F">
      <w:pPr>
        <w:spacing w:after="200"/>
      </w:pPr>
      <w:r>
        <w:rPr>
          <w:b/>
        </w:rPr>
        <w:t xml:space="preserve">Participants: </w:t>
      </w:r>
      <w:r>
        <w:t xml:space="preserve">6,425 men and women aged </w:t>
      </w:r>
      <w:r>
        <w:rPr>
          <w:rFonts w:cstheme="minorHAnsi"/>
        </w:rPr>
        <w:t>≥</w:t>
      </w:r>
      <w:r>
        <w:t xml:space="preserve">52 years (mean [SD] 65.88 [9.34] years) at </w:t>
      </w:r>
      <w:r w:rsidRPr="00545D0F">
        <w:t>baseline</w:t>
      </w:r>
      <w:r>
        <w:t>.</w:t>
      </w:r>
    </w:p>
    <w:p w14:paraId="64A6EC61" w14:textId="77777777" w:rsidR="00103D0F" w:rsidRPr="00DD31DA" w:rsidRDefault="00103D0F" w:rsidP="00103D0F">
      <w:pPr>
        <w:spacing w:after="200"/>
      </w:pPr>
      <w:r>
        <w:rPr>
          <w:b/>
        </w:rPr>
        <w:t xml:space="preserve">Main outcome measures: </w:t>
      </w:r>
      <w:r>
        <w:t xml:space="preserve">Smoking status (never; former; current) and level of physical activity (high, defined as moderate/vigorous physical activity [MVPA] </w:t>
      </w:r>
      <w:r>
        <w:rPr>
          <w:rFonts w:cstheme="minorHAnsi"/>
        </w:rPr>
        <w:t xml:space="preserve">more than </w:t>
      </w:r>
      <w:r>
        <w:t>once a week; low, defined as MVPA once a week or less) were self-reported at Wave 2 baseline. Self-rated health, limiting long-standing illness, chronic conditions (coronary heart disease [CHD], stroke, cancer, chronic lung disease), and depressive symptoms were reported in each biennial wave.</w:t>
      </w:r>
    </w:p>
    <w:p w14:paraId="72C72392" w14:textId="77777777" w:rsidR="00103D0F" w:rsidRPr="00A16DED" w:rsidRDefault="00103D0F" w:rsidP="00103D0F">
      <w:pPr>
        <w:spacing w:after="200"/>
        <w:rPr>
          <w:color w:val="FF0000"/>
        </w:rPr>
      </w:pPr>
      <w:r>
        <w:rPr>
          <w:b/>
        </w:rPr>
        <w:t xml:space="preserve">Results: </w:t>
      </w:r>
      <w:r w:rsidRPr="00545D0F">
        <w:t>B</w:t>
      </w:r>
      <w:r w:rsidRPr="00545D0F">
        <w:rPr>
          <w:shd w:val="clear" w:color="auto" w:fill="FFFFFF"/>
        </w:rPr>
        <w:t>oth smoking and low levels of physical activity were associated with increased risk of incident health problems</w:t>
      </w:r>
      <w:r>
        <w:rPr>
          <w:shd w:val="clear" w:color="auto" w:fill="FFFFFF"/>
        </w:rPr>
        <w:t xml:space="preserve"> over the 12-year follow-up period</w:t>
      </w:r>
      <w:r w:rsidRPr="00545D0F">
        <w:rPr>
          <w:shd w:val="clear" w:color="auto" w:fill="FFFFFF"/>
        </w:rPr>
        <w:t xml:space="preserve">. Current smokers with low levels of physical activity had especially high risks </w:t>
      </w:r>
      <w:r w:rsidRPr="00545D0F">
        <w:t>of developing fair/poor self-rated health, CHD, stroke, cancer, and chronic lung disease compared</w:t>
      </w:r>
      <w:r w:rsidRPr="00545D0F">
        <w:rPr>
          <w:shd w:val="clear" w:color="auto" w:fill="FFFFFF"/>
        </w:rPr>
        <w:t xml:space="preserve"> with highly active never smokers </w:t>
      </w:r>
      <w:r w:rsidRPr="00545D0F">
        <w:t>(RR</w:t>
      </w:r>
      <w:r w:rsidRPr="00545D0F">
        <w:rPr>
          <w:vertAlign w:val="subscript"/>
        </w:rPr>
        <w:t>adj</w:t>
      </w:r>
      <w:r w:rsidRPr="00545D0F">
        <w:t xml:space="preserve"> range 1.89-14.00)</w:t>
      </w:r>
      <w:r w:rsidRPr="00545D0F">
        <w:rPr>
          <w:shd w:val="clear" w:color="auto" w:fill="FFFFFF"/>
        </w:rPr>
        <w:t xml:space="preserve">. While additive </w:t>
      </w:r>
      <w:r w:rsidRPr="006C72D0">
        <w:rPr>
          <w:shd w:val="clear" w:color="auto" w:fill="FFFFFF"/>
        </w:rPr>
        <w:t>effects were evident, tests of multiplicative interactions revealed no evidence of</w:t>
      </w:r>
      <w:r>
        <w:rPr>
          <w:shd w:val="clear" w:color="auto" w:fill="FFFFFF"/>
        </w:rPr>
        <w:t xml:space="preserve"> large</w:t>
      </w:r>
      <w:r w:rsidRPr="006C72D0">
        <w:rPr>
          <w:shd w:val="clear" w:color="auto" w:fill="FFFFFF"/>
        </w:rPr>
        <w:t xml:space="preserve"> synergistic effects of smoking and low physical activity</w:t>
      </w:r>
      <w:r>
        <w:rPr>
          <w:shd w:val="clear" w:color="auto" w:fill="FFFFFF"/>
        </w:rPr>
        <w:t xml:space="preserve"> (Bayes factor range 0.04-0.61), although data were insensitive to detect smaller effects</w:t>
      </w:r>
      <w:r w:rsidRPr="006C72D0">
        <w:rPr>
          <w:shd w:val="clear" w:color="auto" w:fill="FFFFFF"/>
        </w:rPr>
        <w:t>.</w:t>
      </w:r>
    </w:p>
    <w:p w14:paraId="5CAC8C2D" w14:textId="613F6E10" w:rsidR="00103D0F" w:rsidRPr="00A741A3" w:rsidRDefault="00103D0F" w:rsidP="00103D0F">
      <w:pPr>
        <w:spacing w:after="200"/>
        <w:rPr>
          <w:b/>
        </w:rPr>
      </w:pPr>
      <w:r>
        <w:rPr>
          <w:b/>
        </w:rPr>
        <w:t xml:space="preserve">Conclusions: </w:t>
      </w:r>
      <w:r w:rsidRPr="00A741A3">
        <w:t xml:space="preserve">Among older adults in England, there </w:t>
      </w:r>
      <w:r w:rsidR="0077251B">
        <w:t xml:space="preserve">was </w:t>
      </w:r>
      <w:r>
        <w:t>no</w:t>
      </w:r>
      <w:r w:rsidR="0077251B">
        <w:t xml:space="preserve"> evidence of</w:t>
      </w:r>
      <w:r>
        <w:t xml:space="preserve"> large </w:t>
      </w:r>
      <w:r w:rsidRPr="00A741A3">
        <w:t>synergistic effects of smoking and low levels of physical activity on risk of developing chronic disease or depressi</w:t>
      </w:r>
      <w:r>
        <w:t>ve symptoms</w:t>
      </w:r>
      <w:r w:rsidRPr="00A741A3">
        <w:t xml:space="preserve"> over 12 years. However, additive effects of smoking and low </w:t>
      </w:r>
      <w:r>
        <w:t xml:space="preserve">levels of </w:t>
      </w:r>
      <w:r w:rsidRPr="00A741A3">
        <w:t>physical activity were evident, underscoring the importance of each of these lifestyle risk behaviours for disease onset.</w:t>
      </w:r>
    </w:p>
    <w:p w14:paraId="37D0B196" w14:textId="77777777" w:rsidR="00A762B4" w:rsidRPr="00A741A3" w:rsidRDefault="00A762B4" w:rsidP="005E6B7D">
      <w:pPr>
        <w:spacing w:after="200"/>
        <w:rPr>
          <w:b/>
        </w:rPr>
      </w:pPr>
    </w:p>
    <w:p w14:paraId="0292C798" w14:textId="60F73956" w:rsidR="00E264C9" w:rsidRDefault="00E264C9" w:rsidP="00E264C9">
      <w:pPr>
        <w:spacing w:after="200"/>
        <w:rPr>
          <w:b/>
        </w:rPr>
      </w:pPr>
    </w:p>
    <w:p w14:paraId="53FFBE80" w14:textId="77777777" w:rsidR="00E264C9" w:rsidRPr="002D2DEE" w:rsidRDefault="00E264C9" w:rsidP="00E264C9">
      <w:pPr>
        <w:spacing w:after="200"/>
        <w:rPr>
          <w:b/>
        </w:rPr>
      </w:pPr>
      <w:r>
        <w:rPr>
          <w:b/>
        </w:rPr>
        <w:t>Key words:</w:t>
      </w:r>
      <w:r w:rsidR="004C6AEF">
        <w:rPr>
          <w:b/>
        </w:rPr>
        <w:t xml:space="preserve"> </w:t>
      </w:r>
      <w:r w:rsidR="004C6AEF">
        <w:t>smoking; physical activity; self-rated health; coronary heart disease; stroke; cancer; lung disease; depression</w:t>
      </w:r>
      <w:r>
        <w:br w:type="page"/>
      </w:r>
    </w:p>
    <w:p w14:paraId="73267A64" w14:textId="59DB18C9" w:rsidR="00AB732A" w:rsidRDefault="00E46B0B" w:rsidP="00E264C9">
      <w:pPr>
        <w:pStyle w:val="Heading2"/>
      </w:pPr>
      <w:r>
        <w:lastRenderedPageBreak/>
        <w:t>Strengths and limitations of this study</w:t>
      </w:r>
    </w:p>
    <w:p w14:paraId="16FB7034" w14:textId="77777777" w:rsidR="00E46B0B" w:rsidRDefault="00AB732A" w:rsidP="00E46B0B">
      <w:pPr>
        <w:pStyle w:val="ListParagraph"/>
        <w:numPr>
          <w:ilvl w:val="0"/>
          <w:numId w:val="3"/>
        </w:numPr>
      </w:pPr>
      <w:r>
        <w:t>This study represents the first effort comprehensively to examine the combined risks of smoking and low levels of physical activity in a large prospective cohort study.</w:t>
      </w:r>
    </w:p>
    <w:p w14:paraId="0F5009EA" w14:textId="77777777" w:rsidR="00E46B0B" w:rsidRDefault="00E46B0B" w:rsidP="00E46B0B">
      <w:pPr>
        <w:pStyle w:val="ListParagraph"/>
        <w:numPr>
          <w:ilvl w:val="0"/>
          <w:numId w:val="3"/>
        </w:numPr>
      </w:pPr>
      <w:r w:rsidRPr="004E59AE">
        <w:t xml:space="preserve">Adjustment for a range of relevant covariates took into account potential confounders of the associations between exposures and </w:t>
      </w:r>
      <w:r w:rsidRPr="0023276A">
        <w:t xml:space="preserve">outcomes. </w:t>
      </w:r>
    </w:p>
    <w:p w14:paraId="6B4A54AC" w14:textId="1C15471D" w:rsidR="00E46B0B" w:rsidRDefault="00E46B0B" w:rsidP="00E46B0B">
      <w:pPr>
        <w:pStyle w:val="ListParagraph"/>
        <w:numPr>
          <w:ilvl w:val="0"/>
          <w:numId w:val="3"/>
        </w:numPr>
      </w:pPr>
      <w:r w:rsidRPr="0023276A">
        <w:t>Findings were robust to three sensitivity analyses taking different analytic approaches.</w:t>
      </w:r>
    </w:p>
    <w:p w14:paraId="5A70CE77" w14:textId="77777777" w:rsidR="00E46B0B" w:rsidRDefault="00E46B0B" w:rsidP="00E46B0B">
      <w:pPr>
        <w:pStyle w:val="ListParagraph"/>
        <w:numPr>
          <w:ilvl w:val="0"/>
          <w:numId w:val="3"/>
        </w:numPr>
      </w:pPr>
      <w:r>
        <w:t>Reliance on self-reported data introduced potential for bias.</w:t>
      </w:r>
    </w:p>
    <w:p w14:paraId="7755D822" w14:textId="71594894" w:rsidR="00E46B0B" w:rsidRDefault="00E46B0B" w:rsidP="00E46B0B">
      <w:pPr>
        <w:pStyle w:val="ListParagraph"/>
        <w:numPr>
          <w:ilvl w:val="0"/>
          <w:numId w:val="3"/>
        </w:numPr>
      </w:pPr>
      <w:r>
        <w:t>We did not model dynamic effects (i.e. the impact of changes in smoking status and physical activity across the time period on disease outcomes) which may have masked some associations.</w:t>
      </w:r>
    </w:p>
    <w:p w14:paraId="28963355" w14:textId="77777777" w:rsidR="00E46B0B" w:rsidRDefault="00E46B0B" w:rsidP="00E46B0B"/>
    <w:p w14:paraId="05641710" w14:textId="77777777" w:rsidR="00E46B0B" w:rsidRDefault="00E46B0B">
      <w:pPr>
        <w:spacing w:after="200" w:line="276" w:lineRule="auto"/>
        <w:rPr>
          <w:rFonts w:eastAsiaTheme="majorEastAsia" w:cstheme="minorHAnsi"/>
          <w:b/>
          <w:bCs/>
          <w:sz w:val="26"/>
          <w:szCs w:val="26"/>
        </w:rPr>
      </w:pPr>
      <w:r>
        <w:br w:type="page"/>
      </w:r>
    </w:p>
    <w:p w14:paraId="153C1BC2" w14:textId="1C18FB0E" w:rsidR="00E264C9" w:rsidRDefault="00E264C9" w:rsidP="00E264C9">
      <w:pPr>
        <w:pStyle w:val="Heading2"/>
      </w:pPr>
      <w:r>
        <w:lastRenderedPageBreak/>
        <w:t>Introduction</w:t>
      </w:r>
    </w:p>
    <w:p w14:paraId="11D8856C" w14:textId="28D99740" w:rsidR="00630DD0" w:rsidRDefault="00630DD0" w:rsidP="00E264C9">
      <w:r>
        <w:t xml:space="preserve">Smoking and low levels of physical activity are among the leading causes of preventable morbidity and mortality worldwide </w:t>
      </w:r>
      <w:r>
        <w:fldChar w:fldCharType="begin"/>
      </w:r>
      <w:r w:rsidR="006957ED">
        <w:instrText xml:space="preserve"> ADDIN ZOTERO_ITEM CSL_CITATION {"citationID":"wV2yxrqt","properties":{"formattedCitation":"(1)","plainCitation":"(1)","noteIndex":0},"citationItems":[{"id":"dxu6TYzy/8eCWSQrQ","uris":["http://zotero.org/users/446899/items/UFGRS73Y"],"uri":["http://zotero.org/users/446899/items/UFGRS73Y"],"itemData":{"id":5111,"type":"book","title":"Global Burden of Disease and Risk Factors","publisher":"World Bank","publisher-place":"Washington (DC)","source":"PubMed","event-place":"Washington (DC)","abstract":"Strategic health planning, the cornerstone of initiatives to facilitate the attainment of health goals in populations around the world, requires an understanding of the comparative burden of diseases and injuries, their corresponding risk factors, and the likely effects of proposed interventions. Critical to an effective assessment of risks and outcomes is a framework to integrate, validate, analyze, compare and disseminate available information to policy makers. The Global Burden of Disease (GBD) framework, the principal instrument to do so, has been widely adopted since its publication in 1990 as the preferred method for health accounting and as the standard to guide the setting of health research priorities. Features of this framework include the development of methods for assessing the reliability of data and estimating missing data for ensuring epidemiological consistency among the various estimates available for a disease, and the use of a common metric to summarize the disease burden from diagnostic categories of the International Classification of Diseases and the major risk factors that cause those health outcomes.","URL":"http://www.ncbi.nlm.nih.gov/books/NBK11812/","ISBN":"978-0-8213-6262-4","call-number":"NBK11812","note":"PMID: 21250374","language":"eng","editor":[{"family":"Lopez","given":"Alan D."},{"family":"Mathers","given":"Colin D."},{"family":"Ezzati","given":"Majid"},{"family":"Jamison","given":"Dean T."},{"family":"Murray","given":"Christopher JL"}],"issued":{"date-parts":[["2006"]]},"accessed":{"date-parts":[["2018",10,2]]}}}],"schema":"https://github.com/citation-style-language/schema/raw/master/csl-citation.json"} </w:instrText>
      </w:r>
      <w:r>
        <w:fldChar w:fldCharType="separate"/>
      </w:r>
      <w:r w:rsidRPr="00E00128">
        <w:rPr>
          <w:rFonts w:ascii="Calibri" w:hAnsi="Calibri" w:cs="Calibri"/>
          <w:szCs w:val="24"/>
        </w:rPr>
        <w:t>(1)</w:t>
      </w:r>
      <w:r>
        <w:fldChar w:fldCharType="end"/>
      </w:r>
      <w:r>
        <w:t xml:space="preserve">. Each is associated with substantially increased risk of developing a host of chronic diseases, including coronary heart disease (CHD), cancer, and chronic lung diseases </w:t>
      </w:r>
      <w:r>
        <w:fldChar w:fldCharType="begin"/>
      </w:r>
      <w:r w:rsidR="006957ED">
        <w:instrText xml:space="preserve"> ADDIN ZOTERO_ITEM CSL_CITATION {"citationID":"I1JBDXkE","properties":{"formattedCitation":"(2\\uc0\\u8211{}5)","plainCitation":"(2–5)","noteIndex":0},"citationItems":[{"id":"dxu6TYzy/AoqoKHTy","uris":["http://zotero.org/users/446899/items/CT9XBPDV"],"uri":["http://zotero.org/users/446899/items/CT9XBPDV"],"itemData":{"id":1735,"type":"article-journal","title":"Health benefits of physical activity: the evidence","container-title":"Canadian Medical Association Journal","page":"801-809","volume":"174","issue":"6","source":"www.cmaj.ca","abstract":"The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status.","DOI":"10.1503/cmaj.051351","ISSN":"0820-3946, 1488-2329","note":"PMID: 16534088","shortTitle":"Health benefits of physical activity","journalAbbreviation":"CMAJ","language":"en","author":[{"family":"Warburton","given":"Darren E. R."},{"family":"Nicol","given":"Crystal Whitney"},{"family":"Bredin","given":"Shannon S. D."}],"issued":{"date-parts":[["2006",3,14]]}}},{"id":"dxu6TYzy/LZ0wwFwF","uris":["http://zotero.org/users/446899/items/MUKGKH2E"],"uri":["http://zotero.org/users/446899/items/MUKGKH2E"],"itemData":{"id":5109,"type":"article-journal","title":"Exercise and well-being: a review of mental and physical health benefits associated with physical activity","container-title":"Current Opinion in Psychiatry","page":"189","volume":"18","issue":"2","source":"journals.lww.com","abstract":"Purpose of review This review highlights recent work evaluating the relationship between exercise, physical activity and physical and mental health. Both cross-sectional and longitudinal studies, as well as randomized clinical trials, are included. Special attention is given to physical conditions, including obesity, cancer, cardiovascular disease and sexual dysfunction. Furthermore, studies relating physical activity to depression and other mood states are reviewed. The studies include diverse ethnic populations, including men and women, as well as several age groups (e.g. adolescents, middle-aged and older adults).\n        Recent findings Results of the studies continue to support a growing literature suggesting that exercise, physical activity and physical-activity interventions have beneficial effects across several physical and mental-health outcomes. Generally, participants engaging in regular physical activity display more desirable health outcomes across a variety of physical conditions. Similarly, participants in randomized clinical trials of physical-activity interventions show better health outcomes, including better general and health-related quality of life, better functional capacity and better mood states.\n        Summary The studies have several implications for clinical practice and research. Most work suggests that exercise and physical activity are associated with better quality of life and health outcomes. Therefore, assessment and promotion of exercise and physical activity may be beneficial in achieving desired benefits across several populations. Several limitations were noted, particularly in research involving randomized clinical trials. These trials tend to involve limited sample sizes with short follow-up periods, thus limiting the clinical implications of the benefits associated with physical activity.\n        Abbreviations CAD: coronary artery disease; COPD: chronic obstructive pulmonary disease; CRP: cardiac rehabilitation program; CVD: cardiovascular disease; GMCB: group-mediated cognitive–behavioural; HRQOL: health-related quality of life.","ISSN":"0951-7367","shortTitle":"Exercise and well-being","language":"en-US","author":[{"family":"Penedo","given":"Frank J."},{"family":"Dahn","given":"Jason R."}],"issued":{"date-parts":[["2005",3]]}}},{"id":"dxu6TYzy/lLkyz38f","uris":["http://zotero.org/users/446899/items/2RWGB89C"],"uri":["http://zotero.org/users/446899/items/2RWGB89C"],"itemData":{"id":5108,"type":"report","title":"The Health Consequences of Smoking—50 Years of Progress: A Report of the Surgeon General","publisher":"U.S. Department of Health and Human Services, Centers for Disease Control and Prevention, National Center for Chronic Disease Prevention and Health Promotion, Office on Smoking and Health","publisher-place":"Atlanta, GA","event-place":"Atlanta, GA","author":[{"family":"U.S. Department of Health and Human Services","given":""}],"issued":{"date-parts":[["2014"]]}}},{"id":"dxu6TYzy/B2mTCt1j","uris":["http://zotero.org/users/446899/items/E58UBPZD"],"uri":["http://zotero.org/users/446899/items/E58UBPZD"],"itemData":{"id":1158,"type":"article-journal","title":"Actual causes of death in the United States, 2000","container-title":"Jama","page":"1238–1245","volume":"291","issue":"10","source":"Google Scholar","author":[{"family":"Mokdad","given":"Ali H."},{"family":"Marks","given":"James S."},{"family":"Stroup","given":"Donna F."},{"family":"Gerberding","given":"Julie L."}],"issued":{"date-parts":[["2004"]]}}}],"schema":"https://github.com/citation-style-language/schema/raw/master/csl-citation.json"} </w:instrText>
      </w:r>
      <w:r>
        <w:fldChar w:fldCharType="separate"/>
      </w:r>
      <w:r w:rsidRPr="000866CC">
        <w:rPr>
          <w:rFonts w:ascii="Calibri" w:hAnsi="Calibri" w:cs="Calibri"/>
          <w:szCs w:val="24"/>
        </w:rPr>
        <w:t>(2–5)</w:t>
      </w:r>
      <w:r>
        <w:fldChar w:fldCharType="end"/>
      </w:r>
      <w:r>
        <w:t xml:space="preserve">. Quitting smoking and taking up physical activity leads to improvements in overall health and longevity, even relatively late in life </w:t>
      </w:r>
      <w:r>
        <w:fldChar w:fldCharType="begin"/>
      </w:r>
      <w:r w:rsidR="006957ED">
        <w:instrText xml:space="preserve"> ADDIN ZOTERO_ITEM CSL_CITATION {"citationID":"ELidZUMt","properties":{"formattedCitation":"(2,6\\uc0\\u8211{}8)","plainCitation":"(2,6–8)","noteIndex":0},"citationItems":[{"id":"dxu6TYzy/AoqoKHTy","uris":["http://zotero.org/users/446899/items/CT9XBPDV"],"uri":["http://zotero.org/users/446899/items/CT9XBPDV"],"itemData":{"id":1735,"type":"article-journal","title":"Health benefits of physical activity: the evidence","container-title":"Canadian Medical Association Journal","page":"801-809","volume":"174","issue":"6","source":"www.cmaj.ca","abstract":"The primary purpose of this narrative review was to evaluate the current literature and to provide further insight into the role physical inactivity plays in the development of chronic disease and premature death. We confirm that there is irrefutable evidence of the effectiveness of regular physical activity in the primary and secondary prevention of several chronic diseases (e.g., cardiovascular disease, diabetes, cancer, hypertension, obesity, depression and osteoporosis) and premature death. We also reveal that the current Health Canada physical activity guidelines are sufficient to elicit health benefits, especially in previously sedentary people. There appears to be a linear relation between physical activity and health status, such that a further increase in physical activity and fitness will lead to additional improvements in health status.","DOI":"10.1503/cmaj.051351","ISSN":"0820-3946, 1488-2329","note":"PMID: 16534088","shortTitle":"Health benefits of physical activity","journalAbbreviation":"CMAJ","language":"en","author":[{"family":"Warburton","given":"Darren E. R."},{"family":"Nicol","given":"Crystal Whitney"},{"family":"Bredin","given":"Shannon S. D."}],"issued":{"date-parts":[["2006",3,14]]}}},{"id":"dxu6TYzy/X95uFbj5","uris":["http://zotero.org/users/446899/items/DAAEZNC3"],"uri":["http://zotero.org/users/446899/items/DAAEZNC3"],"itemData":{"id":1152,"type":"article-journal","title":"The Effects of a Smoking Cessation Intervention on 14.5-Year Mortality: A Randomized Clinical Trial","container-title":"Annals of Internal Medicine","page":"233-239","volume":"142","issue":"4","source":"Silverchair","abstract":"The Lung Health Study (LHS) was a randomized clinical trial of smoking cessation and inhaled bronchodilator (ipratropium) therapy in smokers 35 to 60 years of age who did not consider themselves ill but had evidence of mild to moderate airway obstruction (2). Individuals with serious disease, hypertension, obesity, or excessive alcohol intake were excluded. The primary research questions were whether a smoking cessation program and use of inhaled ipratropium would decrease the rate of decline of lung function and would affect mortality and morbidity over 5 years. These results have been reported elsewhere (3–4). The smoking cessation program was associated with cumulative reduced decline in lung function (FEV1) that was largest in participants who stopped smoking early in the study; inhaled ipratropium produced a small noncumulative increase in FEV1 that disappeared when the drug was withdrawn (3). Intention-to-treat analysis after 5 years did not reveal differences in morbidity or mortality among treatment groups (4), although subgroup analysis showed that smoking cessation was associated with significant reductions in fatal or nonfatal cardiovascular disease and coronary heart disease. This paper reports the effects of the study intervention on mortality in LHS participants 14.5 years after randomization.","DOI":"10.7326/0003-4819-142-4-200502150-00005","ISSN":"0003-4819","journalAbbreviation":"Ann Intern Med","author":[{"family":"Anthonisen","given":"Nicholas R."},{"family":"Skeans","given":"Melissa A."},{"family":"Wise","given":"Robert A."},{"family":"Manfreda","given":"Jure"},{"family":"Kanner","given":"Richard E."},{"family":"Connett","given":"John E."}],"issued":{"date-parts":[["2005",2,15]]}}},{"id":"dxu6TYzy/RZj2kGeV","uris":["http://zotero.org/users/446899/items/7UGDK827"],"uri":["http://zotero.org/users/446899/items/7UGDK827"],"itemData":{"id":1753,"type":"article-journal","title":"Taking up physical activity in later life and healthy ageing: the English longitudinal study of ageing","container-title":"British Journal of Sports Medicine","page":"239-243","volume":"48","issue":"3","source":"bjsm.bmj.com","abstract":"Background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follow-up.\nMethods Participants were 3454 initially disease-free men and women (aged 63.7±8.9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impairment.\nResults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follow-up.\nConclusions Sustained physical activity in older age is associated with improved overall health. Significant health benefits were even seen among participants who became physically active relatively late in life.","DOI":"10.1136/bjsports-2013-092993","ISSN":", 14730480","note":"PMID: 24276781","shortTitle":"Taking up physical activity in later life and healthy ageing","journalAbbreviation":"Br J Sports Med","language":"en","author":[{"family":"Hamer","given":"Mark"},{"family":"Lavoie","given":"Kim L."},{"family":"Bacon","given":"Simon L."}],"issued":{"date-parts":[["2014",2,1]]}}},{"id":"dxu6TYzy/3FvIeRhs","uris":["http://zotero.org/users/446899/items/7QUFK77G"],"uri":["http://zotero.org/users/446899/items/7QUFK77G"],"itemData":{"id":5100,"type":"article-journal","title":"21st-Century Hazards of Smoking and Benefits of Cessation in the United States","container-title":"New England Journal of Medicine","page":"341-350","volume":"368","issue":"4","source":"Taylor and Francis+NEJM","abstract":"Smoking is a major cause of premature death worldwide.1–3 Despite substantial declines in the prevalence of smoking by adults, estimates based on extrapolation from studies in the 1980s suggest that for those between 35 and 69 years of age, smoking currently accounts for almost 200,000 deaths annually in the United States, or about one fourth of all deaths in this age group.4–6 The prevalence of smoking peaked around 1960 among U.S. men and about two decades later among U.S. women.7,8 Rates of death from vascular disease have decreased substantially since the 1980s owing to reductions in smoking . . .","DOI":"10.1056/NEJMsa1211128","ISSN":"0028-4793","note":"PMID: 23343063","author":[{"family":"Jha","given":"Prabhat"},{"family":"Ramasundarahettige","given":"Chinthanie"},{"family":"Landsman","given":"Victoria"},{"family":"Rostron","given":"Brian"},{"family":"Thun","given":"Michael"},{"family":"Anderson","given":"Robert N."},{"family":"McAfee","given":"Tim"},{"family":"Peto","given":"Richard"}],"issued":{"date-parts":[["2013",1,24]]}}}],"schema":"https://github.com/citation-style-language/schema/raw/master/csl-citation.json"} </w:instrText>
      </w:r>
      <w:r>
        <w:fldChar w:fldCharType="separate"/>
      </w:r>
      <w:r w:rsidRPr="000866CC">
        <w:rPr>
          <w:rFonts w:ascii="Calibri" w:hAnsi="Calibri" w:cs="Calibri"/>
          <w:szCs w:val="24"/>
        </w:rPr>
        <w:t>(2,6–8)</w:t>
      </w:r>
      <w:r>
        <w:fldChar w:fldCharType="end"/>
      </w:r>
      <w:r>
        <w:t xml:space="preserve">. Associations between low levels of physical activity and poorer mental health outcomes, including depression and anxiety disorders, have consistently been reported </w:t>
      </w:r>
      <w:r>
        <w:fldChar w:fldCharType="begin"/>
      </w:r>
      <w:r w:rsidR="006957ED">
        <w:instrText xml:space="preserve"> ADDIN ZOTERO_ITEM CSL_CITATION {"citationID":"oqK0cbIc","properties":{"formattedCitation":"(9,10)","plainCitation":"(9,10)","noteIndex":0},"citationItems":[{"id":"dxu6TYzy/0bRBPxtg","uris":["http://zotero.org/users/446899/items/SGJHMJDQ"],"uri":["http://zotero.org/users/446899/items/SGJHMJDQ"],"itemData":{"id":7641,"type":"article-journal","title":"Associations of physical activity with anxiety symptoms and disorders: Findings from the Swedish National March Cohort","container-title":"General Hospital Psychiatry","page":"45-50","volume":"58","source":"PubMed","abstract":"OBJECTIVE: Regular physical activity (PA) is associated with less self-reported anxiety, but prospective studies linked to clinician diagnoses of anxiety disorder remain scarce. We examined whether the PA levels recommended for general health are related to anxiety symptoms and disorders.\nMETHOD: In total, 43,863 Swedish adults were surveyed in 1997 and responses linked to medical registers until 2010. Weekly durations of habitual moderate and vigorous leisure time PA were self-reported. Cross-sectional and prospective relationships between the total duration (minutes) of PA, 0-149 ('below'), 150-299 ('achieve'), and ≥300 min ('exceed') with self-reported anxiety symptoms and incident anxiety disorder were explored. Associations were explored using logistic and Cox proportional hazard regression models.\nRESULTS: Of 27,053 participants with complete data (mean age = 49.0 years, SD = 15.9, 66% female), 76% met the recommended duration of PA (≥150 min), and 38% exceeded this duration. At baseline, 2573 participants (9.5%) reported elevated anxiety symptoms. In cross-sectional analyses, engaging in ≥150 min of MVPA/week was associated with 24% (OR = 0.76, 95% CI = 0.68-0.86) lower odds of anxiety symptoms. Exceeding the weekly duration was associated with 36% (OR = 0.64, 95% CI = 0.57-0.72) lower odds. During the 13-year follow-up, 198 incident cases of anxiety disorder (0.8%) were identified. No significant prospective relationships were found.\nCONCLUSIONS: Engaging in leisure time PA at levels recommended for general health may reduce the risk of elevated anxiety symptoms. As the incidence of anxiety disorder was likely under-estimated, further prospective studies are needed to determine the relationship between PA and incident anxiety disorder.","DOI":"10.1016/j.genhosppsych.2019.03.001","ISSN":"1873-7714","note":"PMID: 30884441","shortTitle":"Associations of physical activity with anxiety symptoms and disorders","journalAbbreviation":"Gen Hosp Psychiatry","language":"eng","author":[{"family":"Hallgren","given":"Mats"},{"family":"Nguyen","given":"Thi-Thuy-Dung"},{"family":"Herring","given":"Matthew P."},{"family":"McDowell","given":"Cillian P."},{"family":"Gordon","given":"Brett R."},{"family":"Stubbs","given":"Brendon"},{"family":"Bellocco","given":"Rino"},{"family":"Lagerros","given":"Ylva Trolle"}],"issued":{"date-parts":[["2019",3,10]]}}},{"id":"dxu6TYzy/GZHmOVjH","uris":["http://zotero.org/users/446899/items/MT48UFG8"],"uri":["http://zotero.org/users/446899/items/MT48UFG8"],"itemData":{"id":7640,"type":"article-journal","title":"Physical Activity and Incident Depression: A Meta-Analysis of Prospective Cohort Studies","container-title":"The American Journal of Psychiatry","page":"631-648","volume":"175","issue":"7","source":"PubMed","abstract":"OBJECTIVE: The authors examined the prospective relationship between physical activity and incident depression and explored potential moderators.\nMETHOD: Prospective cohort studies evaluating incident depression were searched from database inception through Oct. 18, 2017, on PubMed, PsycINFO, Embase, and SPORTDiscus. Demographic and clinical data, data on physical activity and depression assessments, and odds ratios, relative risks, and hazard ratios with 95% confidence intervals were extracted. Random-effects meta-analyses were conducted, and the potential sources of heterogeneity were explored. Methodological quality was assessed using the Newcastle-Ottawa Scale.\nRESULTS: A total of 49 unique prospective studies (N=266,939; median proportion of males across studies, 47%) were followed up for 1,837,794 person-years. Compared with people with low levels of physical activity, those with high levels had lower odds of developing depression (adjusted odds ratio=0.83, 95% CI=0.79, 0.88; I2=0.00). Furthermore, physical activity had a protective effect against the emergence of depression in youths (adjusted odds ratio=0.90, 95% CI=0.83, 0.98), in adults (adjusted odds ratio=0.78, 95% CI=0.70, 0.87), and in elderly persons (adjusted odds ratio=0.79, 95% CI=0.72, 0.86). Protective effects against depression were found across geographical regions, with adjusted odds ratios ranging from 0.65 to 0.84 in Asia, Europe, North America, and Oceania, and against increased incidence of positive screen for depressive symptoms (adjusted odds ratio=0.84, 95% CI=0.79, 0.89) or major depression diagnosis (adjusted odds ratio=0.86, 95% CI=0.75, 0.98). No moderators were identified. Results were consistent for unadjusted odds ratios and for adjusted and unadjusted relative risks/hazard ratios. Overall study quality was moderate to high (Newcastle-Ottawa Scale score, 6.3). Although significant publication bias was found, adjusting for this did not change the magnitude of the associations.\nCONCLUSIONS: Available evidence supports the notion that physical activity can confer protection against the emergence of depression regardless of age and geographical region.","DOI":"10.1176/appi.ajp.2018.17111194","ISSN":"1535-7228","note":"PMID: 29690792","shortTitle":"Physical Activity and Incident Depression","journalAbbreviation":"Am J Psychiatry","language":"eng","author":[{"family":"Schuch","given":"Felipe B."},{"family":"Vancampfort","given":"Davy"},{"family":"Firth","given":"Joseph"},{"family":"Rosenbaum","given":"Simon"},{"family":"Ward","given":"Philip B."},{"family":"Silva","given":"Edson S."},{"family":"Hallgren","given":"Mats"},{"family":"Ponce De Leon","given":"Antonio"},{"family":"Dunn","given":"Andrea L."},{"family":"Deslandes","given":"Andrea C."},{"family":"Fleck","given":"Marcelo P."},{"family":"Carvalho","given":"Andre F."},{"family":"Stubbs","given":"Brendon"}],"issued":{"date-parts":[["2018",7,1]]}}}],"schema":"https://github.com/citation-style-language/schema/raw/master/csl-citation.json"} </w:instrText>
      </w:r>
      <w:r>
        <w:fldChar w:fldCharType="separate"/>
      </w:r>
      <w:r w:rsidRPr="00C05EA8">
        <w:rPr>
          <w:rFonts w:ascii="Calibri" w:hAnsi="Calibri" w:cs="Calibri"/>
          <w:szCs w:val="24"/>
        </w:rPr>
        <w:t>(9,10)</w:t>
      </w:r>
      <w:r>
        <w:fldChar w:fldCharType="end"/>
      </w:r>
      <w:r>
        <w:t xml:space="preserve"> and</w:t>
      </w:r>
      <w:r w:rsidRPr="00C963F8">
        <w:t xml:space="preserve"> physical inactivity</w:t>
      </w:r>
      <w:r>
        <w:t xml:space="preserve"> (defined as not meeting the recommended physical activity guidelines for good health)</w:t>
      </w:r>
      <w:r w:rsidRPr="00C963F8">
        <w:t xml:space="preserve"> appears to be causally related to mental health conditions </w:t>
      </w:r>
      <w:r>
        <w:fldChar w:fldCharType="begin"/>
      </w:r>
      <w:r w:rsidR="006957ED">
        <w:instrText xml:space="preserve"> ADDIN ZOTERO_ITEM CSL_CITATION {"citationID":"g20MDF5d","properties":{"formattedCitation":"(3)","plainCitation":"(3)","noteIndex":0},"citationItems":[{"id":"dxu6TYzy/LZ0wwFwF","uris":["http://zotero.org/users/446899/items/MUKGKH2E"],"uri":["http://zotero.org/users/446899/items/MUKGKH2E"],"itemData":{"id":5109,"type":"article-journal","title":"Exercise and well-being: a review of mental and physical health benefits associated with physical activity","container-title":"Current Opinion in Psychiatry","page":"189","volume":"18","issue":"2","source":"journals.lww.com","abstract":"Purpose of review This review highlights recent work evaluating the relationship between exercise, physical activity and physical and mental health. Both cross-sectional and longitudinal studies, as well as randomized clinical trials, are included. Special attention is given to physical conditions, including obesity, cancer, cardiovascular disease and sexual dysfunction. Furthermore, studies relating physical activity to depression and other mood states are reviewed. The studies include diverse ethnic populations, including men and women, as well as several age groups (e.g. adolescents, middle-aged and older adults).\n        Recent findings Results of the studies continue to support a growing literature suggesting that exercise, physical activity and physical-activity interventions have beneficial effects across several physical and mental-health outcomes. Generally, participants engaging in regular physical activity display more desirable health outcomes across a variety of physical conditions. Similarly, participants in randomized clinical trials of physical-activity interventions show better health outcomes, including better general and health-related quality of life, better functional capacity and better mood states.\n        Summary The studies have several implications for clinical practice and research. Most work suggests that exercise and physical activity are associated with better quality of life and health outcomes. Therefore, assessment and promotion of exercise and physical activity may be beneficial in achieving desired benefits across several populations. Several limitations were noted, particularly in research involving randomized clinical trials. These trials tend to involve limited sample sizes with short follow-up periods, thus limiting the clinical implications of the benefits associated with physical activity.\n        Abbreviations CAD: coronary artery disease; COPD: chronic obstructive pulmonary disease; CRP: cardiac rehabilitation program; CVD: cardiovascular disease; GMCB: group-mediated cognitive–behavioural; HRQOL: health-related quality of life.","ISSN":"0951-7367","shortTitle":"Exercise and well-being","language":"en-US","author":[{"family":"Penedo","given":"Frank J."},{"family":"Dahn","given":"Jason R."}],"issued":{"date-parts":[["2005",3]]}}}],"schema":"https://github.com/citation-style-language/schema/raw/master/csl-citation.json"} </w:instrText>
      </w:r>
      <w:r>
        <w:fldChar w:fldCharType="separate"/>
      </w:r>
      <w:r w:rsidRPr="000866CC">
        <w:rPr>
          <w:rFonts w:ascii="Calibri" w:hAnsi="Calibri" w:cs="Calibri"/>
        </w:rPr>
        <w:t>(3)</w:t>
      </w:r>
      <w:r>
        <w:fldChar w:fldCharType="end"/>
      </w:r>
      <w:r>
        <w:t xml:space="preserve">. The </w:t>
      </w:r>
      <w:r w:rsidRPr="00C963F8">
        <w:t xml:space="preserve">evidence on smoking </w:t>
      </w:r>
      <w:r>
        <w:t xml:space="preserve">is mixed, with some studies </w:t>
      </w:r>
      <w:r w:rsidRPr="00C963F8">
        <w:t>suggest</w:t>
      </w:r>
      <w:r>
        <w:t>ing</w:t>
      </w:r>
      <w:r w:rsidRPr="00C963F8">
        <w:t xml:space="preserve"> that </w:t>
      </w:r>
      <w:r>
        <w:t xml:space="preserve">the association with poor mental health can largely be explained by common causes, such as genes that predispose to both smoking and depression </w:t>
      </w:r>
      <w:r>
        <w:fldChar w:fldCharType="begin"/>
      </w:r>
      <w:r w:rsidR="006957ED">
        <w:instrText xml:space="preserve"> ADDIN ZOTERO_ITEM CSL_CITATION {"citationID":"Kv1aFwsj","properties":{"formattedCitation":"(11,12)","plainCitation":"(11,12)","noteIndex":0},"citationItems":[{"id":"dxu6TYzy/L403OZNI","uris":["http://zotero.org/users/446899/items/9YZ58AYA"],"uri":["http://zotero.org/users/446899/items/9YZ58AYA"],"itemData":{"id":5106,"type":"article-journal","title":"Smoking and Major Depression: A Causal Analysis","container-title":"Archives of General Psychiatry","page":"36-43","volume":"50","issue":"1","source":"jamanetwork.com","abstract":"&lt;p&gt;• Among 1566 personally evaluated female twins from a population-based register, average lifetime daily cigarette consumption was strongly related to lifetime prevalence and to prospectively assessed 1-year prevalence of major depression (MD). Using the cotwin control method, we evaluated whether the association between smoking and lifetime MD was causal or noncausal. While the relative risk (95% confidence interval) for ever smoking given a lifetime history of MD was 1.48 (1.30 to 1.65) in the entire sample, it was 1.18 (0.88 to 1.47) and 0.98 (0.71 to 1.26), respectively, in dizygotic and monozygotic twin pairs discordant for a history of MD. The relative risk for a history of MD given ever smoking was 1.60 (1.39 to 1.83) in the entire sample, while in dizygotic and monozygotic twins discordant for smoking, it was 1.29 (0.87 to 1.74) and 0.96 (0.59 to 1.42), respectively. Controlling for personal smoking history, family history of smoking predicted risk for MD; controlling for the personal history of MD, family history of MD predicted smoking. The best-fitting bivariate twin model suggested that the relationship between lifetime smoking and lifetime MD resulted solely from genes that predispose to both conditions. These results suggest that the association between smoking and MD in women is not a causal one but arises largely from familial factors, which are probably genetic, that predispose to both smoking and MD.&lt;/p&gt;","DOI":"10.1001/archpsyc.1993.01820130038007","ISSN":"0003-990X","shortTitle":"Smoking and Major Depression","journalAbbreviation":"Arch Gen Psychiatry","language":"en","author":[{"family":"Kendler","given":"Kenneth S."},{"family":"Neale","given":"Michael C."},{"family":"MacLean","given":"Charles J."},{"family":"Heath","given":"Andrew C."},{"family":"Eaves","given":"Lindon J."},{"family":"Kessler","given":"Ronald C."}],"issued":{"date-parts":[["1993",1,1]]}}},{"id":"dxu6TYzy/S2PoN5cj","uris":["http://zotero.org/users/446899/items/6QMDEK2X"],"uri":["http://zotero.org/users/446899/items/6QMDEK2X"],"itemData":{"id":5105,"type":"article-journal","title":"Major depression and cigarette smoking: results of a 21-year longitudinal study","container-title":"Psychological Medicine","page":"1357-1367","volume":"33","issue":"8","source":"Cambridge Core","abstract":"Background. The aim of this paper was to examine the association between major depression and cigarette smoking among young adults in a birth cohort before and after adjusting for confounding factors.Method. Data were gathered over the course of the Christchurch Health and Development Study (CHDS). The CHDS is a longitudinal study of a birth cohort of 1265 New Zealand children studied to age 21. Data were gathered by interview on: (a) major depression over the period 16–21 years; (b) daily smoking and nicotine dependence over the period from 16–21 years. In addition, the study included extensive information on social, family, and behavioural factors in childhood and adolescence.Results. Young people meeting DSM-IV criteria for major depression had elevated rates of daily smoking and nicotine dependence. These associations were reduced substantially by control for potential confounding child and adolescent factors. Nonetheless, even after such control, major depression was associated with increased rates of daily smoking (IRR=1·19; 95% CI=1·03, 1·39) and elevated rates of nicotine dependence (OR=1·75; 95% CI=1·13, 2·70).Conclusions. The results suggest that much of the association between smoking and depression reflects common confounding factors that are associated with both outcomes. Nonetheless, even after control for these factors there is evidence of a possible causal linkage between smoking and depression. The direction of causality between smoking and depression remains unknown.","DOI":"10.1017/S0033291703008596","ISSN":"1469-8978, 0033-2917","shortTitle":"Major depression and cigarette smoking","language":"en","author":[{"family":"Fergusson","given":"D. M."},{"family":"Goodwin","given":"R. D."},{"family":"Horwood","given":"L. J."}],"issued":{"date-parts":[["2003",11]]}}}],"schema":"https://github.com/citation-style-language/schema/raw/master/csl-citation.json"} </w:instrText>
      </w:r>
      <w:r>
        <w:fldChar w:fldCharType="separate"/>
      </w:r>
      <w:r w:rsidRPr="00C05EA8">
        <w:rPr>
          <w:rFonts w:ascii="Calibri" w:hAnsi="Calibri" w:cs="Calibri"/>
        </w:rPr>
        <w:t>(11,12)</w:t>
      </w:r>
      <w:r>
        <w:fldChar w:fldCharType="end"/>
      </w:r>
      <w:r>
        <w:t xml:space="preserve"> </w:t>
      </w:r>
      <w:r w:rsidRPr="002A6F7D">
        <w:t xml:space="preserve">and others finding evidence for a causal </w:t>
      </w:r>
      <w:r>
        <w:t xml:space="preserve">relationship </w:t>
      </w:r>
      <w:r>
        <w:fldChar w:fldCharType="begin"/>
      </w:r>
      <w:r w:rsidR="006957ED">
        <w:instrText xml:space="preserve"> ADDIN ZOTERO_ITEM CSL_CITATION {"citationID":"W66EmgS9","properties":{"formattedCitation":"(13,14)","plainCitation":"(13,14)","noteIndex":0},"citationItems":[{"id":"dxu6TYzy/zN6PYM5M","uris":["http://zotero.org/users/446899/items/3ALNV96Q"],"uri":["http://zotero.org/users/446899/items/3ALNV96Q"],"itemData":{"id":5104,"type":"article-journal","title":"Cigarette smoking and depression: tests of causal linkages using a longitudinal birth cohort","container-title":"The British Journal of Psychiatry","page":"440-446","volume":"196","issue":"6","source":"Cambridge Core","abstract":"Background\nResearch on the comorbidity between cigarette smoking and major depression has not elucidated the pathways by which smoking is associated with depression.\n\n\nAims\nTo examine the causal relationships between smoking and depression via fixed-effects regression and structural equation modelling.\n\n\nMethod\nData were gathered on nicotine-dependence symptoms and depressive symptoms in early adulthood using a birth cohort of over 1000 individuals.\n\n\nResults\nAdjustment for confounding factors revealed persistent significant (P&lt;0.05) associations between nicotine-dependence symptoms and depressive symptoms. Structural equation modelling suggested that the best-fitting causal model was one in which nicotine dependence led to increased risk of depression. The findings suggest that the comorbidity between smoking and depression arises from two routes; the first involving common or correlated risk factors and the second a direct path in which smoking increases the risk of depression.\n\n\nConclusions\nThis evidence is consistent with the conclusion that there is a cause and effect relationship between smoking and depression in which cigarette smoking increases the risk of symptoms of depression.","DOI":"10.1192/bjp.bp.109.065912","ISSN":"0007-1250, 1472-1465","shortTitle":"Cigarette smoking and depression","language":"en","author":[{"family":"Boden","given":"Joseph M."},{"family":"Fergusson","given":"David M."},{"family":"Horwood","given":"L. John"}],"issued":{"date-parts":[["2010",6]]}}},{"id":"dxu6TYzy/TWicgYwL","uris":["http://zotero.org/users/446899/items/SQAMD8HH"],"uri":["http://zotero.org/users/446899/items/SQAMD8HH"],"itemData":{"id":6787,"type":"article-journal","title":"Causal effects of lifetime smoking on risk for depression and schizophrenia: Evidence from a Mendelian randomisation study","container-title":"bioRxiv","page":"381301","source":"www.biorxiv.org","abstract":"&lt;p&gt;Smoking prevalence is higher amongst individuals with schizophrenia and depression compared to the general population. Mendelian randomisation (MR) can examine whether this association is causal using genetic variants identified in genome-wide association studies (GWAS). We conducted a GWAS of lifetime smoking behaviour (capturing smoking duration, heaviness and cessation) in a sample of 462,690 individuals from the UK Biobank, and validated the findings via two-sample MR analyses of positive control outcomes (e.g., lung cancer). Having established the validity of our instrument, we used bi-directional two-sample Mendelian randomisation to explore its effects on schizophrenia and depression. There was strong evidence to suggest smoking is a causal risk factor for both schizophrenia (OR = 2.27, 95% CI = 1.67 - 3.08, P &amp;lt; 0.001) and depression (OR = 1.99, 95% CI = 1.71 - 2.32, P &amp;lt; 0.001). We also found some evidence that genetic risk for both schizophrenia and depression cause increased lifetime smoking (β = 0.022, 95% CI = 0.005 - 0.038, P = 0.009; β= 0.091, 95% CI = 0.027 - 0.155, P = 0.005). These findings suggest that the association between smoking, schizophrenia and depression is due, at least in part, to a causal effect of smoking, providing further evidence for the detrimental consequences of smoking for mental health.&lt;/p&gt;","DOI":"10.1101/381301","shortTitle":"Causal effects of lifetime smoking on risk for depression and schizophrenia","language":"en","author":[{"family":"Wootton","given":"Robyn E."},{"family":"Richmond","given":"Rebecca C."},{"family":"Stuijfzand","given":"Bobby G."},{"family":"Lawn","given":"Rebecca B."},{"family":"Sallis","given":"Hannah M."},{"family":"Taylor","given":"Gemma M. J."},{"family":"Jones","given":"Hannah J."},{"family":"Zammit","given":"Stanley"},{"family":"Smith","given":"George Davey"},{"family":"Munafo","given":"Marcus R."}],"issued":{"date-parts":[["2018",12,20]]}}}],"schema":"https://github.com/citation-style-language/schema/raw/master/csl-citation.json"} </w:instrText>
      </w:r>
      <w:r>
        <w:fldChar w:fldCharType="separate"/>
      </w:r>
      <w:r w:rsidRPr="00C05EA8">
        <w:rPr>
          <w:rFonts w:ascii="Calibri" w:hAnsi="Calibri" w:cs="Calibri"/>
        </w:rPr>
        <w:t>(13,14)</w:t>
      </w:r>
      <w:r>
        <w:fldChar w:fldCharType="end"/>
      </w:r>
      <w:r>
        <w:t xml:space="preserve">. </w:t>
      </w:r>
    </w:p>
    <w:p w14:paraId="5D298CE8" w14:textId="1C104400" w:rsidR="00E264C9" w:rsidRDefault="00E264C9" w:rsidP="00E264C9">
      <w:r>
        <w:t>The</w:t>
      </w:r>
      <w:r w:rsidRPr="00D4139C">
        <w:t xml:space="preserve"> </w:t>
      </w:r>
      <w:r>
        <w:t xml:space="preserve">combined health risks associated with smoking and physical inactivity have not been comprehensively examined. This is important because health risk behaviours tend to cluster within individuals </w:t>
      </w:r>
      <w:r w:rsidR="00630DD0">
        <w:fldChar w:fldCharType="begin"/>
      </w:r>
      <w:r w:rsidR="006957ED">
        <w:instrText xml:space="preserve"> ADDIN ZOTERO_ITEM CSL_CITATION {"citationID":"Y8wjUsYM","properties":{"formattedCitation":"(15\\uc0\\u8211{}17)","plainCitation":"(15–17)","noteIndex":0},"citationItems":[{"id":"dxu6TYzy/VjyD1Gyz","uris":["http://zotero.org/users/446899/items/EJMME7SH"],"uri":["http://zotero.org/users/446899/items/EJMME7SH"],"itemData":{"id":5098,"type":"article-journal","title":"The prevalence and clustering of four major lifestyle risk factors in an English adult population","container-title":"Preventive Medicine","page":"124-128","volume":"44","issue":"2","source":"ScienceDirect","abstract":"Background\nThe aim of this study was to examine the clustering of four major lifestyle risk factors (smoking, heavy drinking, lack of fruit and vegetables consumption, and lack of physical activity), and to examine the variation across different socio-demographic groups in the English adult population.\nMethods\nThe study population was derived from the 2003 Health Survey for England (n=11,492). Clustering was examined by comparing the observed and expected prevalence of the different possible combinations. A multinomial multilevel regression model was conducted to examine the socio-demographic variation in the clustering of the four risk factors.\nResults\nThe study found that, when using British health recommendations, a majority of the English population have multiple lifestyle risk factors at the same time. Clustering was found at both ends of the lifestyle spectrum and was more pronounced for women than for men. Overall, multiple risk factors were more prevalent among men, lower social class households, singles, and people who are economically inactive, but less prevalent among homeowners and older age groups.\nConclusions\nThe clustering of multiple risk factors provides support for multiple-behavior interventions as opposed to single-behavior interventions.","DOI":"10.1016/j.ypmed.2006.10.006","ISSN":"0091-7435","journalAbbreviation":"Preventive Medicine","author":[{"family":"Poortinga","given":"Wouter"}],"issued":{"date-parts":[["2007",2,1]]}}},{"id":"dxu6TYzy/0uJSzPGX","uris":["http://zotero.org/users/446899/items/XIJ8VJ77"],"uri":["http://zotero.org/users/446899/items/XIJ8VJ77"],"itemData":{"id":5099,"type":"article-journal","title":"Clustering of risk behaviors with cigarette consumption: A population-based survey","container-title":"Preventive Medicine","page":"348-353","volume":"42","issue":"5","source":"ScienceDirect","abstract":"Objective.\nThis study assessed clustering of multiple risk behaviors (i.e., low leisure-time physical activity, low fruits/vegetables intake, and high alcohol consumption) with level of cigarette consumption.\nMethods.\nData from the 2002 Swiss Health Survey, a population-based cross-sectional telephone survey assessing health and self-reported risk behaviors, were used. 18,005 subjects (8052 men and 9953 women) aged 25 years old or more participated.\nResults.\nSmokers more frequently had low leisure time physical activity, low fruits/vegetables intake, and high alcohol consumption than non- and ex-smokers. Frequency of each risk behavior increased steadily with cigarette consumption. Clustering of risk behaviors increased with cigarette consumption in both men and women. For men, the odds ratios of multiple (≥2) risk behaviors other than smoking, adjusted for age, nationality, and educational level, were 1.14 (95% confidence interval: 0.97, 1.33) for ex-smokers, 1.24 (0.93, 1.64) for light smokers (1–9 cigarettes/day), 1.72 (1.36, 2.17) for moderate smokers (10–19 cigarettes/day), and 3.07 (2.59, 3.64) for heavy smokers (≥20 cigarettes/day) versus non-smokers. Similar odds ratios were found for women for corresponding groups, i.e., 1.01 (0.86, 1.19), 1.26 (1.00, 1.58), 1.62 (1.33, 1.98), and 2.75 (2.30, 3.29).\nConclusions.\nCounseling and intervention with smokers should take into account the strong clustering of risk behaviors with level of cigarette consumption.","DOI":"10.1016/j.ypmed.2006.01.011","ISSN":"0091-7435","shortTitle":"Clustering of risk behaviors with cigarette consumption","journalAbbreviation":"Preventive Medicine","author":[{"family":"Chiolero","given":"Arnaud"},{"family":"Wietlisbach","given":"Vincent"},{"family":"Ruffieux","given":"Christiane"},{"family":"Paccaud","given":"Fred"},{"family":"Cornuz","given":"Jacques"}],"issued":{"date-parts":[["2006",5,1]]}}},{"id":"dxu6TYzy/OYLNKBFn","uris":["http://zotero.org/users/446899/items/ZAM9LE3S"],"uri":["http://zotero.org/users/446899/items/ZAM9LE3S"],"itemData":{"id":5205,"type":"article-journal","title":"Patterns of health behavior in U.S. adults","container-title":"Preventive Medicine","page":"615-623","volume":"36","issue":"5","source":"ScienceDirect","abstract":"Background\nAssociations between health-related behaviors are important for two reasons. First, disease prevention and health promotion depend on understanding both prevalence of health behaviors and associations among such behaviors. Second, behaviors may have synergistic effects on disease risk.\nMethods\nWe document patterns of adherence to recommendations concerning five behaviors (physical activity, tobacco use, alcohol consumption, fruit and vegetable consumption, and dietary fat intake) in U.S. adults (n = 15,425) using data from the Third National Health and Nutrition Examination Survey. Division of individuals into categories associated with adherence or nonadherence to lifestyle recommendations results in 32 patterns of adherence/nonadherence.\nResults\nProportions of U.S. adults with 21 of 32 behavior patterns characterized here deviated from proportions expected if health behaviors are independent of each other. The two extreme patterns, all adherence (5.9%) and all nonadherence (4.9%), were found in about double the proportion expected. Age, gender, race/ethnicity, education, and income were associated with a number of patterns, including the two extremes.\nConclusions\nThis analysis of behavior patterns highlights population subgroups of public health importance, provides a benchmark for studies of multivariate associations between health behaviors, and supports a multidimensional model of health behavior.","DOI":"10.1016/S0091-7435(02)00067-1","ISSN":"0091-7435","journalAbbreviation":"Preventive Medicine","author":[{"family":"Berrigan","given":"David"},{"family":"Dodd","given":"Kevin"},{"family":"Troiano","given":"Richard P."},{"family":"Krebs-Smith","given":"Susan M."},{"family":"Barbash","given":"Rachel Ballard"}],"issued":{"date-parts":[["2003",5,1]]}}}],"schema":"https://github.com/citation-style-language/schema/raw/master/csl-citation.json"} </w:instrText>
      </w:r>
      <w:r w:rsidR="00630DD0">
        <w:fldChar w:fldCharType="separate"/>
      </w:r>
      <w:r w:rsidR="004837B4" w:rsidRPr="004837B4">
        <w:rPr>
          <w:rFonts w:ascii="Calibri" w:hAnsi="Calibri" w:cs="Calibri"/>
          <w:szCs w:val="24"/>
        </w:rPr>
        <w:t>(15–17)</w:t>
      </w:r>
      <w:r w:rsidR="00630DD0">
        <w:fldChar w:fldCharType="end"/>
      </w:r>
      <w:r>
        <w:t xml:space="preserve">. Studies in large, representative samples have shown the majority of adults in England and the US have multiple lifestyle risk factors (e.g. </w:t>
      </w:r>
      <w:r w:rsidRPr="00B24AB5">
        <w:t xml:space="preserve">smoking, physical inactivity, excessive alcohol intake, low fruit and vegetable consumption) </w:t>
      </w:r>
      <w:r w:rsidR="00630DD0" w:rsidRPr="00B24AB5">
        <w:fldChar w:fldCharType="begin"/>
      </w:r>
      <w:r w:rsidR="006957ED">
        <w:instrText xml:space="preserve"> ADDIN ZOTERO_ITEM CSL_CITATION {"citationID":"DRrk9Ijt","properties":{"formattedCitation":"(15,17)","plainCitation":"(15,17)","noteIndex":0},"citationItems":[{"id":"dxu6TYzy/VjyD1Gyz","uris":["http://zotero.org/users/446899/items/EJMME7SH"],"uri":["http://zotero.org/users/446899/items/EJMME7SH"],"itemData":{"id":5098,"type":"article-journal","title":"The prevalence and clustering of four major lifestyle risk factors in an English adult population","container-title":"Preventive Medicine","page":"124-128","volume":"44","issue":"2","source":"ScienceDirect","abstract":"Background\nThe aim of this study was to examine the clustering of four major lifestyle risk factors (smoking, heavy drinking, lack of fruit and vegetables consumption, and lack of physical activity), and to examine the variation across different socio-demographic groups in the English adult population.\nMethods\nThe study population was derived from the 2003 Health Survey for England (n=11,492). Clustering was examined by comparing the observed and expected prevalence of the different possible combinations. A multinomial multilevel regression model was conducted to examine the socio-demographic variation in the clustering of the four risk factors.\nResults\nThe study found that, when using British health recommendations, a majority of the English population have multiple lifestyle risk factors at the same time. Clustering was found at both ends of the lifestyle spectrum and was more pronounced for women than for men. Overall, multiple risk factors were more prevalent among men, lower social class households, singles, and people who are economically inactive, but less prevalent among homeowners and older age groups.\nConclusions\nThe clustering of multiple risk factors provides support for multiple-behavior interventions as opposed to single-behavior interventions.","DOI":"10.1016/j.ypmed.2006.10.006","ISSN":"0091-7435","journalAbbreviation":"Preventive Medicine","author":[{"family":"Poortinga","given":"Wouter"}],"issued":{"date-parts":[["2007",2,1]]}}},{"id":"dxu6TYzy/OYLNKBFn","uris":["http://zotero.org/users/446899/items/ZAM9LE3S"],"uri":["http://zotero.org/users/446899/items/ZAM9LE3S"],"itemData":{"id":5205,"type":"article-journal","title":"Patterns of health behavior in U.S. adults","container-title":"Preventive Medicine","page":"615-623","volume":"36","issue":"5","source":"ScienceDirect","abstract":"Background\nAssociations between health-related behaviors are important for two reasons. First, disease prevention and health promotion depend on understanding both prevalence of health behaviors and associations among such behaviors. Second, behaviors may have synergistic effects on disease risk.\nMethods\nWe document patterns of adherence to recommendations concerning five behaviors (physical activity, tobacco use, alcohol consumption, fruit and vegetable consumption, and dietary fat intake) in U.S. adults (n = 15,425) using data from the Third National Health and Nutrition Examination Survey. Division of individuals into categories associated with adherence or nonadherence to lifestyle recommendations results in 32 patterns of adherence/nonadherence.\nResults\nProportions of U.S. adults with 21 of 32 behavior patterns characterized here deviated from proportions expected if health behaviors are independent of each other. The two extreme patterns, all adherence (5.9%) and all nonadherence (4.9%), were found in about double the proportion expected. Age, gender, race/ethnicity, education, and income were associated with a number of patterns, including the two extremes.\nConclusions\nThis analysis of behavior patterns highlights population subgroups of public health importance, provides a benchmark for studies of multivariate associations between health behaviors, and supports a multidimensional model of health behavior.","DOI":"10.1016/S0091-7435(02)00067-1","ISSN":"0091-7435","journalAbbreviation":"Preventive Medicine","author":[{"family":"Berrigan","given":"David"},{"family":"Dodd","given":"Kevin"},{"family":"Troiano","given":"Richard P."},{"family":"Krebs-Smith","given":"Susan M."},{"family":"Barbash","given":"Rachel Ballard"}],"issued":{"date-parts":[["2003",5,1]]}}}],"schema":"https://github.com/citation-style-language/schema/raw/master/csl-citation.json"} </w:instrText>
      </w:r>
      <w:r w:rsidR="00630DD0" w:rsidRPr="00B24AB5">
        <w:fldChar w:fldCharType="separate"/>
      </w:r>
      <w:r w:rsidR="004837B4" w:rsidRPr="004837B4">
        <w:rPr>
          <w:rFonts w:ascii="Calibri" w:hAnsi="Calibri" w:cs="Calibri"/>
        </w:rPr>
        <w:t>(15,17)</w:t>
      </w:r>
      <w:r w:rsidR="00630DD0" w:rsidRPr="00B24AB5">
        <w:fldChar w:fldCharType="end"/>
      </w:r>
      <w:r w:rsidR="00630DD0">
        <w:t>,</w:t>
      </w:r>
      <w:r w:rsidR="00630DD0" w:rsidRPr="00B24AB5">
        <w:t xml:space="preserve"> </w:t>
      </w:r>
      <w:r w:rsidR="00630DD0">
        <w:t xml:space="preserve">and </w:t>
      </w:r>
      <w:r w:rsidR="00630DD0" w:rsidRPr="00B24AB5">
        <w:t xml:space="preserve">there is evidence to suggest that combinations of lifestyle risk factors have a greater adverse impact on health than would be expected from the added individual effects alone </w:t>
      </w:r>
      <w:r w:rsidR="00630DD0" w:rsidRPr="00B24AB5">
        <w:fldChar w:fldCharType="begin"/>
      </w:r>
      <w:r w:rsidR="006957ED">
        <w:instrText xml:space="preserve"> ADDIN ZOTERO_ITEM CSL_CITATION {"citationID":"pnh6r6Jk","properties":{"formattedCitation":"(18\\uc0\\u8211{}22)","plainCitation":"(18–22)","noteIndex":0},"citationItems":[{"id":"dxu6TYzy/NLXY0qoq","uris":["http://zotero.org/users/446899/items/NHU5XAIM"],"uri":["http://zotero.org/users/446899/items/NHU5XAIM"],"itemData":{"id":5208,"type":"article-journal","title":"Alcohol, tobacco and obesity are synergistic risk factors for hepatocellular carcinoma","container-title":"Journal of Hepatology","page":"218-224","volume":"42","issue":"2","source":"ScienceDirect","abstract":"Background/Aims\nAlcohol has been shown to be an important risk factor for hepatocellular carcinoma (HCC). The role of tobacco as a risk factor for HCC is controversial. Recently, obesity has been reported to be a risk factor for HCC. We investigated whether these factors increase the risk of HCC in American patients.\nMethods\nConsecutive patients with HCC, cirrhosis without HCC and, control patients without liver disease were enrolled and exposure to risk factors was assessed.\nResults\nWhen HCC cases were compared to cirrhotic controls, the risk of HCC increased 6-fold for alcohol (OR 5.7; 95% CI: 2.4–13.7), 5-fold for tobacco (OR 4.9; 95% CI: 2.2–10.6), and 4-fold with obesity (OR 4.3; 95% CI: 2.1–8.4). Using spline regression, a dose-dependent relationship between alcohol and tobacco exposure with risk of HCC was noted. There was significant interaction between alcohol, tobacco and obesity, with synergistic indices greater than 1.\nConclusions\nAlcohol, tobacco and obesity are independent risk factors for HCC in our patient population, and they interact synergistically to increase the risk of HCC. Data from this study may allow us to stratify cirrhotics into low- and high-risk groups for the development of HCC surveillance strategies.","DOI":"10.1016/j.jhep.2004.10.005","ISSN":"0168-8278","journalAbbreviation":"Journal of Hepatology","author":[{"family":"Marrero","given":"Jorge A."},{"family":"Fontana","given":"Robert J."},{"family":"Fu","given":"Sherry"},{"family":"Conjeevaram","given":"Hari S."},{"family":"Su","given":"Grace L."},{"family":"Lok","given":"Anna S."}],"issued":{"date-parts":[["2005",2,1]]}}},{"id":"dxu6TYzy/HPtNnfSl","uris":["http://zotero.org/users/446899/items/WST2XQUP"],"uri":["http://zotero.org/users/446899/items/WST2XQUP"],"itemData":{"id":697,"type":"article-journal","title":"The Mortality Risk of Smoking and Obesity Combined","container-title":"American Journal of Preventive Medicine","page":"355-362","volume":"31","issue":"5","source":"CrossRef","DOI":"10.1016/j.amepre.2006.07.022","ISSN":"07493797","author":[{"family":"Freedman","given":"D. Michal"},{"family":"Sigurdson","given":"Alice J."},{"family":"Rajaraman","given":"Preetha"},{"family":"Doody","given":"Michele M."},{"family":"Linet","given":"Martha S."},{"family":"Ron","given":"Elaine"}],"issued":{"date-parts":[["2006",11]]}}},{"id":"dxu6TYzy/3KBGUCza","uris":["http://zotero.org/users/446899/items/4AIZ2LIV"],"uri":["http://zotero.org/users/446899/items/4AIZ2LIV"],"itemData":{"id":5214,"type":"article-journal","title":"Obesity as Compared With Physical Activity in Predicting Risk of Coronary Heart Disease in Women","container-title":"Circulation","page":"499-506","volume":"113","issue":"4","source":"PubMed Central","abstract":"Background\nThe comparative importance of physical inactivity and obesity as predictors of coronary heart disease (CHD) risk remains unsettled.\n\nMethods and Results\nWe followed 88 393 women, 34 to 59 years of age, in the Nurses’ Health Study from 1980 to 2000. These participants did not have cardiovascular disease and cancer at baseline. We documented 2358 incident major CHD events (including nonfatal myocardial infarction and fatal CHD) during 20 years of follow-up, including 889 cases of fatal CHD and 1469 cases of nonfatal myocardial infarction. In a multivariate model adjusting for cardiovascular risk factors, overweight and obesity were significantly associated with increased risk of CHD, whereas increasing levels of physical activity were associated with a graded reduction in CHD risk (P&lt;0.001). In joint analyses of body mass index (BMI) and physical activity in women who had a healthy weight (BMI, 18.5 to 24.9 kg/m2) and were physically active (exercise ≥3.5 h/wk) as the reference group, the relative risks of CHD were 3.44 (95% confidence interval [CI], 2.81 to 4.21) for women who were obese (BMI ≥30 kg/m2) and sedentary (exercise &lt;1 h/wk), 2.48 (95% CI, 1.84 to 3.34) for women who were active but obese, and 1.48 (95% CI, 1.24 to 1.77) for women who had a healthy weight but were sedentary. In combined analyses of waist-hip ratio and physical activity, both waist-hip ratio and physical activity were significant predictors of CHD, and the highest risk was among women in the lowest category of physical activity and the highest tertile of waist-hip ratio (relative risk=3.03; 95% CI, 1.96 to 4.18). Even a modest weight gain (4 to 10 kg) during adulthood was associated with 27% (95% CI, 12% to 45%) increased risk of CHD compared with women with a stable weight after adjusting for physical activity and other cardiovascular risk factors.\n\nConclusions\nObesity and physical inactivity independently contribute to the development of CHD in women. These data underscore the importance of both maintaining a healthy weight and regular physical activity in preventing CHD.","DOI":"10.1161/CIRCULATIONAHA.105.574087","ISSN":"0009-7322","note":"PMID: 16449729\nPMCID: PMC3210835","journalAbbreviation":"Circulation","author":[{"family":"Li","given":"Tricia Y."},{"family":"Rana","given":"Jamal S."},{"family":"Manson","given":"JoAnn E."},{"family":"Willett","given":"Walter C."},{"family":"Stampfer","given":"Meir J."},{"family":"Colditz","given":"Graham A."},{"family":"Rexrode","given":"Kathryn M."},{"family":"Hu","given":"Frank B."}],"issued":{"date-parts":[["2006",1,31]]}}},{"id":"dxu6TYzy/LQ6Xfnyk","uris":["http://zotero.org/users/446899/items/NA29QTSK"],"uri":["http://zotero.org/users/446899/items/NA29QTSK"],"itemData":{"id":5217,"type":"article-journal","title":"Physical activity and colon cancer: confounding or interaction?","container-title":"Medicine and Science in Sports and Exercise","page":"913-919","volume":"34","issue":"6","source":"PubMed","abstract":"PURPOSE: Although physical activity has been consistently inversely associated with colon cancer incidence, the association of physical activity with other diet and lifestyle factors that may influence this association is less well understood. Confounding and effect modification are examined to better understand the physical activity and colon cancer association.\nMETHODS: Based on hypothesized biological mechanisms whereby physical activity may alter risk of colon cancer, we evaluated confounding and effect modification using data collected as part of a case-control study of colon cancer (N = 1993 cases and 2410 controls). We examined associations between total energy intake, fiber, calcium, fruit and vegetables, red meat, whole grains as well as dietary patterns along with cigarette smoking, alcohol consumption, BMI, and use of aspirin and/or NSAIDs and physical activity.\nRESULTS: No confounding was observed for the physical activity and colon cancer association. However, differences in effects of diet and lifestyle factors were identified depending on level of physical activity. Most striking were statistically significant interactions between physical activity and high-risk dietary pattern and vegetable intake, in that the relative importance of diet was dependent on level of physical activity. The predictive model of colon cancer risk was improved by using an interaction term for physical activity and other variables, including BMI, cigarette smoking, energy intake, dietary fiber, dietary calcium, glycemic index, lutein, folate, vegetable intake, and high-risk diet rather than using models that included these variables as independent predictors with physical activity. In populations where activity levels are high, the estimate of risk associated with high vegetable intake was 0.9 (95% CI 0.6-1.3), whereas in more sedentary populations the estimate of risk associated with high vegetable intake was 0.6 (95% CI 0.5-0.9).\nCONCLUSIONS: Physical activity plays an important role in the etiology of colon cancer. Its significance is seen by its consistent association as an independent predictor of colon cancer as well as by its impact on the odds ratios associated with other factors. Given these observations, it is most probable that physical activity operates through multiple biological mechanisms that influence the carcinogenic process.","ISSN":"0195-9131","note":"PMID: 12048315","shortTitle":"Physical activity and colon cancer","journalAbbreviation":"Med Sci Sports Exerc","language":"eng","author":[{"family":"Slattery","given":"Martha L."},{"family":"Potter","given":"John D."}],"issued":{"date-parts":[["2002",6]]}}},{"id":"dxu6TYzy/fhZX5WEx","uris":["http://zotero.org/users/446899/items/3TSPZ6MZ"],"uri":["http://zotero.org/users/446899/items/3TSPZ6MZ"],"itemData":{"id":5219,"type":"article-journal","title":"Interaction between Tobacco and Alcohol Consumption and the Risk of Cancers of the Upper Aero-Digestive Tract in Brazil","container-title":"American Journal of Epidemiology","page":"1129-1137","volume":"150","issue":"11","source":"academic.oup.com","abstract":"Abstract.  The authors investigated the joint effects of tobacco and alcohol consumption on the risk of squamous cell carcinomas of the upper aero-digestive tra","DOI":"10.1093/oxfordjournals.aje.a009938","ISSN":"0002-9262","journalAbbreviation":"Am J Epidemiol","language":"en","author":[{"family":"Schlecht","given":"Nicolas F."},{"family":"Franco","given":"Eduardo L."},{"family":"Pintos","given":"Javier"},{"family":"Negassa","given":"Abdissa"},{"family":"Kowalski","given":"Luiz P."},{"family":"Oliveira","given":"Benedito V."},{"family":"Curado","given":"and Maria P."}],"issued":{"date-parts":[["1999",12,1]]}}}],"schema":"https://github.com/citation-style-language/schema/raw/master/csl-citation.json"} </w:instrText>
      </w:r>
      <w:r w:rsidR="00630DD0" w:rsidRPr="00B24AB5">
        <w:fldChar w:fldCharType="separate"/>
      </w:r>
      <w:r w:rsidR="004837B4" w:rsidRPr="004837B4">
        <w:rPr>
          <w:rFonts w:ascii="Calibri" w:hAnsi="Calibri" w:cs="Calibri"/>
          <w:szCs w:val="24"/>
        </w:rPr>
        <w:t>(18–22)</w:t>
      </w:r>
      <w:r w:rsidR="00630DD0" w:rsidRPr="00B24AB5">
        <w:fldChar w:fldCharType="end"/>
      </w:r>
      <w:r w:rsidR="00630DD0">
        <w:t>.</w:t>
      </w:r>
      <w:r w:rsidRPr="00B24AB5">
        <w:t xml:space="preserve"> </w:t>
      </w:r>
      <w:r>
        <w:t>If lifestyle risk factors work synergistically</w:t>
      </w:r>
      <w:r w:rsidR="004C258E">
        <w:t xml:space="preserve"> (i.e. greater than the sum</w:t>
      </w:r>
      <w:r w:rsidR="00D535D8">
        <w:t xml:space="preserve"> of the risks associated with each behaviour individually</w:t>
      </w:r>
      <w:r w:rsidR="004C258E">
        <w:t>, indicating the behaviours act as effect modifiers for each other)</w:t>
      </w:r>
      <w:r>
        <w:t xml:space="preserve"> rather than additively</w:t>
      </w:r>
      <w:r w:rsidR="004C258E">
        <w:t xml:space="preserve"> (i.e. the combined risk is greater than the individual risks associated with each behaviour)</w:t>
      </w:r>
      <w:r>
        <w:t xml:space="preserve"> to influence disease risk, there may be potential to increase the public health impact of behaviour change interventions by targeting multiple behaviours </w:t>
      </w:r>
      <w:r w:rsidR="00630DD0">
        <w:fldChar w:fldCharType="begin"/>
      </w:r>
      <w:r w:rsidR="006957ED">
        <w:instrText xml:space="preserve"> ADDIN ZOTERO_ITEM CSL_CITATION {"citationID":"ODwskabM","properties":{"formattedCitation":"(23\\uc0\\u8211{}25)","plainCitation":"(23–25)","noteIndex":0},"citationItems":[{"id":"dxu6TYzy/mzzxpw41","uris":["http://zotero.org/users/446899/items/TU84A9GF"],"uri":["http://zotero.org/users/446899/items/TU84A9GF"],"itemData":{"id":5222,"type":"article-journal","title":"A Review of Multiple Health Behavior Change Interventions for Primary Prevention","container-title":"American Journal of Lifestyle Medicine","page":"208-221","volume":"5","issue":"3","source":"SAGE Journals","abstract":"Most individuals engage in multiple unhealthy lifestyle behaviors with the potential for negative health consequences. Yet most health promotion research has addressed risk factors as categorically separate entities, and little is known about how to effectively promote multiple health behavior change (MHBC). This review summarizes the recent literature (January 2004 to December 2009) on randomized clinical trials evaluating MHBC interventions for primary prevention. Combining all the studies across all the reviews, fewer than 150 studies were identified. This is a fraction of the number of trials conducted on changing individual behavioral risks. Three primary behavioral clusters dominated: (1) the energy balance behaviors of physical activity and diet; (2) addictive behaviors like smoking and other drugs; and (3) disease-related behaviors, specifically cardiovascular disease (CVD) and cancer related. Findings were largely disappointing for studies of diet and physical activity, particularly with youth. Treating 2 addictions, including smoking, resulted in greater long-term sobriety from alcohol and illicit drugs. MHBC intervention effects were stronger and more consistent for cancer prevention than CVD prevention. MHBC interventions offer a new paradigm for broader, more comprehensive health promotion; however, the potential value in maximizing intervention impact is largely unmet.","DOI":"10.1177/1559827610391883","ISSN":"1559-8276","journalAbbreviation":"American Journal of Lifestyle Medicine","language":"en","author":[{"family":"Prochaska","given":"Judith J."},{"family":"Prochaska","given":"James O."}],"issued":{"date-parts":[["2011",5,1]]}}},{"id":"dxu6TYzy/dWqxr3Lx","uris":["http://zotero.org/users/446899/items/CR5TRX4H"],"uri":["http://zotero.org/users/446899/items/CR5TRX4H"],"itemData":{"id":6784,"type":"article-journal","title":"Multiple health behaviours: overview and implications","container-title":"Journal of Public Health (Oxford, England)","page":"i3-10","volume":"34 Suppl 1","source":"PubMed","abstract":"BACKGROUND: More remains unknown than known about how to optimize multiple health behaviour change.\nMETHODS: After reviewing the prevalence and comorbidities among major chronic disease risk behaviours for adults and youth, we consider the origins and applicability of high-risk and population strategies to foster multiple health behaviour change.\nRESULTS: Findings indicate that health risk behaviours are prevalent, increase with age and co-occur as risk behaviour clusters or bundles.\nCONCLUSIONS: We conclude that both population and high-risk strategies for health behaviour intervention are warranted, potentially synergistic and need intervention design that accounts for substitute and complementary relationships among bundled health behaviours. To maximize positive public health impact, a pressing need exists for bodies of basic and translational science that explain health behaviour bundling. Also needed is applied science that elucidates the following: (1) the optimal number of behaviours to intervene upon; (2) how target behaviours are best selected (e.g. greatest health impact; patient preference or positive effect on bundled behaviours); (3) whether to increase healthy or decrease unhealthy behaviours; (4) whether to intervene on health behaviours simultaneously or sequentially and (5) how to achieve positive synergies across individual-, group- and population-level intervention approaches.","DOI":"10.1093/pubmed/fdr111","ISSN":"1741-3850","note":"PMID: 22363028\nPMCID: PMC3284863","shortTitle":"Multiple health behaviours","journalAbbreviation":"J Public Health (Oxf)","language":"eng","author":[{"family":"Spring","given":"Bonnie"},{"family":"Moller","given":"Arlen C."},{"family":"Coons","given":"Michael J."}],"issued":{"date-parts":[["2012",3]]}}},{"id":"dxu6TYzy/Hk4GkQKL","uris":["http://zotero.org/users/446899/items/LYK4A5P7"],"uri":["http://zotero.org/users/446899/items/LYK4A5P7"],"itemData":{"id":6783,"type":"article-journal","title":"Multiple health behaviour change interventions for primary prevention of cardiovascular disease in primary care: systematic review and meta-analysis","container-title":"BMJ Open","page":"e015375","volume":"7","issue":"6","source":"bmjopen.bmj.com","abstract":"Background It is uncertain whether multiple health behaviour change (MHBC) interventions are effective for the primary prevention of cardiovascular disease (CVD) in primary care. A systematic review and a meta-analysis were performed to evaluate the effectiveness of MHBC interventions on CVD risk and CVD risk factors; the study also evaluated associations of theoretical frameworks and intervention components with intervention effectiveness.\nMethods The search included randomised controlled trials of MHBC interventions aimed at reducing CVD risk in primary prevention population up to 2017. Theoretical frameworks and intervention components were evaluated using standardised methods. Meta-analysis with stratification and meta-regression were used to evaluate intervention effects.\nResults We identified 31 trials (36 484 participants) with a minimum duration of 12 months follow-up. Pooled net change in systolic blood pressure (16 trials) was −1.86 (95% CI −3.17 to −0.55; p=0.01) mm Hg; diastolic blood pressure (15 trials), −1.53 (−2.43 to −0.62; p=0.001) mm Hg; body mass index (14 trials), −0.13 (−0.26 to −0.01; p=0.04) kg/m2; serum total cholesterol (14 trials), −0.13 (−0.19 to −0.07; p&lt;0.001) mmol/L. There was no significant association between interventions with a reported theoretical basis and improved intervention outcomes. No association was observed between intervention intensity (number of sessions and intervention duration) and intervention outcomes. There was significant heterogeneity for some risk factor analyses, leading to uncertain validity of some pooled net changes.\nConclusions MHBC interventions delivered to CVD-free participants in primary care did not appear to have quantitatively important effects on CVD risk factors. Better reporting of interventions’ rationale, content and delivery is essential to understanding their effectiveness.","DOI":"10.1136/bmjopen-2016-015375","ISSN":"2044-6055, 2044-6055","note":"PMID: 28619779","shortTitle":"Multiple health behaviour change interventions for primary prevention of cardiovascular disease in primary care","language":"en","author":[{"family":"Alageel","given":"Samah"},{"family":"Gulliford","given":"Martin C."},{"family":"McDermott","given":"Lisa"},{"family":"Wright","given":"Alison J."}],"issued":{"date-parts":[["2017",6,1]]}}}],"schema":"https://github.com/citation-style-language/schema/raw/master/csl-citation.json"} </w:instrText>
      </w:r>
      <w:r w:rsidR="00630DD0">
        <w:fldChar w:fldCharType="separate"/>
      </w:r>
      <w:r w:rsidR="004837B4" w:rsidRPr="004837B4">
        <w:rPr>
          <w:rFonts w:ascii="Calibri" w:hAnsi="Calibri" w:cs="Calibri"/>
          <w:szCs w:val="24"/>
        </w:rPr>
        <w:t>(23–25)</w:t>
      </w:r>
      <w:r w:rsidR="00630DD0">
        <w:fldChar w:fldCharType="end"/>
      </w:r>
      <w:r>
        <w:t xml:space="preserve">. However, the extant literature on the benefits of multiple behaviour change interventions is mixed, and their effectiveness likely depends upon particular behaviour combinations and whether there is genuine synergy between them </w:t>
      </w:r>
      <w:r>
        <w:fldChar w:fldCharType="begin"/>
      </w:r>
      <w:r w:rsidR="006957ED">
        <w:instrText xml:space="preserve"> ADDIN ZOTERO_ITEM CSL_CITATION {"citationID":"IhVjZgsd","properties":{"formattedCitation":"(24)","plainCitation":"(24)","noteIndex":0},"citationItems":[{"id":"dxu6TYzy/dWqxr3Lx","uris":["http://zotero.org/users/446899/items/CR5TRX4H"],"uri":["http://zotero.org/users/446899/items/CR5TRX4H"],"itemData":{"id":6784,"type":"article-journal","title":"Multiple health behaviours: overview and implications","container-title":"Journal of Public Health (Oxford, England)","page":"i3-10","volume":"34 Suppl 1","source":"PubMed","abstract":"BACKGROUND: More remains unknown than known about how to optimize multiple health behaviour change.\nMETHODS: After reviewing the prevalence and comorbidities among major chronic disease risk behaviours for adults and youth, we consider the origins and applicability of high-risk and population strategies to foster multiple health behaviour change.\nRESULTS: Findings indicate that health risk behaviours are prevalent, increase with age and co-occur as risk behaviour clusters or bundles.\nCONCLUSIONS: We conclude that both population and high-risk strategies for health behaviour intervention are warranted, potentially synergistic and need intervention design that accounts for substitute and complementary relationships among bundled health behaviours. To maximize positive public health impact, a pressing need exists for bodies of basic and translational science that explain health behaviour bundling. Also needed is applied science that elucidates the following: (1) the optimal number of behaviours to intervene upon; (2) how target behaviours are best selected (e.g. greatest health impact; patient preference or positive effect on bundled behaviours); (3) whether to increase healthy or decrease unhealthy behaviours; (4) whether to intervene on health behaviours simultaneously or sequentially and (5) how to achieve positive synergies across individual-, group- and population-level intervention approaches.","DOI":"10.1093/pubmed/fdr111","ISSN":"1741-3850","note":"PMID: 22363028\nPMCID: PMC3284863","shortTitle":"Multiple health behaviours","journalAbbreviation":"J Public Health (Oxf)","language":"eng","author":[{"family":"Spring","given":"Bonnie"},{"family":"Moller","given":"Arlen C."},{"family":"Coons","given":"Michael J."}],"issued":{"date-parts":[["2012",3]]}}}],"schema":"https://github.com/citation-style-language/schema/raw/master/csl-citation.json"} </w:instrText>
      </w:r>
      <w:r>
        <w:fldChar w:fldCharType="separate"/>
      </w:r>
      <w:r w:rsidR="004837B4" w:rsidRPr="004837B4">
        <w:rPr>
          <w:rFonts w:ascii="Calibri" w:hAnsi="Calibri" w:cs="Calibri"/>
        </w:rPr>
        <w:t>(24)</w:t>
      </w:r>
      <w:r>
        <w:fldChar w:fldCharType="end"/>
      </w:r>
      <w:r>
        <w:t xml:space="preserve">. </w:t>
      </w:r>
      <w:r w:rsidR="007966AF">
        <w:t xml:space="preserve">A Cochrane review of randomised controlled trials (RCTs) of physical activity </w:t>
      </w:r>
      <w:r w:rsidR="001023B0">
        <w:t>in addition to</w:t>
      </w:r>
      <w:r w:rsidR="007966AF">
        <w:t xml:space="preserve"> smoking cessation treatment </w:t>
      </w:r>
      <w:r w:rsidR="00AA6A14">
        <w:t>found</w:t>
      </w:r>
      <w:r w:rsidR="007966AF">
        <w:t xml:space="preserve"> mixed results, with the majority failing to provide evidence that physical activity aids smoking cessation</w:t>
      </w:r>
      <w:r w:rsidR="0043290F">
        <w:t xml:space="preserve"> </w:t>
      </w:r>
      <w:r w:rsidR="0043290F">
        <w:fldChar w:fldCharType="begin"/>
      </w:r>
      <w:r w:rsidR="006957ED">
        <w:instrText xml:space="preserve"> ADDIN ZOTERO_ITEM CSL_CITATION {"citationID":"Uw75XzX7","properties":{"formattedCitation":"(26)","plainCitation":"(26)","noteIndex":0},"citationItems":[{"id":"dxu6TYzy/yZZO34WQ","uris":["http://zotero.org/users/446899/items/FNTULRQF"],"uri":["http://zotero.org/users/446899/items/FNTULRQF"],"itemData":{"id":7463,"type":"article-journal","title":"Exercise interventions for smoking cessation","container-title":"Cochrane Database of Systematic Reviews","issue":"8","source":"www.cochranelibrary.com","URL":"https://www.cochranelibrary.com/cdsr/doi/10.1002/14651858.CD002295.pub5/full","DOI":"10.1002/14651858.CD002295.pub5","ISSN":"1465-1858","language":"en","author":[{"family":"Ussher","given":"Michael H."},{"family":"Taylor","given":"Adrian H."},{"family":"Faulkner","given":"Guy E. J."}],"issued":{"date-parts":[["2014"]]},"accessed":{"date-parts":[["2019",3,15]]}}}],"schema":"https://github.com/citation-style-language/schema/raw/master/csl-citation.json"} </w:instrText>
      </w:r>
      <w:r w:rsidR="0043290F">
        <w:fldChar w:fldCharType="separate"/>
      </w:r>
      <w:r w:rsidR="004837B4" w:rsidRPr="004837B4">
        <w:rPr>
          <w:rFonts w:ascii="Calibri" w:hAnsi="Calibri" w:cs="Calibri"/>
        </w:rPr>
        <w:t>(26)</w:t>
      </w:r>
      <w:r w:rsidR="0043290F">
        <w:fldChar w:fldCharType="end"/>
      </w:r>
      <w:r w:rsidR="007966AF">
        <w:t>. However, most of these trials had small samples or a physical activity component insufficiently intense to achieve the desired level of activity</w:t>
      </w:r>
      <w:r w:rsidR="0043290F">
        <w:t xml:space="preserve"> </w:t>
      </w:r>
      <w:r w:rsidR="0043290F">
        <w:fldChar w:fldCharType="begin"/>
      </w:r>
      <w:r w:rsidR="006957ED">
        <w:instrText xml:space="preserve"> ADDIN ZOTERO_ITEM CSL_CITATION {"citationID":"lL7wSJ8e","properties":{"formattedCitation":"(26)","plainCitation":"(26)","noteIndex":0},"citationItems":[{"id":"dxu6TYzy/yZZO34WQ","uris":["http://zotero.org/users/446899/items/FNTULRQF"],"uri":["http://zotero.org/users/446899/items/FNTULRQF"],"itemData":{"id":7463,"type":"article-journal","title":"Exercise interventions for smoking cessation","container-title":"Cochrane Database of Systematic Reviews","issue":"8","source":"www.cochranelibrary.com","URL":"https://www.cochranelibrary.com/cdsr/doi/10.1002/14651858.CD002295.pub5/full","DOI":"10.1002/14651858.CD002295.pub5","ISSN":"1465-1858","language":"en","author":[{"family":"Ussher","given":"Michael H."},{"family":"Taylor","given":"Adrian H."},{"family":"Faulkner","given":"Guy E. J."}],"issued":{"date-parts":[["2014"]]},"accessed":{"date-parts":[["2019",3,15]]}}}],"schema":"https://github.com/citation-style-language/schema/raw/master/csl-citation.json"} </w:instrText>
      </w:r>
      <w:r w:rsidR="0043290F">
        <w:fldChar w:fldCharType="separate"/>
      </w:r>
      <w:r w:rsidR="004837B4" w:rsidRPr="004837B4">
        <w:rPr>
          <w:rFonts w:ascii="Calibri" w:hAnsi="Calibri" w:cs="Calibri"/>
        </w:rPr>
        <w:t>(26)</w:t>
      </w:r>
      <w:r w:rsidR="0043290F">
        <w:fldChar w:fldCharType="end"/>
      </w:r>
      <w:r w:rsidR="007966AF">
        <w:t>.</w:t>
      </w:r>
      <w:r w:rsidR="008D4FDB">
        <w:t xml:space="preserve"> </w:t>
      </w:r>
      <w:r w:rsidRPr="00B24AB5">
        <w:t>Examination of the risks associated with smoking and physical activity in combination is important</w:t>
      </w:r>
      <w:r>
        <w:t xml:space="preserve"> in order to </w:t>
      </w:r>
      <w:r w:rsidR="00A2525D">
        <w:t xml:space="preserve">determine </w:t>
      </w:r>
      <w:r>
        <w:t xml:space="preserve">synergistic health effects of these risk factors and </w:t>
      </w:r>
      <w:r>
        <w:lastRenderedPageBreak/>
        <w:t xml:space="preserve">evaluate the potential usefulness of </w:t>
      </w:r>
      <w:r w:rsidR="00150473">
        <w:t xml:space="preserve">further research </w:t>
      </w:r>
      <w:r>
        <w:t>targeting this combination of behaviours in interventions for primary prevention.</w:t>
      </w:r>
    </w:p>
    <w:p w14:paraId="1E0F8C08" w14:textId="0E3D0907" w:rsidR="00E264C9" w:rsidRDefault="00E264C9" w:rsidP="00E264C9">
      <w:r>
        <w:t>There is some evidence from cross-sectional studies to suggest smoking and physical activity interact to influence the risk of adverse</w:t>
      </w:r>
      <w:r w:rsidR="00A2525D">
        <w:t xml:space="preserve"> physical and mental</w:t>
      </w:r>
      <w:r>
        <w:t xml:space="preserve"> health outcomes. For example, in a large sample of adult smokers, physical activity was found to moderate the association between nicotine dependence and depression </w:t>
      </w:r>
      <w:r>
        <w:fldChar w:fldCharType="begin"/>
      </w:r>
      <w:r w:rsidR="006957ED">
        <w:instrText xml:space="preserve"> ADDIN ZOTERO_ITEM CSL_CITATION {"citationID":"4IaxE5gr","properties":{"formattedCitation":"(27)","plainCitation":"(27)","noteIndex":0},"citationItems":[{"id":"dxu6TYzy/UjnUsd0b","uris":["http://zotero.org/users/446899/items/YNJ7ZFRJ"],"uri":["http://zotero.org/users/446899/items/YNJ7ZFRJ"],"itemData":{"id":6785,"type":"article-journal","title":"Physical activity moderates the association between nicotine dependence and depression among U.S. smokers","container-title":"American journal of health promotion: AJHP","page":"37-42","volume":"29","issue":"1","source":"PubMed","abstract":"PURPOSE: Research demonstrates that nicotine dependence and depression are associated and that physical activity is effective in reducing depression symptoms. However, our understanding of the potential beneficial effects of physical activity on depression in current smokers is more limited. The purpose of this study was to examine whether physical activity moderates the association between nicotine dependence and depression in U.S. smokers.\nDESIGN: Cross-sectional.\nSETTING: National Health and Nutrition Examination Survey 2005-2006.\nSUBJECTS: Four hundred forty-one current adult smokers.\nMEASURES: Participants wore an accelerometer for at least 4 days and completed questionnaires to assess nicotine dependence and depression.\nANALYSIS: Effect modification and statistical interaction models were used.\nRESULTS: Both models were significant. With regard to the statistical interaction model, and after controlling for age, gender, race/ethnicity, education, comorbidity index, homocysteine, cotinine, total cholesterol, sedentary behavior, and vitamins C, D, and E, objectively measured physical activity moderated the association between nicotine dependence and depression (interaction variable: odds ratio = 3.43; 95% confidence interval: 1.02-11.51; p = .04).\nCONCLUSION: In this national sample of current smokers, physical activity moderated the association between nicotine dependence and depression. These results suggest that those individuals with nicotine dependence and who are less physically active are more likely to be depressed than what would be expected on the basis of the individual effects of nicotine and physical inactivity separately.","DOI":"10.4278/ajhp.130301-QUAN-92","ISSN":"2168-6602","note":"PMID: 24200248","journalAbbreviation":"Am J Health Promot","language":"eng","author":[{"family":"Loprinzi","given":"Paul D."},{"family":"Walker","given":"Jerome F."},{"family":"Kane","given":"Christy"},{"family":"Cardinal","given":"Bradley J."}],"issued":{"date-parts":[["2014",10]]}}}],"schema":"https://github.com/citation-style-language/schema/raw/master/csl-citation.json"} </w:instrText>
      </w:r>
      <w:r>
        <w:fldChar w:fldCharType="separate"/>
      </w:r>
      <w:r w:rsidR="004837B4" w:rsidRPr="004837B4">
        <w:rPr>
          <w:rFonts w:ascii="Calibri" w:hAnsi="Calibri" w:cs="Calibri"/>
        </w:rPr>
        <w:t>(27)</w:t>
      </w:r>
      <w:r>
        <w:fldChar w:fldCharType="end"/>
      </w:r>
      <w:r>
        <w:t xml:space="preserve">. The results indicated smokers with high nicotine dependence and low physical activity were more likely to be depressed than would be expected on the basis of individual effects of </w:t>
      </w:r>
      <w:r w:rsidR="00A2525D">
        <w:t xml:space="preserve">smoking </w:t>
      </w:r>
      <w:r>
        <w:t xml:space="preserve">and physical inactivity. Similarly, a survey of undergraduate smokers found that those with a lower level of physical activity had higher odds of depression </w:t>
      </w:r>
      <w:r>
        <w:fldChar w:fldCharType="begin"/>
      </w:r>
      <w:r w:rsidR="006957ED">
        <w:instrText xml:space="preserve"> ADDIN ZOTERO_ITEM CSL_CITATION {"citationID":"QeDc3zp6","properties":{"formattedCitation":"(28)","plainCitation":"(28)","noteIndex":0},"citationItems":[{"id":"dxu6TYzy/3UG8rZ1c","uris":["http://zotero.org/users/446899/items/85IXJCDI"],"uri":["http://zotero.org/users/446899/items/85IXJCDI"],"itemData":{"id":6924,"type":"article-journal","title":"Depressed versus nondepressed young adult tobacco users: differences in coping style, weight concerns and exercise level","container-title":"Health Psychology: Official Journal of the Division of Health Psychology, American Psychological Association","page":"498-503","volume":"22","issue":"5","source":"PubMed","abstract":"Undergraduates age 18 to 24 years (n=656) completed questionnaires assessing tobacco use, depressive symptoms, coping responses, weight concerns, and exercise. The majority of participants were female (72%), White/non-Hispanic (95%), and in the 1st or 2nd year of college (80%). Current tobacco users (n=236) had a higher frequency of depression (40%) than never tobacco users (32%; p=.05). Tobacco users classified as depressed (Center for Epidemiological Studies Depression Scale [CES-D] score a 16) reported greater weight concerns and more frequent maladaptive coping in response to negative mood than tobacco users classified as nondepressed (CES-D score&lt;16). Multivariate logistic regression analysis indicated that higher maladaptive coping and lower level of exercise were significantly associated with depression among tobacco users.","DOI":"10.1037/0278-6133.22.5.498","ISSN":"0278-6133","note":"PMID: 14570533","shortTitle":"Depressed versus nondepressed young adult tobacco users","journalAbbreviation":"Health Psychol","language":"eng","author":[{"family":"Vickers","given":"Kristin S."},{"family":"Patten","given":"Christi A."},{"family":"Lane","given":"Kristi"},{"family":"Clark","given":"Matthew M."},{"family":"Croghan","given":"Ivana T."},{"family":"Schroeder","given":"Darrell R."},{"family":"Hurt","given":"Richard D."}],"issued":{"date-parts":[["2003",9]]}}}],"schema":"https://github.com/citation-style-language/schema/raw/master/csl-citation.json"} </w:instrText>
      </w:r>
      <w:r>
        <w:fldChar w:fldCharType="separate"/>
      </w:r>
      <w:r w:rsidR="004837B4" w:rsidRPr="004837B4">
        <w:rPr>
          <w:rFonts w:ascii="Calibri" w:hAnsi="Calibri" w:cs="Calibri"/>
        </w:rPr>
        <w:t>(28)</w:t>
      </w:r>
      <w:r>
        <w:fldChar w:fldCharType="end"/>
      </w:r>
      <w:r>
        <w:t>. However, the cross-sectional study design makes it very difficult to interpret the direction of associations. For example, it is possible being depressed leads to the uptake of smoking and a loss of interest in physical activity, as opposed to being the result of these behaviours.</w:t>
      </w:r>
      <w:r w:rsidR="00A2525D">
        <w:t xml:space="preserve"> </w:t>
      </w:r>
      <w:r w:rsidR="00C35ECA">
        <w:t xml:space="preserve">A number of </w:t>
      </w:r>
      <w:r w:rsidR="00E13DA6">
        <w:t>RCTs</w:t>
      </w:r>
      <w:r w:rsidR="00C35ECA">
        <w:t xml:space="preserve"> have examined the impact of physical activity on smoking and cessation outcomes, </w:t>
      </w:r>
      <w:r w:rsidR="009A3134">
        <w:t>and</w:t>
      </w:r>
      <w:r w:rsidR="002A345E">
        <w:t xml:space="preserve"> provided strong evidence</w:t>
      </w:r>
      <w:r w:rsidR="00C35ECA">
        <w:t xml:space="preserve"> exercise </w:t>
      </w:r>
      <w:r w:rsidR="005B261E">
        <w:t>reduces</w:t>
      </w:r>
      <w:r w:rsidR="00C35ECA">
        <w:t xml:space="preserve"> </w:t>
      </w:r>
      <w:r w:rsidR="00C408C5">
        <w:t xml:space="preserve">nicotine </w:t>
      </w:r>
      <w:r w:rsidR="00C35ECA">
        <w:t>cravings and withdrawal symptoms</w:t>
      </w:r>
      <w:r w:rsidR="002A345E">
        <w:t xml:space="preserve"> </w:t>
      </w:r>
      <w:r w:rsidR="00630DD0">
        <w:fldChar w:fldCharType="begin"/>
      </w:r>
      <w:r w:rsidR="006957ED">
        <w:instrText xml:space="preserve"> ADDIN ZOTERO_ITEM CSL_CITATION {"citationID":"oLuPzZwZ","properties":{"formattedCitation":"(26,29,30)","plainCitation":"(26,29,30)","noteIndex":0},"citationItems":[{"id":"dxu6TYzy/yZZO34WQ","uris":["http://zotero.org/users/446899/items/FNTULRQF"],"uri":["http://zotero.org/users/446899/items/FNTULRQF"],"itemData":{"id":7463,"type":"article-journal","title":"Exercise interventions for smoking cessation","container-title":"Cochrane Database of Systematic Reviews","issue":"8","source":"www.cochranelibrary.com","URL":"https://www.cochranelibrary.com/cdsr/doi/10.1002/14651858.CD002295.pub5/full","DOI":"10.1002/14651858.CD002295.pub5","ISSN":"1465-1858","language":"en","author":[{"family":"Ussher","given":"Michael H."},{"family":"Taylor","given":"Adrian H."},{"family":"Faulkner","given":"Guy E. J."}],"issued":{"date-parts":[["2014"]]},"accessed":{"date-parts":[["2019",3,15]]}}},{"id":"dxu6TYzy/x2B19b8u","uris":["http://zotero.org/users/446899/items/3TYEXTJZ"],"uri":["http://zotero.org/users/446899/items/3TYEXTJZ"],"itemData":{"id":7638,"type":"article-journal","title":"The acute effects of exercise on cigarette cravings, withdrawal symptoms, affect, and smoking behaviour: systematic review update and meta-analysis","container-title":"Psychopharmacology","page":"1-15","volume":"222","issue":"1","source":"PubMed","abstract":"RATIONALE: Smoking cessation is associated with cigarette cravings and tobacco withdrawal symptoms (TWS), and exercise appears to ameliorate many of these negative effects. A number of studies have examined the relationships between exercise, cigarette cravings, and TWS.\nOBJECTIVES: The objectives of this study were (a) to review and update the literature examining the effects of short bouts of exercise on cigarette cravings, TWS, affect, and smoking behaviour and (b) to conduct meta-analyses of the effect of exercise on cigarette cravings.\nMETHODS: A systematic review of all studies published between January 2006 and June 2011 was conducted.\nRESULTS: Fifteen new studies were identified, 12 of which found a positive effect of exercise on cigarette cravings. The magnitude of statistically significant effect sizes for 'desire to smoke' and 'strength of desire to smoke' ranged from 0.4 to 1.98 in favour of exercise compared to passive control conditions, and peaked either during or soon after treatment. Effects were found up to 30 min post-exercise. Cigarette cravings were reduced following exercise with a wide range of intensities from isometric exercise and yoga to activity as high as 80-85 % heart rate reserve. Meta-analyses revealed weighted mean differences of -1.90 and -2.41 in 'desire to smoke' and 'strength of desire to smoke' outcomes, respectively. Measures of TWS and negative affect were reduced following light-moderate intensity exercise, but increased during vigorous exercise.\nCONCLUSIONS: Exercise can have a positive effect on cigarette cravings and TWS. However, the most effective exercise intensity to reduce cravings and the underlying mechanisms associated with this effect remain unclear.","DOI":"10.1007/s00213-012-2731-z","ISSN":"1432-2072","note":"PMID: 22585034","shortTitle":"The acute effects of exercise on cigarette cravings, withdrawal symptoms, affect, and smoking behaviour","journalAbbreviation":"Psychopharmacology (Berl.)","language":"eng","author":[{"family":"Roberts","given":"Vaughan"},{"family":"Maddison","given":"Ralph"},{"family":"Simpson","given":"Caroline"},{"family":"Bullen","given":"Chris"},{"family":"Prapavessis","given":"Harry"}],"issued":{"date-parts":[["2012",7]]}}},{"id":"dxu6TYzy/N2k8x9JR","uris":["http://zotero.org/users/446899/items/DJ5DQGYZ"],"uri":["http://zotero.org/users/446899/items/DJ5DQGYZ"],"itemData":{"id":7637,"type":"article-journal","title":"The acute effects of physical activity on cigarette cravings: systematic review and meta-analysis with individual participant data","container-title":"Addiction (Abingdon, England)","page":"26-37","volume":"108","issue":"1","source":"PubMed","abstract":"AIMS: To conduct an updated systematic review and the first meta-analysis of experimental trials investigating the acute effects of short bouts of physical activity (PA) on strength of desire (SoD) and desire to smoke (DtS) using individual participant data (IPD).\nMETHODS: A systematic review of literature and IPD meta-analyses included trials assessing the acute effects of shorts bouts of PA on SoD and DtS among temporarily abstaining smokers not using pharmaceutical aids for smoking cessation. Authors of eligible studies were contacted and raw IPD were obtained. Two-stage and one-stage IPD random-effects meta-analyses were conducted. Participants engaging in PA were compared against control participants, using post-intervention SoD and DtS with baseline adjustments.\nRESULTS: A two-stage IPD meta-analysis assessing effects of PA on SoD yielded an average standardized mean difference (SMD) between PA and control conditions (across 15 primary studies) of -1.91 [95% confidence interval (CI): -2.59 to -1.22]. A two-stage IPD meta-analysis assessing effects of PA on DtS yielded an average SMD between PA and control conditions (across 17 primary studies) of -2.03 (95% CI: -2.60 to -1.46). Additional meta-analyses, including those using a one-stage model, those including only parallel arm studies and meta-analyses comparing only moderate exercise against a control condition, showed significant craving reduction following PA. Despite a high degree of between-study heterogeneity, effects sizes of all primary studies were in the same direction, with PA showing a greater reduction in cravings compared with controls.\nCONCLUSIONS: There is strong evidence that physical activity acutely reduces cigarette craving.","DOI":"10.1111/j.1360-0443.2012.04034.x","ISSN":"1360-0443","note":"PMID: 22861822","shortTitle":"The acute effects of physical activity on cigarette cravings","journalAbbreviation":"Addiction","language":"eng","author":[{"family":"Haasova","given":"Marcela"},{"family":"Warren","given":"Fiona C."},{"family":"Ussher","given":"Michael"},{"family":"Janse Van Rensburg","given":"Kate"},{"family":"Faulkner","given":"Guy"},{"family":"Cropley","given":"Mark"},{"family":"Byron-Daniel","given":"James"},{"family":"Everson-Hock","given":"Emma S."},{"family":"Oh","given":"Hwajung"},{"family":"Taylor","given":"Adrian H."}],"issued":{"date-parts":[["2013",1]]}}}],"schema":"https://github.com/citation-style-language/schema/raw/master/csl-citation.json"} </w:instrText>
      </w:r>
      <w:r w:rsidR="00630DD0">
        <w:fldChar w:fldCharType="separate"/>
      </w:r>
      <w:r w:rsidR="004837B4" w:rsidRPr="004837B4">
        <w:rPr>
          <w:rFonts w:ascii="Calibri" w:hAnsi="Calibri" w:cs="Calibri"/>
        </w:rPr>
        <w:t>(26,29,30)</w:t>
      </w:r>
      <w:r w:rsidR="00630DD0">
        <w:fldChar w:fldCharType="end"/>
      </w:r>
      <w:r w:rsidR="00630DD0">
        <w:t>,</w:t>
      </w:r>
      <w:r w:rsidR="00C35ECA">
        <w:t xml:space="preserve"> although a positive impact on relapse has not clearly been demonstrated</w:t>
      </w:r>
      <w:r w:rsidR="002A345E">
        <w:t xml:space="preserve"> </w:t>
      </w:r>
      <w:r w:rsidR="002A345E">
        <w:fldChar w:fldCharType="begin"/>
      </w:r>
      <w:r w:rsidR="006957ED">
        <w:instrText xml:space="preserve"> ADDIN ZOTERO_ITEM CSL_CITATION {"citationID":"5CGlHUQC","properties":{"formattedCitation":"(31)","plainCitation":"(31)","noteIndex":0},"citationItems":[{"id":"dxu6TYzy/B0o7OxfY","uris":["http://zotero.org/users/446899/items/S3I56EUV"],"uri":["http://zotero.org/users/446899/items/S3I56EUV"],"itemData":{"id":7639,"type":"article-journal","title":"Exercise and Counseling for Smoking Cessation in Smokers With Depressive Symptoms: A Randomized Controlled Pilot Trial","container-title":"Journal of Dual Diagnosis","page":"205-216","volume":"11","issue":"3-4","source":"PubMed","abstract":"OBJECTIVE: Despite various strategies to help smokers with depressive disorders to quit, the smoking relapse rate remains high. The purpose of this pilot study was to estimate the effects of adding an exercise and counseling intervention to standard smoking cessation treatment for smokers with depressive disorders. We hypothesized that the exercise and counseling intervention would lead to improved abstinence, reduced depressive symptoms, and increased physical activity.\nMETHODS: Seventy smokers with current depressive disorders were randomly assigned to standard smoking cessation treatment plus exercise and counseling (n = 35) or standard treatment plus a time-to-contact control intervention on health education (n = 35). Both programs involved 10 sessions over 8 weeks. The primary outcome was continuous abstinence since the quit date and was measured at week 8 (end of the intervention) and again at 12-, 24-, and 52-week follow-ups.\nRESULTS: Nearly 60% of participants were female (n = 41), 38 (52.3%) were single, 37 (52.9%) had education beyond high school, and 32 (45.7%) met criteria for major depressive disorder or dysthymia. Participants in the two treatment conditions differed at baseline only in marital status (χ(2) = 4.28, df = 1, p =.04); and smoking abstinence self-efficacy, t(66) = -2.04, p =.04). The dropout rate did not differ significantly between groups and participants attended 82% and 75% of the intervention and control sessions, respectively. Intention-to-treat analysis showed that, at 12 weeks after the beginning of the intervention, continuous abstinence did not vary significantly between the intervention and control groups: 48.5% versus 28.5%, respectively, ORadj = 0.40, 95% CI [0.12-1.29], p =.12. There were no group differences in depressive symptoms, but the intervention group did outperform the control group on the 6-minute walking test (Mint = 624.84, SD = 8.17, vs. Mcon = 594.13, SD = 8.96, p =.015) and perceived physical control (Mint = 2.84, SD = 0.16, vs. Mcon = 2.27, SD = 0.18, p =.028). The sample was not large enough to ensure adequate statistical power.\nCONCLUSIONS: This finding, while preliminary, suggests that an exercise and counseling intervention may yield better results than health education in improving smoking abstinence. This study is registered at www.clinincaltrials.gov under # NCT01401569.","DOI":"10.1080/15504263.2015.1113842","ISSN":"1550-4271","note":"PMID: 26683252","shortTitle":"Exercise and Counseling for Smoking Cessation in Smokers With Depressive Symptoms","journalAbbreviation":"J Dual Diagn","language":"eng","author":[{"family":"Bernard","given":"Paquito"},{"family":"Ninot","given":"Gregory"},{"family":"Cyprien","given":"Fabienne"},{"family":"Courtet","given":"Philippe"},{"family":"Guillaume","given":"Sebastien"},{"family":"Georgescu","given":"Vera"},{"family":"Picot","given":"Marie-Christine"},{"family":"Taylor","given":"Adrian"},{"family":"Quantin","given":"Xavier"}],"issued":{"date-parts":[["2015"]]}}}],"schema":"https://github.com/citation-style-language/schema/raw/master/csl-citation.json"} </w:instrText>
      </w:r>
      <w:r w:rsidR="002A345E">
        <w:fldChar w:fldCharType="separate"/>
      </w:r>
      <w:r w:rsidR="004837B4" w:rsidRPr="004837B4">
        <w:rPr>
          <w:rFonts w:ascii="Calibri" w:hAnsi="Calibri" w:cs="Calibri"/>
        </w:rPr>
        <w:t>(31)</w:t>
      </w:r>
      <w:r w:rsidR="002A345E">
        <w:fldChar w:fldCharType="end"/>
      </w:r>
      <w:r w:rsidR="00C35ECA">
        <w:t xml:space="preserve">. </w:t>
      </w:r>
      <w:r w:rsidR="00A2525D">
        <w:t>Regarding physical health effects,</w:t>
      </w:r>
      <w:r w:rsidR="00C815C0">
        <w:t xml:space="preserve"> the evidence is mixed.</w:t>
      </w:r>
      <w:r>
        <w:t xml:space="preserve"> </w:t>
      </w:r>
      <w:r w:rsidR="009C57E1">
        <w:t xml:space="preserve">For example, </w:t>
      </w:r>
      <w:r w:rsidR="00A2525D">
        <w:t>t</w:t>
      </w:r>
      <w:r>
        <w:t xml:space="preserve">wo small experimental studies have examined the impact of physical activity on cardiovascular biomarkers in smokers, and observed improvements in the cardiovascular risk profile over three months </w:t>
      </w:r>
      <w:r>
        <w:fldChar w:fldCharType="begin"/>
      </w:r>
      <w:r w:rsidR="006957ED">
        <w:instrText xml:space="preserve"> ADDIN ZOTERO_ITEM CSL_CITATION {"citationID":"NEDiqD27","properties":{"formattedCitation":"(32,33)","plainCitation":"(32,33)","noteIndex":0},"citationItems":[{"id":"dxu6TYzy/U5cynQvK","uris":["http://zotero.org/users/446899/items/NGZZSLLN"],"uri":["http://zotero.org/users/446899/items/NGZZSLLN"],"itemData":{"id":6917,"type":"article-journal","title":"Smoking cessation program with exercise improves cardiovascular disease biomarkers in sedentary women","container-title":"Journal of Women's Health (2002)","page":"1051-1064","volume":"20","issue":"7","source":"PubMed","abstract":"BACKGROUND: Several cardiovascular disease (CVD) biomarkers sensitive to tobacco exposure have been identified, but how tobacco use cessation impacts them is less clear. We sought to investigate the effects of a smoking cessation program with an exercise intervention on CVD biomarkers in sedentary women.\nMETHODS: This is a cohort study on a subsample of a 2×2 factorial randomized controlled trial (RCT) (exercise setting: home vs. facility; level of exercise counseling: prescription only vs. prescription and adherence counseling) conducted January 2004 through December 2007. The analyses were completed in October 2010. In the greater Boston area, 130 sedentary female smokers aged 19-55 completed a 15-week program. All participants received nicotine replacement therapy (transdermal patch) and brief behavioral counseling for 12 weeks. They all received an exercise prescription on a moderate intensity level. All exercise interventions lasted for 15 weeks, from 3 weeks precessation until 12 weeks postcessation. Main outcome measures were selected CVD biomarkers hypothesized to be affected by smoking cessation or exercise measured at baseline and 12 weeks postcessation.\nRESULTS: Independent of tobacco abstinence, improvement was seen in inflammation (white blood cells [WBC]), prothrombotic factor (red blood cells [RBC]), and cardiovascular fitness level (maximum oxygen consumption [Vo(2)max]). This suggests that even if complete abstinence is not achieved, reduction in tobacco exposure and increase in exercise can improve the cardiovascular risk profile. A significant decrease was seen for total cholesterol and the total cholesterol high-density lipoprotein cholesterol (HDL-C): ratio only among the abstainers. The heart rate was reduced among all participants, but this decrease was more profound among abstainers. A significant weight gain and body mass index (BMI) increase were observed among abstainers and those who relapsed. We also found an increase in hemoglobin A1c (Hb A1c), although significant only when the groups were combined.\nCONCLUSIONS: A smoking cessation intervention including exercise reduced tobacco-induced cardiovascular damage selectively within 3 months.","DOI":"10.1089/jwh.2010.2075","ISSN":"1931-843X","note":"PMID: 21675876\nPMCID: PMC3163461","journalAbbreviation":"J Womens Health (Larchmt)","language":"eng","author":[{"family":"Korhonen","given":"Tellervo"},{"family":"Goodwin","given":"Amy"},{"family":"Miesmaa","given":"Petra"},{"family":"Dupuis","given":"Elizabeth A."},{"family":"Kinnunen","given":"Taru"}],"issued":{"date-parts":[["2011",7]]}}},{"id":"dxu6TYzy/OS5nYL8j","uris":["http://zotero.org/users/446899/items/9JH7FAES"],"uri":["http://zotero.org/users/446899/items/9JH7FAES"],"itemData":{"id":6919,"type":"article-journal","title":"The effect of a 12-week moderate intensity interval training program on the antioxidant defense capability and lipid profile in men smoking cigarettes or hookah: a cohort study","container-title":"TheScientificWorldJournal","page":"639369","volume":"2015","source":"PubMed","abstract":"AIM: To examine the impact of interval training program on the antioxidant defense capability and lipid profile in men smoking cigarettes or hookah unable or unwilling to quit smoking.\nMETHODS: Thirty-five participants performed an interval training (2 : 1 work : rest ratio) 3 times a week for 12 weeks at an intensity of 70% of VO2max. All subjects were subjected to a biochemical test session before and after the training program.\nRESULTS: The increase of total antioxidant status (TAS), glutathione peroxidase (GPx), and α-tocopherol, is significant only for cigarette smokers (CS) and hookah smokers (HS) groups. The decrease of malondialdehyde (MDA) and the increase of glutathione reductase (GR) are more pronounced in smokers groups compared to those of nonsmokers (NS). Superoxide dismutase (SOD) increases in NS, CS, and HS groups by 10.1%, 19.5%, and 13.3%, respectively (P &lt; 0.001). Likewise, a significant improvement of high-density lipoprotein cholesterol (HDL-C) and TC/HDL-C ratio was observed in CS and HS groups (P &lt; 0.05).\nCONCLUSION: Although the interval training program does not have a significant effect on blood lipid levels, it seems to be very beneficial in the defense and prevention programs of oxidative stress.","DOI":"10.1155/2015/639369","ISSN":"1537-744X","note":"PMID: 25664340\nPMCID: PMC4310461","shortTitle":"The effect of a 12-week moderate intensity interval training program on the antioxidant defense capability and lipid profile in men smoking cigarettes or hookah","journalAbbreviation":"ScientificWorldJournal","language":"eng","author":[{"family":"Koubaa","given":"Abdessalem"},{"family":"Triki","given":"Moez"},{"family":"Trabelsi","given":"Hajer"},{"family":"Baati","given":"Hamza"},{"family":"Sahnoun","given":"Zouhair"},{"family":"Hakim","given":"Ahmed"}],"issued":{"date-parts":[["2015"]]}}}],"schema":"https://github.com/citation-style-language/schema/raw/master/csl-citation.json"} </w:instrText>
      </w:r>
      <w:r>
        <w:fldChar w:fldCharType="separate"/>
      </w:r>
      <w:r w:rsidR="004837B4" w:rsidRPr="004837B4">
        <w:rPr>
          <w:rFonts w:ascii="Calibri" w:hAnsi="Calibri" w:cs="Calibri"/>
        </w:rPr>
        <w:t>(32,33)</w:t>
      </w:r>
      <w:r>
        <w:fldChar w:fldCharType="end"/>
      </w:r>
      <w:r>
        <w:t xml:space="preserve">. </w:t>
      </w:r>
      <w:r w:rsidR="009C57E1">
        <w:t xml:space="preserve">A cohort study of adults in Copenhagen followed for an average of 11 years found that </w:t>
      </w:r>
      <w:r w:rsidR="009C57E1" w:rsidRPr="009C57E1">
        <w:t>smokers who engaged in moderate to high levels of regular physical activity experienced a smaller decline in lung function decline and lower COPD risk than those who were less active</w:t>
      </w:r>
      <w:r w:rsidR="00C72FE2">
        <w:t xml:space="preserve"> </w:t>
      </w:r>
      <w:r w:rsidR="00C72FE2">
        <w:fldChar w:fldCharType="begin"/>
      </w:r>
      <w:r w:rsidR="00C72FE2">
        <w:instrText xml:space="preserve"> ADDIN ZOTERO_ITEM CSL_CITATION {"citationID":"gylWxrJ4","properties":{"formattedCitation":"(34)","plainCitation":"(34)","noteIndex":0},"citationItems":[{"id":202,"uris":["http://zotero.org/users/local/uFF3T0Zv/items/YEIXKZ4A"],"uri":["http://zotero.org/users/local/uFF3T0Zv/items/YEIXKZ4A"],"itemData":{"id":202,"type":"article-journal","title":"Regular Physical Activity Modifies Smoking-related Lung Function Decline and Reduces Risk of Chronic Obstructive Pulmonary Disease","container-title":"American Journal of Respiratory and Critical Care Medicine","page":"458-463","volume":"175","issue":"5","source":"atsjournals.org (Atypon)","abstract":"Rationale: We have previously reported that regular physical activity reduces risk of chronic obstructive pulmonary disease (COPD) exacerbation. We hypothesized that higher levels of regular physical activity could reduce the risk of COPD by modifying smoking-related lung function decline.Objective: To estimate the longitudinal association between regular physical activity and FEV1 and FVC decline and COPD risk.Methods: A population-based sample (n = 6,790) was recruited and assessed with respect to physical activity, smoking, lung function, and other covariates, in Copenhagen in 1981–1983, and followed until 1991–1994. Mean level of physical activity between baseline and follow-up was classified into “low,” “moderate,” and “high.” FEV1 and FVC decline rates were expressed as milliliters per year. COPD was defined as FEV1/FVC </w:instrText>
      </w:r>
      <w:r w:rsidR="00C72FE2">
        <w:rPr>
          <w:rFonts w:ascii="Cambria Math" w:hAnsi="Cambria Math" w:cs="Cambria Math"/>
        </w:rPr>
        <w:instrText>⩽</w:instrText>
      </w:r>
      <w:r w:rsidR="00C72FE2">
        <w:instrText xml:space="preserve"> 70%. Adjusted associations between physical activity and FEV1 and FVC decline, and COPD incidence, were obtained using linear and logistic regression, respectively.Results: Active smokers with moderate and high physical activity had a reduced FEV1 and FVC decline compared with those with low physical activity (relative change of +2.6 and +4.8 ml/yr of FEV1, P-for-trend = 0.006, and +2.6 and +7.7 ml/yr of FVC, P-for-trend &lt; 0.0001, for the moderate and high physical activity group, respectively), after adjusting for all potential confounders and risk factors of lung function decline. Active smokers with moderate to high physical activity had a reduced risk of developing COPD as compared with the low physical activity group (odds ratio, 0.77; p = 0.027).Conclusions: This prospective study shows that moderate to high levels of regular physical activity are associated with reduced lung function decline and COPD risk among smokers.","DOI":"10.1164/rccm.200607-896OC","ISSN":"1073-449X","journalAbbreviation":"Am J Respir Crit Care Med","author":[{"family":"Garcia-Aymerich","given":"Judith"},{"family":"Lange","given":"Peter"},{"family":"Benet","given":"Marta"},{"family":"Schnohr","given":"Peter"},{"family":"Antó","given":"Josep M"}],"issued":{"date-parts":[["2007",3,1]]}}}],"schema":"https://github.com/citation-style-language/schema/raw/master/csl-citation.json"} </w:instrText>
      </w:r>
      <w:r w:rsidR="00C72FE2">
        <w:fldChar w:fldCharType="separate"/>
      </w:r>
      <w:r w:rsidR="00C72FE2" w:rsidRPr="00C72FE2">
        <w:rPr>
          <w:rFonts w:ascii="Calibri" w:hAnsi="Calibri" w:cs="Calibri"/>
        </w:rPr>
        <w:t>(34)</w:t>
      </w:r>
      <w:r w:rsidR="00C72FE2">
        <w:fldChar w:fldCharType="end"/>
      </w:r>
      <w:r w:rsidR="009C57E1" w:rsidRPr="009C57E1">
        <w:t xml:space="preserve">. </w:t>
      </w:r>
      <w:r w:rsidR="00C815C0">
        <w:t>However, a</w:t>
      </w:r>
      <w:r w:rsidR="009C57E1">
        <w:t>nother</w:t>
      </w:r>
      <w:r w:rsidR="00FD61D0">
        <w:t xml:space="preserve"> </w:t>
      </w:r>
      <w:r w:rsidR="006A6CC7">
        <w:t xml:space="preserve">study </w:t>
      </w:r>
      <w:r w:rsidR="00C815C0">
        <w:t>that</w:t>
      </w:r>
      <w:r w:rsidR="00F9111D">
        <w:t xml:space="preserve"> followed middle-aged men in Japan over </w:t>
      </w:r>
      <w:r w:rsidR="009C57E1">
        <w:t>a similar duration</w:t>
      </w:r>
      <w:r w:rsidR="00F9111D">
        <w:t xml:space="preserve"> </w:t>
      </w:r>
      <w:r w:rsidR="006A6CC7">
        <w:t>observed no significant interaction between smoking status and level of physical activity for risk of pancreatic cancer</w:t>
      </w:r>
      <w:r w:rsidR="006C4155">
        <w:t xml:space="preserve"> </w:t>
      </w:r>
      <w:r w:rsidR="006C4155">
        <w:fldChar w:fldCharType="begin"/>
      </w:r>
      <w:r w:rsidR="006C4155">
        <w:instrText xml:space="preserve"> ADDIN ZOTERO_ITEM CSL_CITATION {"citationID":"qvhzh6nb","properties":{"formattedCitation":"(35)","plainCitation":"(35)","noteIndex":0},"citationItems":[{"id":199,"uris":["http://zotero.org/users/local/uFF3T0Zv/items/ST4GL7C4"],"uri":["http://zotero.org/users/local/uFF3T0Zv/items/ST4GL7C4"],"itemData":{"id":199,"type":"article-journal","title":"Body mass index, physical activity and the risk of pancreatic cancer in relation to smoking status and history of diabetes: a large-scale population-based cohort study in Japan–The JPHC study","container-title":"Cancer Causes &amp; Control","page":"603-612","volume":"18","issue":"6","source":"link.springer.com","abstract":"ObjectiveThe effects of BMI and physical activity on the risk of pancreatic cancer were investigated in a large population-based cohort study in Japan (JPHC study). In particular, we explored how these effects were influenced by smoking status and a history of diabetes.MethodsIn total, 99,670 participants (47,499 men, and 52,171women) were followed for an average of 11 years through the end of 2003. Hazard ratios (HR) and their 95% confidence intervals (CI) were estimated by Cox proportional hazards models.ResultsA total of 224 incident cases (128 men, 96 women) of pancreatic cancer were identified. A statistically significant excess risk of pancreatic cancer was associated with current smoking (HR = 1.8, CI 1.1–3.0) and a history of diabetes (HR = 2.1, CI 1.3–3.5) among men. A similar increase in risk associated with current smoking (HR = 2.0, CI 0.9–4.4) and diabetes (HR = 1.5, CI 0.7–3.5) was also seen among women. BMI was inversely associated with risk of pancreatic cancer among men, especially among current male smokers or diabetes patients, but no association was found among women. Leisure-time physical activity was not associated with risk in either men or women.ConclusionsOur study confirms the association between cigarette smoking, history of diabetes and increased risk of pancreatic cancer. However, our data suggest that the association between BMI and risk of pancreatic cancer in this Japanese population may be different from that in Western populations.","DOI":"10.1007/s10552-007-9002-z","ISSN":"0957-5243, 1573-7225","shortTitle":"Body mass index, physical activity and the risk of pancreatic cancer in relation to smoking status and history of diabetes","journalAbbreviation":"Cancer Causes Control","language":"en","author":[{"family":"Luo","given":"Juhua"},{"family":"Iwasaki","given":"Motoki"},{"family":"Inoue","given":"Manami"},{"family":"Sasazuki","given":"Shizuka"},{"family":"Otani","given":"Tetsuya"},{"family":"Ye","given":"Weimin"},{"family":"Tsugane","given":"Shoichiro"},{"family":"Group","given":"for the JPHC Study"}],"issued":{"date-parts":[["2007",8,1]]}}}],"schema":"https://github.com/citation-style-language/schema/raw/master/csl-citation.json"} </w:instrText>
      </w:r>
      <w:r w:rsidR="006C4155">
        <w:fldChar w:fldCharType="separate"/>
      </w:r>
      <w:r w:rsidR="006C4155" w:rsidRPr="00C72FE2">
        <w:rPr>
          <w:rFonts w:ascii="Calibri" w:hAnsi="Calibri" w:cs="Calibri"/>
        </w:rPr>
        <w:t>(35)</w:t>
      </w:r>
      <w:r w:rsidR="006C4155">
        <w:fldChar w:fldCharType="end"/>
      </w:r>
      <w:r w:rsidR="006A6CC7">
        <w:t xml:space="preserve">. </w:t>
      </w:r>
      <w:r>
        <w:t>To the best of our knowledge, no studies have evaluated synergistic effects of smoking and physical activity on depression or chronic disease in a large, representative sample using a prospective design.</w:t>
      </w:r>
    </w:p>
    <w:p w14:paraId="7716075B" w14:textId="2BFCF1B3" w:rsidR="00722DDD" w:rsidRDefault="00E264C9" w:rsidP="00E264C9">
      <w:r>
        <w:t>Using data collected over 12 years from</w:t>
      </w:r>
      <w:r w:rsidRPr="001A1665">
        <w:t xml:space="preserve"> a large population-based sample of older adults living in England,</w:t>
      </w:r>
      <w:r>
        <w:t xml:space="preserve"> t</w:t>
      </w:r>
      <w:r w:rsidRPr="001A1665">
        <w:t>his study</w:t>
      </w:r>
      <w:r>
        <w:t xml:space="preserve"> therefore </w:t>
      </w:r>
      <w:r w:rsidRPr="001A1665">
        <w:t>aim</w:t>
      </w:r>
      <w:r>
        <w:t>ed</w:t>
      </w:r>
      <w:r w:rsidRPr="001A1665">
        <w:t xml:space="preserve"> to examine the risks of </w:t>
      </w:r>
      <w:r>
        <w:t>chronic disease and poor mental health</w:t>
      </w:r>
      <w:r w:rsidRPr="001A1665">
        <w:t xml:space="preserve"> </w:t>
      </w:r>
      <w:r w:rsidRPr="00FF53D8">
        <w:t xml:space="preserve">associated with cigarette smoking and </w:t>
      </w:r>
      <w:r w:rsidR="00913136">
        <w:t>low</w:t>
      </w:r>
      <w:r w:rsidR="00B821B4">
        <w:t xml:space="preserve"> levels of</w:t>
      </w:r>
      <w:r w:rsidR="00913136">
        <w:t xml:space="preserve"> physical activity </w:t>
      </w:r>
      <w:r w:rsidRPr="00FF53D8">
        <w:t>combined. Specifically, we aim</w:t>
      </w:r>
      <w:r>
        <w:t>ed</w:t>
      </w:r>
      <w:r w:rsidRPr="00FF53D8">
        <w:t xml:space="preserve"> to answer the following research question</w:t>
      </w:r>
      <w:r w:rsidR="00722DDD">
        <w:t>s</w:t>
      </w:r>
      <w:r w:rsidRPr="00FF53D8">
        <w:t>:</w:t>
      </w:r>
      <w:r>
        <w:t xml:space="preserve"> </w:t>
      </w:r>
    </w:p>
    <w:p w14:paraId="557BCA06" w14:textId="1BDF990D" w:rsidR="00E264C9" w:rsidRDefault="00E264C9" w:rsidP="00EF0654">
      <w:pPr>
        <w:pStyle w:val="ListParagraph"/>
        <w:numPr>
          <w:ilvl w:val="0"/>
          <w:numId w:val="1"/>
        </w:numPr>
      </w:pPr>
      <w:r w:rsidRPr="00FF53D8">
        <w:t xml:space="preserve">To what extent is the combination of smoking and </w:t>
      </w:r>
      <w:r>
        <w:t>low physical activity</w:t>
      </w:r>
      <w:r w:rsidRPr="00FF53D8">
        <w:t xml:space="preserve"> associated with increased risk of </w:t>
      </w:r>
      <w:r>
        <w:t xml:space="preserve">the </w:t>
      </w:r>
      <w:r w:rsidRPr="00FF53D8">
        <w:t>inciden</w:t>
      </w:r>
      <w:r>
        <w:t>ce of</w:t>
      </w:r>
      <w:r w:rsidRPr="00FF53D8">
        <w:t xml:space="preserve"> poor self-rated health, limiting long-standing illness, CHD, stroke, cancer, </w:t>
      </w:r>
      <w:r w:rsidRPr="00FF53D8">
        <w:lastRenderedPageBreak/>
        <w:t>chronic lung disease</w:t>
      </w:r>
      <w:r w:rsidR="00545ECF">
        <w:t>,</w:t>
      </w:r>
      <w:r w:rsidRPr="00FF53D8">
        <w:t xml:space="preserve"> and depressive symptoms over 12-year follow-up</w:t>
      </w:r>
      <w:r>
        <w:t xml:space="preserve"> among older adults who are healthy at baseline</w:t>
      </w:r>
      <w:r w:rsidRPr="00FF53D8">
        <w:t xml:space="preserve">, over and above the risks associated with smoking </w:t>
      </w:r>
      <w:r>
        <w:t>or</w:t>
      </w:r>
      <w:r w:rsidRPr="00FF53D8">
        <w:t xml:space="preserve"> </w:t>
      </w:r>
      <w:r w:rsidR="00913136">
        <w:t xml:space="preserve">low </w:t>
      </w:r>
      <w:r w:rsidRPr="00FF53D8">
        <w:t>physical activity alone</w:t>
      </w:r>
      <w:r>
        <w:t xml:space="preserve">, or neither smoking nor </w:t>
      </w:r>
      <w:r w:rsidR="00913136">
        <w:t>low physical activity</w:t>
      </w:r>
      <w:r w:rsidRPr="00FF53D8">
        <w:t>?</w:t>
      </w:r>
    </w:p>
    <w:p w14:paraId="2BB83628" w14:textId="6ACA7A49" w:rsidR="00722DDD" w:rsidRDefault="00545ECF" w:rsidP="00EF0654">
      <w:pPr>
        <w:pStyle w:val="ListParagraph"/>
        <w:numPr>
          <w:ilvl w:val="0"/>
          <w:numId w:val="1"/>
        </w:numPr>
      </w:pPr>
      <w:r>
        <w:t>Are the combined risks of smoking and low physical activity for these outcomes additive or synergistic?</w:t>
      </w:r>
    </w:p>
    <w:p w14:paraId="09022E16" w14:textId="77777777" w:rsidR="00E264C9" w:rsidRDefault="00E264C9" w:rsidP="00E264C9"/>
    <w:p w14:paraId="33AEB6AB" w14:textId="77777777" w:rsidR="00E264C9" w:rsidRPr="00D55BAF" w:rsidRDefault="00E264C9" w:rsidP="00E264C9">
      <w:pPr>
        <w:pStyle w:val="Heading2"/>
      </w:pPr>
      <w:r w:rsidRPr="00D55BAF">
        <w:t>Method</w:t>
      </w:r>
    </w:p>
    <w:p w14:paraId="50A28C32" w14:textId="77777777" w:rsidR="00E264C9" w:rsidRDefault="00E264C9" w:rsidP="00E264C9">
      <w:pPr>
        <w:pStyle w:val="Heading3"/>
      </w:pPr>
      <w:r>
        <w:t>Design</w:t>
      </w:r>
    </w:p>
    <w:p w14:paraId="06E93E59" w14:textId="4DE1F531" w:rsidR="00E264C9" w:rsidRPr="001A1665" w:rsidRDefault="00E264C9" w:rsidP="00E264C9">
      <w:r w:rsidRPr="001A1665">
        <w:t xml:space="preserve">This investigation </w:t>
      </w:r>
      <w:r>
        <w:t>used</w:t>
      </w:r>
      <w:r w:rsidRPr="001A1665">
        <w:t xml:space="preserve"> d</w:t>
      </w:r>
      <w:r w:rsidRPr="00C0052C">
        <w:t>ata from the English Longitudinal Study of Ageing (ELSA) covering a 12-year period.</w:t>
      </w:r>
      <w:r>
        <w:t xml:space="preserve"> </w:t>
      </w:r>
      <w:r w:rsidRPr="001B5F35">
        <w:t xml:space="preserve">ELSA is a population-based longitudinal panel study of a representative sample of men and women aged 50 and older living in England. The study began in 2002 (Wave 1), with participants recruited from an annual cross‐sectional survey of households. Data </w:t>
      </w:r>
      <w:r>
        <w:t>are collected every two years via computer-assisted personal interview and self-completion questionnaires.</w:t>
      </w:r>
      <w:r w:rsidRPr="001A1665">
        <w:t xml:space="preserve"> </w:t>
      </w:r>
      <w:r>
        <w:t xml:space="preserve">In alternate (even) waves there is an additional health examination, in which objective measures are obtained. </w:t>
      </w:r>
      <w:r w:rsidRPr="00C0052C">
        <w:t xml:space="preserve">For the present study, baseline data </w:t>
      </w:r>
      <w:r>
        <w:t>were</w:t>
      </w:r>
      <w:r w:rsidRPr="00C0052C">
        <w:t xml:space="preserve"> drawn from Wave 2 (2004/05; the first wave in which height and weight were measured, allowing inclusion of body ma</w:t>
      </w:r>
      <w:r>
        <w:t xml:space="preserve">ss index (BMI) in the analyses), collected when participants were </w:t>
      </w:r>
      <w:r>
        <w:rPr>
          <w:rFonts w:cstheme="minorHAnsi"/>
        </w:rPr>
        <w:t>aged ≥52 years. F</w:t>
      </w:r>
      <w:r w:rsidRPr="00C0052C">
        <w:t xml:space="preserve">ollow-up data </w:t>
      </w:r>
      <w:r>
        <w:t>were</w:t>
      </w:r>
      <w:r w:rsidRPr="00C0052C">
        <w:t xml:space="preserve"> </w:t>
      </w:r>
      <w:r w:rsidR="00C60B51">
        <w:t>collected biennially through to</w:t>
      </w:r>
      <w:r w:rsidRPr="00C0052C">
        <w:t xml:space="preserve"> Wave 8 (2016/17; the </w:t>
      </w:r>
      <w:r>
        <w:t>most recent</w:t>
      </w:r>
      <w:r w:rsidRPr="00C0052C">
        <w:t xml:space="preserve"> wave </w:t>
      </w:r>
      <w:r>
        <w:t>of</w:t>
      </w:r>
      <w:r w:rsidRPr="00C0052C">
        <w:t xml:space="preserve"> available</w:t>
      </w:r>
      <w:r>
        <w:t xml:space="preserve"> data</w:t>
      </w:r>
      <w:r w:rsidRPr="00C0052C">
        <w:t>).</w:t>
      </w:r>
    </w:p>
    <w:p w14:paraId="3D098A30" w14:textId="77777777" w:rsidR="00E264C9" w:rsidRDefault="00E264C9" w:rsidP="00E264C9">
      <w:pPr>
        <w:pStyle w:val="Heading3"/>
      </w:pPr>
      <w:r w:rsidRPr="00D55BAF">
        <w:t>Measures</w:t>
      </w:r>
    </w:p>
    <w:p w14:paraId="32073392" w14:textId="77777777" w:rsidR="00E264C9" w:rsidRPr="001A1665" w:rsidRDefault="00E264C9" w:rsidP="00E264C9">
      <w:pPr>
        <w:rPr>
          <w:u w:val="single"/>
        </w:rPr>
      </w:pPr>
      <w:r w:rsidRPr="001A1665">
        <w:rPr>
          <w:u w:val="single"/>
        </w:rPr>
        <w:t>Measurement of exposures</w:t>
      </w:r>
    </w:p>
    <w:p w14:paraId="5952439A" w14:textId="48407826" w:rsidR="00E264C9" w:rsidRPr="00A41C35" w:rsidRDefault="00E264C9" w:rsidP="00E264C9">
      <w:r w:rsidRPr="00A41C35">
        <w:t xml:space="preserve">Smoking status </w:t>
      </w:r>
      <w:r>
        <w:t>was</w:t>
      </w:r>
      <w:r w:rsidRPr="00A41C35">
        <w:t xml:space="preserve"> defined as current, former, or never smoker on the basis of responses to two yes/no questions: 1) “</w:t>
      </w:r>
      <w:r w:rsidRPr="00A41C35">
        <w:rPr>
          <w:i/>
        </w:rPr>
        <w:t>Have you ever smoked cigarettes?</w:t>
      </w:r>
      <w:r w:rsidRPr="00A41C35">
        <w:t>” 2) “</w:t>
      </w:r>
      <w:r w:rsidRPr="00A41C35">
        <w:rPr>
          <w:i/>
        </w:rPr>
        <w:t>Do you smoke cigarettes at all nowadays?</w:t>
      </w:r>
      <w:r w:rsidRPr="00A41C35">
        <w:t>”</w:t>
      </w:r>
      <w:r>
        <w:t xml:space="preserve"> This measure has been validated against salivary cotinine levels in the Health Survey for England </w:t>
      </w:r>
      <w:r>
        <w:fldChar w:fldCharType="begin"/>
      </w:r>
      <w:r w:rsidR="00C72FE2">
        <w:instrText xml:space="preserve"> ADDIN ZOTERO_ITEM CSL_CITATION {"citationID":"vZEpxpaW","properties":{"formattedCitation":"(36)","plainCitation":"(36)","noteIndex":0},"citationItems":[{"id":"dxu6TYzy/4UahVkud","uris":["http://zotero.org/users/446899/items/B7M4UQAK"],"uri":["http://zotero.org/users/446899/items/B7M4UQAK"],"itemData":{"id":6782,"type":"article-journal","title":"Health survey for England 2000: cardiovascular disease","container-title":"London: The Stationery Office","source":"Google Scholar","shortTitle":"Health survey for England 2000","author":[{"family":"Erens","given":"B."},{"family":"Primatesta","given":"P."}],"issued":{"date-parts":[["2001"]]}}}],"schema":"https://github.com/citation-style-language/schema/raw/master/csl-citation.json"} </w:instrText>
      </w:r>
      <w:r>
        <w:fldChar w:fldCharType="separate"/>
      </w:r>
      <w:r w:rsidR="00C72FE2" w:rsidRPr="00C72FE2">
        <w:rPr>
          <w:rFonts w:ascii="Calibri" w:hAnsi="Calibri" w:cs="Calibri"/>
        </w:rPr>
        <w:t>(36)</w:t>
      </w:r>
      <w:r>
        <w:fldChar w:fldCharType="end"/>
      </w:r>
      <w:r>
        <w:t>.</w:t>
      </w:r>
    </w:p>
    <w:p w14:paraId="43F84370" w14:textId="0EF7329E" w:rsidR="00E264C9" w:rsidRDefault="00E264C9" w:rsidP="00E264C9">
      <w:r w:rsidRPr="001A1665">
        <w:t xml:space="preserve">Physical activity </w:t>
      </w:r>
      <w:r>
        <w:t>was</w:t>
      </w:r>
      <w:r w:rsidRPr="001A1665">
        <w:t xml:space="preserve"> assessed with three items that asked </w:t>
      </w:r>
      <w:r w:rsidRPr="00D77072">
        <w:t xml:space="preserve">participants how often they </w:t>
      </w:r>
      <w:r w:rsidR="00B634E8">
        <w:t>took</w:t>
      </w:r>
      <w:r w:rsidRPr="00D77072">
        <w:t xml:space="preserve"> part in </w:t>
      </w:r>
      <w:r w:rsidR="00B634E8">
        <w:t xml:space="preserve">activities that were </w:t>
      </w:r>
      <w:r w:rsidRPr="00D77072">
        <w:t>vigorous</w:t>
      </w:r>
      <w:r w:rsidR="003F2707">
        <w:t xml:space="preserve"> (e.g. jogging, </w:t>
      </w:r>
      <w:r w:rsidR="00B634E8">
        <w:t>cycling)</w:t>
      </w:r>
      <w:r w:rsidRPr="00D77072">
        <w:t>, moderate</w:t>
      </w:r>
      <w:r w:rsidR="00B634E8">
        <w:t>ly energetic (e.g. gardening</w:t>
      </w:r>
      <w:r w:rsidR="003F2707">
        <w:t>,</w:t>
      </w:r>
      <w:r w:rsidR="00B634E8">
        <w:t xml:space="preserve"> </w:t>
      </w:r>
      <w:r w:rsidR="003F2707">
        <w:t>walking at</w:t>
      </w:r>
      <w:r w:rsidR="00B634E8">
        <w:t xml:space="preserve"> moderate pace)</w:t>
      </w:r>
      <w:r w:rsidR="00C1546E">
        <w:t>,</w:t>
      </w:r>
      <w:r w:rsidRPr="00D77072">
        <w:t xml:space="preserve"> </w:t>
      </w:r>
      <w:r w:rsidR="00B634E8">
        <w:t xml:space="preserve">or mildly energetic (e.g. laundry, home repairs). Response options were: </w:t>
      </w:r>
      <w:r w:rsidRPr="00D77072">
        <w:t xml:space="preserve">more than once a week, once a week, 1-3 times a month, hardly ever/never. </w:t>
      </w:r>
      <w:r w:rsidR="008003B3">
        <w:t xml:space="preserve">Activity examples provided to respondents correspond to </w:t>
      </w:r>
      <w:r w:rsidR="007C4980">
        <w:t>metabolic equivalent of</w:t>
      </w:r>
      <w:r w:rsidR="008B1929">
        <w:t xml:space="preserve"> task</w:t>
      </w:r>
      <w:r w:rsidR="008003B3">
        <w:t xml:space="preserve"> </w:t>
      </w:r>
      <w:r w:rsidR="008003B3">
        <w:rPr>
          <w:rFonts w:ascii="Calibri" w:hAnsi="Calibri" w:cs="Calibri"/>
        </w:rPr>
        <w:t>≥</w:t>
      </w:r>
      <w:r w:rsidR="008003B3">
        <w:t xml:space="preserve">6, </w:t>
      </w:r>
      <w:r w:rsidR="008003B3">
        <w:rPr>
          <w:rFonts w:ascii="Calibri" w:hAnsi="Calibri" w:cs="Calibri"/>
        </w:rPr>
        <w:t>≥</w:t>
      </w:r>
      <w:r w:rsidR="008003B3">
        <w:t>3.5 to &lt;6</w:t>
      </w:r>
      <w:r w:rsidR="00860A3D">
        <w:t>,</w:t>
      </w:r>
      <w:r w:rsidR="008003B3">
        <w:t xml:space="preserve"> and </w:t>
      </w:r>
      <w:r w:rsidR="008003B3">
        <w:rPr>
          <w:rFonts w:ascii="Calibri" w:hAnsi="Calibri" w:cs="Calibri"/>
        </w:rPr>
        <w:t>≥</w:t>
      </w:r>
      <w:r w:rsidR="003F2707">
        <w:t>2 to &lt;</w:t>
      </w:r>
      <w:r w:rsidR="008003B3">
        <w:t xml:space="preserve">3.5 respectively for vigorous, moderate, and mild </w:t>
      </w:r>
      <w:r w:rsidR="008003B3">
        <w:lastRenderedPageBreak/>
        <w:t xml:space="preserve">activities. </w:t>
      </w:r>
      <w:r>
        <w:t>For the purpose of analysis, we categorised</w:t>
      </w:r>
      <w:r w:rsidRPr="00D77072">
        <w:t xml:space="preserve"> </w:t>
      </w:r>
      <w:r>
        <w:t xml:space="preserve">physical activity </w:t>
      </w:r>
      <w:r w:rsidRPr="00D77072">
        <w:t xml:space="preserve">into </w:t>
      </w:r>
      <w:r>
        <w:t>two</w:t>
      </w:r>
      <w:r w:rsidRPr="00D77072">
        <w:t xml:space="preserve"> categories: </w:t>
      </w:r>
      <w:r w:rsidR="00913136">
        <w:t>high physical activity</w:t>
      </w:r>
      <w:r>
        <w:t xml:space="preserve"> (</w:t>
      </w:r>
      <w:r w:rsidRPr="00D77072">
        <w:t>moderate</w:t>
      </w:r>
      <w:r>
        <w:t xml:space="preserve"> and/or vigorous</w:t>
      </w:r>
      <w:r w:rsidRPr="00D77072">
        <w:t xml:space="preserve"> activity </w:t>
      </w:r>
      <w:r w:rsidR="00CF5100">
        <w:t>more than</w:t>
      </w:r>
      <w:r w:rsidRPr="00D77072">
        <w:t xml:space="preserve"> once a week</w:t>
      </w:r>
      <w:r>
        <w:t>)</w:t>
      </w:r>
      <w:r w:rsidR="00CF5100">
        <w:t xml:space="preserve"> vs. low physical activity</w:t>
      </w:r>
      <w:r w:rsidR="00CF5100" w:rsidRPr="00D77072">
        <w:t xml:space="preserve"> (moderate/vigorous activity </w:t>
      </w:r>
      <w:r w:rsidR="00CF5100">
        <w:t>once a week or less</w:t>
      </w:r>
      <w:r w:rsidR="00CF5100" w:rsidRPr="00D77072">
        <w:t>)</w:t>
      </w:r>
      <w:r w:rsidRPr="00D77072">
        <w:t>.</w:t>
      </w:r>
      <w:r w:rsidR="000350FF">
        <w:t xml:space="preserve"> This measure has been validated against objective, accelerometer-measured hours of moder</w:t>
      </w:r>
      <w:r w:rsidR="00385DFF">
        <w:t>ate-vigorous intensity activity</w:t>
      </w:r>
      <w:r w:rsidR="000350FF">
        <w:t xml:space="preserve"> and demonstrate</w:t>
      </w:r>
      <w:r w:rsidR="000D392A">
        <w:t>s</w:t>
      </w:r>
      <w:r w:rsidR="000350FF">
        <w:t xml:space="preserve"> convergent validity in grading a </w:t>
      </w:r>
      <w:r w:rsidR="000D392A">
        <w:t>wide range</w:t>
      </w:r>
      <w:r w:rsidR="000350FF">
        <w:t xml:space="preserve"> of psychosocial, physical</w:t>
      </w:r>
      <w:r w:rsidR="004D5F6B">
        <w:t>,</w:t>
      </w:r>
      <w:r w:rsidR="000350FF">
        <w:t xml:space="preserve"> and biochemical </w:t>
      </w:r>
      <w:r w:rsidR="00BA4978">
        <w:t>outcomes</w:t>
      </w:r>
      <w:r w:rsidR="000350FF">
        <w:t xml:space="preserve"> </w:t>
      </w:r>
      <w:r w:rsidR="00630DD0">
        <w:fldChar w:fldCharType="begin"/>
      </w:r>
      <w:r w:rsidR="00C72FE2">
        <w:instrText xml:space="preserve"> ADDIN ZOTERO_ITEM CSL_CITATION {"citationID":"xf5zDX7D","properties":{"formattedCitation":"(7,37\\uc0\\u8211{}41)","plainCitation":"(7,37–41)","noteIndex":0},"citationItems":[{"id":"dxu6TYzy/RZj2kGeV","uris":["http://zotero.org/users/446899/items/7UGDK827"],"uri":["http://zotero.org/users/446899/items/7UGDK827"],"itemData":{"id":1753,"type":"article-journal","title":"Taking up physical activity in later life and healthy ageing: the English longitudinal study of ageing","container-title":"British Journal of Sports Medicine","page":"239-243","volume":"48","issue":"3","source":"bjsm.bmj.com","abstract":"Background Physical activity is associated with improved overall health in those people who survive to older ages, otherwise conceptualised as healthy ageing. Previous studies have examined the effects of mid-life physical activity on healthy ageing, but not the effects of taking up activity later in life. We examined the association between physical activity and healthy ageing over 8 years of follow-up.\nMethods Participants were 3454 initially disease-free men and women (aged 63.7±8.9 years at baseline) from the English Longitudinal Study of Ageing, a prospective study of community dwelling older adults. Self-reported physical activity was assessed at baseline (2002–2003) and through follow-up. Healthy ageing, assessed at 8 years of follow-up (2010-2011), was defined as those participants who survived without developing major chronic disease, depressive symptoms, physical or cognitive impairment.\nResults At follow-up, 19.3% of the sample was defined as healthy ageing. In comparison with inactive participants, moderate (OR, 2.67, 95% CI 1.95 to 3.64), or vigorous activity (3.53, 2.54 to 4.89) at least once a week was associated with healthy ageing, after adjustment for age, sex, smoking, alcohol, marital status and wealth. Becoming active (multivariate adjusted, 3.37, 1.67 to 6.78) or remaining active (7.68, 4.18 to 14.09) was associated with healthy ageing in comparison with remaining inactive over follow-up.\nConclusions Sustained physical activity in older age is associated with improved overall health. Significant health benefits were even seen among participants who became physically active relatively late in life.","DOI":"10.1136/bjsports-2013-092993","ISSN":", 14730480","note":"PMID: 24276781","shortTitle":"Taking up physical activity in later life and healthy ageing","journalAbbreviation":"Br J Sports Med","language":"en","author":[{"family":"Hamer","given":"Mark"},{"family":"Lavoie","given":"Kim L."},{"family":"Bacon","given":"Simon L."}],"issued":{"date-parts":[["2014",2,1]]}}},{"id":"dxu6TYzy/VkqrsboY","uris":["http://zotero.org/users/446899/items/I62RXRAI"],"uri":["http://zotero.org/users/446899/items/I62RXRAI"],"itemData":{"id":339,"type":"article-journal","title":"Low-intensity physical activity is associated with reduced risk of incident type 2 diabetes in older adults: evidence from the English Longitudinal Study of Ageing","container-title":"Diabetologia","page":"1877-1885","volume":"53","source":"CrossRef","DOI":"10.1007/s00125-010-1785-x","ISSN":"0012-186X, 1432-0428","shortTitle":"Low-intensity physical activity is associated with reduced risk of incident type 2 diabetes in older adults","author":[{"family":"Demakakos","given":"P."},{"family":"Hamer","given":"M."},{"family":"Stamatakis","given":"E."},{"family":"Steptoe","given":"A."}],"issued":{"date-parts":[["2010",5,22]]}}},{"id":"dxu6TYzy/iTgDrN9a","uris":["http://zotero.org/users/446899/items/HEMGNA6G"],"uri":["http://zotero.org/users/446899/items/HEMGNA6G"],"itemData":{"id":4620,"type":"article-journal","title":"Screen-Based Sedentary Behavior, Physical Activity, and Muscle Strength in the English Longitudinal Study of Ageing","container-title":"PLOS ONE","page":"e66222","volume":"8","issue":"6","source":"PLoS Journals","abstract":"Background Sarcopenia is associated with loss of independence and ill-health in the elderly although the causes remain poorly understood. We examined the association between two screen-based leisure time sedentary activities (daily TV viewing time and internet use) and muscle strength. Methods and Results We studied 6228 men and women (aged 64.9±9.1 yrs) from wave 4 (2008-09) of the English Longitudinal Study of Ageing, a prospective study of community dwelling older adults. Muscle strength was assessed by a hand grip test and the time required to complete five chair rises. TV viewing and internet usage were inversely associated with one another. Participants viewing TV ≥6hrs/d had lower grip strength (Men, B = −1.20 kg, 95% CI, −2.26, −0.14; Women, −0.75 kg, 95% CI, −1.48, −0.03) in comparison to &lt;2hrs/d TV, after adjustment for age, physical activity, smoking, alcohol, chronic disease, disability, depressive symptoms, social status, and body mass index. In contrast, internet use was associated with higher grip strength (Men, B = 2.43 kg, 95% CI, 1.74, 3.12; Women, 0.76 kg, 95% CI, 0.32, 1.20). These associations persisted after mutual adjustment for both types of sedentary behaviour. Conclusions In older adults, the association between sedentary activities and physical function is context specific (TV viewing vs. computer use). Adverse effects of TV viewing might reflect the prolonged sedentary nature of this behavior.","DOI":"10.1371/journal.pone.0066222","ISSN":"1932-6203","journalAbbreviation":"PLOS ONE","language":"en","author":[{"family":"Hamer","given":"Mark"},{"family":"Stamatakis","given":"Emmanuel"}],"issued":{"date-parts":[["2013",6,3]]}}},{"id":"dxu6TYzy/jxENXvsS","uris":["http://zotero.org/users/446899/items/3XYFLCTN"],"uri":["http://zotero.org/users/446899/items/3XYFLCTN"],"itemData":{"id":7465,"type":"article-journal","title":"Prospective Study of Sedentary Behavior, Risk of Depression, and Cognitive Impairment","container-title":"Medicine &amp; Science in Sports &amp; Exercise","page":"718-723","volume":"46","issue":"4","source":"insights.ovid.com","abstract":"ABSTRACTIntroductionModern-day lifestyles are characterized by large amounts of prolonged sedentary activities, which may pose a risk to health in its own right, although little is known about their effects on mental health. We examined the association between several types of common sedentary behav","DOI":"10.1249/MSS.0000000000000156","ISSN":"0195-9131","note":"PMID: 24121248","language":"ENGLISH","author":[{"family":"Hamer","given":"Mark"},{"family":"Stamatakis","given":"Emmanuel"}],"issued":{"date-parts":[["2014",4,1]]}}},{"id":"dxu6TYzy/n4i6k4uA","uris":["http://zotero.org/users/446899/items/3E7VIJE6"],"uri":["http://zotero.org/users/446899/items/3E7VIJE6"],"itemData":{"id":1752,"type":"article-journal","title":"Leisure time physical activity, risk of depressive symptoms, and inflammatory mediators: the English Longitudinal Study of Ageing","container-title":"Psychoneuroendocrinology","page":"1050-1055","volume":"34","issue":"7","source":"PubMed","abstract":"OBJECTIVES: To examine if inflammatory markers (CRP, fibrinogen) might partly explain the association between physical activity (PA) and risk of depression.\nDESIGN/SETTING: The English Longitudinal Study of Ageing, a prospective study of community dwelling older adults.\nPARTICIPANTS: 4323 men and women (aged 63.4+/-9.7 yrs) free from depression at baseline.\nMEASURES: Self reported leisure time PA levels and depressive symptoms (a score of &gt; or = 4 using the 8-item CES-D scale) were assessed at baseline and 4 yrs follow up. The inflammatory markers, CRP and fibrinogen, were assessed at a 2 yrs intermediate time point between baseline and follow up.\nRESULTS: At follow up 8% of the sample reported depressive symptomatology. In comparison with participants reporting none or light PA, the odds of depressive symptomatology for those reporting moderate or vigorous PA were 0.71 (95% CI, 0.54-0.95) and 0.58 (0.41-0.81), respectively, after adjustments for baseline CES-D score, age, gender, social-occupational class, smoking, alcohol, and chronic illness. Each standard unit increase in log CRP was associated with higher odds of depressive symptomatology at follow up (1.32, 1.13-1.55) and CRP was inversely associated with physical activity. The association between PA and depressive symptomatology was not, however, substantially modified by further adjustment for CRP (odds for none vs. vigorous PA=0.60, 0.43-0.84).\nCONCLUSIONS: These data suggest that low grade systemic inflammation, as indexed by CRP, is a risk marker for depressive symptomatology, although this mechanism explains only a modest (approximately 5%) amount of the association between PA and risk of depression.","DOI":"10.1016/j.psyneuen.2009.02.004","ISSN":"1873-3360","note":"PMID: 19272716","shortTitle":"Leisure time physical activity, risk of depressive symptoms, and inflammatory mediators","journalAbbreviation":"Psychoneuroendocrinology","language":"eng","author":[{"family":"Hamer","given":"Mark"},{"family":"Molloy","given":"Gerard J."},{"family":"Oliveira","given":"Cesar","non-dropping-particle":"de"},{"family":"Demakakos","given":"Panayotes"}],"issued":{"date-parts":[["2009",8]]}}},{"id":"dxu6TYzy/Jq9dYckA","uris":["http://zotero.org/users/446899/items/CRCQIGRG"],"uri":["http://zotero.org/users/446899/items/CRCQIGRG"],"itemData":{"id":1756,"type":"article-journal","title":"Non-exercise physical activity and survival: English longitudinal study of ageing","container-title":"American Journal of Preventive Medicine","page":"452-460","volume":"47","issue":"4","source":"PubMed","abstract":"BACKGROUND: The activity patterns of older adults include more light/mild-intensity or \"non-exercise\" activity and less moderate- to vigorous-intensity activity. The health benefits of this type of activity pattern remain unclear.\nPURPOSE: To examine dose-response associations between physical activity and survival using time-varying analysis to understand the importance of \"non-exercise\" activity for survival in older adults.\nMETHODS: Participants (N=10,426) were drawn from The English Longitudinal Study of Ageing, a representative sample of men and women aged ≥50 years living in England. Participant data were linked with death records from the National Health Service registries from 2002 to 2011. Analyses were conducted in 2013. Cox proportional hazards models were used to estimate the risk of death according to time-varying estimates of physical activity.\nRESULTS: Over an average follow-up of 7.8 years (median follow-up, 8.5 years), there were 1,896 deaths. In models adjusted for comorbidities, psychosocial factors, smoking, and obesity, there was a dose-response association between time-varying physical activity and mortality, with the greatest survival benefit in vigorously active participants. However, participating in mild (\"non-exercise\")-intensity physical activity was also associated with a lower risk of all-cause mortality (hazard ratio [HR]=0.76, 95% CI=0.69, 0.83); cardiovascular mortality (HR=0.74, 95% CI=0.64, 0.85); and death by other causes (HR=0.67, 95% CI=0.58, 0.78). Time-varying models produced stronger, more robust estimates than models using a single measurement of physical activity at baseline.\nCONCLUSIONS: Older adults gain health benefits from participating in regular \"non-exercise\" physical activity, although the greatest benefits are observed for more vigorous activity.","DOI":"10.1016/j.amepre.2014.05.044","ISSN":"1873-2607","note":"PMID: 25049216","shortTitle":"Non-exercise physical activity and survival","journalAbbreviation":"Am J Prev Med","language":"eng","author":[{"family":"Hamer","given":"Mark"},{"family":"Oliveira","given":"Cesar","non-dropping-particle":"de"},{"family":"Demakakos","given":"Panayotes"}],"issued":{"date-parts":[["2014",10]]}}}],"schema":"https://github.com/citation-style-language/schema/raw/master/csl-citation.json"} </w:instrText>
      </w:r>
      <w:r w:rsidR="00630DD0">
        <w:fldChar w:fldCharType="separate"/>
      </w:r>
      <w:r w:rsidR="00C72FE2" w:rsidRPr="00C72FE2">
        <w:rPr>
          <w:rFonts w:ascii="Calibri" w:hAnsi="Calibri" w:cs="Calibri"/>
          <w:szCs w:val="24"/>
        </w:rPr>
        <w:t>(7,37–41)</w:t>
      </w:r>
      <w:r w:rsidR="00630DD0">
        <w:fldChar w:fldCharType="end"/>
      </w:r>
      <w:r w:rsidR="00630DD0">
        <w:t>.</w:t>
      </w:r>
    </w:p>
    <w:p w14:paraId="263FE705" w14:textId="77777777" w:rsidR="00E264C9" w:rsidRDefault="00E264C9" w:rsidP="00E264C9">
      <w:pPr>
        <w:rPr>
          <w:u w:val="single"/>
        </w:rPr>
      </w:pPr>
      <w:r>
        <w:rPr>
          <w:u w:val="single"/>
        </w:rPr>
        <w:t>Measurement of outcomes</w:t>
      </w:r>
    </w:p>
    <w:p w14:paraId="428D3384" w14:textId="3F33896C" w:rsidR="00B8691B" w:rsidRDefault="009C3A8F" w:rsidP="00E264C9">
      <w:r>
        <w:t xml:space="preserve">We included </w:t>
      </w:r>
      <w:r w:rsidR="00384C2A">
        <w:t>as outcomes two measures of subjective health</w:t>
      </w:r>
      <w:r w:rsidR="00627830">
        <w:t xml:space="preserve"> (self-rated health, limiting long-standing illness)</w:t>
      </w:r>
      <w:r w:rsidR="00384C2A">
        <w:t>, four diagnosed chronic conditions</w:t>
      </w:r>
      <w:r w:rsidR="00627830">
        <w:t xml:space="preserve"> (CHD, stroke, cancer, chronic lung disease)</w:t>
      </w:r>
      <w:r w:rsidR="00384C2A">
        <w:t>, and one measure of mental health</w:t>
      </w:r>
      <w:r w:rsidR="00627830">
        <w:t xml:space="preserve"> (clinically relevant depressive symptoms)</w:t>
      </w:r>
      <w:r w:rsidR="00384C2A">
        <w:t xml:space="preserve">. </w:t>
      </w:r>
    </w:p>
    <w:p w14:paraId="1C18A5C3" w14:textId="192342D5" w:rsidR="00B8691B" w:rsidRDefault="00B8691B" w:rsidP="00B8691B">
      <w:r w:rsidRPr="00320130">
        <w:t xml:space="preserve">Self‐rated health </w:t>
      </w:r>
      <w:r>
        <w:t>was</w:t>
      </w:r>
      <w:r w:rsidRPr="00320130">
        <w:t xml:space="preserve"> assessed using a single item: </w:t>
      </w:r>
      <w:r w:rsidRPr="00320130">
        <w:rPr>
          <w:i/>
        </w:rPr>
        <w:t>“Would you say your health is… poor/fair/good/very good/excellent?”</w:t>
      </w:r>
      <w:r w:rsidRPr="00320130">
        <w:t xml:space="preserve"> </w:t>
      </w:r>
      <w:r w:rsidRPr="00777513">
        <w:t>W</w:t>
      </w:r>
      <w:r>
        <w:t>e analysed</w:t>
      </w:r>
      <w:r w:rsidRPr="00777513">
        <w:t xml:space="preserve"> the proportion of individuals </w:t>
      </w:r>
      <w:r>
        <w:t xml:space="preserve">rating their health as fair/poor, as has been done in previous investigations </w:t>
      </w:r>
      <w:r>
        <w:fldChar w:fldCharType="begin"/>
      </w:r>
      <w:r w:rsidR="00C72FE2">
        <w:instrText xml:space="preserve"> ADDIN ZOTERO_ITEM CSL_CITATION {"citationID":"CLp7nT6i","properties":{"formattedCitation":"(42\\uc0\\u8211{}44)","plainCitation":"(42–44)","noteIndex":0},"citationItems":[{"id":"dxu6TYzy/JoJ7pD3q","uris":["http://zotero.org/users/446899/items/GCC4Y9SB"],"uri":["http://zotero.org/users/446899/items/GCC4Y9SB"],"itemData":{"id":2,"type":"article-journal","title":"The Life Skills of Older Americans: Association with Economic, Psychological, Social, and Health Outcomes","container-title":"Scientific Reports","page":"9669","volume":"8","issue":"1","source":"www.nature.com","abstract":"Studies of children and adolescents indicate that success in life is determined in part by attributes such as conscientiousness, emotional stability and sense of control, independently of childhood socioeconomic status and cognitive ability. Less is known about the role of these characteristics at older ages. This study investigated the relationship of five life skills – conscientiousness, emotional stability, persistence, optimism and sense of control – with a range of outcomes in 8,843 participants (mean age 72.57 years) in the Health and Retirement Study, a representative study of older Americans. More life skills were associated with greater wealth and income, better emotional wellbeing, stronger social relationships, less loneliness, better health, fewer chronic illnesses and impaired activities of daily living, better mobility and less obesity, after controlling for childhood socioeconomic status and current cognitive ability. Longitudinally, more life skills predicted emotional wellbeing, less loneliness and more prosocial behavior, better health and mobility over a 4 year period. Associations were independent of gender, ethnicity, family background, education and cognitive ability. The number of attributes was important rather than any single life skill. Life skills continue to matter at advanced ages, and fostering these characteristics in older adults may pay dividends in terms of later life health and wellbeing.","DOI":"10.1038/s41598-018-27909-w","ISSN":"2045-2322","shortTitle":"The Life Skills of Older Americans","language":"en","author":[{"family":"Steptoe","given":"Andrew"},{"family":"Jackson","given":"Sarah E."}],"issued":{"date-parts":[["2018",7,5]]}}},{"id":"dxu6TYzy/LnUrRM1I","uris":["http://zotero.org/users/446899/items/V6327HJ6"],"uri":["http://zotero.org/users/446899/items/V6327HJ6"],"itemData":{"id":4,"type":"article-journal","title":"Mortality prediction with a single general self-rated health question. A meta-analysis","container-title":"Journal of General Internal Medicine","page":"267-275","volume":"21","issue":"3","source":"PubMed","abstract":"OBJECTIVE: Health planners and policy makers are increasingly asking for a feasible method to identify vulnerable persons with the greatest health needs. We conducted a systematic review of the association between a single item assessing general self-rated health (GSRH) and mortality.\nDATA SOURCES: Systematic MEDLINE and EMBASE database searches for studies published from January 1966 to September 2003.\nREVIEW METHODS: Two investigators independently searched English language prospective, community-based cohort studies that reported (1) all-cause mortality, (2) a question assessing GSRH; and (3) an adjusted relative risk or equivalent. The investigators searched the citations to determine inclusion eligibility and abstracted data by following a standardized protocol. Of the 163 relevant studies identified, 22 cohorts met the inclusion criteria. Using a random effects model, compared with persons reporting \"excellent\" health status, the relative risk (95% confidence interval) for all-cause mortality was 1.23 [1.09, 1.39], 1.44 [1.21, 1.71], and 1.92 [1.64, 2.25] for those reporting \"good,\"fair,\" and \"poor\" health status, respectively. This relationship was robust in sensitivity analyses, limited to studies that adjusted for co-morbid illness, functional status, cognitive status, and depression, and across subgroups defined by gender and country of origin.\nCONCLUSIONS: Persons with \"poor\" self-rated health had a 2-fold higher mortality risk compared with persons with \"excellent\" self-rated health. Subjects' responses to a simple, single-item GSRH question maintained a strong association with mortality even after adjustment for key covariates such as functional status, depression, and co-morbidity.","DOI":"10.1111/j.1525-1497.2005.00291.x","ISSN":"1525-1497","note":"PMID: 16336622\nPMCID: PMC1828094","journalAbbreviation":"J Gen Intern Med","language":"eng","author":[{"family":"DeSalvo","given":"Karen B."},{"family":"Bloser","given":"Nicole"},{"family":"Reynolds","given":"Kristi"},{"family":"He","given":"Jiang"},{"family":"Muntner","given":"Paul"}],"issued":{"date-parts":[["2006",3]]}}},{"id":"dxu6TYzy/pVxK6cXH","uris":["http://zotero.org/users/446899/items/WHLE6J59"],"uri":["http://zotero.org/users/446899/items/WHLE6J59"],"itemData":{"id":7462,"type":"article-journal","title":"Associations between age discrimination and health and wellbeing: cross-sectional and prospective analysis of the English Longitudinal Study of Ageing","container-title":"Lancet Public Health","volume":"in press","author":[{"family":"Jackson","given":"S E"},{"family":"Hackett","given":"R A"},{"family":"Steptoe","given":"A"}],"issued":{"date-parts":[["2019"]]}}}],"schema":"https://github.com/citation-style-language/schema/raw/master/csl-citation.json"} </w:instrText>
      </w:r>
      <w:r>
        <w:fldChar w:fldCharType="separate"/>
      </w:r>
      <w:r w:rsidR="00C72FE2" w:rsidRPr="00C72FE2">
        <w:rPr>
          <w:rFonts w:ascii="Calibri" w:hAnsi="Calibri" w:cs="Calibri"/>
          <w:szCs w:val="24"/>
        </w:rPr>
        <w:t>(42–44)</w:t>
      </w:r>
      <w:r>
        <w:fldChar w:fldCharType="end"/>
      </w:r>
      <w:r w:rsidRPr="00777513">
        <w:t>.</w:t>
      </w:r>
    </w:p>
    <w:p w14:paraId="789BDB70" w14:textId="77777777" w:rsidR="00B8691B" w:rsidRDefault="00B8691B" w:rsidP="00B8691B">
      <w:r>
        <w:t>We also used</w:t>
      </w:r>
      <w:r w:rsidRPr="001A1665">
        <w:t xml:space="preserve"> data on self-reported limiting long-standing illness,</w:t>
      </w:r>
      <w:r>
        <w:t xml:space="preserve"> which reflects the extent to which participants feel their daily activities are limited by the presence of illness. This was</w:t>
      </w:r>
      <w:r w:rsidRPr="001A1665">
        <w:t xml:space="preserve"> assessed with two questions: 1) “</w:t>
      </w:r>
      <w:r w:rsidRPr="00553ACF">
        <w:rPr>
          <w:i/>
        </w:rPr>
        <w:t>Do you have any long-standing illness, disability, or infirmity? By long-standing I mean anything that has troubled you over a period of time or that is likely to affect you over a period of time</w:t>
      </w:r>
      <w:r w:rsidRPr="001A1665">
        <w:t xml:space="preserve">.” </w:t>
      </w:r>
      <w:r>
        <w:t>Those who respond yes</w:t>
      </w:r>
      <w:r w:rsidRPr="001A1665">
        <w:t xml:space="preserve"> </w:t>
      </w:r>
      <w:r>
        <w:t>were</w:t>
      </w:r>
      <w:r w:rsidRPr="001A1665">
        <w:t xml:space="preserve"> asked</w:t>
      </w:r>
      <w:r>
        <w:t>:</w:t>
      </w:r>
      <w:r w:rsidRPr="001A1665">
        <w:t xml:space="preserve"> 2) “</w:t>
      </w:r>
      <w:r w:rsidRPr="00553ACF">
        <w:rPr>
          <w:i/>
        </w:rPr>
        <w:t>Does this illness or disability limit your activities in any way?</w:t>
      </w:r>
      <w:r w:rsidRPr="001A1665">
        <w:t xml:space="preserve">” Affirmation of a long-standing illness and any form of limitation </w:t>
      </w:r>
      <w:r>
        <w:t>classified the</w:t>
      </w:r>
      <w:r w:rsidRPr="001A1665">
        <w:t xml:space="preserve"> participant as having a limiting long-standing illness.</w:t>
      </w:r>
    </w:p>
    <w:p w14:paraId="0E3E6156" w14:textId="77777777" w:rsidR="00B8691B" w:rsidRDefault="00B8691B" w:rsidP="00B8691B">
      <w:r>
        <w:t>D</w:t>
      </w:r>
      <w:r w:rsidRPr="001A1665">
        <w:t xml:space="preserve">octor-diagnosed </w:t>
      </w:r>
      <w:r>
        <w:t>CHD</w:t>
      </w:r>
      <w:r w:rsidRPr="001A1665">
        <w:t xml:space="preserve">, stroke, </w:t>
      </w:r>
      <w:r>
        <w:t xml:space="preserve">cancer, and </w:t>
      </w:r>
      <w:r w:rsidRPr="001A1665">
        <w:t xml:space="preserve">chronic lung disease </w:t>
      </w:r>
      <w:r>
        <w:t xml:space="preserve">were self-reported in response to presentation of a list of conditions and the question: </w:t>
      </w:r>
      <w:r w:rsidRPr="00F235E0">
        <w:t>“</w:t>
      </w:r>
      <w:r w:rsidRPr="00F235E0">
        <w:rPr>
          <w:i/>
          <w:iCs/>
        </w:rPr>
        <w:t>Has a doctor ever told you that you have (or have had) any of the conditions on this card</w:t>
      </w:r>
      <w:r w:rsidRPr="00F235E0">
        <w:t>?”</w:t>
      </w:r>
    </w:p>
    <w:p w14:paraId="0A28C749" w14:textId="368A83BB" w:rsidR="00B8691B" w:rsidRDefault="00B8691B" w:rsidP="00B8691B">
      <w:r w:rsidRPr="001A1665">
        <w:t xml:space="preserve">Depressive symptoms </w:t>
      </w:r>
      <w:r>
        <w:t>were</w:t>
      </w:r>
      <w:r w:rsidRPr="001A1665">
        <w:t xml:space="preserve"> assessed with an eight-item version of the Center for Epidemiologic Studies Depression Scale (CES-D)</w:t>
      </w:r>
      <w:r>
        <w:t xml:space="preserve">, a validated instrument for use in older adults </w:t>
      </w:r>
      <w:r w:rsidRPr="001A1665">
        <w:fldChar w:fldCharType="begin"/>
      </w:r>
      <w:r w:rsidR="00C72FE2">
        <w:instrText xml:space="preserve"> ADDIN ZOTERO_ITEM CSL_CITATION {"citationID":"adMCuFO0","properties":{"formattedCitation":"(45)","plainCitation":"(45)","noteIndex":0},"citationItems":[{"id":"dxu6TYzy/Ia4E1h1J","uris":["http://zotero.org/users/446899/items/UN4RQST9"],"uri":["http://zotero.org/users/446899/items/UN4RQST9"],"itemData":{"id":523,"type":"article-journal","title":"The CES-D scale","container-title":"Appl Psychol Meas","page":"385–401","volume":"1","issue":"3","source":"Google Scholar","author":[{"family":"Radloff","given":"L.S."}],"issued":{"date-parts":[["1977"]]}}}],"schema":"https://github.com/citation-style-language/schema/raw/master/csl-citation.json"} </w:instrText>
      </w:r>
      <w:r w:rsidRPr="001A1665">
        <w:fldChar w:fldCharType="separate"/>
      </w:r>
      <w:r w:rsidR="00C72FE2" w:rsidRPr="00C72FE2">
        <w:rPr>
          <w:rFonts w:ascii="Calibri" w:hAnsi="Calibri" w:cs="Calibri"/>
        </w:rPr>
        <w:t>(45)</w:t>
      </w:r>
      <w:r w:rsidRPr="001A1665">
        <w:fldChar w:fldCharType="end"/>
      </w:r>
      <w:hyperlink r:id="rId9" w:anchor="pone.0104552-Radloff1" w:history="1"/>
      <w:r w:rsidRPr="001A1665">
        <w:t xml:space="preserve">. Respondents </w:t>
      </w:r>
      <w:r>
        <w:t>were</w:t>
      </w:r>
      <w:r w:rsidRPr="001A1665">
        <w:t xml:space="preserve"> asked to indicate </w:t>
      </w:r>
      <w:r>
        <w:t>whether</w:t>
      </w:r>
      <w:r w:rsidRPr="001A1665">
        <w:t xml:space="preserve"> they had experienced depressive symptoms (e.g. restless sleep and being unhappy) over the past month using a binary (yes/n</w:t>
      </w:r>
      <w:r>
        <w:t>o) response. Total scores ranged</w:t>
      </w:r>
      <w:r w:rsidRPr="001A1665">
        <w:t xml:space="preserve"> from 0 to 8</w:t>
      </w:r>
      <w:r>
        <w:t>,</w:t>
      </w:r>
      <w:r w:rsidRPr="001A1665">
        <w:t xml:space="preserve"> with higher scores indicating more depressive symptoms. Data </w:t>
      </w:r>
      <w:r>
        <w:t>were</w:t>
      </w:r>
      <w:r w:rsidRPr="001A1665">
        <w:t xml:space="preserve"> dichotomised using an established cut‐off, with a score of 4 or higher indicating </w:t>
      </w:r>
      <w:r>
        <w:t>clinically relevant</w:t>
      </w:r>
      <w:r w:rsidRPr="001A1665">
        <w:t xml:space="preserve"> symptomatology </w:t>
      </w:r>
      <w:r w:rsidRPr="001A1665">
        <w:fldChar w:fldCharType="begin"/>
      </w:r>
      <w:r w:rsidR="00C72FE2">
        <w:instrText xml:space="preserve"> ADDIN ZOTERO_ITEM CSL_CITATION {"citationID":"NtRf5HCI","properties":{"formattedCitation":"(46)","plainCitation":"(46)","noteIndex":0},"citationItems":[{"id":"dxu6TYzy/kXNqkuiu","uris":["http://zotero.org/users/446899/items/KSNSDFX5"],"uri":["http://zotero.org/users/446899/items/KSNSDFX5"],"itemData":{"id":519,"type":"article","title":"Documentation of affective functioning measures in the Health and Retirement Study","publisher":"HRS Documentation Report DR-005","author":[{"family":"Steffick","given":"D.E."}],"issued":{"date-parts":[["2000"]]}}}],"schema":"https://github.com/citation-style-language/schema/raw/master/csl-citation.json"} </w:instrText>
      </w:r>
      <w:r w:rsidRPr="001A1665">
        <w:fldChar w:fldCharType="separate"/>
      </w:r>
      <w:r w:rsidR="00C72FE2" w:rsidRPr="00C72FE2">
        <w:rPr>
          <w:rFonts w:ascii="Calibri" w:hAnsi="Calibri" w:cs="Calibri"/>
        </w:rPr>
        <w:t>(46)</w:t>
      </w:r>
      <w:r w:rsidRPr="001A1665">
        <w:fldChar w:fldCharType="end"/>
      </w:r>
      <w:r w:rsidRPr="001A1665">
        <w:t>.</w:t>
      </w:r>
    </w:p>
    <w:p w14:paraId="7C8E81A8" w14:textId="2C954D91" w:rsidR="00E264C9" w:rsidRPr="00FB3828" w:rsidRDefault="00E264C9" w:rsidP="00E264C9">
      <w:r>
        <w:lastRenderedPageBreak/>
        <w:t xml:space="preserve">For each outcome of interest, we analysed the proportion of participants free from that outcome at Wave 2 baseline who reported the presence of the outcome in Wave 3, 4, 5, 6, 7 or 8 (coded 1). Therefore, our dependent variables incorporated all new-onset adverse health outcomes reported by participants across the 12-year follow-up period. </w:t>
      </w:r>
      <w:r w:rsidR="000D7688">
        <w:t>For our primary analyses, p</w:t>
      </w:r>
      <w:r>
        <w:t>articipants retained in the study at Wave 8 who did not report the presence of the outcome in any wave were coded 0. Participants lost to follow-up before Wave 8 who did not report the presence of the outcome in any wave were coded as missing, because it was not possible to determine their status.</w:t>
      </w:r>
    </w:p>
    <w:p w14:paraId="247977E1" w14:textId="57558EFF" w:rsidR="00E264C9" w:rsidRDefault="00E264C9" w:rsidP="00E264C9">
      <w:pPr>
        <w:rPr>
          <w:u w:val="single"/>
        </w:rPr>
      </w:pPr>
      <w:r>
        <w:rPr>
          <w:u w:val="single"/>
        </w:rPr>
        <w:t xml:space="preserve">Measurement of </w:t>
      </w:r>
      <w:r w:rsidR="002E525B">
        <w:rPr>
          <w:u w:val="single"/>
        </w:rPr>
        <w:t>covariates</w:t>
      </w:r>
    </w:p>
    <w:p w14:paraId="62F8C8FB" w14:textId="25850C79" w:rsidR="00E264C9" w:rsidRDefault="00E264C9" w:rsidP="00E264C9">
      <w:r>
        <w:t>Demographic variables included baseline age, sex,</w:t>
      </w:r>
      <w:r w:rsidR="00B8691B">
        <w:t xml:space="preserve"> and</w:t>
      </w:r>
      <w:r>
        <w:t xml:space="preserve"> ethnicity (white vs. non-white)</w:t>
      </w:r>
      <w:r w:rsidR="00B8691B">
        <w:t>.</w:t>
      </w:r>
      <w:r>
        <w:t xml:space="preserve"> </w:t>
      </w:r>
      <w:r w:rsidR="00B8691B">
        <w:t>Sociodemographic position was indexed using</w:t>
      </w:r>
      <w:r>
        <w:t xml:space="preserve"> household non-pension wealth</w:t>
      </w:r>
      <w:r w:rsidR="00B8691B">
        <w:t>, which has been identified as a particularly sensitive indicator in this population</w:t>
      </w:r>
      <w:r w:rsidR="00076B09">
        <w:t xml:space="preserve"> </w:t>
      </w:r>
      <w:r w:rsidR="00076B09">
        <w:fldChar w:fldCharType="begin"/>
      </w:r>
      <w:r w:rsidR="00C72FE2">
        <w:instrText xml:space="preserve"> ADDIN ZOTERO_ITEM CSL_CITATION {"citationID":"Xca6y1Ck","properties":{"formattedCitation":"(47)","plainCitation":"(47)","noteIndex":0},"citationItems":[{"id":"dxu6TYzy/drQBt1cY","uris":["http://zotero.org/users/446899/items/UCVHZBRV"],"uri":["http://zotero.org/users/446899/items/UCVHZBRV"],"itemData":{"id":1286,"type":"article-journal","title":"Socio-economic position","source":"Google Scholar","URL":"http://discovery.ucl.ac.uk/15366/1/15366.pdf","author":[{"family":"Banks","given":"James"},{"family":"Karlsen","given":"S."},{"family":"Oldfield","given":"Zoe"}],"issued":{"date-parts":[["2003"]]},"accessed":{"date-parts":[["2014",3,4]]}}}],"schema":"https://github.com/citation-style-language/schema/raw/master/csl-citation.json"} </w:instrText>
      </w:r>
      <w:r w:rsidR="00076B09">
        <w:fldChar w:fldCharType="separate"/>
      </w:r>
      <w:r w:rsidR="00C72FE2" w:rsidRPr="00C72FE2">
        <w:rPr>
          <w:rFonts w:ascii="Calibri" w:hAnsi="Calibri" w:cs="Calibri"/>
        </w:rPr>
        <w:t>(47)</w:t>
      </w:r>
      <w:r w:rsidR="00076B09">
        <w:fldChar w:fldCharType="end"/>
      </w:r>
      <w:r>
        <w:t xml:space="preserve">. </w:t>
      </w:r>
      <w:r w:rsidR="00DC6960">
        <w:t>Past-year</w:t>
      </w:r>
      <w:r w:rsidRPr="00CF7C96">
        <w:rPr>
          <w:shd w:val="clear" w:color="auto" w:fill="FFFFFF"/>
        </w:rPr>
        <w:t xml:space="preserve"> </w:t>
      </w:r>
      <w:r>
        <w:rPr>
          <w:shd w:val="clear" w:color="auto" w:fill="FFFFFF"/>
        </w:rPr>
        <w:t>alcohol intake was</w:t>
      </w:r>
      <w:r w:rsidRPr="00CF7C96">
        <w:rPr>
          <w:shd w:val="clear" w:color="auto" w:fill="FFFFFF"/>
        </w:rPr>
        <w:t xml:space="preserve"> </w:t>
      </w:r>
      <w:r>
        <w:rPr>
          <w:shd w:val="clear" w:color="auto" w:fill="FFFFFF"/>
        </w:rPr>
        <w:t>categorised as never/rare</w:t>
      </w:r>
      <w:r w:rsidRPr="00CF7C96">
        <w:rPr>
          <w:shd w:val="clear" w:color="auto" w:fill="FFFFFF"/>
        </w:rPr>
        <w:t xml:space="preserve"> (never – once or twice a year), regular</w:t>
      </w:r>
      <w:r>
        <w:rPr>
          <w:shd w:val="clear" w:color="auto" w:fill="FFFFFF"/>
        </w:rPr>
        <w:t xml:space="preserve"> but infrequent</w:t>
      </w:r>
      <w:r w:rsidRPr="00CF7C96">
        <w:rPr>
          <w:shd w:val="clear" w:color="auto" w:fill="FFFFFF"/>
        </w:rPr>
        <w:t xml:space="preserve"> (once every </w:t>
      </w:r>
      <w:r>
        <w:rPr>
          <w:shd w:val="clear" w:color="auto" w:fill="FFFFFF"/>
        </w:rPr>
        <w:t>couple of</w:t>
      </w:r>
      <w:r w:rsidRPr="00CF7C96">
        <w:rPr>
          <w:shd w:val="clear" w:color="auto" w:fill="FFFFFF"/>
        </w:rPr>
        <w:t xml:space="preserve"> months – twice a week), or frequent (3</w:t>
      </w:r>
      <w:r w:rsidR="00385DFF">
        <w:rPr>
          <w:shd w:val="clear" w:color="auto" w:fill="FFFFFF"/>
        </w:rPr>
        <w:t xml:space="preserve"> days a week – almost every day)</w:t>
      </w:r>
      <w:r w:rsidRPr="00C274B8">
        <w:rPr>
          <w:shd w:val="clear" w:color="auto" w:fill="FFFFFF"/>
        </w:rPr>
        <w:t>.</w:t>
      </w:r>
      <w:r>
        <w:rPr>
          <w:shd w:val="clear" w:color="auto" w:fill="FFFFFF"/>
        </w:rPr>
        <w:t xml:space="preserve"> BMI </w:t>
      </w:r>
      <w:r>
        <w:t>was</w:t>
      </w:r>
      <w:r w:rsidRPr="00F03BCE">
        <w:t xml:space="preserve"> c</w:t>
      </w:r>
      <w:r>
        <w:t>alculated as weight in kilograms</w:t>
      </w:r>
      <w:r w:rsidR="00DC6960">
        <w:t>/(height in metres)</w:t>
      </w:r>
      <w:r w:rsidR="00DC6960">
        <w:rPr>
          <w:vertAlign w:val="superscript"/>
        </w:rPr>
        <w:t>2</w:t>
      </w:r>
      <w:r>
        <w:t xml:space="preserve"> based on objective measurements.</w:t>
      </w:r>
    </w:p>
    <w:p w14:paraId="7D4321A4" w14:textId="77777777" w:rsidR="00E264C9" w:rsidRPr="00D55BAF" w:rsidRDefault="00E264C9" w:rsidP="00E264C9">
      <w:pPr>
        <w:pStyle w:val="Heading3"/>
      </w:pPr>
      <w:r w:rsidRPr="00D55BAF">
        <w:t>Statistical analysis</w:t>
      </w:r>
    </w:p>
    <w:p w14:paraId="136E9654" w14:textId="7A55A53B" w:rsidR="00E264C9" w:rsidRDefault="00E264C9" w:rsidP="00E264C9">
      <w:pPr>
        <w:rPr>
          <w:color w:val="000000"/>
          <w:shd w:val="clear" w:color="auto" w:fill="FFFFFF"/>
        </w:rPr>
      </w:pPr>
      <w:r>
        <w:rPr>
          <w:color w:val="000000"/>
          <w:shd w:val="clear" w:color="auto" w:fill="FFFFFF"/>
        </w:rPr>
        <w:t>The analysis plan was pre-registered on Open Science Framework (</w:t>
      </w:r>
      <w:hyperlink r:id="rId10" w:history="1">
        <w:r w:rsidRPr="009B59C9">
          <w:rPr>
            <w:color w:val="000000"/>
          </w:rPr>
          <w:t>https://osf.io/g9p2b/</w:t>
        </w:r>
      </w:hyperlink>
      <w:r>
        <w:rPr>
          <w:color w:val="000000"/>
          <w:shd w:val="clear" w:color="auto" w:fill="FFFFFF"/>
        </w:rPr>
        <w:t xml:space="preserve">). </w:t>
      </w:r>
      <w:r w:rsidR="00ED579A">
        <w:rPr>
          <w:color w:val="000000"/>
          <w:shd w:val="clear" w:color="auto" w:fill="FFFFFF"/>
        </w:rPr>
        <w:t xml:space="preserve">We amended our pre-specified definition of physical activity categories upon seeing the </w:t>
      </w:r>
      <w:r w:rsidR="00EC4EC6">
        <w:rPr>
          <w:color w:val="000000"/>
          <w:shd w:val="clear" w:color="auto" w:fill="FFFFFF"/>
        </w:rPr>
        <w:t xml:space="preserve">distribution of the </w:t>
      </w:r>
      <w:r w:rsidR="00ED579A">
        <w:rPr>
          <w:color w:val="000000"/>
          <w:shd w:val="clear" w:color="auto" w:fill="FFFFFF"/>
        </w:rPr>
        <w:t>data, because our original dichotomy of moderate/vigorous physical activity at least once a week resulted in an implausibly high proportion of the sample being classified as high active (~80%).</w:t>
      </w:r>
      <w:r w:rsidR="00CB5523">
        <w:rPr>
          <w:color w:val="000000"/>
          <w:shd w:val="clear" w:color="auto" w:fill="FFFFFF"/>
        </w:rPr>
        <w:t xml:space="preserve"> </w:t>
      </w:r>
      <w:r w:rsidR="0069202C">
        <w:rPr>
          <w:color w:val="000000"/>
          <w:shd w:val="clear" w:color="auto" w:fill="FFFFFF"/>
        </w:rPr>
        <w:t>For transparency, results</w:t>
      </w:r>
      <w:r w:rsidR="001E413A">
        <w:rPr>
          <w:color w:val="000000"/>
          <w:shd w:val="clear" w:color="auto" w:fill="FFFFFF"/>
        </w:rPr>
        <w:t xml:space="preserve"> based on the original categorisation are available on Open Science Framework.</w:t>
      </w:r>
    </w:p>
    <w:p w14:paraId="6F8681F5" w14:textId="3E9DF5C9" w:rsidR="00D21A8F" w:rsidRDefault="00D21A8F" w:rsidP="00E264C9">
      <w:pPr>
        <w:rPr>
          <w:color w:val="000000"/>
          <w:shd w:val="clear" w:color="auto" w:fill="FFFFFF"/>
        </w:rPr>
      </w:pPr>
      <w:r>
        <w:rPr>
          <w:color w:val="000000"/>
          <w:shd w:val="clear" w:color="auto" w:fill="FFFFFF"/>
        </w:rPr>
        <w:t xml:space="preserve">We </w:t>
      </w:r>
      <w:r w:rsidR="00580F4D">
        <w:rPr>
          <w:color w:val="000000"/>
          <w:shd w:val="clear" w:color="auto" w:fill="FFFFFF"/>
        </w:rPr>
        <w:t>used</w:t>
      </w:r>
      <w:r>
        <w:rPr>
          <w:color w:val="000000"/>
          <w:shd w:val="clear" w:color="auto" w:fill="FFFFFF"/>
        </w:rPr>
        <w:t xml:space="preserve"> one-way independent analyses of variance (ANOVA</w:t>
      </w:r>
      <w:r w:rsidR="00580F4D">
        <w:rPr>
          <w:color w:val="000000"/>
          <w:shd w:val="clear" w:color="auto" w:fill="FFFFFF"/>
        </w:rPr>
        <w:t>; continuous variables</w:t>
      </w:r>
      <w:r>
        <w:rPr>
          <w:color w:val="000000"/>
          <w:shd w:val="clear" w:color="auto" w:fill="FFFFFF"/>
        </w:rPr>
        <w:t>)</w:t>
      </w:r>
      <w:r w:rsidR="00580F4D">
        <w:rPr>
          <w:color w:val="000000"/>
          <w:shd w:val="clear" w:color="auto" w:fill="FFFFFF"/>
        </w:rPr>
        <w:t xml:space="preserve"> and Pearson’s chi-square tests (categorical variables) to analyse differences in baseline characte</w:t>
      </w:r>
      <w:r w:rsidR="00FA02EC">
        <w:rPr>
          <w:color w:val="000000"/>
          <w:shd w:val="clear" w:color="auto" w:fill="FFFFFF"/>
        </w:rPr>
        <w:t>ristics by smoking status (never/former/current</w:t>
      </w:r>
      <w:r w:rsidR="00580F4D">
        <w:rPr>
          <w:color w:val="000000"/>
          <w:shd w:val="clear" w:color="auto" w:fill="FFFFFF"/>
        </w:rPr>
        <w:t>) and level of physical activity (</w:t>
      </w:r>
      <w:r w:rsidR="00FA02EC">
        <w:rPr>
          <w:color w:val="000000"/>
          <w:shd w:val="clear" w:color="auto" w:fill="FFFFFF"/>
        </w:rPr>
        <w:t>high/low</w:t>
      </w:r>
      <w:r w:rsidR="00580F4D">
        <w:rPr>
          <w:color w:val="000000"/>
          <w:shd w:val="clear" w:color="auto" w:fill="FFFFFF"/>
        </w:rPr>
        <w:t>).</w:t>
      </w:r>
    </w:p>
    <w:p w14:paraId="061D5DB0" w14:textId="3EF84BED" w:rsidR="00E264C9" w:rsidRDefault="00E264C9" w:rsidP="00E264C9">
      <w:pPr>
        <w:rPr>
          <w:shd w:val="clear" w:color="auto" w:fill="FFFFFF"/>
        </w:rPr>
      </w:pPr>
      <w:r>
        <w:rPr>
          <w:shd w:val="clear" w:color="auto" w:fill="FFFFFF"/>
        </w:rPr>
        <w:t xml:space="preserve">We </w:t>
      </w:r>
      <w:r w:rsidRPr="003A4B2B">
        <w:rPr>
          <w:shd w:val="clear" w:color="auto" w:fill="FFFFFF"/>
        </w:rPr>
        <w:t>use</w:t>
      </w:r>
      <w:r>
        <w:rPr>
          <w:shd w:val="clear" w:color="auto" w:fill="FFFFFF"/>
        </w:rPr>
        <w:t>d</w:t>
      </w:r>
      <w:r w:rsidRPr="003A4B2B">
        <w:rPr>
          <w:shd w:val="clear" w:color="auto" w:fill="FFFFFF"/>
        </w:rPr>
        <w:t xml:space="preserve"> log</w:t>
      </w:r>
      <w:r w:rsidR="001B3373">
        <w:rPr>
          <w:shd w:val="clear" w:color="auto" w:fill="FFFFFF"/>
        </w:rPr>
        <w:t>-</w:t>
      </w:r>
      <w:r w:rsidRPr="003A4B2B">
        <w:rPr>
          <w:shd w:val="clear" w:color="auto" w:fill="FFFFFF"/>
        </w:rPr>
        <w:t>binomial regression to calculate the relative risks (RR) with 95% confidence intervals (CI</w:t>
      </w:r>
      <w:r w:rsidR="00737894">
        <w:rPr>
          <w:shd w:val="clear" w:color="auto" w:fill="FFFFFF"/>
        </w:rPr>
        <w:t>s</w:t>
      </w:r>
      <w:r w:rsidRPr="003A4B2B">
        <w:rPr>
          <w:shd w:val="clear" w:color="auto" w:fill="FFFFFF"/>
        </w:rPr>
        <w:t>)</w:t>
      </w:r>
      <w:r w:rsidR="008414A3">
        <w:rPr>
          <w:shd w:val="clear" w:color="auto" w:fill="FFFFFF"/>
        </w:rPr>
        <w:t xml:space="preserve"> associated with smoking and physical activity</w:t>
      </w:r>
      <w:r w:rsidRPr="003A4B2B">
        <w:rPr>
          <w:shd w:val="clear" w:color="auto" w:fill="FFFFFF"/>
        </w:rPr>
        <w:t xml:space="preserve"> of </w:t>
      </w:r>
      <w:r>
        <w:rPr>
          <w:shd w:val="clear" w:color="auto" w:fill="FFFFFF"/>
        </w:rPr>
        <w:t>incident fair/poor self-rated health, limiting long-standing illness, CHD, stroke, cancer, chronic lung disease, and depressive symptoms over 12-year follow-up</w:t>
      </w:r>
      <w:r w:rsidR="006D4535">
        <w:rPr>
          <w:shd w:val="clear" w:color="auto" w:fill="FFFFFF"/>
        </w:rPr>
        <w:t xml:space="preserve"> among participants who did not report</w:t>
      </w:r>
      <w:r>
        <w:rPr>
          <w:shd w:val="clear" w:color="auto" w:fill="FFFFFF"/>
        </w:rPr>
        <w:t xml:space="preserve"> the outcome of interest at baseline.</w:t>
      </w:r>
      <w:r w:rsidR="00822F0D">
        <w:rPr>
          <w:shd w:val="clear" w:color="auto" w:fill="FFFFFF"/>
        </w:rPr>
        <w:t xml:space="preserve"> We constructed </w:t>
      </w:r>
      <w:r w:rsidR="00030D64">
        <w:rPr>
          <w:shd w:val="clear" w:color="auto" w:fill="FFFFFF"/>
        </w:rPr>
        <w:t>five</w:t>
      </w:r>
      <w:r w:rsidR="00822F0D">
        <w:rPr>
          <w:shd w:val="clear" w:color="auto" w:fill="FFFFFF"/>
        </w:rPr>
        <w:t xml:space="preserve"> models for each outcome. The first </w:t>
      </w:r>
      <w:r w:rsidR="00011F80">
        <w:rPr>
          <w:shd w:val="clear" w:color="auto" w:fill="FFFFFF"/>
        </w:rPr>
        <w:t>and second</w:t>
      </w:r>
      <w:r w:rsidR="00822F0D">
        <w:rPr>
          <w:shd w:val="clear" w:color="auto" w:fill="FFFFFF"/>
        </w:rPr>
        <w:t xml:space="preserve"> </w:t>
      </w:r>
      <w:r w:rsidR="006D4FA0">
        <w:rPr>
          <w:shd w:val="clear" w:color="auto" w:fill="FFFFFF"/>
        </w:rPr>
        <w:t xml:space="preserve">calculated </w:t>
      </w:r>
      <w:r w:rsidR="00822F0D">
        <w:rPr>
          <w:shd w:val="clear" w:color="auto" w:fill="FFFFFF"/>
        </w:rPr>
        <w:t>unadjusted</w:t>
      </w:r>
      <w:r w:rsidR="006D4FA0">
        <w:rPr>
          <w:shd w:val="clear" w:color="auto" w:fill="FFFFFF"/>
        </w:rPr>
        <w:t xml:space="preserve"> RRs</w:t>
      </w:r>
      <w:r w:rsidR="00822F0D">
        <w:rPr>
          <w:shd w:val="clear" w:color="auto" w:fill="FFFFFF"/>
        </w:rPr>
        <w:t xml:space="preserve"> </w:t>
      </w:r>
      <w:r w:rsidR="006D4FA0">
        <w:rPr>
          <w:shd w:val="clear" w:color="auto" w:fill="FFFFFF"/>
        </w:rPr>
        <w:t>associated</w:t>
      </w:r>
      <w:r w:rsidR="00822F0D">
        <w:rPr>
          <w:shd w:val="clear" w:color="auto" w:fill="FFFFFF"/>
        </w:rPr>
        <w:t xml:space="preserve"> with smoking status (reference </w:t>
      </w:r>
      <w:r w:rsidR="00822F0D">
        <w:rPr>
          <w:shd w:val="clear" w:color="auto" w:fill="FFFFFF"/>
        </w:rPr>
        <w:lastRenderedPageBreak/>
        <w:t>category: never smoker) and physical activity (reference category: high active)</w:t>
      </w:r>
      <w:r w:rsidR="00E315BC">
        <w:rPr>
          <w:shd w:val="clear" w:color="auto" w:fill="FFFFFF"/>
        </w:rPr>
        <w:t>, respectively</w:t>
      </w:r>
      <w:r w:rsidR="00822F0D">
        <w:rPr>
          <w:shd w:val="clear" w:color="auto" w:fill="FFFFFF"/>
        </w:rPr>
        <w:t>.</w:t>
      </w:r>
      <w:r w:rsidR="00C607E8">
        <w:rPr>
          <w:shd w:val="clear" w:color="auto" w:fill="FFFFFF"/>
        </w:rPr>
        <w:t xml:space="preserve"> The third tested main effects of smoking status and physical activity, and the multiplicative interaction between smoking status and physical activity, controlling for </w:t>
      </w:r>
      <w:r w:rsidR="00D505C4">
        <w:rPr>
          <w:shd w:val="clear" w:color="auto" w:fill="FFFFFF"/>
        </w:rPr>
        <w:t>covariates</w:t>
      </w:r>
      <w:r w:rsidR="00C607E8">
        <w:rPr>
          <w:shd w:val="clear" w:color="auto" w:fill="FFFFFF"/>
        </w:rPr>
        <w:t xml:space="preserve">. The </w:t>
      </w:r>
      <w:r w:rsidR="00C607E8" w:rsidRPr="002276BF">
        <w:rPr>
          <w:shd w:val="clear" w:color="auto" w:fill="FFFFFF"/>
        </w:rPr>
        <w:t>fourth</w:t>
      </w:r>
      <w:r w:rsidR="006F693C" w:rsidRPr="002276BF">
        <w:rPr>
          <w:shd w:val="clear" w:color="auto" w:fill="FFFFFF"/>
        </w:rPr>
        <w:t xml:space="preserve"> </w:t>
      </w:r>
      <w:r w:rsidR="00030D64">
        <w:rPr>
          <w:shd w:val="clear" w:color="auto" w:fill="FFFFFF"/>
        </w:rPr>
        <w:t xml:space="preserve">and fifth </w:t>
      </w:r>
      <w:r w:rsidR="006F693C" w:rsidRPr="002276BF">
        <w:rPr>
          <w:shd w:val="clear" w:color="auto" w:fill="FFFFFF"/>
        </w:rPr>
        <w:t xml:space="preserve">calculated </w:t>
      </w:r>
      <w:r w:rsidR="008F35AE">
        <w:rPr>
          <w:shd w:val="clear" w:color="auto" w:fill="FFFFFF"/>
        </w:rPr>
        <w:t xml:space="preserve">unadjusted and </w:t>
      </w:r>
      <w:r w:rsidR="006F693C" w:rsidRPr="002276BF">
        <w:rPr>
          <w:shd w:val="clear" w:color="auto" w:fill="FFFFFF"/>
        </w:rPr>
        <w:t>adjusted RR</w:t>
      </w:r>
      <w:r w:rsidR="008F35AE">
        <w:rPr>
          <w:shd w:val="clear" w:color="auto" w:fill="FFFFFF"/>
        </w:rPr>
        <w:t>s</w:t>
      </w:r>
      <w:r w:rsidR="00030D64">
        <w:rPr>
          <w:shd w:val="clear" w:color="auto" w:fill="FFFFFF"/>
        </w:rPr>
        <w:t>, respectively,</w:t>
      </w:r>
      <w:r w:rsidR="006F693C" w:rsidRPr="002276BF">
        <w:rPr>
          <w:shd w:val="clear" w:color="auto" w:fill="FFFFFF"/>
        </w:rPr>
        <w:t xml:space="preserve"> associated with each combination of smoking status and level of physical activity: </w:t>
      </w:r>
      <w:r w:rsidR="00822F0D" w:rsidRPr="002276BF">
        <w:rPr>
          <w:shd w:val="clear" w:color="auto" w:fill="FFFFFF"/>
        </w:rPr>
        <w:t>(i) never smoker</w:t>
      </w:r>
      <w:r w:rsidR="0055389B">
        <w:rPr>
          <w:shd w:val="clear" w:color="auto" w:fill="FFFFFF"/>
        </w:rPr>
        <w:t>/</w:t>
      </w:r>
      <w:r w:rsidR="00822F0D" w:rsidRPr="002276BF">
        <w:rPr>
          <w:shd w:val="clear" w:color="auto" w:fill="FFFFFF"/>
        </w:rPr>
        <w:t xml:space="preserve">high </w:t>
      </w:r>
      <w:r w:rsidR="006F693C" w:rsidRPr="002276BF">
        <w:rPr>
          <w:shd w:val="clear" w:color="auto" w:fill="FFFFFF"/>
        </w:rPr>
        <w:t>active (reference category)</w:t>
      </w:r>
      <w:r w:rsidR="0055389B">
        <w:rPr>
          <w:shd w:val="clear" w:color="auto" w:fill="FFFFFF"/>
        </w:rPr>
        <w:t>; (ii) never smoker/</w:t>
      </w:r>
      <w:r w:rsidR="00822F0D" w:rsidRPr="002276BF">
        <w:rPr>
          <w:shd w:val="clear" w:color="auto" w:fill="FFFFFF"/>
        </w:rPr>
        <w:t xml:space="preserve">low </w:t>
      </w:r>
      <w:r w:rsidR="006F693C" w:rsidRPr="002276BF">
        <w:rPr>
          <w:shd w:val="clear" w:color="auto" w:fill="FFFFFF"/>
        </w:rPr>
        <w:t>active</w:t>
      </w:r>
      <w:r w:rsidR="0055389B">
        <w:rPr>
          <w:shd w:val="clear" w:color="auto" w:fill="FFFFFF"/>
        </w:rPr>
        <w:t>; (iii) former smoker/</w:t>
      </w:r>
      <w:r w:rsidR="00822F0D" w:rsidRPr="002276BF">
        <w:rPr>
          <w:shd w:val="clear" w:color="auto" w:fill="FFFFFF"/>
        </w:rPr>
        <w:t xml:space="preserve">high </w:t>
      </w:r>
      <w:r w:rsidR="006F693C" w:rsidRPr="002276BF">
        <w:rPr>
          <w:shd w:val="clear" w:color="auto" w:fill="FFFFFF"/>
        </w:rPr>
        <w:t>active</w:t>
      </w:r>
      <w:r w:rsidR="0055389B">
        <w:rPr>
          <w:shd w:val="clear" w:color="auto" w:fill="FFFFFF"/>
        </w:rPr>
        <w:t>; (iv) former smoker/</w:t>
      </w:r>
      <w:r w:rsidR="00822F0D" w:rsidRPr="002276BF">
        <w:rPr>
          <w:shd w:val="clear" w:color="auto" w:fill="FFFFFF"/>
        </w:rPr>
        <w:t xml:space="preserve">low </w:t>
      </w:r>
      <w:r w:rsidR="006F693C" w:rsidRPr="002276BF">
        <w:rPr>
          <w:shd w:val="clear" w:color="auto" w:fill="FFFFFF"/>
        </w:rPr>
        <w:t>active</w:t>
      </w:r>
      <w:r w:rsidR="0055389B">
        <w:rPr>
          <w:shd w:val="clear" w:color="auto" w:fill="FFFFFF"/>
        </w:rPr>
        <w:t>; (v) current smoker/</w:t>
      </w:r>
      <w:r w:rsidR="00822F0D" w:rsidRPr="002276BF">
        <w:rPr>
          <w:shd w:val="clear" w:color="auto" w:fill="FFFFFF"/>
        </w:rPr>
        <w:t xml:space="preserve">high </w:t>
      </w:r>
      <w:r w:rsidR="006F693C" w:rsidRPr="002276BF">
        <w:rPr>
          <w:shd w:val="clear" w:color="auto" w:fill="FFFFFF"/>
        </w:rPr>
        <w:t>active</w:t>
      </w:r>
      <w:r w:rsidR="00822F0D" w:rsidRPr="002276BF">
        <w:rPr>
          <w:shd w:val="clear" w:color="auto" w:fill="FFFFFF"/>
        </w:rPr>
        <w:t>;</w:t>
      </w:r>
      <w:r w:rsidR="007B2DE7" w:rsidRPr="002276BF">
        <w:rPr>
          <w:shd w:val="clear" w:color="auto" w:fill="FFFFFF"/>
        </w:rPr>
        <w:t xml:space="preserve"> and</w:t>
      </w:r>
      <w:r w:rsidR="00822F0D" w:rsidRPr="002276BF">
        <w:rPr>
          <w:shd w:val="clear" w:color="auto" w:fill="FFFFFF"/>
        </w:rPr>
        <w:t xml:space="preserve"> (vi) current smoker</w:t>
      </w:r>
      <w:r w:rsidR="0055389B">
        <w:rPr>
          <w:shd w:val="clear" w:color="auto" w:fill="FFFFFF"/>
        </w:rPr>
        <w:t>/</w:t>
      </w:r>
      <w:r w:rsidR="00822F0D" w:rsidRPr="002276BF">
        <w:rPr>
          <w:shd w:val="clear" w:color="auto" w:fill="FFFFFF"/>
        </w:rPr>
        <w:t xml:space="preserve">low </w:t>
      </w:r>
      <w:r w:rsidR="006F693C" w:rsidRPr="002276BF">
        <w:rPr>
          <w:shd w:val="clear" w:color="auto" w:fill="FFFFFF"/>
        </w:rPr>
        <w:t>active</w:t>
      </w:r>
      <w:r w:rsidR="00822F0D" w:rsidRPr="002276BF">
        <w:rPr>
          <w:shd w:val="clear" w:color="auto" w:fill="FFFFFF"/>
        </w:rPr>
        <w:t>.</w:t>
      </w:r>
    </w:p>
    <w:p w14:paraId="2F9FE867" w14:textId="5F7FF20F" w:rsidR="00E264C9" w:rsidRDefault="00E264C9" w:rsidP="00E264C9">
      <w:pPr>
        <w:rPr>
          <w:shd w:val="clear" w:color="auto" w:fill="FFFFFF"/>
        </w:rPr>
      </w:pPr>
      <w:r>
        <w:rPr>
          <w:shd w:val="clear" w:color="auto" w:fill="FFFFFF"/>
        </w:rPr>
        <w:t xml:space="preserve">We performed three sensitivity analyses. The </w:t>
      </w:r>
      <w:r w:rsidR="00A373D7">
        <w:rPr>
          <w:shd w:val="clear" w:color="auto" w:fill="FFFFFF"/>
        </w:rPr>
        <w:t>first</w:t>
      </w:r>
      <w:r>
        <w:rPr>
          <w:shd w:val="clear" w:color="auto" w:fill="FFFFFF"/>
        </w:rPr>
        <w:t xml:space="preserve"> imputed missing </w:t>
      </w:r>
      <w:r w:rsidR="00DD6BEA">
        <w:rPr>
          <w:shd w:val="clear" w:color="auto" w:fill="FFFFFF"/>
        </w:rPr>
        <w:t xml:space="preserve">outcomes </w:t>
      </w:r>
      <w:r>
        <w:rPr>
          <w:shd w:val="clear" w:color="auto" w:fill="FFFFFF"/>
        </w:rPr>
        <w:t xml:space="preserve">data for those who dropped out of ELSA before Wave 8 and did not report the presence of any of these conditions in their completed waves. </w:t>
      </w:r>
      <w:r w:rsidR="00917F4D" w:rsidRPr="00917F4D">
        <w:t xml:space="preserve">A multiple imputation model was run with </w:t>
      </w:r>
      <w:r w:rsidR="00382AA3">
        <w:t>all exposures and covariates</w:t>
      </w:r>
      <w:r w:rsidR="00917F4D" w:rsidRPr="00917F4D">
        <w:t xml:space="preserve"> entered as predictors. </w:t>
      </w:r>
      <w:r w:rsidR="008B1929">
        <w:rPr>
          <w:rFonts w:eastAsia="Symbol" w:cstheme="minorHAnsi"/>
          <w:lang w:eastAsia="en-GB"/>
        </w:rPr>
        <w:t>Five imputed data</w:t>
      </w:r>
      <w:r w:rsidR="00917F4D" w:rsidRPr="00917F4D">
        <w:rPr>
          <w:rFonts w:eastAsia="Symbol" w:cstheme="minorHAnsi"/>
          <w:lang w:eastAsia="en-GB"/>
        </w:rPr>
        <w:t xml:space="preserve">sets were created, each was analysed separately, and the results were combined to produce pooled estimates of effects. </w:t>
      </w:r>
      <w:r w:rsidR="00A373D7">
        <w:rPr>
          <w:shd w:val="clear" w:color="auto" w:fill="FFFFFF"/>
        </w:rPr>
        <w:t xml:space="preserve">The second sensitivity analysis restricted the sample to those with complete data at Wave 2 and Wave 8 to assess healthy survivor effects. </w:t>
      </w:r>
      <w:r>
        <w:rPr>
          <w:shd w:val="clear" w:color="auto" w:fill="FFFFFF"/>
        </w:rPr>
        <w:t xml:space="preserve">The third excluded current smokers who smoke &lt;15 cigarettes per day (indicative of a lower level of nicotine dependence) in order to address the potential issue of differential rates of smoking cessation in relation to level of physical activity </w:t>
      </w:r>
      <w:r>
        <w:rPr>
          <w:shd w:val="clear" w:color="auto" w:fill="FFFFFF"/>
        </w:rPr>
        <w:fldChar w:fldCharType="begin"/>
      </w:r>
      <w:r w:rsidR="00C72FE2">
        <w:rPr>
          <w:shd w:val="clear" w:color="auto" w:fill="FFFFFF"/>
        </w:rPr>
        <w:instrText xml:space="preserve"> ADDIN ZOTERO_ITEM CSL_CITATION {"citationID":"DySPkq9X","properties":{"formattedCitation":"(48)","plainCitation":"(48)","noteIndex":0},"citationItems":[{"id":"dxu6TYzy/qHVvneSB","uris":["http://zotero.org/users/446899/items/SQL5YAE8"],"uri":["http://zotero.org/users/446899/items/SQL5YAE8"],"itemData":{"id":7060,"type":"article-journal","title":"Nicotine Dependence, Physical Activity, and Sedentary Behavior among Adult Smokers","container-title":"North American Journal of Medical Sciences","page":"94-99","volume":"7","issue":"3","source":"PubMed Central","abstract":"Background:\nResearch has previously demonstrated an inverse association between smoking status and physical activity; however, few studies have examined the association between nicotine dependence and physical activity or sedentary behavior.\n\nAim:\nThis study examined the association between nicotine dependence and accelerometer-determined physical activity and sedentary behavior.\n\nMaterials and Methods:\nData from the 2003-2006 National Health and Nutrition Examination Survey (NHANES) were used. A total of 851 adult (≥20 years) smokers wore an accelerometer for ≥4 days and completed the Fagerstrom Test for Nicotine Dependence scale. Regression models were used to examine the association between nicotine dependence and physical activity/sedentary behavior.\n\nResults:\nAfter adjusting for age, gender, race-ethnicity, poverty level, hypertension, emphysema, bronchitis, body mass index (BMI), cotinine, and accelerometer wear time, smokers 50 + years of age with greater nicotine dependence engaged in more sedentary behavior (β = 11.4, P = 0.02) and less light-intensity physical activity (β = −9.6, P = 0.03) and moderate-to-vigorous physical activity (MVPA; β = −0.14, P = 0.003) than their less nicotine dependent counterparts.\n\nConclusion:\nOlder adults who are more nicotine dependent engage in less physical activity (both MVPA and light-intensity) and more sedentary behavior than their less nicotine dependent counterparts.","DOI":"10.4103/1947-2714.153920","ISSN":"2250-1541","note":"PMID: 25839000\nPMCID: PMC4382772","journalAbbreviation":"N Am J Med Sci","author":[{"family":"Loprinzi","given":"Paul D."},{"family":"Walker","given":"Jerome F."}],"issued":{"date-parts":[["2015",3]]}}}],"schema":"https://github.com/citation-style-language/schema/raw/master/csl-citation.json"} </w:instrText>
      </w:r>
      <w:r>
        <w:rPr>
          <w:shd w:val="clear" w:color="auto" w:fill="FFFFFF"/>
        </w:rPr>
        <w:fldChar w:fldCharType="separate"/>
      </w:r>
      <w:r w:rsidR="00C72FE2" w:rsidRPr="00C72FE2">
        <w:rPr>
          <w:rFonts w:ascii="Calibri" w:hAnsi="Calibri" w:cs="Calibri"/>
        </w:rPr>
        <w:t>(48)</w:t>
      </w:r>
      <w:r>
        <w:rPr>
          <w:shd w:val="clear" w:color="auto" w:fill="FFFFFF"/>
        </w:rPr>
        <w:fldChar w:fldCharType="end"/>
      </w:r>
      <w:r>
        <w:rPr>
          <w:shd w:val="clear" w:color="auto" w:fill="FFFFFF"/>
        </w:rPr>
        <w:t xml:space="preserve">. One would expect a lower rate of successful quitting during the follow-up period among more dependent smokers, so it was thought that excluding those who </w:t>
      </w:r>
      <w:r w:rsidR="00271184">
        <w:rPr>
          <w:shd w:val="clear" w:color="auto" w:fill="FFFFFF"/>
        </w:rPr>
        <w:t>were</w:t>
      </w:r>
      <w:r>
        <w:rPr>
          <w:shd w:val="clear" w:color="auto" w:fill="FFFFFF"/>
        </w:rPr>
        <w:t xml:space="preserve"> less dependent may provide a better reflection of the combined health risks of smoking and </w:t>
      </w:r>
      <w:r w:rsidR="002C0679">
        <w:rPr>
          <w:shd w:val="clear" w:color="auto" w:fill="FFFFFF"/>
        </w:rPr>
        <w:t>low</w:t>
      </w:r>
      <w:r w:rsidR="00B821B4">
        <w:rPr>
          <w:shd w:val="clear" w:color="auto" w:fill="FFFFFF"/>
        </w:rPr>
        <w:t xml:space="preserve"> physical</w:t>
      </w:r>
      <w:r w:rsidR="002C0679">
        <w:rPr>
          <w:shd w:val="clear" w:color="auto" w:fill="FFFFFF"/>
        </w:rPr>
        <w:t xml:space="preserve"> </w:t>
      </w:r>
      <w:r>
        <w:rPr>
          <w:shd w:val="clear" w:color="auto" w:fill="FFFFFF"/>
        </w:rPr>
        <w:t>activity rather than an artefact of more successful quitting among active smokers generally.</w:t>
      </w:r>
    </w:p>
    <w:p w14:paraId="022A9689" w14:textId="5ABAC672" w:rsidR="006A438F" w:rsidRPr="00CC6391" w:rsidRDefault="00BD7773" w:rsidP="006A438F">
      <w:r>
        <w:rPr>
          <w:shd w:val="clear" w:color="auto" w:fill="FFFFFF"/>
        </w:rPr>
        <w:t>In order to evaluate the extent to which our data supported the null hypothesis (i.e. no synergistic relationship between smoking and physical activity for risk of incident health problems), the experimental hypothesis (i.e. synergy between smoking and physical activity), or were insensitive, we calculated Bayes factors (BFs) for the multiplicative interaction results</w:t>
      </w:r>
      <w:r w:rsidR="006754BF">
        <w:rPr>
          <w:shd w:val="clear" w:color="auto" w:fill="FFFFFF"/>
        </w:rPr>
        <w:t xml:space="preserve"> (see Supplementary Material for details).</w:t>
      </w:r>
    </w:p>
    <w:p w14:paraId="3B7A127F" w14:textId="766F87DA" w:rsidR="00BD7773" w:rsidRPr="006A438F" w:rsidRDefault="006A438F" w:rsidP="00E264C9">
      <w:r>
        <w:t>All analyses were conducted in SPSS v.24, with the exception of the BFs which were calculated using an online calculator (</w:t>
      </w:r>
      <w:r w:rsidRPr="006F2FC4">
        <w:t>http://www.lifesci.sussex.ac.uk/home/Zoltan_Dienes/inference/Bayes.htm</w:t>
      </w:r>
      <w:r>
        <w:t>).</w:t>
      </w:r>
    </w:p>
    <w:p w14:paraId="7D59C88F" w14:textId="6F417B09" w:rsidR="006F0B82" w:rsidRDefault="006F0B82" w:rsidP="006F0B82">
      <w:pPr>
        <w:pStyle w:val="Heading3"/>
      </w:pPr>
      <w:r>
        <w:t>Public and patient involvement</w:t>
      </w:r>
    </w:p>
    <w:p w14:paraId="78701FAA" w14:textId="77777777" w:rsidR="006F0B82" w:rsidRPr="003D0FA2" w:rsidRDefault="006F0B82" w:rsidP="006F0B82">
      <w:r>
        <w:t>No patients were involved in setting the research questions or outcome measures, nor were they involved in the design and implementation of the study. There are no plans to involve patients in dissemination.</w:t>
      </w:r>
    </w:p>
    <w:p w14:paraId="24A38B7D" w14:textId="77777777" w:rsidR="00E264C9" w:rsidRPr="00D55BAF" w:rsidRDefault="00E264C9" w:rsidP="00E264C9">
      <w:pPr>
        <w:rPr>
          <w:rFonts w:eastAsiaTheme="majorEastAsia" w:cstheme="minorHAnsi"/>
          <w:b/>
          <w:bCs/>
          <w:sz w:val="26"/>
          <w:szCs w:val="26"/>
        </w:rPr>
      </w:pPr>
    </w:p>
    <w:p w14:paraId="312B0C9C" w14:textId="77777777" w:rsidR="00E264C9" w:rsidRDefault="00E264C9" w:rsidP="00E264C9">
      <w:pPr>
        <w:pStyle w:val="Heading2"/>
      </w:pPr>
      <w:r w:rsidRPr="00D55BAF">
        <w:t>Results</w:t>
      </w:r>
    </w:p>
    <w:p w14:paraId="5B8F7A1D" w14:textId="77777777" w:rsidR="003200FD" w:rsidRDefault="003200FD" w:rsidP="003200FD">
      <w:pPr>
        <w:pStyle w:val="Heading3"/>
      </w:pPr>
      <w:r>
        <w:t>Sample characteristics</w:t>
      </w:r>
    </w:p>
    <w:p w14:paraId="2A4C8247" w14:textId="79B69D4E" w:rsidR="00E264C9" w:rsidRDefault="00E264C9" w:rsidP="00E264C9">
      <w:r>
        <w:t>There were 9,432 individuals in Wave 2 of ELSA, of whom 7,666 (81.3%) participated in the</w:t>
      </w:r>
      <w:r w:rsidR="004E113A">
        <w:t xml:space="preserve"> health examination</w:t>
      </w:r>
      <w:r>
        <w:t xml:space="preserve"> in which objective measurements of height and weight were obtained. We excluded 1,241 individuals (16.2%) with missing data, leaving a final sample for analysis of 6,425 participants.</w:t>
      </w:r>
      <w:r w:rsidR="00141D94">
        <w:t xml:space="preserve"> </w:t>
      </w:r>
      <w:r w:rsidR="00513B76">
        <w:t xml:space="preserve">Compared with </w:t>
      </w:r>
      <w:r w:rsidR="00496111">
        <w:t>those who were excluded</w:t>
      </w:r>
      <w:r w:rsidR="00513B76">
        <w:t xml:space="preserve">, </w:t>
      </w:r>
      <w:r w:rsidR="00496111">
        <w:t xml:space="preserve">the analysed sample </w:t>
      </w:r>
      <w:r w:rsidR="00101E89">
        <w:t>had a similar mean age but were</w:t>
      </w:r>
      <w:r w:rsidR="00513B76">
        <w:t xml:space="preserve"> </w:t>
      </w:r>
      <w:r w:rsidR="00496111">
        <w:t>more likely to be male, white, and wealth</w:t>
      </w:r>
      <w:r w:rsidR="00B755B3">
        <w:t>ier</w:t>
      </w:r>
      <w:r w:rsidR="00496111">
        <w:t>. They were also more likely to drink alcohol regularly or frequently and had a higher mean BMI, but were less likely to smoke or have low physical activity. The prevalence of chronic disease and depressive symptoms was generally lower in the analysed sample</w:t>
      </w:r>
      <w:r w:rsidR="00513B76">
        <w:t xml:space="preserve"> </w:t>
      </w:r>
      <w:r w:rsidR="00886B99">
        <w:t>(Supplementary Table 1).</w:t>
      </w:r>
    </w:p>
    <w:p w14:paraId="29200A86" w14:textId="77777777" w:rsidR="0080509E" w:rsidRDefault="00E264C9" w:rsidP="00E264C9">
      <w:r>
        <w:t xml:space="preserve">Table 1 presents descriptive characteristics measured at Wave 2 baseline </w:t>
      </w:r>
      <w:r w:rsidR="009203B8">
        <w:t>overall and by smoking status and level of physical activity</w:t>
      </w:r>
      <w:r>
        <w:t>. The sample comprised 2</w:t>
      </w:r>
      <w:r w:rsidR="00CF67DE">
        <w:t>,</w:t>
      </w:r>
      <w:r>
        <w:t>902 men and 3</w:t>
      </w:r>
      <w:r w:rsidR="00CF67DE">
        <w:t>,</w:t>
      </w:r>
      <w:r>
        <w:t xml:space="preserve">523 women aged </w:t>
      </w:r>
      <w:r>
        <w:rPr>
          <w:rFonts w:cstheme="minorHAnsi"/>
        </w:rPr>
        <w:t>≥</w:t>
      </w:r>
      <w:r>
        <w:t xml:space="preserve">52 years (mean [SD] 65.88 [9.34] years). Participants were predominantly white (98.8%) and the upper </w:t>
      </w:r>
      <w:r w:rsidR="001D296D">
        <w:t>quintiles</w:t>
      </w:r>
      <w:r>
        <w:t xml:space="preserve"> of wealth were overrepresented. The majority </w:t>
      </w:r>
      <w:r w:rsidR="00321206">
        <w:t xml:space="preserve">(81.1%) </w:t>
      </w:r>
      <w:r>
        <w:t>reported regular or frequent alcohol intake and the mean BMI was in the overweight range (27.91 [4.87] kg/m</w:t>
      </w:r>
      <w:r w:rsidRPr="007D6BFE">
        <w:rPr>
          <w:vertAlign w:val="superscript"/>
        </w:rPr>
        <w:t>2</w:t>
      </w:r>
      <w:r>
        <w:t>). The prevalence of chronic disease and depressive symptoms ranged from 2.4% (stroke) to 32.9% (limiting long-standing illness).</w:t>
      </w:r>
      <w:r w:rsidR="00B83200">
        <w:t xml:space="preserve"> </w:t>
      </w:r>
    </w:p>
    <w:p w14:paraId="48196397" w14:textId="3625E64A" w:rsidR="0080509E" w:rsidRDefault="00B83200" w:rsidP="00E264C9">
      <w:r>
        <w:t>Some</w:t>
      </w:r>
      <w:r w:rsidR="009934C7">
        <w:t xml:space="preserve"> </w:t>
      </w:r>
      <w:r w:rsidR="00E06DC3">
        <w:t xml:space="preserve">14.0% </w:t>
      </w:r>
      <w:r>
        <w:t xml:space="preserve">of participants </w:t>
      </w:r>
      <w:r w:rsidR="00E06DC3">
        <w:t xml:space="preserve">were current smokers, 48.9% were former smokers, and 37.2% </w:t>
      </w:r>
      <w:r w:rsidR="00E06DC3" w:rsidRPr="008F3664">
        <w:t>were never smokers.</w:t>
      </w:r>
      <w:r>
        <w:t xml:space="preserve"> </w:t>
      </w:r>
      <w:r w:rsidR="0080509E">
        <w:t>Those</w:t>
      </w:r>
      <w:r w:rsidR="0080509E" w:rsidRPr="008F3664">
        <w:t xml:space="preserve"> who reported current smoking </w:t>
      </w:r>
      <w:r w:rsidR="0080509E">
        <w:t>tended to be younger than never/former smokers, and more were from the lower quintiles of wealth. Current and former smokers were more likely that never smokers to be female and white. Former smokers were the most likely to report drinking alcohol frequently and had the highest BMI. Current smokers were the most likely to have low levels of physical activity. They were also more likely than former and never smokers to rate their health as fair or poor, and to report the presence of limiting long-standing illness, diagnosed chronic lung disease, and clinically relevant depressive symptoms. Former smokers were the most likely to report CHD and stroke.</w:t>
      </w:r>
    </w:p>
    <w:p w14:paraId="767B46BF" w14:textId="2601F66D" w:rsidR="0080509E" w:rsidRDefault="005249F0" w:rsidP="0080509E">
      <w:r w:rsidRPr="008F3664">
        <w:t>Just over a third (</w:t>
      </w:r>
      <w:r w:rsidR="00500491" w:rsidRPr="008F3664">
        <w:t>34.1%</w:t>
      </w:r>
      <w:r w:rsidRPr="008F3664">
        <w:t>)</w:t>
      </w:r>
      <w:r w:rsidR="00500491" w:rsidRPr="008F3664">
        <w:t xml:space="preserve"> </w:t>
      </w:r>
      <w:r w:rsidR="00873424">
        <w:t>were classified as having</w:t>
      </w:r>
      <w:r w:rsidR="00500491" w:rsidRPr="008F3664">
        <w:t xml:space="preserve"> low physical activity.</w:t>
      </w:r>
      <w:r w:rsidR="0080509E">
        <w:t xml:space="preserve"> Relative to those with high levels of physical activity, participants with low levels of physical activity were older on average, and a higher proportion were female and from the lower quintiles of wealth </w:t>
      </w:r>
      <w:r w:rsidR="0080509E" w:rsidRPr="008F3664">
        <w:t>(Table 1)</w:t>
      </w:r>
      <w:r w:rsidR="0080509E">
        <w:t xml:space="preserve">. They were less likely to drink alcohol frequently, had a higher mean BMI, and were more likely to be current smokers. Participants with </w:t>
      </w:r>
      <w:r w:rsidR="0080509E">
        <w:lastRenderedPageBreak/>
        <w:t>low levels of physical activity were also more likely than those with high levels of physical activity to rate their health as fair or poor, and to report the presence of a limiting long-standing illness, diagnosed CHD, stroke, cancer, or chronic lung disease, and clinically relevant depressive symptoms.</w:t>
      </w:r>
    </w:p>
    <w:p w14:paraId="771B90EC" w14:textId="4E80EE18" w:rsidR="000E25FD" w:rsidRDefault="003200FD" w:rsidP="000E25FD">
      <w:pPr>
        <w:pStyle w:val="Heading3"/>
      </w:pPr>
      <w:r>
        <w:t>Associations with incident health problems</w:t>
      </w:r>
    </w:p>
    <w:p w14:paraId="22053331" w14:textId="2F76A2EE" w:rsidR="000E25FD" w:rsidRDefault="00783304" w:rsidP="000E25FD">
      <w:r>
        <w:t xml:space="preserve">For each outcome, </w:t>
      </w:r>
      <w:r w:rsidR="000E25FD">
        <w:t xml:space="preserve">Table 2 summarises the </w:t>
      </w:r>
      <w:r w:rsidR="000A5AFA">
        <w:t xml:space="preserve">absolute risk and </w:t>
      </w:r>
      <w:r>
        <w:t>unadjusted and adjusted RRs</w:t>
      </w:r>
      <w:r w:rsidR="000E25FD">
        <w:t xml:space="preserve"> associated with smoking status and physical activity</w:t>
      </w:r>
      <w:r>
        <w:t>,</w:t>
      </w:r>
      <w:r w:rsidR="000E25FD">
        <w:t xml:space="preserve"> and interactions between smoking status and physical activity</w:t>
      </w:r>
      <w:r>
        <w:t>.</w:t>
      </w:r>
      <w:r w:rsidR="000E25FD">
        <w:t xml:space="preserve"> Table 3 </w:t>
      </w:r>
      <w:r w:rsidR="00041D84">
        <w:t xml:space="preserve">shows </w:t>
      </w:r>
      <w:r w:rsidR="000E25FD">
        <w:t>the</w:t>
      </w:r>
      <w:r w:rsidR="000A5AFA">
        <w:t xml:space="preserve"> absolute risk and</w:t>
      </w:r>
      <w:r w:rsidR="000E25FD">
        <w:t xml:space="preserve"> unadjusted and adjusted RRs associated with each combination of smoking status and physical activity.</w:t>
      </w:r>
    </w:p>
    <w:p w14:paraId="3716A398" w14:textId="10AE12F7" w:rsidR="00F51CA6" w:rsidRDefault="00F51CA6" w:rsidP="000E25FD">
      <w:pPr>
        <w:pStyle w:val="Heading4"/>
      </w:pPr>
      <w:r>
        <w:t>Main effects of smoking status</w:t>
      </w:r>
    </w:p>
    <w:p w14:paraId="011A4302" w14:textId="2D8ECAC0" w:rsidR="004447A4" w:rsidRDefault="007A2845" w:rsidP="004447A4">
      <w:r>
        <w:t>In unadjusted models</w:t>
      </w:r>
      <w:r w:rsidR="00BE1876">
        <w:t xml:space="preserve"> (Table 2)</w:t>
      </w:r>
      <w:r>
        <w:t xml:space="preserve">, both former and current smokers had </w:t>
      </w:r>
      <w:r w:rsidR="0006079A">
        <w:t xml:space="preserve">significantly </w:t>
      </w:r>
      <w:r>
        <w:t>higher risk</w:t>
      </w:r>
      <w:r w:rsidR="00E8200C">
        <w:t xml:space="preserve">s </w:t>
      </w:r>
      <w:r>
        <w:t>of developing fair/poor self-rated health</w:t>
      </w:r>
      <w:r w:rsidR="00C2701C">
        <w:t>, CHD, and chronic lung disease</w:t>
      </w:r>
      <w:r>
        <w:t xml:space="preserve"> </w:t>
      </w:r>
      <w:r w:rsidR="00C2701C">
        <w:t xml:space="preserve">than </w:t>
      </w:r>
      <w:r>
        <w:t>never smokers</w:t>
      </w:r>
      <w:r w:rsidR="00A02ECD">
        <w:t xml:space="preserve"> (RR range 1.20-2.34 for former smokers, RR range 1.45-6.28</w:t>
      </w:r>
      <w:r w:rsidR="00B15FC2">
        <w:t xml:space="preserve"> for current smokers</w:t>
      </w:r>
      <w:r w:rsidR="00A02ECD">
        <w:t>)</w:t>
      </w:r>
      <w:r>
        <w:t>.</w:t>
      </w:r>
      <w:r w:rsidR="00C2701C">
        <w:t xml:space="preserve"> Risk of </w:t>
      </w:r>
      <w:r w:rsidR="00F06D7C">
        <w:t>stroke was significantly higher among current smokers than never smokers</w:t>
      </w:r>
      <w:r w:rsidR="00A02ECD">
        <w:t xml:space="preserve"> (RR 1.58)</w:t>
      </w:r>
      <w:r w:rsidR="00F06D7C">
        <w:t>, but did not differ significantly between former and never smokers</w:t>
      </w:r>
      <w:r w:rsidR="00A02ECD">
        <w:t xml:space="preserve"> (RR 1.22)</w:t>
      </w:r>
      <w:r w:rsidR="00F06D7C">
        <w:t>.</w:t>
      </w:r>
      <w:r w:rsidR="002A57E4">
        <w:t xml:space="preserve"> Smoking status was not significantly associated with risk of developing a limiting long-standing illness</w:t>
      </w:r>
      <w:r w:rsidR="001B3928">
        <w:t xml:space="preserve">, cancer, or </w:t>
      </w:r>
      <w:r w:rsidR="00950C7D">
        <w:t xml:space="preserve">clinically relevant </w:t>
      </w:r>
      <w:r w:rsidR="001B3928">
        <w:t xml:space="preserve">depressive symptoms </w:t>
      </w:r>
      <w:r w:rsidR="00A02ECD">
        <w:t>(RR range 1.10-1.28)</w:t>
      </w:r>
      <w:r w:rsidR="002A57E4">
        <w:t>.</w:t>
      </w:r>
    </w:p>
    <w:p w14:paraId="79396D94" w14:textId="1D689F27" w:rsidR="001B3928" w:rsidRPr="00D019C4" w:rsidRDefault="001B3928" w:rsidP="004447A4">
      <w:r>
        <w:t>After adjustment for age, sex, ethnicity, wealth, alcohol intake, BMI, and level of physical activity</w:t>
      </w:r>
      <w:r w:rsidR="00BE1876">
        <w:t xml:space="preserve"> (Table 2)</w:t>
      </w:r>
      <w:r>
        <w:t xml:space="preserve">, </w:t>
      </w:r>
      <w:r w:rsidR="00E66FA1">
        <w:t xml:space="preserve">the </w:t>
      </w:r>
      <w:r>
        <w:t xml:space="preserve">risk of developing chronic lung disease remained significantly higher among former </w:t>
      </w:r>
      <w:r w:rsidR="00F378B9">
        <w:t>(</w:t>
      </w:r>
      <w:r w:rsidR="00CB6DE5">
        <w:t>RR</w:t>
      </w:r>
      <w:r w:rsidR="00CB6DE5" w:rsidRPr="00CE0E85">
        <w:rPr>
          <w:vertAlign w:val="subscript"/>
        </w:rPr>
        <w:t>adj</w:t>
      </w:r>
      <w:r w:rsidR="00CB6DE5">
        <w:t xml:space="preserve"> </w:t>
      </w:r>
      <w:r w:rsidR="00F378B9">
        <w:t xml:space="preserve">2.77) </w:t>
      </w:r>
      <w:r>
        <w:t>and current smokers</w:t>
      </w:r>
      <w:r w:rsidR="00F378B9">
        <w:t xml:space="preserve"> (</w:t>
      </w:r>
      <w:r w:rsidR="00CB6DE5">
        <w:t>RR</w:t>
      </w:r>
      <w:r w:rsidR="00CB6DE5" w:rsidRPr="00CE0E85">
        <w:rPr>
          <w:vertAlign w:val="subscript"/>
        </w:rPr>
        <w:t>adj</w:t>
      </w:r>
      <w:r w:rsidR="00CB6DE5">
        <w:t xml:space="preserve"> </w:t>
      </w:r>
      <w:r w:rsidR="00F378B9">
        <w:t>8.33)</w:t>
      </w:r>
      <w:r>
        <w:t>, and risk</w:t>
      </w:r>
      <w:r w:rsidR="00E8200C">
        <w:t>s</w:t>
      </w:r>
      <w:r>
        <w:t xml:space="preserve"> of developing fair/poor self-rated health, CHD,</w:t>
      </w:r>
      <w:r w:rsidR="00E8200C">
        <w:t xml:space="preserve"> and</w:t>
      </w:r>
      <w:r>
        <w:t xml:space="preserve"> stroke</w:t>
      </w:r>
      <w:r w:rsidR="00E8200C">
        <w:t xml:space="preserve"> were significantly higher among current smokers</w:t>
      </w:r>
      <w:r w:rsidR="00CB6DE5">
        <w:t xml:space="preserve"> (RR</w:t>
      </w:r>
      <w:r w:rsidR="00CB6DE5" w:rsidRPr="00CE0E85">
        <w:rPr>
          <w:vertAlign w:val="subscript"/>
        </w:rPr>
        <w:t>adj</w:t>
      </w:r>
      <w:r w:rsidR="00CB6DE5">
        <w:t xml:space="preserve"> range</w:t>
      </w:r>
      <w:r w:rsidR="003839D3">
        <w:t xml:space="preserve"> </w:t>
      </w:r>
      <w:r w:rsidR="004162CD">
        <w:t>1.55-1.93</w:t>
      </w:r>
      <w:r w:rsidR="003839D3">
        <w:t>)</w:t>
      </w:r>
      <w:r w:rsidR="002D0A98">
        <w:t>, relative to never smokers.</w:t>
      </w:r>
      <w:r w:rsidR="00D019C4">
        <w:t xml:space="preserve"> The risk of developing cancer approached statistical significance for current versus never smokers</w:t>
      </w:r>
      <w:r w:rsidR="0005412C">
        <w:t xml:space="preserve"> (RR</w:t>
      </w:r>
      <w:r w:rsidR="0005412C" w:rsidRPr="00CE0E85">
        <w:rPr>
          <w:vertAlign w:val="subscript"/>
        </w:rPr>
        <w:t>adj</w:t>
      </w:r>
      <w:r w:rsidR="0005412C">
        <w:t xml:space="preserve"> 1.44)</w:t>
      </w:r>
      <w:r w:rsidR="00D019C4">
        <w:t>.</w:t>
      </w:r>
    </w:p>
    <w:p w14:paraId="55F7DE21" w14:textId="6FC9D0D4" w:rsidR="00F51CA6" w:rsidRDefault="00F51CA6" w:rsidP="000E25FD">
      <w:pPr>
        <w:pStyle w:val="Heading4"/>
      </w:pPr>
      <w:r>
        <w:t>Main effects of physical activity</w:t>
      </w:r>
    </w:p>
    <w:p w14:paraId="2C5D5B5D" w14:textId="56A528BA" w:rsidR="009E6599" w:rsidRDefault="00022B52" w:rsidP="009E6599">
      <w:r>
        <w:t>In unadjusted models</w:t>
      </w:r>
      <w:r w:rsidR="00BE1876">
        <w:t xml:space="preserve"> (Table 2)</w:t>
      </w:r>
      <w:r>
        <w:t xml:space="preserve">, </w:t>
      </w:r>
      <w:r w:rsidR="0006079A">
        <w:t xml:space="preserve">participants with low physical activity had significantly higher risks of developing fair/poor self-rated health, limiting long-standing illness, CHD, stroke, cancer, chronic lung disease, and </w:t>
      </w:r>
      <w:r w:rsidR="00950C7D">
        <w:t xml:space="preserve">clinically relevant </w:t>
      </w:r>
      <w:r w:rsidR="0006079A">
        <w:t>depressive symptoms</w:t>
      </w:r>
      <w:r w:rsidR="00411767">
        <w:t xml:space="preserve"> than those with high physical activity</w:t>
      </w:r>
      <w:r w:rsidR="002F5397">
        <w:t xml:space="preserve"> (RR range 1.19-2.67)</w:t>
      </w:r>
      <w:r w:rsidR="0006079A">
        <w:t>.</w:t>
      </w:r>
    </w:p>
    <w:p w14:paraId="73EC88F3" w14:textId="5EB7FF6E" w:rsidR="00022B52" w:rsidRPr="009E6599" w:rsidRDefault="00022B52" w:rsidP="009E6599">
      <w:r>
        <w:t xml:space="preserve">After adjustment for </w:t>
      </w:r>
      <w:r w:rsidR="002A46D3">
        <w:t>age, sex, ethnicity, wealth, alcohol intake, BMI, and smoking status</w:t>
      </w:r>
      <w:r w:rsidR="00BE1876">
        <w:t xml:space="preserve"> (Table 2)</w:t>
      </w:r>
      <w:r>
        <w:t xml:space="preserve">, </w:t>
      </w:r>
      <w:r w:rsidR="002A46D3">
        <w:t>the risk of developing chronic lung disease</w:t>
      </w:r>
      <w:r w:rsidR="00411767">
        <w:t xml:space="preserve"> remained significantly higher among those with low versus high physical </w:t>
      </w:r>
      <w:r w:rsidR="00411767">
        <w:lastRenderedPageBreak/>
        <w:t>activity</w:t>
      </w:r>
      <w:r w:rsidR="00224512">
        <w:t xml:space="preserve"> (RR</w:t>
      </w:r>
      <w:r w:rsidR="00224512" w:rsidRPr="00217C5D">
        <w:rPr>
          <w:vertAlign w:val="subscript"/>
        </w:rPr>
        <w:t>adj</w:t>
      </w:r>
      <w:r w:rsidR="00224512">
        <w:t xml:space="preserve"> 3.50)</w:t>
      </w:r>
      <w:r w:rsidR="001473A6">
        <w:t>, but other associations were attenuated and became non-significant</w:t>
      </w:r>
      <w:r w:rsidR="00CE0E85">
        <w:t xml:space="preserve"> (RR</w:t>
      </w:r>
      <w:r w:rsidR="00CE0E85" w:rsidRPr="00CE0E85">
        <w:rPr>
          <w:vertAlign w:val="subscript"/>
        </w:rPr>
        <w:t>adj</w:t>
      </w:r>
      <w:r w:rsidR="00CE0E85">
        <w:t xml:space="preserve"> range </w:t>
      </w:r>
      <w:r w:rsidR="002F66F5">
        <w:t>1.06-1.40</w:t>
      </w:r>
      <w:r w:rsidR="00CE0E85">
        <w:t>)</w:t>
      </w:r>
      <w:r w:rsidR="001473A6">
        <w:t>.</w:t>
      </w:r>
    </w:p>
    <w:p w14:paraId="1AB03115" w14:textId="6888EFDB" w:rsidR="00F51CA6" w:rsidRDefault="00907901" w:rsidP="00545D0F">
      <w:pPr>
        <w:pStyle w:val="Heading4"/>
      </w:pPr>
      <w:r>
        <w:t>Additive and synergistic effects of</w:t>
      </w:r>
      <w:r w:rsidR="00F51CA6">
        <w:t xml:space="preserve"> smoking status and physical activity</w:t>
      </w:r>
    </w:p>
    <w:p w14:paraId="4C5C4E59" w14:textId="5896219B" w:rsidR="00E10606" w:rsidRDefault="00D560A2" w:rsidP="00F51CA6">
      <w:r>
        <w:t xml:space="preserve">After adjustment for covariates, </w:t>
      </w:r>
      <w:r w:rsidR="005821AB">
        <w:t>significant differences in risks of developing fair/poor self-rated health, CHD, stroke, cancer, and chronic lung disease were observed across different combinations of smoking status and levels of physical activity (Table 3</w:t>
      </w:r>
      <w:r w:rsidR="00E6262B">
        <w:t>, Figure 1</w:t>
      </w:r>
      <w:r w:rsidR="005821AB">
        <w:t>).</w:t>
      </w:r>
      <w:r w:rsidR="005013D4">
        <w:t xml:space="preserve"> </w:t>
      </w:r>
    </w:p>
    <w:p w14:paraId="4D3B5D02" w14:textId="65E82B4E" w:rsidR="00FF6422" w:rsidRDefault="00DB0D42" w:rsidP="00F51CA6">
      <w:r>
        <w:t>Relative to never smokers</w:t>
      </w:r>
      <w:r w:rsidR="006257AA">
        <w:t xml:space="preserve"> with high physical activity</w:t>
      </w:r>
      <w:r>
        <w:t>,</w:t>
      </w:r>
      <w:r w:rsidR="00E6262B">
        <w:t xml:space="preserve"> current smokers with low physical activity had the highest risks of </w:t>
      </w:r>
      <w:r w:rsidR="00937678">
        <w:t>each of these outcomes (RR</w:t>
      </w:r>
      <w:r w:rsidR="00937678" w:rsidRPr="007D7C29">
        <w:rPr>
          <w:vertAlign w:val="subscript"/>
        </w:rPr>
        <w:t>adj</w:t>
      </w:r>
      <w:r w:rsidR="00937678">
        <w:t xml:space="preserve"> </w:t>
      </w:r>
      <w:r w:rsidR="00D774DF">
        <w:t xml:space="preserve">range </w:t>
      </w:r>
      <w:r w:rsidR="00880E07">
        <w:t>1.</w:t>
      </w:r>
      <w:r w:rsidR="0074275A">
        <w:t>89</w:t>
      </w:r>
      <w:r w:rsidR="00880E07">
        <w:t>-14.00)</w:t>
      </w:r>
      <w:r w:rsidR="00A43BF6">
        <w:t>.</w:t>
      </w:r>
      <w:r w:rsidR="00310739">
        <w:t xml:space="preserve"> Risks of fair/poor self-rated health, CHD, stroke, and chronic lung disease were also significantly </w:t>
      </w:r>
      <w:r w:rsidR="005B285C">
        <w:t>elevated</w:t>
      </w:r>
      <w:r w:rsidR="00310739">
        <w:t xml:space="preserve"> among current smokers with high physical activity</w:t>
      </w:r>
      <w:r w:rsidR="000D76DF">
        <w:t xml:space="preserve"> (RR</w:t>
      </w:r>
      <w:r w:rsidR="000D76DF" w:rsidRPr="007D7C29">
        <w:rPr>
          <w:vertAlign w:val="subscript"/>
        </w:rPr>
        <w:t>adj</w:t>
      </w:r>
      <w:r w:rsidR="000D76DF">
        <w:t xml:space="preserve"> range </w:t>
      </w:r>
      <w:r w:rsidR="00CF4B8A">
        <w:t>1.55</w:t>
      </w:r>
      <w:r w:rsidR="00502CBE">
        <w:t>-8.33</w:t>
      </w:r>
      <w:r w:rsidR="000D76DF">
        <w:t>)</w:t>
      </w:r>
      <w:r w:rsidR="00310739">
        <w:t>, and the risk of cancer approached significance (RR</w:t>
      </w:r>
      <w:r w:rsidR="00310739" w:rsidRPr="007D7C29">
        <w:rPr>
          <w:vertAlign w:val="subscript"/>
        </w:rPr>
        <w:t>adj</w:t>
      </w:r>
      <w:r w:rsidR="00310739">
        <w:t xml:space="preserve"> 1.44)</w:t>
      </w:r>
      <w:r w:rsidR="0074275A">
        <w:t xml:space="preserve">, although relative risks were lower than those </w:t>
      </w:r>
      <w:r w:rsidR="007553EC">
        <w:t xml:space="preserve">for current smokers </w:t>
      </w:r>
      <w:r w:rsidR="006E1513">
        <w:t xml:space="preserve">with </w:t>
      </w:r>
      <w:r w:rsidR="00884232">
        <w:t>low</w:t>
      </w:r>
      <w:r w:rsidR="006E1513">
        <w:t xml:space="preserve"> physical activity</w:t>
      </w:r>
      <w:r w:rsidR="00310739">
        <w:t xml:space="preserve">. </w:t>
      </w:r>
    </w:p>
    <w:p w14:paraId="711633ED" w14:textId="0842D318" w:rsidR="00DB0D42" w:rsidRDefault="00E9547C" w:rsidP="00F51CA6">
      <w:r>
        <w:t>Risks</w:t>
      </w:r>
      <w:r w:rsidR="00001596" w:rsidRPr="00A774B0">
        <w:t xml:space="preserve"> of fair/poor self-rated health, CHD, cancer, and chronic lung disease were also significantly elevated for </w:t>
      </w:r>
      <w:r w:rsidR="00001596" w:rsidRPr="00A774B0">
        <w:rPr>
          <w:shd w:val="clear" w:color="auto" w:fill="FFFFFF"/>
        </w:rPr>
        <w:t xml:space="preserve">those with low physical activity </w:t>
      </w:r>
      <w:r w:rsidR="00952BCC">
        <w:rPr>
          <w:shd w:val="clear" w:color="auto" w:fill="FFFFFF"/>
        </w:rPr>
        <w:t>who</w:t>
      </w:r>
      <w:r w:rsidR="00952BCC" w:rsidRPr="00A774B0">
        <w:rPr>
          <w:shd w:val="clear" w:color="auto" w:fill="FFFFFF"/>
        </w:rPr>
        <w:t xml:space="preserve"> </w:t>
      </w:r>
      <w:r w:rsidR="00001596" w:rsidRPr="00A774B0">
        <w:rPr>
          <w:shd w:val="clear" w:color="auto" w:fill="FFFFFF"/>
        </w:rPr>
        <w:t xml:space="preserve">had stopped smoking, </w:t>
      </w:r>
      <w:r w:rsidR="00404A18">
        <w:rPr>
          <w:shd w:val="clear" w:color="auto" w:fill="FFFFFF"/>
        </w:rPr>
        <w:t xml:space="preserve">although </w:t>
      </w:r>
      <w:r w:rsidR="00A774B0">
        <w:rPr>
          <w:shd w:val="clear" w:color="auto" w:fill="FFFFFF"/>
        </w:rPr>
        <w:t>risks relative to never smokers with high physical activity</w:t>
      </w:r>
      <w:r w:rsidR="00001596" w:rsidRPr="00A774B0">
        <w:rPr>
          <w:shd w:val="clear" w:color="auto" w:fill="FFFFFF"/>
        </w:rPr>
        <w:t xml:space="preserve"> were comparatively lower</w:t>
      </w:r>
      <w:r w:rsidR="00001596" w:rsidRPr="00A774B0">
        <w:t xml:space="preserve"> than were observed for current smokers (RR</w:t>
      </w:r>
      <w:r w:rsidR="00001596" w:rsidRPr="00A774B0">
        <w:rPr>
          <w:vertAlign w:val="subscript"/>
        </w:rPr>
        <w:t>adj</w:t>
      </w:r>
      <w:r w:rsidR="00001596" w:rsidRPr="00A774B0">
        <w:t xml:space="preserve"> range 1.35-5.42).</w:t>
      </w:r>
      <w:r w:rsidR="00AD51EA">
        <w:t xml:space="preserve"> </w:t>
      </w:r>
      <w:r w:rsidR="005B285C">
        <w:t>Chronic lung disease was the only outcome for which significantly elevated risk was observed among former smokers with high physical activity (RR</w:t>
      </w:r>
      <w:r w:rsidR="005B285C" w:rsidRPr="007D7C29">
        <w:rPr>
          <w:vertAlign w:val="subscript"/>
        </w:rPr>
        <w:t>adj</w:t>
      </w:r>
      <w:r w:rsidR="005B285C">
        <w:t xml:space="preserve"> 2.77) or never smokers with low physical activity (RR</w:t>
      </w:r>
      <w:r w:rsidR="005B285C" w:rsidRPr="007D7C29">
        <w:rPr>
          <w:vertAlign w:val="subscript"/>
        </w:rPr>
        <w:t>adj</w:t>
      </w:r>
      <w:r w:rsidR="005B285C">
        <w:t xml:space="preserve"> 3.50)</w:t>
      </w:r>
      <w:r w:rsidR="009C377C">
        <w:t>, relative to never smokers with high physical activity</w:t>
      </w:r>
      <w:r w:rsidR="005B285C">
        <w:t>.</w:t>
      </w:r>
    </w:p>
    <w:p w14:paraId="7D70615F" w14:textId="2679A880" w:rsidR="007C2262" w:rsidRDefault="007C2262" w:rsidP="007C2262">
      <w:r>
        <w:t xml:space="preserve">The risks of limiting long-standing illness and </w:t>
      </w:r>
      <w:r w:rsidR="00950C7D">
        <w:t xml:space="preserve">clinically relevant </w:t>
      </w:r>
      <w:r>
        <w:t>depressive symptoms did not differ significantly across smoking/physical activity groups, although point estimates followed a similar pattern (Table 3</w:t>
      </w:r>
      <w:r w:rsidR="00660E02">
        <w:t>, Figure 1</w:t>
      </w:r>
      <w:r>
        <w:t>).</w:t>
      </w:r>
    </w:p>
    <w:p w14:paraId="4D9BFA5B" w14:textId="4FCCFCB4" w:rsidR="004813E6" w:rsidRDefault="00877666" w:rsidP="002A33EA">
      <w:pPr>
        <w:rPr>
          <w:shd w:val="clear" w:color="auto" w:fill="FFFFFF"/>
        </w:rPr>
      </w:pPr>
      <w:r w:rsidRPr="005C3327">
        <w:rPr>
          <w:shd w:val="clear" w:color="auto" w:fill="FFFFFF"/>
        </w:rPr>
        <w:t>While additive effects were evident,</w:t>
      </w:r>
      <w:r w:rsidR="00472EAE">
        <w:rPr>
          <w:shd w:val="clear" w:color="auto" w:fill="FFFFFF"/>
        </w:rPr>
        <w:t xml:space="preserve"> with the health risks associated with the combination of current smoking and low physical activity</w:t>
      </w:r>
      <w:r w:rsidR="003B4D3B">
        <w:rPr>
          <w:shd w:val="clear" w:color="auto" w:fill="FFFFFF"/>
        </w:rPr>
        <w:t xml:space="preserve"> </w:t>
      </w:r>
      <w:r w:rsidR="00472EAE">
        <w:rPr>
          <w:shd w:val="clear" w:color="auto" w:fill="FFFFFF"/>
        </w:rPr>
        <w:t>higher than those associated with one or other of these behaviours in isolation (Table 3, Figure 1),</w:t>
      </w:r>
      <w:r w:rsidRPr="005C3327">
        <w:rPr>
          <w:shd w:val="clear" w:color="auto" w:fill="FFFFFF"/>
        </w:rPr>
        <w:t xml:space="preserve"> tests of multiplicative interactions</w:t>
      </w:r>
      <w:r w:rsidR="000B37FB" w:rsidRPr="005C3327">
        <w:rPr>
          <w:shd w:val="clear" w:color="auto" w:fill="FFFFFF"/>
        </w:rPr>
        <w:t xml:space="preserve"> revealed no evidence of synergistic effects of smoking and </w:t>
      </w:r>
      <w:r w:rsidR="00B32568" w:rsidRPr="005C3327">
        <w:rPr>
          <w:shd w:val="clear" w:color="auto" w:fill="FFFFFF"/>
        </w:rPr>
        <w:t xml:space="preserve">low </w:t>
      </w:r>
      <w:r w:rsidR="000B37FB" w:rsidRPr="005C3327">
        <w:rPr>
          <w:shd w:val="clear" w:color="auto" w:fill="FFFFFF"/>
        </w:rPr>
        <w:t>physical activity</w:t>
      </w:r>
      <w:r w:rsidR="0062665B">
        <w:rPr>
          <w:shd w:val="clear" w:color="auto" w:fill="FFFFFF"/>
        </w:rPr>
        <w:t xml:space="preserve"> (Table 2)</w:t>
      </w:r>
      <w:r w:rsidR="000B37FB" w:rsidRPr="005C3327">
        <w:rPr>
          <w:shd w:val="clear" w:color="auto" w:fill="FFFFFF"/>
        </w:rPr>
        <w:t>.</w:t>
      </w:r>
      <w:r w:rsidR="00AA5BA8">
        <w:rPr>
          <w:shd w:val="clear" w:color="auto" w:fill="FFFFFF"/>
        </w:rPr>
        <w:t xml:space="preserve"> The only outcome for which the interaction approached statistical significance was chronic lung disease (</w:t>
      </w:r>
      <w:r w:rsidR="00AA5BA8">
        <w:rPr>
          <w:i/>
          <w:shd w:val="clear" w:color="auto" w:fill="FFFFFF"/>
        </w:rPr>
        <w:t>p</w:t>
      </w:r>
      <w:r w:rsidR="00AA5BA8">
        <w:rPr>
          <w:shd w:val="clear" w:color="auto" w:fill="FFFFFF"/>
        </w:rPr>
        <w:t>=0.070), where the effect was in the opposite direction</w:t>
      </w:r>
      <w:r w:rsidR="002C6F14">
        <w:rPr>
          <w:shd w:val="clear" w:color="auto" w:fill="FFFFFF"/>
        </w:rPr>
        <w:t xml:space="preserve"> to what we hypothesised</w:t>
      </w:r>
      <w:r w:rsidR="00AA5BA8">
        <w:rPr>
          <w:shd w:val="clear" w:color="auto" w:fill="FFFFFF"/>
        </w:rPr>
        <w:t>, i.e. relative to never smokers, the increase in risk associated with inactivity appears smaller in current smo</w:t>
      </w:r>
      <w:r w:rsidR="00BE3A56">
        <w:rPr>
          <w:shd w:val="clear" w:color="auto" w:fill="FFFFFF"/>
        </w:rPr>
        <w:t>kers.</w:t>
      </w:r>
    </w:p>
    <w:p w14:paraId="495F7F2D" w14:textId="7C3C52D9" w:rsidR="000B37FB" w:rsidRDefault="007C2703" w:rsidP="00091277">
      <w:pPr>
        <w:rPr>
          <w:shd w:val="clear" w:color="auto" w:fill="FFFFFF"/>
        </w:rPr>
      </w:pPr>
      <w:r>
        <w:rPr>
          <w:shd w:val="clear" w:color="auto" w:fill="FFFFFF"/>
        </w:rPr>
        <w:lastRenderedPageBreak/>
        <w:t>BF</w:t>
      </w:r>
      <w:r w:rsidR="008B1929">
        <w:rPr>
          <w:shd w:val="clear" w:color="auto" w:fill="FFFFFF"/>
        </w:rPr>
        <w:t>s</w:t>
      </w:r>
      <w:r w:rsidR="00D259AC">
        <w:rPr>
          <w:shd w:val="clear" w:color="auto" w:fill="FFFFFF"/>
        </w:rPr>
        <w:t xml:space="preserve"> </w:t>
      </w:r>
      <w:r w:rsidR="00091277">
        <w:rPr>
          <w:shd w:val="clear" w:color="auto" w:fill="FFFFFF"/>
        </w:rPr>
        <w:t xml:space="preserve">based on large synergistic effects between smoking status and physical activity </w:t>
      </w:r>
      <w:r w:rsidR="00D259AC">
        <w:rPr>
          <w:shd w:val="clear" w:color="auto" w:fill="FFFFFF"/>
        </w:rPr>
        <w:t xml:space="preserve">indicated the data </w:t>
      </w:r>
      <w:r w:rsidR="00091277">
        <w:rPr>
          <w:shd w:val="clear" w:color="auto" w:fill="FFFFFF"/>
        </w:rPr>
        <w:t>provided strong evidence for the</w:t>
      </w:r>
      <w:r w:rsidR="00D259AC">
        <w:rPr>
          <w:shd w:val="clear" w:color="auto" w:fill="FFFFFF"/>
        </w:rPr>
        <w:t xml:space="preserve"> null hypothesis</w:t>
      </w:r>
      <w:r w:rsidR="00091277">
        <w:rPr>
          <w:shd w:val="clear" w:color="auto" w:fill="FFFFFF"/>
        </w:rPr>
        <w:t xml:space="preserve"> for chronic lung disease and moderate evidence for the null hypothesis for </w:t>
      </w:r>
      <w:r w:rsidR="00D259AC">
        <w:rPr>
          <w:shd w:val="clear" w:color="auto" w:fill="FFFFFF"/>
        </w:rPr>
        <w:t>incident fair/poor self-rated health, limiting long-standing illness</w:t>
      </w:r>
      <w:r w:rsidR="00091277">
        <w:rPr>
          <w:shd w:val="clear" w:color="auto" w:fill="FFFFFF"/>
        </w:rPr>
        <w:t xml:space="preserve">, </w:t>
      </w:r>
      <w:r w:rsidR="00D259AC">
        <w:rPr>
          <w:shd w:val="clear" w:color="auto" w:fill="FFFFFF"/>
        </w:rPr>
        <w:t>cancer</w:t>
      </w:r>
      <w:r w:rsidR="00AA5BA8">
        <w:rPr>
          <w:shd w:val="clear" w:color="auto" w:fill="FFFFFF"/>
        </w:rPr>
        <w:t>,</w:t>
      </w:r>
      <w:r w:rsidR="00D259AC">
        <w:rPr>
          <w:shd w:val="clear" w:color="auto" w:fill="FFFFFF"/>
        </w:rPr>
        <w:t xml:space="preserve"> and depressive symptom</w:t>
      </w:r>
      <w:r w:rsidR="00091277">
        <w:rPr>
          <w:shd w:val="clear" w:color="auto" w:fill="FFFFFF"/>
        </w:rPr>
        <w:t>s</w:t>
      </w:r>
      <w:r w:rsidR="00710945">
        <w:rPr>
          <w:shd w:val="clear" w:color="auto" w:fill="FFFFFF"/>
        </w:rPr>
        <w:t xml:space="preserve">, but were insensitive </w:t>
      </w:r>
      <w:r w:rsidR="00091277">
        <w:rPr>
          <w:shd w:val="clear" w:color="auto" w:fill="FFFFFF"/>
        </w:rPr>
        <w:t xml:space="preserve">to detect large effects </w:t>
      </w:r>
      <w:r w:rsidR="00710945">
        <w:rPr>
          <w:shd w:val="clear" w:color="auto" w:fill="FFFFFF"/>
        </w:rPr>
        <w:t>for CHD and stroke</w:t>
      </w:r>
      <w:r w:rsidR="002F3645">
        <w:rPr>
          <w:shd w:val="clear" w:color="auto" w:fill="FFFFFF"/>
        </w:rPr>
        <w:t xml:space="preserve"> (</w:t>
      </w:r>
      <w:r w:rsidR="00B0380E">
        <w:t xml:space="preserve">Supplementary </w:t>
      </w:r>
      <w:r w:rsidR="002F3645">
        <w:rPr>
          <w:shd w:val="clear" w:color="auto" w:fill="FFFFFF"/>
        </w:rPr>
        <w:t xml:space="preserve">Table </w:t>
      </w:r>
      <w:r w:rsidR="00886B99">
        <w:rPr>
          <w:shd w:val="clear" w:color="auto" w:fill="FFFFFF"/>
        </w:rPr>
        <w:t>2</w:t>
      </w:r>
      <w:r w:rsidR="002F3645">
        <w:rPr>
          <w:shd w:val="clear" w:color="auto" w:fill="FFFFFF"/>
        </w:rPr>
        <w:t>)</w:t>
      </w:r>
      <w:r w:rsidR="006270F4" w:rsidRPr="005C3327">
        <w:rPr>
          <w:shd w:val="clear" w:color="auto" w:fill="FFFFFF"/>
        </w:rPr>
        <w:t>.</w:t>
      </w:r>
      <w:r w:rsidR="00091277">
        <w:rPr>
          <w:shd w:val="clear" w:color="auto" w:fill="FFFFFF"/>
        </w:rPr>
        <w:t xml:space="preserve"> </w:t>
      </w:r>
      <w:r>
        <w:rPr>
          <w:shd w:val="clear" w:color="auto" w:fill="FFFFFF"/>
        </w:rPr>
        <w:t>BF</w:t>
      </w:r>
      <w:r w:rsidR="008B1929">
        <w:rPr>
          <w:shd w:val="clear" w:color="auto" w:fill="FFFFFF"/>
        </w:rPr>
        <w:t>s</w:t>
      </w:r>
      <w:r w:rsidR="002F7270">
        <w:rPr>
          <w:shd w:val="clear" w:color="auto" w:fill="FFFFFF"/>
        </w:rPr>
        <w:t xml:space="preserve"> based on medium and small synergistic effects favoured the null hypothesis but indicated the data were insensitive for all outcomes except chronic lung disease.</w:t>
      </w:r>
    </w:p>
    <w:p w14:paraId="6F9EB63D" w14:textId="68E8C31F" w:rsidR="003200FD" w:rsidRDefault="003200FD" w:rsidP="003200FD">
      <w:pPr>
        <w:pStyle w:val="Heading3"/>
        <w:rPr>
          <w:shd w:val="clear" w:color="auto" w:fill="FFFFFF"/>
        </w:rPr>
      </w:pPr>
      <w:r>
        <w:rPr>
          <w:shd w:val="clear" w:color="auto" w:fill="FFFFFF"/>
        </w:rPr>
        <w:t>Sensitivity analyses</w:t>
      </w:r>
    </w:p>
    <w:p w14:paraId="44926756" w14:textId="7D13CB42" w:rsidR="00B0380E" w:rsidRPr="00B0380E" w:rsidRDefault="00B0380E" w:rsidP="00B0380E">
      <w:r>
        <w:t>Sensitivity analyses taking three different analytic approaches produced a very similar pattern of results (see Supplementary Material</w:t>
      </w:r>
      <w:r w:rsidR="00290166">
        <w:t xml:space="preserve">, Supplementary Tables </w:t>
      </w:r>
      <w:r w:rsidR="00886B99">
        <w:t>3</w:t>
      </w:r>
      <w:r w:rsidR="00290166">
        <w:t>-</w:t>
      </w:r>
      <w:r w:rsidR="00886B99">
        <w:t>5</w:t>
      </w:r>
      <w:r w:rsidR="00290166">
        <w:t xml:space="preserve"> and Supplementary Figures 1-3</w:t>
      </w:r>
      <w:r>
        <w:t xml:space="preserve"> for full details).</w:t>
      </w:r>
    </w:p>
    <w:p w14:paraId="66C3EA88" w14:textId="77777777" w:rsidR="00E264C9" w:rsidRDefault="00E264C9" w:rsidP="00E264C9"/>
    <w:p w14:paraId="0509409F" w14:textId="77777777" w:rsidR="00E264C9" w:rsidRPr="002D2DEE" w:rsidRDefault="00E264C9" w:rsidP="00E264C9">
      <w:pPr>
        <w:pStyle w:val="Heading2"/>
      </w:pPr>
      <w:r>
        <w:t>Discussion</w:t>
      </w:r>
    </w:p>
    <w:p w14:paraId="4F00C5BD" w14:textId="0544F2CE" w:rsidR="00E264C9" w:rsidRPr="00B25CD8" w:rsidRDefault="00E264C9" w:rsidP="008B2917">
      <w:r w:rsidRPr="00B25CD8">
        <w:t>In this large prospective study of older adults,</w:t>
      </w:r>
      <w:r w:rsidR="000649D4" w:rsidRPr="00B25CD8">
        <w:t xml:space="preserve"> </w:t>
      </w:r>
      <w:r w:rsidR="004A72F2" w:rsidRPr="00B25CD8">
        <w:t>we examined the risks</w:t>
      </w:r>
      <w:r w:rsidR="000649D4" w:rsidRPr="00B25CD8">
        <w:t xml:space="preserve"> </w:t>
      </w:r>
      <w:r w:rsidR="004A72F2" w:rsidRPr="00B25CD8">
        <w:t xml:space="preserve">of </w:t>
      </w:r>
      <w:r w:rsidR="00C93C6F" w:rsidRPr="00B25CD8">
        <w:t xml:space="preserve">incident self-rated health, limiting long-standing illness, CHD, stroke, cancer, chronic lung disease, and depressive symptoms </w:t>
      </w:r>
      <w:r w:rsidRPr="00B25CD8">
        <w:t>over 12-year follow-up</w:t>
      </w:r>
      <w:r w:rsidR="004A72F2" w:rsidRPr="00B25CD8">
        <w:t xml:space="preserve"> associated with smoking and </w:t>
      </w:r>
      <w:r w:rsidR="00292AD7" w:rsidRPr="00B25CD8">
        <w:t xml:space="preserve">low levels of </w:t>
      </w:r>
      <w:r w:rsidR="004A72F2" w:rsidRPr="00B25CD8">
        <w:t>physical activity</w:t>
      </w:r>
      <w:r w:rsidRPr="00B25CD8">
        <w:t xml:space="preserve"> among individuals free of these conditions at baseline.</w:t>
      </w:r>
      <w:r w:rsidR="00AB2BAF" w:rsidRPr="00B25CD8">
        <w:t xml:space="preserve"> </w:t>
      </w:r>
      <w:r w:rsidR="00165358" w:rsidRPr="00B25CD8">
        <w:t xml:space="preserve">We </w:t>
      </w:r>
      <w:r w:rsidR="005141B1" w:rsidRPr="00B25CD8">
        <w:t>observed additive effects of smoking and</w:t>
      </w:r>
      <w:r w:rsidR="00292AD7" w:rsidRPr="00B25CD8">
        <w:t xml:space="preserve"> low </w:t>
      </w:r>
      <w:r w:rsidR="005141B1" w:rsidRPr="00B25CD8">
        <w:t xml:space="preserve">physical activity on </w:t>
      </w:r>
      <w:r w:rsidR="00743F54" w:rsidRPr="00B25CD8">
        <w:t xml:space="preserve">these outcomes, with older adults </w:t>
      </w:r>
      <w:r w:rsidR="004A72F2" w:rsidRPr="00B25CD8">
        <w:t xml:space="preserve">who </w:t>
      </w:r>
      <w:r w:rsidR="00743F54" w:rsidRPr="00B25CD8">
        <w:t xml:space="preserve">reported both current smoking and </w:t>
      </w:r>
      <w:r w:rsidR="00292AD7" w:rsidRPr="00B25CD8">
        <w:t xml:space="preserve">low </w:t>
      </w:r>
      <w:r w:rsidR="00743F54" w:rsidRPr="00B25CD8">
        <w:t>physical activity</w:t>
      </w:r>
      <w:r w:rsidR="003A4E71" w:rsidRPr="00B25CD8">
        <w:t xml:space="preserve"> </w:t>
      </w:r>
      <w:r w:rsidR="00743F54" w:rsidRPr="00B25CD8">
        <w:t xml:space="preserve">at higher risk of developing these conditions than those who </w:t>
      </w:r>
      <w:r w:rsidR="00341E43" w:rsidRPr="00B25CD8">
        <w:t xml:space="preserve">engaged in </w:t>
      </w:r>
      <w:r w:rsidR="008B2917" w:rsidRPr="00B25CD8">
        <w:t>one or neither</w:t>
      </w:r>
      <w:r w:rsidR="00743F54" w:rsidRPr="00B25CD8">
        <w:t xml:space="preserve"> of these lifestyle risk behaviours.</w:t>
      </w:r>
      <w:r w:rsidR="004A72F2" w:rsidRPr="00B25CD8">
        <w:t xml:space="preserve"> </w:t>
      </w:r>
      <w:r w:rsidR="00AB2BAF" w:rsidRPr="00B25CD8">
        <w:t>However</w:t>
      </w:r>
      <w:r w:rsidR="007173D4" w:rsidRPr="00B25CD8">
        <w:t xml:space="preserve">, there was no evidence of synergistic effects </w:t>
      </w:r>
      <w:r w:rsidR="00AB2BAF" w:rsidRPr="00B25CD8">
        <w:t>of smoking and</w:t>
      </w:r>
      <w:r w:rsidR="00292AD7" w:rsidRPr="00B25CD8">
        <w:t xml:space="preserve"> low</w:t>
      </w:r>
      <w:r w:rsidR="00AB2BAF" w:rsidRPr="00B25CD8">
        <w:t xml:space="preserve"> physical activity on the incidence of </w:t>
      </w:r>
      <w:r w:rsidR="00AF041E" w:rsidRPr="00B25CD8">
        <w:t>these conditions</w:t>
      </w:r>
      <w:r w:rsidR="007A3033">
        <w:t>.</w:t>
      </w:r>
    </w:p>
    <w:p w14:paraId="46239358" w14:textId="26D89DBE" w:rsidR="00EC136E" w:rsidRDefault="003B4DCE" w:rsidP="003B4DCE">
      <w:r w:rsidRPr="00333F45">
        <w:t xml:space="preserve">It has been proposed that targeting multiple behaviours could increase the public health impact of behaviour change interventions </w:t>
      </w:r>
      <w:r w:rsidR="00630DD0" w:rsidRPr="00333F45">
        <w:fldChar w:fldCharType="begin"/>
      </w:r>
      <w:r w:rsidR="006957ED">
        <w:instrText xml:space="preserve"> ADDIN ZOTERO_ITEM CSL_CITATION {"citationID":"qKO0YHAn","properties":{"formattedCitation":"(23\\uc0\\u8211{}25)","plainCitation":"(23–25)","noteIndex":0},"citationItems":[{"id":"dxu6TYzy/mzzxpw41","uris":["http://zotero.org/users/446899/items/TU84A9GF"],"uri":["http://zotero.org/users/446899/items/TU84A9GF"],"itemData":{"id":5222,"type":"article-journal","title":"A Review of Multiple Health Behavior Change Interventions for Primary Prevention","container-title":"American Journal of Lifestyle Medicine","page":"208-221","volume":"5","issue":"3","source":"SAGE Journals","abstract":"Most individuals engage in multiple unhealthy lifestyle behaviors with the potential for negative health consequences. Yet most health promotion research has addressed risk factors as categorically separate entities, and little is known about how to effectively promote multiple health behavior change (MHBC). This review summarizes the recent literature (January 2004 to December 2009) on randomized clinical trials evaluating MHBC interventions for primary prevention. Combining all the studies across all the reviews, fewer than 150 studies were identified. This is a fraction of the number of trials conducted on changing individual behavioral risks. Three primary behavioral clusters dominated: (1) the energy balance behaviors of physical activity and diet; (2) addictive behaviors like smoking and other drugs; and (3) disease-related behaviors, specifically cardiovascular disease (CVD) and cancer related. Findings were largely disappointing for studies of diet and physical activity, particularly with youth. Treating 2 addictions, including smoking, resulted in greater long-term sobriety from alcohol and illicit drugs. MHBC intervention effects were stronger and more consistent for cancer prevention than CVD prevention. MHBC interventions offer a new paradigm for broader, more comprehensive health promotion; however, the potential value in maximizing intervention impact is largely unmet.","DOI":"10.1177/1559827610391883","ISSN":"1559-8276","journalAbbreviation":"American Journal of Lifestyle Medicine","language":"en","author":[{"family":"Prochaska","given":"Judith J."},{"family":"Prochaska","given":"James O."}],"issued":{"date-parts":[["2011",5,1]]}}},{"id":"dxu6TYzy/dWqxr3Lx","uris":["http://zotero.org/users/446899/items/CR5TRX4H"],"uri":["http://zotero.org/users/446899/items/CR5TRX4H"],"itemData":{"id":6784,"type":"article-journal","title":"Multiple health behaviours: overview and implications","container-title":"Journal of Public Health (Oxford, England)","page":"i3-10","volume":"34 Suppl 1","source":"PubMed","abstract":"BACKGROUND: More remains unknown than known about how to optimize multiple health behaviour change.\nMETHODS: After reviewing the prevalence and comorbidities among major chronic disease risk behaviours for adults and youth, we consider the origins and applicability of high-risk and population strategies to foster multiple health behaviour change.\nRESULTS: Findings indicate that health risk behaviours are prevalent, increase with age and co-occur as risk behaviour clusters or bundles.\nCONCLUSIONS: We conclude that both population and high-risk strategies for health behaviour intervention are warranted, potentially synergistic and need intervention design that accounts for substitute and complementary relationships among bundled health behaviours. To maximize positive public health impact, a pressing need exists for bodies of basic and translational science that explain health behaviour bundling. Also needed is applied science that elucidates the following: (1) the optimal number of behaviours to intervene upon; (2) how target behaviours are best selected (e.g. greatest health impact; patient preference or positive effect on bundled behaviours); (3) whether to increase healthy or decrease unhealthy behaviours; (4) whether to intervene on health behaviours simultaneously or sequentially and (5) how to achieve positive synergies across individual-, group- and population-level intervention approaches.","DOI":"10.1093/pubmed/fdr111","ISSN":"1741-3850","note":"PMID: 22363028\nPMCID: PMC3284863","shortTitle":"Multiple health behaviours","journalAbbreviation":"J Public Health (Oxf)","language":"eng","author":[{"family":"Spring","given":"Bonnie"},{"family":"Moller","given":"Arlen C."},{"family":"Coons","given":"Michael J."}],"issued":{"date-parts":[["2012",3]]}}},{"id":"dxu6TYzy/Hk4GkQKL","uris":["http://zotero.org/users/446899/items/LYK4A5P7"],"uri":["http://zotero.org/users/446899/items/LYK4A5P7"],"itemData":{"id":6783,"type":"article-journal","title":"Multiple health behaviour change interventions for primary prevention of cardiovascular disease in primary care: systematic review and meta-analysis","container-title":"BMJ Open","page":"e015375","volume":"7","issue":"6","source":"bmjopen.bmj.com","abstract":"Background It is uncertain whether multiple health behaviour change (MHBC) interventions are effective for the primary prevention of cardiovascular disease (CVD) in primary care. A systematic review and a meta-analysis were performed to evaluate the effectiveness of MHBC interventions on CVD risk and CVD risk factors; the study also evaluated associations of theoretical frameworks and intervention components with intervention effectiveness.\nMethods The search included randomised controlled trials of MHBC interventions aimed at reducing CVD risk in primary prevention population up to 2017. Theoretical frameworks and intervention components were evaluated using standardised methods. Meta-analysis with stratification and meta-regression were used to evaluate intervention effects.\nResults We identified 31 trials (36 484 participants) with a minimum duration of 12 months follow-up. Pooled net change in systolic blood pressure (16 trials) was −1.86 (95% CI −3.17 to −0.55; p=0.01) mm Hg; diastolic blood pressure (15 trials), −1.53 (−2.43 to −0.62; p=0.001) mm Hg; body mass index (14 trials), −0.13 (−0.26 to −0.01; p=0.04) kg/m2; serum total cholesterol (14 trials), −0.13 (−0.19 to −0.07; p&lt;0.001) mmol/L. There was no significant association between interventions with a reported theoretical basis and improved intervention outcomes. No association was observed between intervention intensity (number of sessions and intervention duration) and intervention outcomes. There was significant heterogeneity for some risk factor analyses, leading to uncertain validity of some pooled net changes.\nConclusions MHBC interventions delivered to CVD-free participants in primary care did not appear to have quantitatively important effects on CVD risk factors. Better reporting of interventions’ rationale, content and delivery is essential to understanding their effectiveness.","DOI":"10.1136/bmjopen-2016-015375","ISSN":"2044-6055, 2044-6055","note":"PMID: 28619779","shortTitle":"Multiple health behaviour change interventions for primary prevention of cardiovascular disease in primary care","language":"en","author":[{"family":"Alageel","given":"Samah"},{"family":"Gulliford","given":"Martin C."},{"family":"McDermott","given":"Lisa"},{"family":"Wright","given":"Alison J."}],"issued":{"date-parts":[["2017",6,1]]}}}],"schema":"https://github.com/citation-style-language/schema/raw/master/csl-citation.json"} </w:instrText>
      </w:r>
      <w:r w:rsidR="00630DD0" w:rsidRPr="00333F45">
        <w:fldChar w:fldCharType="separate"/>
      </w:r>
      <w:r w:rsidR="004837B4" w:rsidRPr="004837B4">
        <w:rPr>
          <w:rFonts w:ascii="Calibri" w:hAnsi="Calibri" w:cs="Calibri"/>
          <w:szCs w:val="24"/>
        </w:rPr>
        <w:t>(23–25)</w:t>
      </w:r>
      <w:r w:rsidR="00630DD0" w:rsidRPr="00333F45">
        <w:fldChar w:fldCharType="end"/>
      </w:r>
      <w:r w:rsidR="00630DD0" w:rsidRPr="00333F45">
        <w:t xml:space="preserve">, but evidence on the effectiveness of this strategy is inconsistent </w:t>
      </w:r>
      <w:r w:rsidR="00630DD0" w:rsidRPr="00333F45">
        <w:fldChar w:fldCharType="begin"/>
      </w:r>
      <w:r w:rsidR="006957ED">
        <w:instrText xml:space="preserve"> ADDIN ZOTERO_ITEM CSL_CITATION {"citationID":"3vmpgQ1P","properties":{"formattedCitation":"(24)","plainCitation":"(24)","noteIndex":0},"citationItems":[{"id":"dxu6TYzy/dWqxr3Lx","uris":["http://zotero.org/users/446899/items/CR5TRX4H"],"uri":["http://zotero.org/users/446899/items/CR5TRX4H"],"itemData":{"id":6784,"type":"article-journal","title":"Multiple health behaviours: overview and implications","container-title":"Journal of Public Health (Oxford, England)","page":"i3-10","volume":"34 Suppl 1","source":"PubMed","abstract":"BACKGROUND: More remains unknown than known about how to optimize multiple health behaviour change.\nMETHODS: After reviewing the prevalence and comorbidities among major chronic disease risk behaviours for adults and youth, we consider the origins and applicability of high-risk and population strategies to foster multiple health behaviour change.\nRESULTS: Findings indicate that health risk behaviours are prevalent, increase with age and co-occur as risk behaviour clusters or bundles.\nCONCLUSIONS: We conclude that both population and high-risk strategies for health behaviour intervention are warranted, potentially synergistic and need intervention design that accounts for substitute and complementary relationships among bundled health behaviours. To maximize positive public health impact, a pressing need exists for bodies of basic and translational science that explain health behaviour bundling. Also needed is applied science that elucidates the following: (1) the optimal number of behaviours to intervene upon; (2) how target behaviours are best selected (e.g. greatest health impact; patient preference or positive effect on bundled behaviours); (3) whether to increase healthy or decrease unhealthy behaviours; (4) whether to intervene on health behaviours simultaneously or sequentially and (5) how to achieve positive synergies across individual-, group- and population-level intervention approaches.","DOI":"10.1093/pubmed/fdr111","ISSN":"1741-3850","note":"PMID: 22363028\nPMCID: PMC3284863","shortTitle":"Multiple health behaviours","journalAbbreviation":"J Public Health (Oxf)","language":"eng","author":[{"family":"Spring","given":"Bonnie"},{"family":"Moller","given":"Arlen C."},{"family":"Coons","given":"Michael J."}],"issued":{"date-parts":[["2012",3]]}}}],"schema":"https://github.com/citation-style-language/schema/raw/master/csl-citation.json"} </w:instrText>
      </w:r>
      <w:r w:rsidR="00630DD0" w:rsidRPr="00333F45">
        <w:fldChar w:fldCharType="separate"/>
      </w:r>
      <w:r w:rsidR="004837B4" w:rsidRPr="004837B4">
        <w:rPr>
          <w:rFonts w:ascii="Calibri" w:hAnsi="Calibri" w:cs="Calibri"/>
        </w:rPr>
        <w:t>(24)</w:t>
      </w:r>
      <w:r w:rsidR="00630DD0" w:rsidRPr="00333F45">
        <w:fldChar w:fldCharType="end"/>
      </w:r>
      <w:r w:rsidR="00630DD0" w:rsidRPr="00333F45">
        <w:t>.</w:t>
      </w:r>
      <w:r w:rsidRPr="00333F45">
        <w:t xml:space="preserve"> </w:t>
      </w:r>
      <w:r w:rsidR="00EB2236" w:rsidRPr="00333F45">
        <w:t>For example</w:t>
      </w:r>
      <w:r w:rsidR="00F36854" w:rsidRPr="00333F45">
        <w:t xml:space="preserve">, studies </w:t>
      </w:r>
      <w:r w:rsidR="00125046" w:rsidRPr="00333F45">
        <w:t xml:space="preserve">focusing on physical activity and diet have shown interventions </w:t>
      </w:r>
      <w:r w:rsidR="0020102B">
        <w:t>that focus</w:t>
      </w:r>
      <w:r w:rsidR="00125046" w:rsidRPr="00333F45">
        <w:t xml:space="preserve"> on a single behaviour are more effective in increasing the target behaviours, while those that </w:t>
      </w:r>
      <w:r w:rsidR="00473115" w:rsidRPr="00333F45">
        <w:t>target</w:t>
      </w:r>
      <w:r w:rsidR="00125046" w:rsidRPr="00333F45">
        <w:t xml:space="preserve"> </w:t>
      </w:r>
      <w:r w:rsidR="00E92499" w:rsidRPr="00333F45">
        <w:t>both</w:t>
      </w:r>
      <w:r w:rsidR="00125046" w:rsidRPr="00333F45">
        <w:t xml:space="preserve"> behaviours</w:t>
      </w:r>
      <w:r w:rsidR="00386220" w:rsidRPr="00333F45">
        <w:t xml:space="preserve"> </w:t>
      </w:r>
      <w:r w:rsidR="00125046" w:rsidRPr="00333F45">
        <w:t xml:space="preserve">result in greater weight loss </w:t>
      </w:r>
      <w:r w:rsidR="008C406C" w:rsidRPr="00333F45">
        <w:fldChar w:fldCharType="begin"/>
      </w:r>
      <w:r w:rsidR="00C72FE2">
        <w:instrText xml:space="preserve"> ADDIN ZOTERO_ITEM CSL_CITATION {"citationID":"eaJKaZmv","properties":{"formattedCitation":"(49)","plainCitation":"(49)","noteIndex":0},"citationItems":[{"id":"dxu6TYzy/d9IdcK54","uris":["http://zotero.org/users/446899/items/JZETL9NY"],"uri":["http://zotero.org/users/446899/items/JZETL9NY"],"itemData":{"id":7464,"type":"article-journal","title":"Improving Physical Activity and Dietary Behaviours with Single or Multiple Health Behaviour Interventions? A Synthesis of Meta-Analyses and Reviews","container-title":"International Journal of Environmental Research and Public Health","page":"1720-1743","volume":"7","issue":"4","source":"PubMed Central","abstract":"Since multiple health behaviour interventions have gained popularity, it is important to investigate their effectiveness compared to single health behaviour interventions. This synthesis aims to determine whether single intervention (physical activity or dietary) or multiple interventions (physical activity and dietary) are more effective at increasing these behaviours by synthesizing reviews and meta-analyses. A sub-purpose also explored their impact on weight. Overall, reviews/meta-analyses showed that single health behaviour interventions were more effective at increasing the targeted behaviours, while multiple health behaviour interventions resulted in greater weight loss. This review may assist policies aiming at improving physical activity and nutrition and reversing the obesity epidemic.","DOI":"10.3390/ijerph7041720","ISSN":"1661-7827","note":"PMID: 20617056\nPMCID: PMC2872344","shortTitle":"Improving Physical Activity and Dietary Behaviours with Single or Multiple Health Behaviour Interventions?","journalAbbreviation":"Int J Environ Res Public Health","author":[{"family":"Sweet","given":"Shane N."},{"family":"Fortier","given":"Michelle S."}],"issued":{"date-parts":[["2010",4]]}}}],"schema":"https://github.com/citation-style-language/schema/raw/master/csl-citation.json"} </w:instrText>
      </w:r>
      <w:r w:rsidR="008C406C" w:rsidRPr="00333F45">
        <w:fldChar w:fldCharType="separate"/>
      </w:r>
      <w:r w:rsidR="00C72FE2" w:rsidRPr="00C72FE2">
        <w:rPr>
          <w:rFonts w:ascii="Calibri" w:hAnsi="Calibri" w:cs="Calibri"/>
        </w:rPr>
        <w:t>(49)</w:t>
      </w:r>
      <w:r w:rsidR="008C406C" w:rsidRPr="00333F45">
        <w:fldChar w:fldCharType="end"/>
      </w:r>
      <w:r w:rsidR="007173D4" w:rsidRPr="00333F45">
        <w:t xml:space="preserve">. </w:t>
      </w:r>
      <w:r w:rsidR="00692E42">
        <w:t xml:space="preserve">Dieting </w:t>
      </w:r>
      <w:r w:rsidR="00B925BF">
        <w:t xml:space="preserve">while trying to stop smoking is associated with worse smoking outcomes </w:t>
      </w:r>
      <w:r w:rsidR="00B925BF">
        <w:fldChar w:fldCharType="begin"/>
      </w:r>
      <w:r w:rsidR="00C72FE2">
        <w:instrText xml:space="preserve"> ADDIN ZOTERO_ITEM CSL_CITATION {"citationID":"gr6W7R2n","properties":{"formattedCitation":"(50)","plainCitation":"(50)","noteIndex":0},"citationItems":[{"id":"dxu6TYzy/fulvpbRj","uris":["http://zotero.org/users/446899/items/SXQSHKGR"],"uri":["http://zotero.org/users/446899/items/SXQSHKGR"],"itemData":{"id":7737,"type":"article-journal","title":"Issues in the Prevention of Weight Gain after Smoking Cessation","container-title":"Annals of Behavioral Medicine","page":"46-52","volume":"16","issue":"1","source":"academic.oup.com","abstract":"Abstract.  Although commonly accepted, there is essentially no direct support for the assumption that preventing weight gain after smoking cessation will improv","DOI":"10.1093/abm/16.1.46","ISSN":"0883-6612","journalAbbreviation":"Ann Behav Med","language":"en","author":[{"family":"Perkins","given":"Kenneth A."}],"issued":{"date-parts":[["1994",1,1]]}}}],"schema":"https://github.com/citation-style-language/schema/raw/master/csl-citation.json"} </w:instrText>
      </w:r>
      <w:r w:rsidR="00B925BF">
        <w:fldChar w:fldCharType="separate"/>
      </w:r>
      <w:r w:rsidR="00C72FE2" w:rsidRPr="00C72FE2">
        <w:rPr>
          <w:rFonts w:ascii="Calibri" w:hAnsi="Calibri" w:cs="Calibri"/>
        </w:rPr>
        <w:t>(50)</w:t>
      </w:r>
      <w:r w:rsidR="00B925BF">
        <w:fldChar w:fldCharType="end"/>
      </w:r>
      <w:r w:rsidR="00B925BF">
        <w:t xml:space="preserve">, and it is generally recommended smokers do not attempt to diet until several months after quitting </w:t>
      </w:r>
      <w:r w:rsidR="00B925BF">
        <w:fldChar w:fldCharType="begin"/>
      </w:r>
      <w:r w:rsidR="00C72FE2">
        <w:instrText xml:space="preserve"> ADDIN ZOTERO_ITEM CSL_CITATION {"citationID":"PO1Cdsbd","properties":{"formattedCitation":"(50)","plainCitation":"(50)","noteIndex":0},"citationItems":[{"id":"dxu6TYzy/fulvpbRj","uris":["http://zotero.org/users/446899/items/SXQSHKGR"],"uri":["http://zotero.org/users/446899/items/SXQSHKGR"],"itemData":{"id":7737,"type":"article-journal","title":"Issues in the Prevention of Weight Gain after Smoking Cessation","container-title":"Annals of Behavioral Medicine","page":"46-52","volume":"16","issue":"1","source":"academic.oup.com","abstract":"Abstract.  Although commonly accepted, there is essentially no direct support for the assumption that preventing weight gain after smoking cessation will improv","DOI":"10.1093/abm/16.1.46","ISSN":"0883-6612","journalAbbreviation":"Ann Behav Med","language":"en","author":[{"family":"Perkins","given":"Kenneth A."}],"issued":{"date-parts":[["1994",1,1]]}}}],"schema":"https://github.com/citation-style-language/schema/raw/master/csl-citation.json"} </w:instrText>
      </w:r>
      <w:r w:rsidR="00B925BF">
        <w:fldChar w:fldCharType="separate"/>
      </w:r>
      <w:r w:rsidR="00C72FE2" w:rsidRPr="00C72FE2">
        <w:rPr>
          <w:rFonts w:ascii="Calibri" w:hAnsi="Calibri" w:cs="Calibri"/>
        </w:rPr>
        <w:t>(50)</w:t>
      </w:r>
      <w:r w:rsidR="00B925BF">
        <w:fldChar w:fldCharType="end"/>
      </w:r>
      <w:r w:rsidR="00B925BF">
        <w:t xml:space="preserve">. </w:t>
      </w:r>
      <w:r w:rsidR="00AC7C5B" w:rsidRPr="00333F45">
        <w:t>It is likely that the</w:t>
      </w:r>
      <w:r w:rsidR="00FD359A" w:rsidRPr="00333F45">
        <w:t xml:space="preserve"> effectiveness </w:t>
      </w:r>
      <w:r w:rsidR="00AC7C5B" w:rsidRPr="00333F45">
        <w:t xml:space="preserve">of multiple behaviour change interventions </w:t>
      </w:r>
      <w:r w:rsidR="00CD0B11" w:rsidRPr="00333F45">
        <w:t xml:space="preserve">relies on </w:t>
      </w:r>
      <w:r w:rsidR="00CD0B11" w:rsidRPr="00CB1C1F">
        <w:t>there being a synergistic relationship between the target behaviours</w:t>
      </w:r>
      <w:r w:rsidR="00FD359A" w:rsidRPr="00CB1C1F">
        <w:t>.</w:t>
      </w:r>
      <w:r w:rsidR="00AC7C5B" w:rsidRPr="00CB1C1F">
        <w:t xml:space="preserve"> </w:t>
      </w:r>
      <w:r w:rsidR="00EB2236" w:rsidRPr="00CB1C1F">
        <w:t xml:space="preserve">The failure of the present study to find evidence of </w:t>
      </w:r>
      <w:r w:rsidR="00CD0B11" w:rsidRPr="00CB1C1F">
        <w:t>synergy</w:t>
      </w:r>
      <w:r w:rsidR="00EB2236" w:rsidRPr="00CB1C1F">
        <w:t xml:space="preserve"> between smoking and </w:t>
      </w:r>
      <w:r w:rsidR="00292AD7" w:rsidRPr="00CB1C1F">
        <w:t xml:space="preserve">low </w:t>
      </w:r>
      <w:r w:rsidR="00EB2236" w:rsidRPr="00CB1C1F">
        <w:t xml:space="preserve">physical activity on risk of chronic disease and </w:t>
      </w:r>
      <w:r w:rsidR="00EB2236" w:rsidRPr="00CB1C1F">
        <w:lastRenderedPageBreak/>
        <w:t>depressi</w:t>
      </w:r>
      <w:r w:rsidR="00AE1ED1" w:rsidRPr="00CB1C1F">
        <w:t>ve symptoms</w:t>
      </w:r>
      <w:r w:rsidR="00EB2236" w:rsidRPr="00CB1C1F">
        <w:t xml:space="preserve"> suggests targeting this combination of behaviours is unlikely to be more effective</w:t>
      </w:r>
      <w:r w:rsidR="00AF1AAC" w:rsidRPr="00CB1C1F">
        <w:t xml:space="preserve"> in reducing the risk of these adverse health outcomes</w:t>
      </w:r>
      <w:r w:rsidR="00EB2236" w:rsidRPr="00CB1C1F">
        <w:t xml:space="preserve"> than focusing on each behaviour </w:t>
      </w:r>
      <w:r w:rsidR="00B12D45" w:rsidRPr="00CB1C1F">
        <w:t>separately</w:t>
      </w:r>
      <w:r w:rsidR="00EB2236" w:rsidRPr="00CB1C1F">
        <w:t>.</w:t>
      </w:r>
      <w:r w:rsidR="0000198E" w:rsidRPr="00CB1C1F">
        <w:t xml:space="preserve"> </w:t>
      </w:r>
      <w:r w:rsidR="00D772CC" w:rsidRPr="00CB1C1F">
        <w:t xml:space="preserve">This is consistent with </w:t>
      </w:r>
      <w:r w:rsidR="006021B6" w:rsidRPr="00CB1C1F">
        <w:t xml:space="preserve">findings of </w:t>
      </w:r>
      <w:r w:rsidR="008D4FDB" w:rsidRPr="00CB1C1F">
        <w:t>RCTs</w:t>
      </w:r>
      <w:r w:rsidR="000335BD" w:rsidRPr="00CB1C1F">
        <w:t xml:space="preserve"> </w:t>
      </w:r>
      <w:r w:rsidR="006021B6" w:rsidRPr="00CB1C1F">
        <w:t>that have examined effects of physical activity as an adjunct to smoking cessation treatment.</w:t>
      </w:r>
      <w:r w:rsidR="000335BD" w:rsidRPr="00CB1C1F">
        <w:t xml:space="preserve"> </w:t>
      </w:r>
      <w:r w:rsidR="00FE4524" w:rsidRPr="00CB1C1F">
        <w:t>A 2014 Cochrane review</w:t>
      </w:r>
      <w:r w:rsidR="00AC7416" w:rsidRPr="00CB1C1F">
        <w:t xml:space="preserve"> </w:t>
      </w:r>
      <w:r w:rsidR="00AC7416" w:rsidRPr="00CB1C1F">
        <w:fldChar w:fldCharType="begin"/>
      </w:r>
      <w:r w:rsidR="006957ED">
        <w:instrText xml:space="preserve"> ADDIN ZOTERO_ITEM CSL_CITATION {"citationID":"FvuHgJkR","properties":{"formattedCitation":"(26)","plainCitation":"(26)","noteIndex":0},"citationItems":[{"id":"dxu6TYzy/yZZO34WQ","uris":["http://zotero.org/users/446899/items/FNTULRQF"],"uri":["http://zotero.org/users/446899/items/FNTULRQF"],"itemData":{"id":7463,"type":"article-journal","title":"Exercise interventions for smoking cessation","container-title":"Cochrane Database of Systematic Reviews","issue":"8","source":"www.cochranelibrary.com","URL":"https://www.cochranelibrary.com/cdsr/doi/10.1002/14651858.CD002295.pub5/full","DOI":"10.1002/14651858.CD002295.pub5","ISSN":"1465-1858","language":"en","author":[{"family":"Ussher","given":"Michael H."},{"family":"Taylor","given":"Adrian H."},{"family":"Faulkner","given":"Guy E. J."}],"issued":{"date-parts":[["2014"]]},"accessed":{"date-parts":[["2019",3,15]]}}}],"schema":"https://github.com/citation-style-language/schema/raw/master/csl-citation.json"} </w:instrText>
      </w:r>
      <w:r w:rsidR="00AC7416" w:rsidRPr="00CB1C1F">
        <w:fldChar w:fldCharType="separate"/>
      </w:r>
      <w:r w:rsidR="004837B4" w:rsidRPr="004837B4">
        <w:rPr>
          <w:rFonts w:ascii="Calibri" w:hAnsi="Calibri" w:cs="Calibri"/>
        </w:rPr>
        <w:t>(26)</w:t>
      </w:r>
      <w:r w:rsidR="00AC7416" w:rsidRPr="00CB1C1F">
        <w:fldChar w:fldCharType="end"/>
      </w:r>
      <w:r w:rsidR="00FE4524" w:rsidRPr="00CB1C1F">
        <w:t xml:space="preserve"> identified 20 RCTs (total </w:t>
      </w:r>
      <w:r w:rsidR="00FE4524" w:rsidRPr="00CB1C1F">
        <w:rPr>
          <w:i/>
        </w:rPr>
        <w:t>n</w:t>
      </w:r>
      <w:r w:rsidR="00FE4524" w:rsidRPr="00CB1C1F">
        <w:t xml:space="preserve">=5,870) that compared an exercise-only intervention or a combined exercise and smoking cessation intervention with a cessation only intervention. </w:t>
      </w:r>
      <w:r w:rsidR="00F678BB" w:rsidRPr="00CB1C1F">
        <w:t xml:space="preserve">Just two of the 20 </w:t>
      </w:r>
      <w:r w:rsidR="00F678BB" w:rsidRPr="007F1FF7">
        <w:t xml:space="preserve">trials </w:t>
      </w:r>
      <w:r w:rsidR="00AC7416" w:rsidRPr="007F1FF7">
        <w:t>found a beneficial effect of including an</w:t>
      </w:r>
      <w:r w:rsidR="00F678BB" w:rsidRPr="007F1FF7">
        <w:t xml:space="preserve"> exercise</w:t>
      </w:r>
      <w:r w:rsidR="00692E42">
        <w:t xml:space="preserve"> component on long-term</w:t>
      </w:r>
      <w:r w:rsidR="00AC7416" w:rsidRPr="007F1FF7">
        <w:t xml:space="preserve"> cessation </w:t>
      </w:r>
      <w:r w:rsidR="00AC7416" w:rsidRPr="007F1FF7">
        <w:fldChar w:fldCharType="begin"/>
      </w:r>
      <w:r w:rsidR="006957ED">
        <w:instrText xml:space="preserve"> ADDIN ZOTERO_ITEM CSL_CITATION {"citationID":"O8UcQFpE","properties":{"formattedCitation":"(26)","plainCitation":"(26)","noteIndex":0},"citationItems":[{"id":"dxu6TYzy/yZZO34WQ","uris":["http://zotero.org/users/446899/items/FNTULRQF"],"uri":["http://zotero.org/users/446899/items/FNTULRQF"],"itemData":{"id":7463,"type":"article-journal","title":"Exercise interventions for smoking cessation","container-title":"Cochrane Database of Systematic Reviews","issue":"8","source":"www.cochranelibrary.com","URL":"https://www.cochranelibrary.com/cdsr/doi/10.1002/14651858.CD002295.pub5/full","DOI":"10.1002/14651858.CD002295.pub5","ISSN":"1465-1858","language":"en","author":[{"family":"Ussher","given":"Michael H."},{"family":"Taylor","given":"Adrian H."},{"family":"Faulkner","given":"Guy E. J."}],"issued":{"date-parts":[["2014"]]},"accessed":{"date-parts":[["2019",3,15]]}}}],"schema":"https://github.com/citation-style-language/schema/raw/master/csl-citation.json"} </w:instrText>
      </w:r>
      <w:r w:rsidR="00AC7416" w:rsidRPr="007F1FF7">
        <w:fldChar w:fldCharType="separate"/>
      </w:r>
      <w:r w:rsidR="004837B4" w:rsidRPr="004837B4">
        <w:rPr>
          <w:rFonts w:ascii="Calibri" w:hAnsi="Calibri" w:cs="Calibri"/>
        </w:rPr>
        <w:t>(26)</w:t>
      </w:r>
      <w:r w:rsidR="00AC7416" w:rsidRPr="007F1FF7">
        <w:fldChar w:fldCharType="end"/>
      </w:r>
      <w:r w:rsidR="00F678BB" w:rsidRPr="007F1FF7">
        <w:t>.</w:t>
      </w:r>
    </w:p>
    <w:p w14:paraId="72C05075" w14:textId="68D4329B" w:rsidR="00C243D9" w:rsidRPr="007F1FF7" w:rsidRDefault="00EC136E" w:rsidP="003B4DCE">
      <w:r>
        <w:t xml:space="preserve">However, despite the lack of evidence for synergy between these behaviours, there are other reasons why targeting smoking and physical activity in a multiple behaviour change intervention may be beneficial. For example, changes in physical activity as a result of an intervention may interact differently with smoking compared with more spontaneous changes in physical activity (as reported in cohort studies) and especially so if the intervention is actively used to promote cessation (e.g. as a means for reducing cigarette cravings </w:t>
      </w:r>
      <w:r>
        <w:fldChar w:fldCharType="begin"/>
      </w:r>
      <w:r w:rsidR="006957ED">
        <w:instrText xml:space="preserve"> ADDIN ZOTERO_ITEM CSL_CITATION {"citationID":"9au1wDSJ","properties":{"formattedCitation":"(30)","plainCitation":"(30)","noteIndex":0},"citationItems":[{"id":"dxu6TYzy/N2k8x9JR","uris":["http://zotero.org/users/446899/items/DJ5DQGYZ"],"uri":["http://zotero.org/users/446899/items/DJ5DQGYZ"],"itemData":{"id":7637,"type":"article-journal","title":"The acute effects of physical activity on cigarette cravings: systematic review and meta-analysis with individual participant data","container-title":"Addiction (Abingdon, England)","page":"26-37","volume":"108","issue":"1","source":"PubMed","abstract":"AIMS: To conduct an updated systematic review and the first meta-analysis of experimental trials investigating the acute effects of short bouts of physical activity (PA) on strength of desire (SoD) and desire to smoke (DtS) using individual participant data (IPD).\nMETHODS: A systematic review of literature and IPD meta-analyses included trials assessing the acute effects of shorts bouts of PA on SoD and DtS among temporarily abstaining smokers not using pharmaceutical aids for smoking cessation. Authors of eligible studies were contacted and raw IPD were obtained. Two-stage and one-stage IPD random-effects meta-analyses were conducted. Participants engaging in PA were compared against control participants, using post-intervention SoD and DtS with baseline adjustments.\nRESULTS: A two-stage IPD meta-analysis assessing effects of PA on SoD yielded an average standardized mean difference (SMD) between PA and control conditions (across 15 primary studies) of -1.91 [95% confidence interval (CI): -2.59 to -1.22]. A two-stage IPD meta-analysis assessing effects of PA on DtS yielded an average SMD between PA and control conditions (across 17 primary studies) of -2.03 (95% CI: -2.60 to -1.46). Additional meta-analyses, including those using a one-stage model, those including only parallel arm studies and meta-analyses comparing only moderate exercise against a control condition, showed significant craving reduction following PA. Despite a high degree of between-study heterogeneity, effects sizes of all primary studies were in the same direction, with PA showing a greater reduction in cravings compared with controls.\nCONCLUSIONS: There is strong evidence that physical activity acutely reduces cigarette craving.","DOI":"10.1111/j.1360-0443.2012.04034.x","ISSN":"1360-0443","note":"PMID: 22861822","shortTitle":"The acute effects of physical activity on cigarette cravings","journalAbbreviation":"Addiction","language":"eng","author":[{"family":"Haasova","given":"Marcela"},{"family":"Warren","given":"Fiona C."},{"family":"Ussher","given":"Michael"},{"family":"Janse Van Rensburg","given":"Kate"},{"family":"Faulkner","given":"Guy"},{"family":"Cropley","given":"Mark"},{"family":"Byron-Daniel","given":"James"},{"family":"Everson-Hock","given":"Emma S."},{"family":"Oh","given":"Hwajung"},{"family":"Taylor","given":"Adrian H."}],"issued":{"date-parts":[["2013",1]]}}}],"schema":"https://github.com/citation-style-language/schema/raw/master/csl-citation.json"} </w:instrText>
      </w:r>
      <w:r>
        <w:fldChar w:fldCharType="separate"/>
      </w:r>
      <w:r w:rsidR="004837B4" w:rsidRPr="004837B4">
        <w:rPr>
          <w:rFonts w:ascii="Calibri" w:hAnsi="Calibri" w:cs="Calibri"/>
        </w:rPr>
        <w:t>(30)</w:t>
      </w:r>
      <w:r>
        <w:fldChar w:fldCharType="end"/>
      </w:r>
      <w:r>
        <w:t xml:space="preserve">). It is also possible that smoking and physical activity may interact in different ways depending on the timing of changes in the two behaviours </w:t>
      </w:r>
      <w:r w:rsidR="00673466">
        <w:fldChar w:fldCharType="begin"/>
      </w:r>
      <w:r w:rsidR="00C72FE2">
        <w:instrText xml:space="preserve"> ADDIN ZOTERO_ITEM CSL_CITATION {"citationID":"nPTtvTeK","properties":{"formattedCitation":"(51)","plainCitation":"(51)","noteIndex":0},"citationItems":[{"id":"dxu6TYzy/79xAyAY8","uris":["http://zotero.org/users/446899/items/NHNKQS2V"],"uri":["http://zotero.org/users/446899/items/NHNKQS2V"],"itemData":{"id":7738,"type":"article-journal","title":"Simultaneous vs sequential counseling for multiple behavior change","container-title":"Archives of Internal Medicine","page":"1152-1158","volume":"167","issue":"11","source":"PubMed","abstract":"BACKGROUND: Many patients in primary care settings present with multiple behavioral risk factors for cardiovascular disease. Research has provided little information on the most effective ways to approach multiple behavior change counseling in clinical settings.\nMETHODS: We implemented a randomized trial in a publicly funded primary care setting to test whether a sequential presentation of stage of change-based counseling to stop smoking, reduce dietary sodium level to less than 100 mEq/L per day, and increase physical activity by at least 10,000 pedometer steps per week would be more effective than simultaneous counseling. African Americans with hypertension, aged 45 to 64 years, initially nonadherent to the 3 behavioral goals, were randomized to the following conditions: (1) 1 in-clinic counseling session on all 3 behaviors every 6 months, supplemented by motivational interviewing by telephone for 18 months; (2) a similar protocol that addressed a new behavior every 6 months; or (3) 1-time referral to existing group classes (\"usual care\"). The primary end point was the proportion in each arm that met at least 2 behavioral criteria after 18 months.\nRESULTS: A total of 289 individuals (67.3% female) were randomized, and 230 (79.6%) completed the study. At 18 months, only 6.5% in the simultaneous arm, 5.2% in the sequential arm, and 6.5% in the usual-care arm met the primary end point. However, results for single behavioral goals consistently favored the simultaneous group. At 6 months, 29.6% in the simultaneous, 16.5% in the sequential, and 13.4% in the usual-care arms had reached the urine sodium goal (P = .01). At 18 months, 20.3% in the simultaneous, 16.9% in the sequential, and 10.1% in the usual-care arms were urine cotinine negative (P = .08).\nCONCLUSIONS: Long-term multiple behavior change is difficult in primary care. This study provides strong evidence that addressing multiple behaviors sequentially is not superior to, and may be inferior to, a simultaneous approach.","DOI":"10.1001/archinte.167.11.1152","ISSN":"0003-9926","note":"PMID: 17563023","journalAbbreviation":"Arch. Intern. Med.","language":"eng","author":[{"family":"Hyman","given":"David J."},{"family":"Pavlik","given":"Valory N."},{"family":"Taylor","given":"Wendell C."},{"family":"Goodrick","given":"G. Kenneth"},{"family":"Moye","given":"Lemuel"}],"issued":{"date-parts":[["2007",6,11]]}}}],"schema":"https://github.com/citation-style-language/schema/raw/master/csl-citation.json"} </w:instrText>
      </w:r>
      <w:r w:rsidR="00673466">
        <w:fldChar w:fldCharType="separate"/>
      </w:r>
      <w:r w:rsidR="00C72FE2" w:rsidRPr="00C72FE2">
        <w:rPr>
          <w:rFonts w:ascii="Calibri" w:hAnsi="Calibri" w:cs="Calibri"/>
        </w:rPr>
        <w:t>(51)</w:t>
      </w:r>
      <w:r w:rsidR="00673466">
        <w:fldChar w:fldCharType="end"/>
      </w:r>
      <w:r>
        <w:t>.</w:t>
      </w:r>
    </w:p>
    <w:p w14:paraId="34DF8566" w14:textId="66317921" w:rsidR="00D322AD" w:rsidRPr="007F1FF7" w:rsidRDefault="00430554" w:rsidP="003B4DCE">
      <w:r>
        <w:t>While</w:t>
      </w:r>
      <w:r w:rsidR="00D322AD" w:rsidRPr="007F1FF7">
        <w:t xml:space="preserve"> </w:t>
      </w:r>
      <w:r w:rsidR="00E9325A" w:rsidRPr="007F1FF7">
        <w:t>the present results provide</w:t>
      </w:r>
      <w:r w:rsidR="00D322AD" w:rsidRPr="007F1FF7">
        <w:t xml:space="preserve"> no evidence for synergistic effects of smoking and low physical activity on health, there were clear </w:t>
      </w:r>
      <w:r w:rsidR="00D322AD" w:rsidRPr="00651971">
        <w:t>additive effects</w:t>
      </w:r>
      <w:r w:rsidR="00C763E7" w:rsidRPr="00651971">
        <w:t xml:space="preserve">. Current smokers were at higher risk of incident health problems than former or never smokers. </w:t>
      </w:r>
      <w:r w:rsidR="008A1611" w:rsidRPr="00651971">
        <w:t>People</w:t>
      </w:r>
      <w:r w:rsidR="00C763E7" w:rsidRPr="00651971">
        <w:t xml:space="preserve"> </w:t>
      </w:r>
      <w:r w:rsidR="00C559A6">
        <w:t>with</w:t>
      </w:r>
      <w:r w:rsidR="00292AD7" w:rsidRPr="00651971">
        <w:t xml:space="preserve"> low </w:t>
      </w:r>
      <w:r w:rsidR="00C763E7" w:rsidRPr="00651971">
        <w:t>physical activ</w:t>
      </w:r>
      <w:r w:rsidR="00292AD7" w:rsidRPr="00651971">
        <w:t>ity</w:t>
      </w:r>
      <w:r w:rsidR="00C763E7" w:rsidRPr="00651971">
        <w:t xml:space="preserve"> were at higher risk of incident health problems than those who engaged in </w:t>
      </w:r>
      <w:r w:rsidR="00D02053" w:rsidRPr="00651971">
        <w:t>regular</w:t>
      </w:r>
      <w:r w:rsidR="00111EC1">
        <w:t xml:space="preserve"> moderate/</w:t>
      </w:r>
      <w:r w:rsidR="00C763E7" w:rsidRPr="00651971">
        <w:t>vigorous intensity physical activity.</w:t>
      </w:r>
      <w:r w:rsidR="00E30553" w:rsidRPr="00651971">
        <w:t xml:space="preserve"> The combination </w:t>
      </w:r>
      <w:r w:rsidR="00E30553" w:rsidRPr="007F1FF7">
        <w:t xml:space="preserve">of current smoking and </w:t>
      </w:r>
      <w:r w:rsidR="0061559C">
        <w:t xml:space="preserve">low </w:t>
      </w:r>
      <w:r w:rsidR="007B767B" w:rsidRPr="007F1FF7">
        <w:t>physical activity</w:t>
      </w:r>
      <w:r w:rsidR="00E30553" w:rsidRPr="007F1FF7">
        <w:t xml:space="preserve"> </w:t>
      </w:r>
      <w:r w:rsidR="00F10D4D" w:rsidRPr="007F1FF7">
        <w:t>conferred</w:t>
      </w:r>
      <w:r w:rsidR="00E30553" w:rsidRPr="007F1FF7">
        <w:t xml:space="preserve"> the highest risk</w:t>
      </w:r>
      <w:r w:rsidR="00A73584" w:rsidRPr="007F1FF7">
        <w:t xml:space="preserve"> of each outcome</w:t>
      </w:r>
      <w:r w:rsidR="00F10D4D" w:rsidRPr="007F1FF7">
        <w:t>:</w:t>
      </w:r>
      <w:r w:rsidR="00E30553" w:rsidRPr="007F1FF7">
        <w:t xml:space="preserve"> </w:t>
      </w:r>
      <w:r w:rsidR="00A73584" w:rsidRPr="007F1FF7">
        <w:t xml:space="preserve">notably, </w:t>
      </w:r>
      <w:r w:rsidR="00E30553" w:rsidRPr="007F1FF7">
        <w:t xml:space="preserve">individuals who reported both behaviours </w:t>
      </w:r>
      <w:r w:rsidR="00F10D4D" w:rsidRPr="007F1FF7">
        <w:t>had</w:t>
      </w:r>
      <w:r w:rsidR="009E1DAC">
        <w:t xml:space="preserve"> more than</w:t>
      </w:r>
      <w:r w:rsidR="00F10D4D" w:rsidRPr="007F1FF7">
        <w:t xml:space="preserve"> twice the risk of developing CHD,</w:t>
      </w:r>
      <w:r w:rsidR="00B3384C">
        <w:t xml:space="preserve"> </w:t>
      </w:r>
      <w:r w:rsidR="00F10D4D" w:rsidRPr="007F1FF7">
        <w:t>three times high</w:t>
      </w:r>
      <w:r w:rsidR="00B3384C">
        <w:t>er risk of having a stroke, and</w:t>
      </w:r>
      <w:r w:rsidR="009E1DAC">
        <w:t xml:space="preserve"> 14</w:t>
      </w:r>
      <w:r w:rsidR="00F10D4D" w:rsidRPr="007F1FF7">
        <w:t xml:space="preserve"> times higher risk of developing chronic lung disease</w:t>
      </w:r>
      <w:r w:rsidR="001C0BB6" w:rsidRPr="007F1FF7">
        <w:t xml:space="preserve"> over 12-year follow-up than</w:t>
      </w:r>
      <w:r w:rsidR="005D22B8" w:rsidRPr="007F1FF7">
        <w:t xml:space="preserve"> never smokers</w:t>
      </w:r>
      <w:r w:rsidR="00A42DF3" w:rsidRPr="007F1FF7">
        <w:t xml:space="preserve"> who engaged in regular physical activity</w:t>
      </w:r>
      <w:r w:rsidR="005D22B8" w:rsidRPr="007F1FF7">
        <w:t>.</w:t>
      </w:r>
      <w:r w:rsidR="00775BAB" w:rsidRPr="007F1FF7">
        <w:t xml:space="preserve"> </w:t>
      </w:r>
      <w:r w:rsidR="00E30553" w:rsidRPr="007F1FF7">
        <w:t xml:space="preserve">These results emphasise </w:t>
      </w:r>
      <w:r w:rsidR="00D322AD" w:rsidRPr="007F1FF7">
        <w:t xml:space="preserve">the importance of </w:t>
      </w:r>
      <w:r w:rsidR="00E30553" w:rsidRPr="007F1FF7">
        <w:t xml:space="preserve">promoting </w:t>
      </w:r>
      <w:r w:rsidR="0013553F" w:rsidRPr="007F1FF7">
        <w:t>both abstinence from smoking</w:t>
      </w:r>
      <w:r w:rsidR="000C0965" w:rsidRPr="007F1FF7">
        <w:t xml:space="preserve"> and regular physical activity, </w:t>
      </w:r>
      <w:r w:rsidR="00E30553" w:rsidRPr="007F1FF7">
        <w:t xml:space="preserve">and intervening to </w:t>
      </w:r>
      <w:r w:rsidR="000C0965" w:rsidRPr="007F1FF7">
        <w:t xml:space="preserve">encourage behaviour change </w:t>
      </w:r>
      <w:r w:rsidR="005516CC" w:rsidRPr="007F1FF7">
        <w:t xml:space="preserve">for people </w:t>
      </w:r>
      <w:r w:rsidR="007C6E45" w:rsidRPr="007F1FF7">
        <w:t>with unhealthy lifestyles</w:t>
      </w:r>
      <w:r w:rsidR="000C0965" w:rsidRPr="007F1FF7">
        <w:t>.</w:t>
      </w:r>
    </w:p>
    <w:p w14:paraId="4224643D" w14:textId="7B8A3AD7" w:rsidR="00E264C9" w:rsidRPr="0023276A" w:rsidRDefault="00E264C9" w:rsidP="00E264C9">
      <w:r w:rsidRPr="004E59AE">
        <w:t xml:space="preserve">This study had </w:t>
      </w:r>
      <w:r w:rsidR="007D17D3">
        <w:t>several</w:t>
      </w:r>
      <w:r w:rsidRPr="004E59AE">
        <w:t xml:space="preserve"> strengths. The sample was drawn from a large, nationally</w:t>
      </w:r>
      <w:r w:rsidR="00C559A6">
        <w:t>-</w:t>
      </w:r>
      <w:r w:rsidRPr="004E59AE">
        <w:t>representative cohort of older adults.</w:t>
      </w:r>
      <w:r w:rsidR="00427056" w:rsidRPr="004E59AE">
        <w:t xml:space="preserve"> </w:t>
      </w:r>
      <w:r w:rsidRPr="004E59AE">
        <w:t xml:space="preserve">The prospective design facilitated assessment of the temporal relationship between smoking and physical inactivity and future disease onset. </w:t>
      </w:r>
      <w:r w:rsidR="00DE4489">
        <w:t>Assuming the health risk behaviours have a cumulative (dose-response) effect on health outcomes, the older age of the sample meant we had a better chance of detecting an effect given longer exposure in this population group</w:t>
      </w:r>
      <w:r w:rsidR="00CD24A8">
        <w:t>.</w:t>
      </w:r>
      <w:r w:rsidR="00DE4489">
        <w:t xml:space="preserve"> </w:t>
      </w:r>
      <w:r w:rsidRPr="004E59AE">
        <w:t xml:space="preserve">Adjustment for a range of relevant </w:t>
      </w:r>
      <w:r w:rsidRPr="004E59AE">
        <w:lastRenderedPageBreak/>
        <w:t xml:space="preserve">covariates took into account potential confounders of the associations between exposures and </w:t>
      </w:r>
      <w:r w:rsidRPr="0023276A">
        <w:t>outcomes.</w:t>
      </w:r>
      <w:r w:rsidR="00C51E95" w:rsidRPr="0023276A">
        <w:t xml:space="preserve"> Findings were robust to three sensitivity analyses taking different analytic approaches.</w:t>
      </w:r>
    </w:p>
    <w:p w14:paraId="09265A52" w14:textId="21957A98" w:rsidR="00E264C9" w:rsidRDefault="00D22E1D" w:rsidP="00E264C9">
      <w:r>
        <w:t>T</w:t>
      </w:r>
      <w:r w:rsidR="00E264C9">
        <w:t>here were also</w:t>
      </w:r>
      <w:r>
        <w:t xml:space="preserve"> a number of</w:t>
      </w:r>
      <w:r w:rsidR="00E264C9">
        <w:t xml:space="preserve"> limitations. First, </w:t>
      </w:r>
      <w:r w:rsidR="00C259FE">
        <w:t>the</w:t>
      </w:r>
      <w:r w:rsidR="00E264C9">
        <w:t xml:space="preserve"> item</w:t>
      </w:r>
      <w:r w:rsidR="00C259FE">
        <w:t>s used to assess smoking status did</w:t>
      </w:r>
      <w:r w:rsidR="00E264C9">
        <w:t xml:space="preserve"> not specify regular smoking, </w:t>
      </w:r>
      <w:r w:rsidR="00C259FE">
        <w:t xml:space="preserve">meaning </w:t>
      </w:r>
      <w:r w:rsidR="00E264C9">
        <w:t>the group of former smokers encompassed a wide range of smoking histories, from very occasional use to heavy smoking.</w:t>
      </w:r>
      <w:r w:rsidR="00216D91">
        <w:t xml:space="preserve"> As such, our results may underestimate the health risks associated with former (regular) smoking.</w:t>
      </w:r>
      <w:r w:rsidR="00E264C9">
        <w:t xml:space="preserve"> Second, p</w:t>
      </w:r>
      <w:r w:rsidR="00E264C9" w:rsidRPr="00031CC2">
        <w:t xml:space="preserve">hysical activity </w:t>
      </w:r>
      <w:r w:rsidR="00E264C9">
        <w:t>was</w:t>
      </w:r>
      <w:r w:rsidR="00E264C9" w:rsidRPr="00031CC2">
        <w:t xml:space="preserve"> self-reported, introducing scope for bias. </w:t>
      </w:r>
      <w:r w:rsidR="00C709BB">
        <w:t xml:space="preserve">A recent study </w:t>
      </w:r>
      <w:r w:rsidR="007D2F14">
        <w:t>documented notable discrepancy between objective measures and self-reports of physical activity, including</w:t>
      </w:r>
      <w:r w:rsidR="00C709BB">
        <w:t xml:space="preserve"> </w:t>
      </w:r>
      <w:r w:rsidR="00C259FE">
        <w:t>an age-</w:t>
      </w:r>
      <w:r w:rsidR="00D75D81">
        <w:t xml:space="preserve">related decline in activity levels captured by </w:t>
      </w:r>
      <w:r w:rsidR="007D2F14">
        <w:t>accelerometery</w:t>
      </w:r>
      <w:r w:rsidR="00D75D81">
        <w:t xml:space="preserve"> that was not observed in self-reports</w:t>
      </w:r>
      <w:r w:rsidR="00C709BB">
        <w:t xml:space="preserve"> </w:t>
      </w:r>
      <w:r w:rsidR="00D75D81">
        <w:fldChar w:fldCharType="begin"/>
      </w:r>
      <w:r w:rsidR="00C72FE2">
        <w:instrText xml:space="preserve"> ADDIN ZOTERO_ITEM CSL_CITATION {"citationID":"45vdRTXP","properties":{"formattedCitation":"(52)","plainCitation":"(52)","noteIndex":0},"citationItems":[{"id":"dxu6TYzy/kA8fXWA3","uris":["http://zotero.org/users/446899/items/4GFWM5ZJ"],"uri":["http://zotero.org/users/446899/items/4GFWM5ZJ"],"itemData":{"id":7635,"type":"article-journal","title":"What they say and what they do: comparing physical activity across the USA, England and the Netherlands","container-title":"J Epidemiol Community Health","page":"471-476","volume":"72","issue":"6","source":"jech.bmj.com","abstract":"Background Physical activity (PA) is important for maintaining health, but there are fundamental unanswered questions on how best it should be measured.\nMethods We measured PA in the Netherlands (n=748), the USA (n=540) and England (n=254), both by a 7 day wrist-worn accelerometer and by self-reports. The self-reports included a global self-report on PA and a report on the frequency of vigorous, moderate and mild activity.\nResults The self-reported data showed only minor differences across countries and across groups within countries (such as different age groups or working vs non-working respondents). The accelerometer data, however, showed large differences; the Dutch and English appeared to be much more physically active than Americans h (For instance, among respondents aged 50 years or older 38% of Americans are in the lowest activity quintile of the Dutch distribution). In addition, accelerometer data showed a sharp decline of PA with age, while no such pattern was observed in self-reports. The differences between objective measures and self-reports occurred for both types of self-reports.\nConclusion It is clear that self-reports and objective measures tell vastly different stories, suggesting that across countries people use different response scales when answering questions about how physically active they are.","DOI":"10.1136/jech-2017-209703","ISSN":"0143-005X, 1470-2738","note":"PMID: 29643112","shortTitle":"What they say and what they do","journalAbbreviation":"J Epidemiol Community Health","language":"en","author":[{"family":"Kapteyn","given":"Arie"},{"family":"Banks","given":"James"},{"family":"Hamer","given":"Mark"},{"family":"Smith","given":"James P."},{"family":"Steptoe","given":"Andrew"},{"family":"Soest","given":"Arthur","dropping-particle":"van"},{"family":"Koster","given":"Annemarie"},{"family":"Wah","given":"Saw Htay"}],"issued":{"date-parts":[["2018",6,1]]}}}],"schema":"https://github.com/citation-style-language/schema/raw/master/csl-citation.json"} </w:instrText>
      </w:r>
      <w:r w:rsidR="00D75D81">
        <w:fldChar w:fldCharType="separate"/>
      </w:r>
      <w:r w:rsidR="00C72FE2" w:rsidRPr="00C72FE2">
        <w:rPr>
          <w:rFonts w:ascii="Calibri" w:hAnsi="Calibri" w:cs="Calibri"/>
        </w:rPr>
        <w:t>(52)</w:t>
      </w:r>
      <w:r w:rsidR="00D75D81">
        <w:fldChar w:fldCharType="end"/>
      </w:r>
      <w:r w:rsidR="00C709BB">
        <w:t xml:space="preserve">. </w:t>
      </w:r>
      <w:r w:rsidR="005A10EA">
        <w:t>In addition, l</w:t>
      </w:r>
      <w:r w:rsidR="00C1295B">
        <w:t xml:space="preserve">evels of physical activity were dichotomised for analysis, distinguishing between those who engaged in moderate or vigorous activities more than once a week and those who engaged in less frequent </w:t>
      </w:r>
      <w:r w:rsidR="00083A75">
        <w:t xml:space="preserve">moderate or vigorous activities. </w:t>
      </w:r>
      <w:r w:rsidR="005A10EA">
        <w:t>Replication of these analyses using a</w:t>
      </w:r>
      <w:r w:rsidR="00EB1682">
        <w:t xml:space="preserve"> more </w:t>
      </w:r>
      <w:r w:rsidR="005A10EA">
        <w:t xml:space="preserve">objective and </w:t>
      </w:r>
      <w:r w:rsidR="00EB1682">
        <w:t>detailed measure of phy</w:t>
      </w:r>
      <w:r w:rsidR="005A10EA">
        <w:t>sical activity would be useful in validating our results.</w:t>
      </w:r>
      <w:r w:rsidR="00083A75">
        <w:t xml:space="preserve"> </w:t>
      </w:r>
      <w:r w:rsidR="00E264C9">
        <w:t>Third, ch</w:t>
      </w:r>
      <w:r w:rsidR="00E264C9" w:rsidRPr="00B16369">
        <w:t>ronic d</w:t>
      </w:r>
      <w:r w:rsidR="00E264C9">
        <w:t xml:space="preserve">isease outcomes were based on self-reports </w:t>
      </w:r>
      <w:r w:rsidR="00E264C9" w:rsidRPr="00B16369">
        <w:t xml:space="preserve">of </w:t>
      </w:r>
      <w:r w:rsidR="00E264C9">
        <w:t>doctor</w:t>
      </w:r>
      <w:r w:rsidR="00E264C9" w:rsidRPr="00B16369">
        <w:t xml:space="preserve"> diagnosis, </w:t>
      </w:r>
      <w:r w:rsidR="00E264C9">
        <w:t xml:space="preserve">and it is possible some may have been forgotten or not reported. However, validation studies comparing self-reports against medical records generally show high agreement </w:t>
      </w:r>
      <w:r w:rsidR="00E264C9">
        <w:fldChar w:fldCharType="begin"/>
      </w:r>
      <w:r w:rsidR="00C72FE2">
        <w:instrText xml:space="preserve"> ADDIN ZOTERO_ITEM CSL_CITATION {"citationID":"JqemQHRB","properties":{"formattedCitation":"(53)","plainCitation":"(53)","noteIndex":0},"citationItems":[{"id":"dxu6TYzy/nw68iYjj","uris":["http://zotero.org/users/446899/items/6UBS4NWE"],"uri":["http://zotero.org/users/446899/items/6UBS4NWE"],"itemData":{"id":1349,"type":"article-journal","title":"Validity of Self-reported Diagnoses Leading to Hospitalization: A Comparison of Self-reports with Hospital Records in a Prospective Study of American Adults","container-title":"American Journal of Epidemiology","page":"969-977","volume":"147","issue":"10","source":"aje.oxfordjournals.org","abstract":"The authors compared interview reports with hospitalization records of participants in a nationally representative survey to determine the accuracy of self-reports of ischemic heart disease, stroke, gallbladder disease, ulcers, cataract, hip fracture, colon polyps, and cancers of the colon, breast, prostate, and lung. The study cohort consisted of 10, 523 participants from the First National Health and Nutrition Examination Survey in 1971–1975 who were aged 25–74 years at the baseline examination and who completed a follow-up interview in 1982–1984. Self-reports of hospitalization for breast cancer were confirmed as accurate for 100% of cases where a hospital record was available. Self-report accuracy was also high for Ischemic heart disease (84%), cataract (83%), and hip fracture (81 %); it was moderate for lung cancer (78%), prostate cancer (75%), gallbladder disease (74%), colon cancer (71%), and stroke (67%); but it was low for ulcers (54%) and colon polyps (32%). Some of the self-reports of ulcers (20%), hip fracture (9%), ischemic heart disease (7%), and stroke (7%) were found to reflect diagnoses of other conditions of anatomic proximity. Accuracy of self-reports improved with higher levels of education, but was not generally related to age, gender, race, alcohol use, or smoking. The results suggest that self-reports of some diseases can be taken as accurate, but self-reports of other conditions might require medical record verification in epidemiologic follow-up studies. Am J Epidemiol 1998; 147: 969–77.","ISSN":"0002-9262, 1476-6256","note":"PMID: 9596475","shortTitle":"Validity of Self-reported Diagnoses Leading to Hospitalization","journalAbbreviation":"Am. J. Epidemiol.","language":"en","author":[{"family":"Bergmann","given":"Manuela M."},{"family":"Byers","given":"Tim"},{"family":"Freedman","given":"David S."},{"family":"Mokdad","given":"Ali"}],"issued":{"date-parts":[["1998",5,15]]}}}],"schema":"https://github.com/citation-style-language/schema/raw/master/csl-citation.json"} </w:instrText>
      </w:r>
      <w:r w:rsidR="00E264C9">
        <w:fldChar w:fldCharType="separate"/>
      </w:r>
      <w:r w:rsidR="00C72FE2" w:rsidRPr="00C72FE2">
        <w:rPr>
          <w:rFonts w:ascii="Calibri" w:hAnsi="Calibri" w:cs="Calibri"/>
        </w:rPr>
        <w:t>(53)</w:t>
      </w:r>
      <w:r w:rsidR="00E264C9">
        <w:fldChar w:fldCharType="end"/>
      </w:r>
      <w:r w:rsidR="00E264C9">
        <w:t xml:space="preserve">. Fourth, while we included participants who reported the onset of </w:t>
      </w:r>
      <w:r w:rsidR="00D85328">
        <w:t>health problems</w:t>
      </w:r>
      <w:r w:rsidR="00E264C9">
        <w:t xml:space="preserve"> in any wave, regardless of whether they were retained in ELSA through to final follow-up at Wave 8, we excluded</w:t>
      </w:r>
      <w:r w:rsidR="007B767B">
        <w:t xml:space="preserve"> from our primary analyses</w:t>
      </w:r>
      <w:r w:rsidR="00E264C9">
        <w:t xml:space="preserve"> those who did not report </w:t>
      </w:r>
      <w:r w:rsidR="00D85328">
        <w:t>health problems</w:t>
      </w:r>
      <w:r w:rsidR="00E264C9">
        <w:t xml:space="preserve"> or depressive symptoms prior to dropout. This group likely included individuals suffering from the conditions we were studying, but who died before the diseases were identified or could be reported in an ELSA interview. As such, our results may underestimate the impact of our exposures on the health outcomes of </w:t>
      </w:r>
      <w:r w:rsidR="00CD3CA0">
        <w:t xml:space="preserve">interest, although a sensitivity analysis based on imputed data produced similar estimates of </w:t>
      </w:r>
      <w:r w:rsidR="007E6ED6">
        <w:t>associations</w:t>
      </w:r>
      <w:r w:rsidR="00E264C9">
        <w:t xml:space="preserve">. </w:t>
      </w:r>
      <w:r w:rsidR="00862818">
        <w:t xml:space="preserve">There were several differences between the analysed sample and participants we excluded, with the analysed sample generally more advantaged, healthier, and less likely to smoke or have low levels of physical activity. </w:t>
      </w:r>
      <w:r w:rsidR="00222E62">
        <w:t xml:space="preserve">As such, our results may not generalise to the </w:t>
      </w:r>
      <w:r w:rsidR="00222E62" w:rsidRPr="001E0DB0">
        <w:t>entire older population in England</w:t>
      </w:r>
      <w:r w:rsidR="001E0DB0" w:rsidRPr="001E0DB0">
        <w:t>. Insofar that a synergistic effect of smoking and low physical activity is greater in less advantaged groups, then the current study could have underestimated the overall effect.</w:t>
      </w:r>
      <w:r w:rsidR="00222E62" w:rsidRPr="001E0DB0">
        <w:t xml:space="preserve"> </w:t>
      </w:r>
      <w:r w:rsidR="00C067B3" w:rsidRPr="001E0DB0">
        <w:t xml:space="preserve">In addition, </w:t>
      </w:r>
      <w:r w:rsidR="00C067B3">
        <w:t>we did not model dynamic effects (i.e. the impact of changes in smoking status and physical activity across the time period on disease outcomes) which may have masked some associations</w:t>
      </w:r>
      <w:r w:rsidR="00352650">
        <w:t xml:space="preserve">, although previous analyses of the ELSA cohort suggest that smoking status and level of physical activity remain stable across waves for </w:t>
      </w:r>
      <w:r w:rsidR="00F650E3">
        <w:t>the majority of</w:t>
      </w:r>
      <w:r w:rsidR="00352650">
        <w:t xml:space="preserve"> participants</w:t>
      </w:r>
      <w:r w:rsidR="006957ED">
        <w:t xml:space="preserve"> </w:t>
      </w:r>
      <w:r w:rsidR="006957ED">
        <w:fldChar w:fldCharType="begin"/>
      </w:r>
      <w:r w:rsidR="00C72FE2">
        <w:instrText xml:space="preserve"> ADDIN ZOTERO_ITEM CSL_CITATION {"citationID":"RlQO6ryd","properties":{"formattedCitation":"(54)","plainCitation":"(54)","noteIndex":0},"citationItems":[{"id":197,"uris":["http://zotero.org/users/local/uFF3T0Zv/items/H3MQ7AF6"],"uri":["http://zotero.org/users/local/uFF3T0Zv/items/H3MQ7AF6"],"itemData":{"id":197,"type":"article-journal","title":"The dynamics of ageing: Evidence from the English Longitudinal Study of ageing 2002-12 (Wave 6)","source":"Google Scholar","shortTitle":"The dynamics of ageing","author":[{"family":"Banks","given":"James"},{"family":"Nazroo","given":"James"},{"family":"Steptoe","given":"Andrew"}],"issued":{"date-parts":[["2014"]]}}}],"schema":"https://github.com/citation-style-language/schema/raw/master/csl-citation.json"} </w:instrText>
      </w:r>
      <w:r w:rsidR="006957ED">
        <w:fldChar w:fldCharType="separate"/>
      </w:r>
      <w:r w:rsidR="00C72FE2" w:rsidRPr="00C72FE2">
        <w:rPr>
          <w:rFonts w:ascii="Calibri" w:hAnsi="Calibri" w:cs="Calibri"/>
        </w:rPr>
        <w:t>(54)</w:t>
      </w:r>
      <w:r w:rsidR="006957ED">
        <w:fldChar w:fldCharType="end"/>
      </w:r>
      <w:r w:rsidR="00C067B3">
        <w:t xml:space="preserve">. </w:t>
      </w:r>
      <w:r w:rsidR="00A20BFC">
        <w:t xml:space="preserve">Fifth, although we had a large sample, the number of incident </w:t>
      </w:r>
      <w:r w:rsidR="00C9578C">
        <w:t>diagnoses</w:t>
      </w:r>
      <w:r w:rsidR="00A20BFC">
        <w:t xml:space="preserve"> was </w:t>
      </w:r>
      <w:r w:rsidR="00C9578C">
        <w:t xml:space="preserve">relatively </w:t>
      </w:r>
      <w:r w:rsidR="00C63562">
        <w:t>small</w:t>
      </w:r>
      <w:r w:rsidR="007F7FCA">
        <w:t xml:space="preserve"> </w:t>
      </w:r>
      <w:r w:rsidR="00A20BFC">
        <w:t>meaning we likely lacked statistical power to detect significant effects.</w:t>
      </w:r>
      <w:r w:rsidR="00B93999">
        <w:t xml:space="preserve"> Indeed, Bayes factors indicated that while the data supported </w:t>
      </w:r>
      <w:r w:rsidR="00B93999">
        <w:lastRenderedPageBreak/>
        <w:t xml:space="preserve">the null hypothesis (i.e. no synergistic effects of smoking and physical activity), </w:t>
      </w:r>
      <w:r w:rsidR="005A198D">
        <w:t xml:space="preserve">there was some data insensitivity </w:t>
      </w:r>
      <w:r w:rsidR="00003434">
        <w:t>which meant</w:t>
      </w:r>
      <w:r w:rsidR="005A198D">
        <w:t xml:space="preserve"> </w:t>
      </w:r>
      <w:r w:rsidR="00B93999">
        <w:t>we were unable to rule out small and medium-sized effects.</w:t>
      </w:r>
      <w:r w:rsidR="00A20BFC">
        <w:t xml:space="preserve"> </w:t>
      </w:r>
      <w:r w:rsidR="00125C89">
        <w:t xml:space="preserve">The small number of incident cases also meant we were unable to conduct more fine-grained analyses, for example focusing on specific cancer types (e.g. lung, breast, colorectal) that might be affected by the exposures. </w:t>
      </w:r>
      <w:r w:rsidR="00E264C9">
        <w:t xml:space="preserve">Finally, while we adjusted for a range of potential confounders, there were no data available on substance misuse (aside from alcohol intake, which we controlled for) or diet quality. </w:t>
      </w:r>
      <w:r w:rsidR="00630DD0">
        <w:t xml:space="preserve">These variables have been associated to varying degrees with our exposures </w:t>
      </w:r>
      <w:r w:rsidR="00630DD0">
        <w:fldChar w:fldCharType="begin"/>
      </w:r>
      <w:r w:rsidR="00C72FE2">
        <w:instrText xml:space="preserve"> ADDIN ZOTERO_ITEM CSL_CITATION {"citationID":"wBdOmxZQ","properties":{"formattedCitation":"(15\\uc0\\u8211{}17,55)","plainCitation":"(15–17,55)","noteIndex":0},"citationItems":[{"id":"dxu6TYzy/VjyD1Gyz","uris":["http://zotero.org/users/446899/items/EJMME7SH"],"uri":["http://zotero.org/users/446899/items/EJMME7SH"],"itemData":{"id":5098,"type":"article-journal","title":"The prevalence and clustering of four major lifestyle risk factors in an English adult population","container-title":"Preventive Medicine","page":"124-128","volume":"44","issue":"2","source":"ScienceDirect","abstract":"Background\nThe aim of this study was to examine the clustering of four major lifestyle risk factors (smoking, heavy drinking, lack of fruit and vegetables consumption, and lack of physical activity), and to examine the variation across different socio-demographic groups in the English adult population.\nMethods\nThe study population was derived from the 2003 Health Survey for England (n=11,492). Clustering was examined by comparing the observed and expected prevalence of the different possible combinations. A multinomial multilevel regression model was conducted to examine the socio-demographic variation in the clustering of the four risk factors.\nResults\nThe study found that, when using British health recommendations, a majority of the English population have multiple lifestyle risk factors at the same time. Clustering was found at both ends of the lifestyle spectrum and was more pronounced for women than for men. Overall, multiple risk factors were more prevalent among men, lower social class households, singles, and people who are economically inactive, but less prevalent among homeowners and older age groups.\nConclusions\nThe clustering of multiple risk factors provides support for multiple-behavior interventions as opposed to single-behavior interventions.","DOI":"10.1016/j.ypmed.2006.10.006","ISSN":"0091-7435","journalAbbreviation":"Preventive Medicine","author":[{"family":"Poortinga","given":"Wouter"}],"issued":{"date-parts":[["2007",2,1]]}}},{"id":"dxu6TYzy/0uJSzPGX","uris":["http://zotero.org/users/446899/items/XIJ8VJ77"],"uri":["http://zotero.org/users/446899/items/XIJ8VJ77"],"itemData":{"id":5099,"type":"article-journal","title":"Clustering of risk behaviors with cigarette consumption: A population-based survey","container-title":"Preventive Medicine","page":"348-353","volume":"42","issue":"5","source":"ScienceDirect","abstract":"Objective.\nThis study assessed clustering of multiple risk behaviors (i.e., low leisure-time physical activity, low fruits/vegetables intake, and high alcohol consumption) with level of cigarette consumption.\nMethods.\nData from the 2002 Swiss Health Survey, a population-based cross-sectional telephone survey assessing health and self-reported risk behaviors, were used. 18,005 subjects (8052 men and 9953 women) aged 25 years old or more participated.\nResults.\nSmokers more frequently had low leisure time physical activity, low fruits/vegetables intake, and high alcohol consumption than non- and ex-smokers. Frequency of each risk behavior increased steadily with cigarette consumption. Clustering of risk behaviors increased with cigarette consumption in both men and women. For men, the odds ratios of multiple (≥2) risk behaviors other than smoking, adjusted for age, nationality, and educational level, were 1.14 (95% confidence interval: 0.97, 1.33) for ex-smokers, 1.24 (0.93, 1.64) for light smokers (1–9 cigarettes/day), 1.72 (1.36, 2.17) for moderate smokers (10–19 cigarettes/day), and 3.07 (2.59, 3.64) for heavy smokers (≥20 cigarettes/day) versus non-smokers. Similar odds ratios were found for women for corresponding groups, i.e., 1.01 (0.86, 1.19), 1.26 (1.00, 1.58), 1.62 (1.33, 1.98), and 2.75 (2.30, 3.29).\nConclusions.\nCounseling and intervention with smokers should take into account the strong clustering of risk behaviors with level of cigarette consumption.","DOI":"10.1016/j.ypmed.2006.01.011","ISSN":"0091-7435","shortTitle":"Clustering of risk behaviors with cigarette consumption","journalAbbreviation":"Preventive Medicine","author":[{"family":"Chiolero","given":"Arnaud"},{"family":"Wietlisbach","given":"Vincent"},{"family":"Ruffieux","given":"Christiane"},{"family":"Paccaud","given":"Fred"},{"family":"Cornuz","given":"Jacques"}],"issued":{"date-parts":[["2006",5,1]]}}},{"id":"dxu6TYzy/OYLNKBFn","uris":["http://zotero.org/users/446899/items/ZAM9LE3S"],"uri":["http://zotero.org/users/446899/items/ZAM9LE3S"],"itemData":{"id":5205,"type":"article-journal","title":"Patterns of health behavior in U.S. adults","container-title":"Preventive Medicine","page":"615-623","volume":"36","issue":"5","source":"ScienceDirect","abstract":"Background\nAssociations between health-related behaviors are important for two reasons. First, disease prevention and health promotion depend on understanding both prevalence of health behaviors and associations among such behaviors. Second, behaviors may have synergistic effects on disease risk.\nMethods\nWe document patterns of adherence to recommendations concerning five behaviors (physical activity, tobacco use, alcohol consumption, fruit and vegetable consumption, and dietary fat intake) in U.S. adults (n = 15,425) using data from the Third National Health and Nutrition Examination Survey. Division of individuals into categories associated with adherence or nonadherence to lifestyle recommendations results in 32 patterns of adherence/nonadherence.\nResults\nProportions of U.S. adults with 21 of 32 behavior patterns characterized here deviated from proportions expected if health behaviors are independent of each other. The two extreme patterns, all adherence (5.9%) and all nonadherence (4.9%), were found in about double the proportion expected. Age, gender, race/ethnicity, education, and income were associated with a number of patterns, including the two extremes.\nConclusions\nThis analysis of behavior patterns highlights population subgroups of public health importance, provides a benchmark for studies of multivariate associations between health behaviors, and supports a multidimensional model of health behavior.","DOI":"10.1016/S0091-7435(02)00067-1","ISSN":"0091-7435","journalAbbreviation":"Preventive Medicine","author":[{"family":"Berrigan","given":"David"},{"family":"Dodd","given":"Kevin"},{"family":"Troiano","given":"Richard P."},{"family":"Krebs-Smith","given":"Susan M."},{"family":"Barbash","given":"Rachel Ballard"}],"issued":{"date-parts":[["2003",5,1]]}}},{"id":"dxu6TYzy/G9duTsUX","uris":["http://zotero.org/users/446899/items/8PVX7BY4"],"uri":["http://zotero.org/users/446899/items/8PVX7BY4"],"itemData":{"id":6778,"type":"article-journal","title":"Prevalence of smoking and other health risk factors in people attending residential substance abuse treatment","container-title":"Drug and Alcohol Review","page":"638-644","volume":"31","issue":"5","source":"Wiley Online Library","abstract":"Introduction and Aims. People attending substance abuse treatment have an elevated risk of developing cardiovascular disease (CVD) and cancer. Consequently, there have been increasing calls for substance abuse treatment services to address smoking. The current study examined smoking behaviours of people attending residential substance abuse treatment. Additionally, the study examined rates of other potentially modifiable health risk factors for the development of CVD and cancer. Design and Methods. A cross-sectional survey was completed by participants attending Australian Salvation Army residential substance abuse treatment services (n = 228). Rates of smoking, exercise, dietary fat intake, body mass index and depression were identified and compared with representative community populations. The relationship between length of treatment and changes in these variables was also examined. Results. When compared with the Australian population, participants were much more likely to be current smokers. They also showed higher rates of dietary fat intake, and having had a previous diagnosis of a depressive disorder. Encouragingly, participants were more likely to be engaging in regular exercise. Over a third of all smokers reported having increased their smoking since attending the residential program, with correlational analysis suggesting that nicotine dependence was increasing the longer participants were in treatment. Discussion and Conclusions. People attending substance abuse treatment show extremely high rates of smoking (77%). With the large majority of participants showing multiple risk factors for CVD, it is important that residential services consider strategies to address smoking and the other potentially modifiable health risk factors in an integrated fashion.[Kelly PJ, Baker AL, Deane FP, Kay-Lambkin FJ, Bonevski B, Tregarthen J. Prevalence of smoking and other health risk factors in people attending residential substance abuse treatment. Drug Alcohol Rev 2012;31:638–644]","DOI":"10.1111/j.1465-3362.2012.00465.x","ISSN":"1465-3362","language":"en","author":[{"family":"Kelly","given":"Peter J."},{"family":"Baker","given":"Amanda L."},{"family":"Deane","given":"Frank P."},{"family":"Kay‐Lambkin","given":"Frances J."},{"family":"Bonevski","given":"Billie"},{"family":"Tregarthen","given":"Jenna"}],"issued":{"date-parts":[["2012"]]}}}],"schema":"https://github.com/citation-style-language/schema/raw/master/csl-citation.json"} </w:instrText>
      </w:r>
      <w:r w:rsidR="00630DD0">
        <w:fldChar w:fldCharType="separate"/>
      </w:r>
      <w:r w:rsidR="00C72FE2" w:rsidRPr="00C72FE2">
        <w:rPr>
          <w:rFonts w:ascii="Calibri" w:hAnsi="Calibri" w:cs="Calibri"/>
          <w:szCs w:val="24"/>
        </w:rPr>
        <w:t>(15–17,55)</w:t>
      </w:r>
      <w:r w:rsidR="00630DD0">
        <w:fldChar w:fldCharType="end"/>
      </w:r>
      <w:r w:rsidR="00630DD0">
        <w:t xml:space="preserve"> and outcomes of interest </w:t>
      </w:r>
      <w:r w:rsidR="00630DD0">
        <w:fldChar w:fldCharType="begin"/>
      </w:r>
      <w:r w:rsidR="00C72FE2">
        <w:instrText xml:space="preserve"> ADDIN ZOTERO_ITEM CSL_CITATION {"citationID":"MYE4AO51","properties":{"formattedCitation":"(56\\uc0\\u8211{}59)","plainCitation":"(56–59)","noteIndex":0},"citationItems":[{"id":"dxu6TYzy/ybUV3vSJ","uris":["http://zotero.org/users/446899/items/KMP6QQ9E"],"uri":["http://zotero.org/users/446899/items/KMP6QQ9E"],"itemData":{"id":6781,"type":"article-journal","title":"The association between diet quality, dietary patterns and depression in adults: a systematic review","container-title":"BMC Psychiatry","page":"175","volume":"13","issue":"1","source":"BioMed Central","abstract":"Recent evidence suggests that diet modifies key biological factors associated with the development of depression; however, associations between diet quality and depression are not fully understood. We performed a systematic review to evaluate existing evidence regarding the association between diet quality and depression.","DOI":"10.1186/1471-244X-13-175","ISSN":"1471-244X","shortTitle":"The association between diet quality, dietary patterns and depression in adults","journalAbbreviation":"BMC Psychiatry","author":[{"family":"Quirk","given":"Shae E."},{"family":"Williams","given":"Lana J."},{"family":"O’Neil","given":"Adrienne"},{"family":"Pasco","given":"Julie A."},{"family":"Jacka","given":"Felice N."},{"family":"Housden","given":"Siobhan"},{"family":"Berk","given":"Michael"},{"family":"Brennan","given":"Sharon L."}],"issued":{"date-parts":[["2013",6,27]]}}},{"id":"dxu6TYzy/6uVO3oyt","uris":["http://zotero.org/users/446899/items/WLRH9FDN"],"uri":["http://zotero.org/users/446899/items/WLRH9FDN"],"itemData":{"id":6780,"type":"article-journal","title":"A Systematic Review of the Evidence Supporting a Causal Link Between Dietary Factors and Coronary Heart Disease","container-title":"Archives of Internal Medicine","page":"659-669","volume":"169","issue":"7","source":"jamanetwork.com","abstract":"&lt;h3&gt;Background&lt;/h3&gt;&lt;p&gt;Although a wealth of literature links dietary factors and coronary heart disease (CHD), the strength of the evidence supporting valid associations has not been evaluated systematically in a single investigation.&lt;/p&gt;&lt;h3&gt;Methods&lt;/h3&gt;&lt;p&gt;We conducted a systematic search of MEDLINE for prospective cohort studies or randomized trials investigating dietary exposures in relation to CHD. We used the Bradford Hill guidelines to derive a causation score based on 4 criteria (strength, consistency, temporality, and coherence) for each dietary exposure in cohort studies and examined for consistency with the findings of randomized trials.&lt;/p&gt;&lt;h3&gt;Results&lt;/h3&gt;&lt;p&gt;Strong evidence supports valid associations (4 criteria satisfied) of protective factors, including intake of vegetables, nuts, and “Mediterranean” and high-quality dietary patterns with CHD, and associations of harmful factors, including intake of&lt;i&gt;trans&lt;/i&gt;–fatty acids and foods with a high glycemic index or load. Among studies of higher methodologic quality, there was also strong evidence for monounsaturated fatty acids and “prudent” and “western” dietary patterns. Moderate evidence (3 criteria) of associations exists for intake of fish, marine ω-3 fatty acids, folate, whole grains, dietary vitamins E and C, beta carotene, alcohol, fruit, and fiber. Insufficient evidence (≤2 criteria) of association is present for intake of supplementary vitamin E and ascorbic acid (vitamin C); saturated and polyunsaturated fatty acids; total fat; α-linolenic acid; meat; eggs; and milk. Among the dietary exposures with strong evidence of causation from cohort studies, only a Mediterranean dietary pattern is related to CHD in randomized trials.&lt;/p&gt;&lt;h3&gt;Conclusions&lt;/h3&gt;&lt;p&gt;The evidence supports a valid association of a limited number of dietary factors and dietary patterns with CHD. Future evaluation of dietary patterns, including their nutrient and food components, in cohort studies and randomized trials is recommended.&lt;/p&gt;","DOI":"10.1001/archinternmed.2009.38","ISSN":"0003-9926","journalAbbreviation":"Arch Intern Med","language":"en","author":[{"family":"Mente","given":"Andrew"},{"family":"Koning","given":"Lawrence","dropping-particle":"de"},{"family":"Shannon","given":"Harry S."},{"family":"Anand","given":"Sonia S."}],"issued":{"date-parts":[["2009",4,13]]}}},{"id":"dxu6TYzy/ohpDACsA","uris":["http://zotero.org/users/446899/items/PK9EAXMY"],"uri":["http://zotero.org/users/446899/items/PK9EAXMY"],"itemData":{"id":6779,"type":"article-journal","title":"Nutrition and cancer: A review of the evidence for an anti-cancer diet","container-title":"Nutrition Journal","page":"19","volume":"3","issue":"1","source":"BioMed Central","abstract":"It has been estimated that 30–40 percent of all cancers can be prevented by lifestyle and dietary measures alone. Obesity, nutrient sparse foods such as concentrated sugars and refined flour products that contribute to impaired glucose metabolism (which leads to diabetes), low fiber intake, consumption of red meat, and imbalance of omega 3 and omega 6 fats all contribute to excess cancer risk. Intake of flax seed, especially its lignan fraction, and abundant portions of fruits and vegetables will lower cancer risk. Allium and cruciferous vegetables are especially beneficial, with broccoli sprouts being the densest source of sulforophane. Protective elements in a cancer prevention diet include selenium, folic acid, vitamin B-12, vitamin D, chlorophyll, and antioxidants such as the carotenoids (α-carotene, β-carotene, lycopene, lutein, cryptoxanthin). Ascorbic acid has limited benefits orally, but could be very beneficial intravenously. Supplementary use of oral digestive enzymes and probiotics also has merit as anticancer dietary measures. When a diet is compiled according to the guidelines here it is likely that there would be at least a 60–70 percent decrease in breast, colorectal, and prostate cancers, and even a 40–50 percent decrease in lung cancer, along with similar reductions in cancers at other sites. Such a diet would be conducive to preventing cancer and would favor recovery from cancer as well.","DOI":"10.1186/1475-2891-3-19","ISSN":"1475-2891","shortTitle":"Nutrition and cancer","journalAbbreviation":"Nutrition Journal","author":[{"family":"Donaldson","given":"Michael S."}],"issued":{"date-parts":[["2004",10,20]]}}},{"id":"dxu6TYzy/stIWTdBF","uris":["http://zotero.org/users/446899/items/UCS2ZL5H"],"uri":["http://zotero.org/users/446899/items/UCS2ZL5H"],"itemData":{"id":6777,"type":"article-journal","title":"MEDICAL CONSEQUENCES OF SUBSTANCE ABUSE","container-title":"Psychiatric Clinics of North America","page":"351-370","volume":"22","issue":"2","source":"ScienceDirect","abstract":"Since the advent of HIV epidemic in the early 1980s, the medical care of illicit drug users has become central to national and local public health planning. Drug users are at high risk for acquiring and transmitting HIV to their social network via needle sharing, trading sex for drugs, sexual relations with steady partners, and perinatally. The association between alcohol abuse and high-risk behaviors for acquiring AIDS has more recently been demonstrated by the finding of a substantial prevalence of HIV infection among clients of alcohol-addiction treatment programs.3 Before HIV disease, life-threatening events were not new to populations of drug and alcohol abusers.10, 66 Indeed, injection-drug addicts have been found to die at seven times the rate of comparable age groups in the general population.33 Population studies have shown that heavy drinkers have an increased risk for death from cirrhosis, motor vehicle accidents, suicide, homicide, certain malignancies, and hemorrhagic cerebrovascular disease.36 Behaviors and environment often dictate health, and most addicts still reside in high-risk neighborhoods. That they die drug-related and violence-related deaths comes as no surprise. Although research on HIV disease has focused attention on injection-drug use, other routes of drug administration may lead to equally pernicious medical complications. This article is divided into four parts. The first discusses the complications of alcohol, the most commonly abused substance in the United States. The second involves the complications of injection-drug use, focusing on those illnesses that are specifically caused by needle use. Most of this literature derives from series of opiate abusers. The third section focuses on the complications of cocaine use. Cocaine produces toxicity apart from its route of administration, and these illnesses are highlighted. Finally, the complications of HIV disease that have been described in persons who use illicit drugs are presented. Because the complications that bring addicted persons to seek medical care are mostly caused by alcohol, opiate, or heroin abuse, these three drugs are the focus of this article, and discussions of other classes of drugs, including tobacco, are not included. The spectrum of disease related to drugs of abuse is broad and often insidious. Health care providers must actively consider drug use when obtaining patient histories, performing physical examinations, and considering differential diagnoses to identify drug users before severe complications occur.29 Preventive health care requires the early identification of those at risk for drug-related complications. When drug-related complications occur, providers may have a special opportunity to direct patients who are particularly receptive into drug treatment.23 The literature concerning the range of medical complications caused by alcohol, opiates, and cocaine is based on case series and individual case reports. Few large surveys documenting the long-term natural history of the complications of opiates or cocaine use exist.31 Therefore, to assess the precise toxicity of drugs of abuse is difficult because most reports do not, and cannot, report standard doses because patient histories are often unreliable and because concomitant multidrug use is common among chemically dependent persons.","DOI":"10.1016/S0193-953X(05)70081-2","ISSN":"0193-953X","journalAbbreviation":"Psychiatric Clinics of North America","author":[{"family":"Stein","given":"Michael D."}],"issued":{"date-parts":[["1999",6,1]]}}}],"schema":"https://github.com/citation-style-language/schema/raw/master/csl-citation.json"} </w:instrText>
      </w:r>
      <w:r w:rsidR="00630DD0">
        <w:fldChar w:fldCharType="separate"/>
      </w:r>
      <w:r w:rsidR="00C72FE2" w:rsidRPr="00C72FE2">
        <w:rPr>
          <w:rFonts w:ascii="Calibri" w:hAnsi="Calibri" w:cs="Calibri"/>
          <w:szCs w:val="24"/>
        </w:rPr>
        <w:t>(56–59)</w:t>
      </w:r>
      <w:r w:rsidR="00630DD0">
        <w:fldChar w:fldCharType="end"/>
      </w:r>
      <w:r w:rsidR="00630DD0">
        <w:t xml:space="preserve">. </w:t>
      </w:r>
      <w:r w:rsidR="00E264C9">
        <w:t>Further research is required to validate our findings with adjustment for these variables.</w:t>
      </w:r>
      <w:r w:rsidR="00BF1F55">
        <w:t xml:space="preserve"> There is also potential for residual confounding by socioeconomic position if there were aspects of this that were not accounted for by our adjustment for non-pension wealth.</w:t>
      </w:r>
    </w:p>
    <w:p w14:paraId="7E822C4C" w14:textId="69E26866" w:rsidR="00E831F2" w:rsidRPr="002D2DEE" w:rsidRDefault="00E831F2" w:rsidP="00E46B0B">
      <w:pPr>
        <w:pStyle w:val="Heading3"/>
      </w:pPr>
      <w:r>
        <w:t>Conclusions</w:t>
      </w:r>
    </w:p>
    <w:p w14:paraId="1F63AD52" w14:textId="334C9E93" w:rsidR="00E264C9" w:rsidRPr="00A90F02" w:rsidRDefault="00E831F2" w:rsidP="00E264C9">
      <w:pPr>
        <w:rPr>
          <w:rFonts w:eastAsiaTheme="majorEastAsia" w:cstheme="minorHAnsi"/>
          <w:b/>
          <w:bCs/>
          <w:color w:val="FF0000"/>
          <w:sz w:val="26"/>
          <w:szCs w:val="26"/>
        </w:rPr>
      </w:pPr>
      <w:r>
        <w:t>The</w:t>
      </w:r>
      <w:r w:rsidR="00C22B6F" w:rsidRPr="007677DB">
        <w:t xml:space="preserve"> present results are not suggestive of </w:t>
      </w:r>
      <w:r w:rsidR="00C36D51">
        <w:t xml:space="preserve">large </w:t>
      </w:r>
      <w:r w:rsidR="00C22B6F" w:rsidRPr="007677DB">
        <w:t xml:space="preserve">synergistic effects of smoking and </w:t>
      </w:r>
      <w:r w:rsidR="00292AD7" w:rsidRPr="007677DB">
        <w:t xml:space="preserve">low levels of </w:t>
      </w:r>
      <w:r w:rsidR="00C22B6F" w:rsidRPr="007677DB">
        <w:t>physical activity on risk of developing</w:t>
      </w:r>
      <w:r w:rsidR="009346D9" w:rsidRPr="007677DB">
        <w:t xml:space="preserve"> chronic disease or </w:t>
      </w:r>
      <w:r w:rsidR="00950C7D">
        <w:t xml:space="preserve">clinically relevant </w:t>
      </w:r>
      <w:r w:rsidR="007C2D1A">
        <w:t>depressive symptoms</w:t>
      </w:r>
      <w:r w:rsidR="00B27B89">
        <w:t xml:space="preserve"> (</w:t>
      </w:r>
      <w:r w:rsidR="00C36D51">
        <w:t xml:space="preserve">although smaller </w:t>
      </w:r>
      <w:r w:rsidR="00815A07">
        <w:t xml:space="preserve">synergistic </w:t>
      </w:r>
      <w:r w:rsidR="00C36D51">
        <w:t>effects cannot be ruled out</w:t>
      </w:r>
      <w:r w:rsidR="00B27B89">
        <w:t>)</w:t>
      </w:r>
      <w:r w:rsidR="00121814" w:rsidRPr="007677DB">
        <w:t xml:space="preserve">. However, additive effects of smoking and </w:t>
      </w:r>
      <w:r w:rsidR="00292AD7" w:rsidRPr="007677DB">
        <w:t xml:space="preserve">low </w:t>
      </w:r>
      <w:r w:rsidR="00121814" w:rsidRPr="007677DB">
        <w:t>activity were evident, underscoring the importance of each of these behaviours for disease onset.</w:t>
      </w:r>
      <w:r w:rsidR="00E264C9" w:rsidRPr="00A90F02">
        <w:rPr>
          <w:rFonts w:cstheme="minorHAnsi"/>
          <w:color w:val="FF0000"/>
        </w:rPr>
        <w:br w:type="page"/>
      </w:r>
    </w:p>
    <w:p w14:paraId="104682ED" w14:textId="4D6C7B24" w:rsidR="009E0396" w:rsidRDefault="009E0396" w:rsidP="00CC44AE">
      <w:pPr>
        <w:pStyle w:val="Heading2"/>
      </w:pPr>
      <w:r>
        <w:lastRenderedPageBreak/>
        <w:t>List of abbreviations</w:t>
      </w:r>
    </w:p>
    <w:p w14:paraId="4EFBF6EE" w14:textId="77777777" w:rsidR="009E0396" w:rsidRDefault="009E0396" w:rsidP="009E0396">
      <w:r>
        <w:t>ANOVA – analysis of variance</w:t>
      </w:r>
    </w:p>
    <w:p w14:paraId="6F9C9D0B" w14:textId="77777777" w:rsidR="00C14C9C" w:rsidRDefault="00C14C9C" w:rsidP="009E0396">
      <w:r>
        <w:t>BF – Bayes factor</w:t>
      </w:r>
    </w:p>
    <w:p w14:paraId="65BA7A4D" w14:textId="6BAD3A25" w:rsidR="009E0396" w:rsidRDefault="009E0396" w:rsidP="009E0396">
      <w:r>
        <w:t>BMI – body mass index</w:t>
      </w:r>
    </w:p>
    <w:p w14:paraId="0B57FE6C" w14:textId="217E22F3" w:rsidR="009E0396" w:rsidRDefault="009E0396" w:rsidP="009E0396">
      <w:r>
        <w:t>CHD – coronary heart disease</w:t>
      </w:r>
    </w:p>
    <w:p w14:paraId="7F0F9340" w14:textId="7B583DC7" w:rsidR="009E0396" w:rsidRDefault="009E0396" w:rsidP="009E0396">
      <w:r>
        <w:t>CI – confidence interval</w:t>
      </w:r>
    </w:p>
    <w:p w14:paraId="123D5111" w14:textId="77777777" w:rsidR="009E0396" w:rsidRDefault="009E0396" w:rsidP="009E0396">
      <w:r>
        <w:t>ELSA – English Longitudinal Study of Ageing</w:t>
      </w:r>
    </w:p>
    <w:p w14:paraId="55BCF256" w14:textId="645B00DF" w:rsidR="009E0396" w:rsidRDefault="009E0396" w:rsidP="009E0396">
      <w:r>
        <w:t>RCT – randomised controlled trial</w:t>
      </w:r>
    </w:p>
    <w:p w14:paraId="0861A60B" w14:textId="76B7182C" w:rsidR="009E0396" w:rsidRPr="009E0396" w:rsidRDefault="009E0396" w:rsidP="009E0396">
      <w:r>
        <w:t>RR – relative risk</w:t>
      </w:r>
    </w:p>
    <w:p w14:paraId="4DDCA907" w14:textId="77777777" w:rsidR="009E0396" w:rsidRDefault="009E0396">
      <w:pPr>
        <w:spacing w:after="200" w:line="276" w:lineRule="auto"/>
        <w:rPr>
          <w:rFonts w:eastAsiaTheme="majorEastAsia" w:cstheme="minorHAnsi"/>
          <w:b/>
          <w:bCs/>
          <w:sz w:val="26"/>
          <w:szCs w:val="26"/>
        </w:rPr>
      </w:pPr>
      <w:r>
        <w:br w:type="page"/>
      </w:r>
    </w:p>
    <w:p w14:paraId="05113D03" w14:textId="30EB4C58" w:rsidR="00CC44AE" w:rsidRPr="000429D0" w:rsidRDefault="00CC44AE" w:rsidP="00CC44AE">
      <w:pPr>
        <w:pStyle w:val="Heading2"/>
      </w:pPr>
      <w:r w:rsidRPr="000429D0">
        <w:lastRenderedPageBreak/>
        <w:t xml:space="preserve">Declarations </w:t>
      </w:r>
    </w:p>
    <w:p w14:paraId="015E4022" w14:textId="77777777" w:rsidR="00CC44AE" w:rsidRPr="000429D0" w:rsidRDefault="00CC44AE" w:rsidP="00CC44AE">
      <w:pPr>
        <w:pStyle w:val="Heading3"/>
      </w:pPr>
      <w:r w:rsidRPr="000429D0">
        <w:t>Ethics approval and consent to participate</w:t>
      </w:r>
    </w:p>
    <w:p w14:paraId="17CF19FE" w14:textId="34E380BC" w:rsidR="00CC44AE" w:rsidRPr="000429D0" w:rsidRDefault="00CC44AE" w:rsidP="00CC44AE">
      <w:r w:rsidRPr="000429D0">
        <w:t xml:space="preserve">Ethical approval for the </w:t>
      </w:r>
      <w:r w:rsidR="004B4ADC">
        <w:t>English Longitudinal Study of Ageing was provided by the London Multi-Centre Research Ethics Committee</w:t>
      </w:r>
      <w:r w:rsidRPr="000429D0">
        <w:t xml:space="preserve"> </w:t>
      </w:r>
      <w:r w:rsidR="00290166">
        <w:t>(</w:t>
      </w:r>
      <w:r w:rsidR="00290166" w:rsidRPr="00290166">
        <w:t xml:space="preserve">MREC/01/2/91) </w:t>
      </w:r>
      <w:r w:rsidRPr="000429D0">
        <w:t>and participants provided full informed consent.</w:t>
      </w:r>
    </w:p>
    <w:p w14:paraId="2F428940" w14:textId="0282D7A9" w:rsidR="00CC44AE" w:rsidRDefault="00CC44AE" w:rsidP="00CC44AE">
      <w:pPr>
        <w:pStyle w:val="Heading3"/>
      </w:pPr>
      <w:r w:rsidRPr="000429D0">
        <w:t>Av</w:t>
      </w:r>
      <w:r w:rsidR="00D15B40">
        <w:t>ailability of data and material</w:t>
      </w:r>
    </w:p>
    <w:p w14:paraId="05E7C60B" w14:textId="5485E3CE" w:rsidR="00471F8A" w:rsidRPr="00471F8A" w:rsidRDefault="00471F8A" w:rsidP="00471F8A">
      <w:r>
        <w:t>The raw ELSA data are freely available to download from the UK Data Service.</w:t>
      </w:r>
    </w:p>
    <w:p w14:paraId="37B649A9" w14:textId="77777777" w:rsidR="00CC44AE" w:rsidRPr="000429D0" w:rsidRDefault="00CC44AE" w:rsidP="00CC44AE">
      <w:pPr>
        <w:pStyle w:val="Heading3"/>
      </w:pPr>
      <w:r w:rsidRPr="000429D0">
        <w:t>Competing interests</w:t>
      </w:r>
    </w:p>
    <w:p w14:paraId="67349862" w14:textId="57043132" w:rsidR="00CC44AE" w:rsidRPr="000429D0" w:rsidRDefault="00D227B9" w:rsidP="00B45827">
      <w:pPr>
        <w:rPr>
          <w:shd w:val="clear" w:color="auto" w:fill="FFFFFF"/>
        </w:rPr>
      </w:pPr>
      <w:r>
        <w:rPr>
          <w:shd w:val="clear" w:color="auto" w:fill="FFFFFF"/>
        </w:rPr>
        <w:t>J</w:t>
      </w:r>
      <w:r w:rsidR="00442C32">
        <w:rPr>
          <w:shd w:val="clear" w:color="auto" w:fill="FFFFFF"/>
        </w:rPr>
        <w:t xml:space="preserve"> Brown</w:t>
      </w:r>
      <w:r w:rsidR="00CC44AE" w:rsidRPr="000429D0">
        <w:rPr>
          <w:shd w:val="clear" w:color="auto" w:fill="FFFFFF"/>
        </w:rPr>
        <w:t xml:space="preserve"> </w:t>
      </w:r>
      <w:r w:rsidR="00B45827">
        <w:rPr>
          <w:shd w:val="clear" w:color="auto" w:fill="FFFFFF"/>
        </w:rPr>
        <w:t>has</w:t>
      </w:r>
      <w:r w:rsidR="00CC44AE">
        <w:rPr>
          <w:shd w:val="clear" w:color="auto" w:fill="FFFFFF"/>
        </w:rPr>
        <w:t xml:space="preserve"> </w:t>
      </w:r>
      <w:r w:rsidR="00CC44AE" w:rsidRPr="000429D0">
        <w:rPr>
          <w:shd w:val="clear" w:color="auto" w:fill="FFFFFF"/>
        </w:rPr>
        <w:t xml:space="preserve">received unrestricted research funding from Pfizer, who manufacture smoking cessation medications. </w:t>
      </w:r>
      <w:r>
        <w:rPr>
          <w:shd w:val="clear" w:color="auto" w:fill="FFFFFF"/>
        </w:rPr>
        <w:t>L</w:t>
      </w:r>
      <w:r w:rsidR="00442C32">
        <w:rPr>
          <w:shd w:val="clear" w:color="auto" w:fill="FFFFFF"/>
        </w:rPr>
        <w:t xml:space="preserve"> Shahab</w:t>
      </w:r>
      <w:r w:rsidR="00B45827" w:rsidRPr="00B45827">
        <w:rPr>
          <w:shd w:val="clear" w:color="auto" w:fill="FFFFFF"/>
        </w:rPr>
        <w:t xml:space="preserve"> has</w:t>
      </w:r>
      <w:r w:rsidR="00B45827">
        <w:rPr>
          <w:shd w:val="clear" w:color="auto" w:fill="FFFFFF"/>
        </w:rPr>
        <w:t xml:space="preserve"> </w:t>
      </w:r>
      <w:r w:rsidR="00B45827" w:rsidRPr="00B45827">
        <w:rPr>
          <w:shd w:val="clear" w:color="auto" w:fill="FFFFFF"/>
        </w:rPr>
        <w:t>received a research grant and honoraria for a talk and</w:t>
      </w:r>
      <w:r w:rsidR="00B45827">
        <w:rPr>
          <w:shd w:val="clear" w:color="auto" w:fill="FFFFFF"/>
        </w:rPr>
        <w:t xml:space="preserve"> </w:t>
      </w:r>
      <w:r w:rsidR="00B45827" w:rsidRPr="00B45827">
        <w:rPr>
          <w:shd w:val="clear" w:color="auto" w:fill="FFFFFF"/>
        </w:rPr>
        <w:t>travel expenses from manufacturers of smoking cessation</w:t>
      </w:r>
      <w:r w:rsidR="00B45827">
        <w:rPr>
          <w:shd w:val="clear" w:color="auto" w:fill="FFFFFF"/>
        </w:rPr>
        <w:t xml:space="preserve"> </w:t>
      </w:r>
      <w:r w:rsidR="00B45827" w:rsidRPr="00B45827">
        <w:rPr>
          <w:shd w:val="clear" w:color="auto" w:fill="FFFFFF"/>
        </w:rPr>
        <w:t>medications (Pfizer and Johnson &amp; Johnson).</w:t>
      </w:r>
      <w:r w:rsidR="00B45827">
        <w:rPr>
          <w:shd w:val="clear" w:color="auto" w:fill="FFFFFF"/>
        </w:rPr>
        <w:t xml:space="preserve"> </w:t>
      </w:r>
      <w:r w:rsidR="00CC44AE" w:rsidRPr="000429D0">
        <w:rPr>
          <w:shd w:val="clear" w:color="auto" w:fill="FFFFFF"/>
        </w:rPr>
        <w:t>All authors declare no financial links with tobacco companies or e-cigarette manufacturers or their representatives.</w:t>
      </w:r>
      <w:r w:rsidR="00B639C7">
        <w:rPr>
          <w:shd w:val="clear" w:color="auto" w:fill="FFFFFF"/>
        </w:rPr>
        <w:t xml:space="preserve"> All other authors declare no competing interests.</w:t>
      </w:r>
    </w:p>
    <w:p w14:paraId="67C6C616" w14:textId="77777777" w:rsidR="00CC44AE" w:rsidRPr="000429D0" w:rsidRDefault="00CC44AE" w:rsidP="00CC44AE">
      <w:pPr>
        <w:pStyle w:val="Heading3"/>
      </w:pPr>
      <w:r w:rsidRPr="000429D0">
        <w:t>Funding</w:t>
      </w:r>
    </w:p>
    <w:p w14:paraId="4FAA15B4" w14:textId="2883DFC7" w:rsidR="00CC44AE" w:rsidRPr="000429D0" w:rsidRDefault="00553C77" w:rsidP="00CC44AE">
      <w:pPr>
        <w:rPr>
          <w:shd w:val="clear" w:color="auto" w:fill="FFFFFF"/>
        </w:rPr>
      </w:pPr>
      <w:r>
        <w:rPr>
          <w:shd w:val="clear" w:color="auto" w:fill="FFFFFF"/>
        </w:rPr>
        <w:t>This work was supported</w:t>
      </w:r>
      <w:r w:rsidR="00B64EDD">
        <w:rPr>
          <w:shd w:val="clear" w:color="auto" w:fill="FFFFFF"/>
        </w:rPr>
        <w:t xml:space="preserve"> by Cancer Research UK</w:t>
      </w:r>
      <w:r w:rsidR="00B64EDD" w:rsidRPr="000429D0">
        <w:rPr>
          <w:shd w:val="clear" w:color="auto" w:fill="FFFFFF"/>
        </w:rPr>
        <w:t xml:space="preserve"> (C1417/A22962)</w:t>
      </w:r>
      <w:r w:rsidR="00B64EDD">
        <w:rPr>
          <w:shd w:val="clear" w:color="auto" w:fill="FFFFFF"/>
        </w:rPr>
        <w:t xml:space="preserve"> and the </w:t>
      </w:r>
      <w:r>
        <w:rPr>
          <w:shd w:val="clear" w:color="auto" w:fill="FFFFFF"/>
        </w:rPr>
        <w:t>Economic and Social Research Council</w:t>
      </w:r>
      <w:r w:rsidR="00B64EDD">
        <w:rPr>
          <w:shd w:val="clear" w:color="auto" w:fill="FFFFFF"/>
        </w:rPr>
        <w:t xml:space="preserve"> (</w:t>
      </w:r>
      <w:r w:rsidR="00B64EDD" w:rsidRPr="00BA082E">
        <w:rPr>
          <w:shd w:val="clear" w:color="auto" w:fill="FFFFFF"/>
        </w:rPr>
        <w:t>ES/R005990/1).</w:t>
      </w:r>
      <w:r w:rsidR="00B64EDD" w:rsidRPr="000429D0">
        <w:rPr>
          <w:shd w:val="clear" w:color="auto" w:fill="FFFFFF"/>
        </w:rPr>
        <w:t xml:space="preserve"> </w:t>
      </w:r>
      <w:r w:rsidR="00CC44AE" w:rsidRPr="000429D0">
        <w:rPr>
          <w:shd w:val="clear" w:color="auto" w:fill="FFFFFF"/>
        </w:rPr>
        <w:t>The funders had no final role in the study design; in the collection, analysis and interpretation of data; in the writing of the report; or in the decision to submit the paper for publication. All researchers listed as authors are independent from the funders and all final decisions about the research were taken by the investigators and were unrestricted.</w:t>
      </w:r>
      <w:r w:rsidR="00CC44AE">
        <w:rPr>
          <w:shd w:val="clear" w:color="auto" w:fill="FFFFFF"/>
        </w:rPr>
        <w:t xml:space="preserve"> All</w:t>
      </w:r>
      <w:r w:rsidR="00CC44AE" w:rsidRPr="005D5454">
        <w:rPr>
          <w:shd w:val="clear" w:color="auto" w:fill="FFFFFF"/>
        </w:rPr>
        <w:t xml:space="preserve"> authors had full access to all of the data (including statistical reports and tables) in the study and can take responsibility for the integrity of the data and the accuracy of the data analysis.</w:t>
      </w:r>
    </w:p>
    <w:p w14:paraId="4B0F80D1" w14:textId="77777777" w:rsidR="00CC44AE" w:rsidRPr="000429D0" w:rsidRDefault="00CC44AE" w:rsidP="00CC44AE">
      <w:pPr>
        <w:pStyle w:val="Heading3"/>
      </w:pPr>
      <w:r w:rsidRPr="000429D0">
        <w:t>Authors’ contributions</w:t>
      </w:r>
    </w:p>
    <w:p w14:paraId="1EF1C527" w14:textId="77777777" w:rsidR="0083779E" w:rsidRDefault="0083779E" w:rsidP="0083779E">
      <w:r>
        <w:t>SE Jackson and L Smith</w:t>
      </w:r>
      <w:r w:rsidRPr="000429D0">
        <w:t xml:space="preserve"> conceived the study.</w:t>
      </w:r>
      <w:r>
        <w:t xml:space="preserve"> J Brown, M Ussher, L Shahab and A Steptoe contributed to the study design.</w:t>
      </w:r>
      <w:r w:rsidRPr="000429D0">
        <w:t xml:space="preserve"> </w:t>
      </w:r>
      <w:r>
        <w:t>SE Jackson</w:t>
      </w:r>
      <w:r w:rsidRPr="000429D0">
        <w:t xml:space="preserve"> analysed and interpreted the data</w:t>
      </w:r>
      <w:r>
        <w:t>, and</w:t>
      </w:r>
      <w:r w:rsidRPr="000429D0">
        <w:t xml:space="preserve"> drafted the manuscript. </w:t>
      </w:r>
      <w:r>
        <w:t>All authors</w:t>
      </w:r>
      <w:r w:rsidRPr="000429D0">
        <w:t xml:space="preserve"> revised the manuscript critically for intellectual content</w:t>
      </w:r>
      <w:r>
        <w:t>, and</w:t>
      </w:r>
      <w:r w:rsidRPr="000429D0">
        <w:t xml:space="preserve"> read and approved the final manuscript.</w:t>
      </w:r>
    </w:p>
    <w:p w14:paraId="323BCBE9" w14:textId="77777777" w:rsidR="00CC44AE" w:rsidRDefault="00CC44AE">
      <w:pPr>
        <w:spacing w:after="200" w:line="276" w:lineRule="auto"/>
        <w:rPr>
          <w:rFonts w:eastAsiaTheme="majorEastAsia" w:cstheme="minorHAnsi"/>
          <w:b/>
          <w:bCs/>
          <w:sz w:val="26"/>
          <w:szCs w:val="26"/>
        </w:rPr>
      </w:pPr>
      <w:bookmarkStart w:id="0" w:name="_GoBack"/>
      <w:bookmarkEnd w:id="0"/>
      <w:r>
        <w:br w:type="page"/>
      </w:r>
    </w:p>
    <w:p w14:paraId="4DFCD8BD" w14:textId="262345DC" w:rsidR="00E264C9" w:rsidRPr="00D55BAF" w:rsidRDefault="00E264C9" w:rsidP="00E264C9">
      <w:pPr>
        <w:pStyle w:val="Heading2"/>
      </w:pPr>
      <w:r w:rsidRPr="00D55BAF">
        <w:lastRenderedPageBreak/>
        <w:t>References</w:t>
      </w:r>
    </w:p>
    <w:p w14:paraId="3F736A03" w14:textId="7B69A533" w:rsidR="00824618" w:rsidRDefault="00E264C9" w:rsidP="00412936">
      <w:pPr>
        <w:pStyle w:val="Bibliography"/>
        <w:rPr>
          <w:rFonts w:ascii="Times New Roman" w:hAnsi="Times New Roman" w:cs="Times New Roman"/>
          <w:sz w:val="24"/>
          <w:szCs w:val="24"/>
        </w:rPr>
      </w:pPr>
      <w:r w:rsidRPr="00D55BAF">
        <w:fldChar w:fldCharType="begin"/>
      </w:r>
      <w:r w:rsidR="00824618">
        <w:instrText xml:space="preserve"> ADDIN ZOTERO_BIBL {"uncited":[],"omitted":[],"custom":[]} CSL_BIBLIOGRAPHY </w:instrText>
      </w:r>
      <w:r w:rsidRPr="00D55BAF">
        <w:fldChar w:fldCharType="separate"/>
      </w:r>
      <w:r w:rsidR="00824618">
        <w:rPr>
          <w:rFonts w:ascii="Times New Roman" w:hAnsi="Times New Roman" w:cs="Times New Roman"/>
          <w:sz w:val="24"/>
          <w:szCs w:val="24"/>
        </w:rPr>
        <w:t xml:space="preserve">1. </w:t>
      </w:r>
      <w:r w:rsidR="00824618">
        <w:rPr>
          <w:rFonts w:ascii="Times New Roman" w:hAnsi="Times New Roman" w:cs="Times New Roman"/>
          <w:sz w:val="24"/>
          <w:szCs w:val="24"/>
        </w:rPr>
        <w:tab/>
        <w:t>Lopez AD, Mathers CD, Ezzati M, Jamison DT, Murray CJ, editors. Global Burden of Disease and Risk Factors [Internet]. Washington (DC): World Bank; 2006 [cited 2018 Oct 2]. Available from: http://www.ncbi.nlm.nih.gov/books/NBK11812/</w:t>
      </w:r>
    </w:p>
    <w:p w14:paraId="49B6C0D8"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Warburton DER, Nicol CW, Bredin SSD. Health benefits of physical activity: the evidence. Can Med Assoc J. 2006 Mar 14;174(6):801–9. </w:t>
      </w:r>
    </w:p>
    <w:p w14:paraId="0310F5EA"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Penedo FJ, Dahn JR. Exercise and well-being: a review of mental and physical health benefits associated with physical activity. Curr Opin Psychiatry. 2005 Mar;18(2):189. </w:t>
      </w:r>
    </w:p>
    <w:p w14:paraId="3CB6C483"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U.S. Department of Health and Human Services. The Health Consequences of Smoking—50 Years of Progress: A Report of the Surgeon General. Atlanta, GA: U.S. Department of Health and Human Services, Centers for Disease Control and Prevention, National Center for Chronic Disease Prevention and Health Promotion, Office on Smoking and Health; 2014. </w:t>
      </w:r>
    </w:p>
    <w:p w14:paraId="4A9D9967"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Mokdad AH, Marks JS, Stroup DF, Gerberding JL. Actual causes of death in the United States, 2000. Jama. 2004;291(10):1238–1245. </w:t>
      </w:r>
    </w:p>
    <w:p w14:paraId="1B12DDA9"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Anthonisen NR, Skeans MA, Wise RA, Manfreda J, Kanner RE, Connett JE. The Effects of a Smoking Cessation Intervention on 14.5-Year Mortality: A Randomized Clinical Trial. Ann Intern Med. 2005 Feb 15;142(4):233–9. </w:t>
      </w:r>
    </w:p>
    <w:p w14:paraId="3DCE5CA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Hamer M, Lavoie KL, Bacon SL. Taking up physical activity in later life and healthy ageing: the English longitudinal study of ageing. Br J Sports Med. 2014 Feb 1;48(3):239–43. </w:t>
      </w:r>
    </w:p>
    <w:p w14:paraId="30C6799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Jha P, Ramasundarahettige C, Landsman V, Rostron B, Thun M, Anderson RN, et al. 21st-Century Hazards of Smoking and Benefits of Cessation in the United States. N Engl J Med. 2013 Jan 24;368(4):341–50. </w:t>
      </w:r>
    </w:p>
    <w:p w14:paraId="4932A144"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Hallgren M, Nguyen T-T-D, Herring MP, McDowell CP, Gordon BR, Stubbs B, et al. Associations of physical activity with anxiety symptoms and disorders: Findings from the Swedish National March Cohort. Gen Hosp Psychiatry. 2019 Mar 10;58:45–50. </w:t>
      </w:r>
    </w:p>
    <w:p w14:paraId="366195A1"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Schuch FB, Vancampfort D, Firth J, Rosenbaum S, Ward PB, Silva ES, et al. Physical Activity and Incident Depression: A Meta-Analysis of Prospective Cohort Studies. Am J Psychiatry. 2018 Jul 1;175(7):631–48. </w:t>
      </w:r>
    </w:p>
    <w:p w14:paraId="58B618DA"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Kendler KS, Neale MC, MacLean CJ, Heath AC, Eaves LJ, Kessler RC. Smoking and Major Depression: A Causal Analysis. Arch Gen Psychiatry. 1993 Jan 1;50(1):36–43. </w:t>
      </w:r>
    </w:p>
    <w:p w14:paraId="5CE45B74"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Fergusson DM, Goodwin RD, Horwood LJ. Major depression and cigarette smoking: results of a 21-year longitudinal study. Psychol Med. 2003 Nov;33(8):1357–67. </w:t>
      </w:r>
    </w:p>
    <w:p w14:paraId="3F955F6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Boden JM, Fergusson DM, Horwood LJ. Cigarette smoking and depression: tests of causal linkages using a longitudinal birth cohort. Br J Psychiatry. 2010 Jun;196(6):440–6. </w:t>
      </w:r>
    </w:p>
    <w:p w14:paraId="607B0D8C"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14. </w:t>
      </w:r>
      <w:r>
        <w:rPr>
          <w:rFonts w:ascii="Times New Roman" w:hAnsi="Times New Roman" w:cs="Times New Roman"/>
          <w:sz w:val="24"/>
          <w:szCs w:val="24"/>
        </w:rPr>
        <w:tab/>
        <w:t xml:space="preserve">Wootton RE, Richmond RC, Stuijfzand BG, Lawn RB, Sallis HM, Taylor GMJ, et al. Causal effects of lifetime smoking on risk for depression and schizophrenia: Evidence from a Mendelian randomisation study. bioRxiv. 2018 Dec 20;381301. </w:t>
      </w:r>
    </w:p>
    <w:p w14:paraId="6BC3A719"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Poortinga W. The prevalence and clustering of four major lifestyle risk factors in an English adult population. Prev Med. 2007 Feb 1;44(2):124–8. </w:t>
      </w:r>
    </w:p>
    <w:p w14:paraId="4BEE51DB"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Chiolero A, Wietlisbach V, Ruffieux C, Paccaud F, Cornuz J. Clustering of risk behaviors with cigarette consumption: A population-based survey. Prev Med. 2006 May 1;42(5):348–53. </w:t>
      </w:r>
    </w:p>
    <w:p w14:paraId="10C72E6E"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Berrigan D, Dodd K, Troiano RP, Krebs-Smith SM, Barbash RB. Patterns of health behavior in U.S. adults. Prev Med. 2003 May 1;36(5):615–23. </w:t>
      </w:r>
    </w:p>
    <w:p w14:paraId="444CECB4"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Marrero JA, Fontana RJ, Fu S, Conjeevaram HS, Su GL, Lok AS. Alcohol, tobacco and obesity are synergistic risk factors for hepatocellular carcinoma. J Hepatol. 2005 Feb 1;42(2):218–24. </w:t>
      </w:r>
    </w:p>
    <w:p w14:paraId="56219ED0"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Freedman DM, Sigurdson AJ, Rajaraman P, Doody MM, Linet MS, Ron E. The Mortality Risk of Smoking and Obesity Combined. Am J Prev Med. 2006 Nov;31(5):355–62. </w:t>
      </w:r>
    </w:p>
    <w:p w14:paraId="62D68134"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Li TY, Rana JS, Manson JE, Willett WC, Stampfer MJ, Colditz GA, et al. Obesity as Compared With Physical Activity in Predicting Risk of Coronary Heart Disease in Women. Circulation. 2006 Jan 31;113(4):499–506. </w:t>
      </w:r>
    </w:p>
    <w:p w14:paraId="5A279A74"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Slattery ML, Potter JD. Physical activity and colon cancer: confounding or interaction? Med Sci Sports Exerc. 2002 Jun;34(6):913–9. </w:t>
      </w:r>
    </w:p>
    <w:p w14:paraId="3C5D49EE"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Schlecht NF, Franco EL, Pintos J, Negassa A, Kowalski LP, Oliveira BV, et al. Interaction between Tobacco and Alcohol Consumption and the Risk of Cancers of the Upper Aero-Digestive Tract in Brazil. Am J Epidemiol. 1999 Dec 1;150(11):1129–37. </w:t>
      </w:r>
    </w:p>
    <w:p w14:paraId="61E9F79D"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Prochaska JJ, Prochaska JO. A Review of Multiple Health Behavior Change Interventions for Primary Prevention. Am J Lifestyle Med. 2011 May 1;5(3):208–21. </w:t>
      </w:r>
    </w:p>
    <w:p w14:paraId="67CD3F2A"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Spring B, Moller AC, Coons MJ. Multiple health behaviours: overview and implications. J Public Health Oxf Engl. 2012 Mar;34 Suppl 1:i3-10. </w:t>
      </w:r>
    </w:p>
    <w:p w14:paraId="47FD152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Alageel S, Gulliford MC, McDermott L, Wright AJ. Multiple health behaviour change interventions for primary prevention of cardiovascular disease in primary care: systematic review and meta-analysis. BMJ Open. 2017 Jun 1;7(6):e015375. </w:t>
      </w:r>
    </w:p>
    <w:p w14:paraId="5320A240"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Ussher MH, Taylor AH, Faulkner GEJ. Exercise interventions for smoking cessation. Cochrane Database Syst Rev [Internet]. 2014 [cited 2019 Mar 15];(8). Available from: https://www.cochranelibrary.com/cdsr/doi/10.1002/14651858.CD002295.pub5/full</w:t>
      </w:r>
    </w:p>
    <w:p w14:paraId="25FD567B"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Loprinzi PD, Walker JF, Kane C, Cardinal BJ. Physical activity moderates the association between nicotine dependence and depression among U.S. smokers. Am J Health Promot AJHP. 2014 Oct;29(1):37–42. </w:t>
      </w:r>
    </w:p>
    <w:p w14:paraId="02EB6F60"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28. </w:t>
      </w:r>
      <w:r>
        <w:rPr>
          <w:rFonts w:ascii="Times New Roman" w:hAnsi="Times New Roman" w:cs="Times New Roman"/>
          <w:sz w:val="24"/>
          <w:szCs w:val="24"/>
        </w:rPr>
        <w:tab/>
        <w:t xml:space="preserve">Vickers KS, Patten CA, Lane K, Clark MM, Croghan IT, Schroeder DR, et al. Depressed versus nondepressed young adult tobacco users: differences in coping style, weight concerns and exercise level. Health Psychol Off J Div Health Psychol Am Psychol Assoc. 2003 Sep;22(5):498–503. </w:t>
      </w:r>
    </w:p>
    <w:p w14:paraId="1D1C5C51"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Roberts V, Maddison R, Simpson C, Bullen C, Prapavessis H. The acute effects of exercise on cigarette cravings, withdrawal symptoms, affect, and smoking behaviour: systematic review update and meta-analysis. Psychopharmacology (Berl). 2012 Jul;222(1):1–15. </w:t>
      </w:r>
    </w:p>
    <w:p w14:paraId="640E49D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Haasova M, Warren FC, Ussher M, Janse Van Rensburg K, Faulkner G, Cropley M, et al. The acute effects of physical activity on cigarette cravings: systematic review and meta-analysis with individual participant data. Addict Abingdon Engl. 2013 Jan;108(1):26–37. </w:t>
      </w:r>
    </w:p>
    <w:p w14:paraId="1334D49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Bernard P, Ninot G, Cyprien F, Courtet P, Guillaume S, Georgescu V, et al. Exercise and Counseling for Smoking Cessation in Smokers With Depressive Symptoms: A Randomized Controlled Pilot Trial. J Dual Diagn. 2015;11(3–4):205–16. </w:t>
      </w:r>
    </w:p>
    <w:p w14:paraId="6CCB8F5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Korhonen T, Goodwin A, Miesmaa P, Dupuis EA, Kinnunen T. Smoking cessation program with exercise improves cardiovascular disease biomarkers in sedentary women. J Womens Health 2002. 2011 Jul;20(7):1051–64. </w:t>
      </w:r>
    </w:p>
    <w:p w14:paraId="58482167"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Koubaa A, Triki M, Trabelsi H, Baati H, Sahnoun Z, Hakim A. The effect of a 12-week moderate intensity interval training program on the antioxidant defense capability and lipid profile in men smoking cigarettes or hookah: a cohort study. ScientificWorldJournal. 2015;2015:639369. </w:t>
      </w:r>
    </w:p>
    <w:p w14:paraId="623649DA"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Garcia-Aymerich J, Lange P, Benet M, Schnohr P, Antó JM. Regular Physical Activity Modifies Smoking-related Lung Function Decline and Reduces Risk of Chronic Obstructive Pulmonary Disease. Am J Respir Crit Care Med. 2007 Mar 1;175(5):458–63. </w:t>
      </w:r>
    </w:p>
    <w:p w14:paraId="57BC1D71"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Luo J, Iwasaki M, Inoue M, Sasazuki S, Otani T, Ye W, et al. Body mass index, physical activity and the risk of pancreatic cancer in relation to smoking status and history of diabetes: a large-scale population-based cohort study in Japan–The JPHC study. Cancer Causes Control. 2007 Aug 1;18(6):603–12. </w:t>
      </w:r>
    </w:p>
    <w:p w14:paraId="66C24B7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Erens B, Primatesta P. Health survey for England 2000: cardiovascular disease. Lond Station Off. 2001; </w:t>
      </w:r>
    </w:p>
    <w:p w14:paraId="46D5349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Demakakos P, Hamer M, Stamatakis E, Steptoe A. Low-intensity physical activity is associated with reduced risk of incident type 2 diabetes in older adults: evidence from the English Longitudinal Study of Ageing. Diabetologia. 2010 May 22;53:1877–85. </w:t>
      </w:r>
    </w:p>
    <w:p w14:paraId="7C509A4A"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Hamer M, Stamatakis E. Screen-Based Sedentary Behavior, Physical Activity, and Muscle Strength in the English Longitudinal Study of Ageing. PLOS ONE. 2013 Jun 3;8(6):e66222. </w:t>
      </w:r>
    </w:p>
    <w:p w14:paraId="3B3C039E"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Hamer M, Stamatakis E. Prospective Study of Sedentary Behavior, Risk of Depression, and Cognitive Impairment. Med Sci Sports Exerc. 2014 Apr 1;46(4):718–23. </w:t>
      </w:r>
    </w:p>
    <w:p w14:paraId="08638C4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40. </w:t>
      </w:r>
      <w:r>
        <w:rPr>
          <w:rFonts w:ascii="Times New Roman" w:hAnsi="Times New Roman" w:cs="Times New Roman"/>
          <w:sz w:val="24"/>
          <w:szCs w:val="24"/>
        </w:rPr>
        <w:tab/>
        <w:t xml:space="preserve">Hamer M, Molloy GJ, de Oliveira C, Demakakos P. Leisure time physical activity, risk of depressive symptoms, and inflammatory mediators: the English Longitudinal Study of Ageing. Psychoneuroendocrinology. 2009 Aug;34(7):1050–5. </w:t>
      </w:r>
    </w:p>
    <w:p w14:paraId="6E087ADE"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Hamer M, de Oliveira C, Demakakos P. Non-exercise physical activity and survival: English longitudinal study of ageing. Am J Prev Med. 2014 Oct;47(4):452–60. </w:t>
      </w:r>
    </w:p>
    <w:p w14:paraId="565E8E0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Steptoe A, Jackson SE. The Life Skills of Older Americans: Association with Economic, Psychological, Social, and Health Outcomes. Sci Rep. 2018 Jul 5;8(1):9669. </w:t>
      </w:r>
    </w:p>
    <w:p w14:paraId="047ACA35"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DeSalvo KB, Bloser N, Reynolds K, He J, Muntner P. Mortality prediction with a single general self-rated health question. A meta-analysis. J Gen Intern Med. 2006 Mar;21(3):267–75. </w:t>
      </w:r>
    </w:p>
    <w:p w14:paraId="75AC00C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Jackson SE, Hackett RA, Steptoe A. Associations between age discrimination and health and wellbeing: cross-sectional and prospective analysis of the English Longitudinal Study of Ageing. Lancet Public Health. 2019;in press. </w:t>
      </w:r>
    </w:p>
    <w:p w14:paraId="62A7EFD2"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Radloff LS. The CES-D scale. Appl Psychol Meas. 1977;1(3):385–401. </w:t>
      </w:r>
    </w:p>
    <w:p w14:paraId="5FA83769"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Steffick DE. Documentation of affective functioning measures in the Health and Retirement Study. HRS Documentation Report DR-005; 2000. </w:t>
      </w:r>
    </w:p>
    <w:p w14:paraId="5362951B"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Banks J, Karlsen S, Oldfield Z. Socio-economic position. 2003 [cited 2014 Mar 4]; Available from: http://discovery.ucl.ac.uk/15366/1/15366.pdf</w:t>
      </w:r>
    </w:p>
    <w:p w14:paraId="07FEFE1C"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Loprinzi PD, Walker JF. Nicotine Dependence, Physical Activity, and Sedentary Behavior among Adult Smokers. North Am J Med Sci. 2015 Mar;7(3):94–9. </w:t>
      </w:r>
    </w:p>
    <w:p w14:paraId="5C672EB8"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Sweet SN, Fortier MS. Improving Physical Activity and Dietary Behaviours with Single or Multiple Health Behaviour Interventions? A Synthesis of Meta-Analyses and Reviews. Int J Environ Res Public Health. 2010 Apr;7(4):1720–43. </w:t>
      </w:r>
    </w:p>
    <w:p w14:paraId="7D782BAC"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Perkins KA. Issues in the Prevention of Weight Gain after Smoking Cessation. Ann Behav Med. 1994 Jan 1;16(1):46–52. </w:t>
      </w:r>
    </w:p>
    <w:p w14:paraId="063055BB"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Hyman DJ, Pavlik VN, Taylor WC, Goodrick GK, Moye L. Simultaneous vs sequential counseling for multiple behavior change. Arch Intern Med. 2007 Jun 11;167(11):1152–8. </w:t>
      </w:r>
    </w:p>
    <w:p w14:paraId="07559E4F"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Kapteyn A, Banks J, Hamer M, Smith JP, Steptoe A, Soest A van, et al. What they say and what they do: comparing physical activity across the USA, England and the Netherlands. J Epidemiol Community Health. 2018 Jun 1;72(6):471–6. </w:t>
      </w:r>
    </w:p>
    <w:p w14:paraId="7AA6F917"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Bergmann MM, Byers T, Freedman DS, Mokdad A. Validity of Self-reported Diagnoses Leading to Hospitalization: A Comparison of Self-reports with Hospital Records in a Prospective Study of American Adults. Am J Epidemiol. 1998 May 15;147(10):969–77. </w:t>
      </w:r>
    </w:p>
    <w:p w14:paraId="72AED0A1"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Banks J, Nazroo J, Steptoe A. The dynamics of ageing: Evidence from the English Longitudinal Study of ageing 2002-12 (Wave 6). 2014; </w:t>
      </w:r>
    </w:p>
    <w:p w14:paraId="37869245"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lastRenderedPageBreak/>
        <w:t xml:space="preserve">55. </w:t>
      </w:r>
      <w:r>
        <w:rPr>
          <w:rFonts w:ascii="Times New Roman" w:hAnsi="Times New Roman" w:cs="Times New Roman"/>
          <w:sz w:val="24"/>
          <w:szCs w:val="24"/>
        </w:rPr>
        <w:tab/>
        <w:t xml:space="preserve">Kelly PJ, Baker AL, Deane FP, Kay‐Lambkin FJ, Bonevski B, Tregarthen J. Prevalence of smoking and other health risk factors in people attending residential substance abuse treatment. Drug Alcohol Rev. 2012;31(5):638–44. </w:t>
      </w:r>
    </w:p>
    <w:p w14:paraId="40A63C8E"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Quirk SE, Williams LJ, O’Neil A, Pasco JA, Jacka FN, Housden S, et al. The association between diet quality, dietary patterns and depression in adults: a systematic review. BMC Psychiatry. 2013 Jun 27;13(1):175. </w:t>
      </w:r>
    </w:p>
    <w:p w14:paraId="446DE51C"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57. </w:t>
      </w:r>
      <w:r>
        <w:rPr>
          <w:rFonts w:ascii="Times New Roman" w:hAnsi="Times New Roman" w:cs="Times New Roman"/>
          <w:sz w:val="24"/>
          <w:szCs w:val="24"/>
        </w:rPr>
        <w:tab/>
        <w:t xml:space="preserve">Mente A, Koning L de, Shannon HS, Anand SS. A Systematic Review of the Evidence Supporting a Causal Link Between Dietary Factors and Coronary Heart Disease. Arch Intern Med. 2009 Apr 13;169(7):659–69. </w:t>
      </w:r>
    </w:p>
    <w:p w14:paraId="46FB2EA0"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Donaldson MS. Nutrition and cancer: A review of the evidence for an anti-cancer diet. Nutr J. 2004 Oct 20;3(1):19. </w:t>
      </w:r>
    </w:p>
    <w:p w14:paraId="2D388698" w14:textId="77777777" w:rsidR="00824618" w:rsidRDefault="00824618" w:rsidP="00412936">
      <w:pPr>
        <w:pStyle w:val="Bibliography"/>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Stein MD. MEDICAL CONSEQUENCES OF SUBSTANCE ABUSE. Psychiatr Clin North Am. 1999 Jun 1;22(2):351–70. </w:t>
      </w:r>
    </w:p>
    <w:p w14:paraId="20DAF866" w14:textId="342894D8" w:rsidR="00E264C9" w:rsidRPr="00D55BAF" w:rsidRDefault="00E264C9" w:rsidP="00E264C9">
      <w:pPr>
        <w:rPr>
          <w:rFonts w:cstheme="minorHAnsi"/>
        </w:rPr>
      </w:pPr>
      <w:r w:rsidRPr="00D55BAF">
        <w:rPr>
          <w:rFonts w:cstheme="minorHAnsi"/>
        </w:rPr>
        <w:fldChar w:fldCharType="end"/>
      </w:r>
    </w:p>
    <w:p w14:paraId="0B7820F9" w14:textId="1F889B72" w:rsidR="00E264C9" w:rsidRPr="009D1179" w:rsidRDefault="009D1179" w:rsidP="009D1179">
      <w:pPr>
        <w:pStyle w:val="Heading2"/>
        <w:sectPr w:rsidR="00E264C9" w:rsidRPr="009D1179" w:rsidSect="006C1529">
          <w:footerReference w:type="default" r:id="rId11"/>
          <w:pgSz w:w="12240" w:h="15840" w:code="1"/>
          <w:pgMar w:top="1440" w:right="1247" w:bottom="1440" w:left="1304" w:header="720" w:footer="720" w:gutter="0"/>
          <w:cols w:space="720"/>
          <w:noEndnote/>
          <w:docGrid w:linePitch="299"/>
        </w:sectPr>
      </w:pPr>
      <w:r>
        <w:t xml:space="preserve"> </w:t>
      </w:r>
    </w:p>
    <w:tbl>
      <w:tblPr>
        <w:tblStyle w:val="TableGrid"/>
        <w:tblW w:w="14348"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74"/>
        <w:gridCol w:w="3413"/>
        <w:gridCol w:w="1506"/>
        <w:gridCol w:w="235"/>
        <w:gridCol w:w="1294"/>
        <w:gridCol w:w="1506"/>
        <w:gridCol w:w="1495"/>
        <w:gridCol w:w="828"/>
        <w:gridCol w:w="232"/>
        <w:gridCol w:w="1296"/>
        <w:gridCol w:w="1439"/>
        <w:gridCol w:w="830"/>
      </w:tblGrid>
      <w:tr w:rsidR="00EA6D66" w14:paraId="4F23E3EA" w14:textId="77777777" w:rsidTr="008414A3">
        <w:tc>
          <w:tcPr>
            <w:tcW w:w="14348" w:type="dxa"/>
            <w:gridSpan w:val="12"/>
            <w:tcBorders>
              <w:top w:val="nil"/>
            </w:tcBorders>
          </w:tcPr>
          <w:p w14:paraId="7965BD81" w14:textId="723355BD" w:rsidR="00EA6D66" w:rsidRDefault="00EA6D66" w:rsidP="008D399B">
            <w:pPr>
              <w:spacing w:after="0" w:line="240" w:lineRule="auto"/>
            </w:pPr>
            <w:bookmarkStart w:id="1" w:name="_Hlk4415226"/>
            <w:r>
              <w:rPr>
                <w:b/>
              </w:rPr>
              <w:lastRenderedPageBreak/>
              <w:t xml:space="preserve">Table 1. </w:t>
            </w:r>
            <w:r>
              <w:t xml:space="preserve">Sample characteristics at baseline overall and in relation to smoking status and level of physical activity </w:t>
            </w:r>
          </w:p>
        </w:tc>
      </w:tr>
      <w:tr w:rsidR="005F6AEC" w:rsidRPr="00A90F02" w14:paraId="42A64E82" w14:textId="77777777" w:rsidTr="00EA6D66">
        <w:tc>
          <w:tcPr>
            <w:tcW w:w="3687" w:type="dxa"/>
            <w:gridSpan w:val="2"/>
            <w:tcBorders>
              <w:bottom w:val="nil"/>
            </w:tcBorders>
          </w:tcPr>
          <w:p w14:paraId="2EEB7122" w14:textId="77777777" w:rsidR="005F6AEC" w:rsidRPr="00A90F02" w:rsidRDefault="005F6AEC" w:rsidP="008D399B">
            <w:pPr>
              <w:spacing w:after="0" w:line="240" w:lineRule="auto"/>
              <w:rPr>
                <w:color w:val="FF0000"/>
              </w:rPr>
            </w:pPr>
          </w:p>
        </w:tc>
        <w:tc>
          <w:tcPr>
            <w:tcW w:w="1506" w:type="dxa"/>
            <w:vMerge w:val="restart"/>
            <w:vAlign w:val="center"/>
          </w:tcPr>
          <w:p w14:paraId="195FF920" w14:textId="77777777" w:rsidR="005F6AEC" w:rsidRPr="00AC5C0A" w:rsidRDefault="005F6AEC" w:rsidP="008D399B">
            <w:pPr>
              <w:spacing w:after="0" w:line="240" w:lineRule="auto"/>
              <w:jc w:val="center"/>
            </w:pPr>
            <w:r w:rsidRPr="00AC5C0A">
              <w:t>Whole sample</w:t>
            </w:r>
          </w:p>
          <w:p w14:paraId="11E4F6F3" w14:textId="77777777" w:rsidR="005F6AEC" w:rsidRPr="00AC5C0A" w:rsidRDefault="005F6AEC" w:rsidP="008D399B">
            <w:pPr>
              <w:spacing w:after="0" w:line="240" w:lineRule="auto"/>
              <w:jc w:val="center"/>
            </w:pPr>
            <w:r w:rsidRPr="00AC5C0A">
              <w:t>(</w:t>
            </w:r>
            <w:r w:rsidRPr="00AC5C0A">
              <w:rPr>
                <w:i/>
              </w:rPr>
              <w:t>n</w:t>
            </w:r>
            <w:r w:rsidRPr="00AC5C0A">
              <w:t>=6425)</w:t>
            </w:r>
          </w:p>
        </w:tc>
        <w:tc>
          <w:tcPr>
            <w:tcW w:w="235" w:type="dxa"/>
            <w:tcBorders>
              <w:bottom w:val="nil"/>
            </w:tcBorders>
          </w:tcPr>
          <w:p w14:paraId="17E29635" w14:textId="77777777" w:rsidR="005F6AEC" w:rsidRPr="00A90F02" w:rsidRDefault="005F6AEC" w:rsidP="008D399B">
            <w:pPr>
              <w:spacing w:after="0" w:line="240" w:lineRule="auto"/>
              <w:jc w:val="center"/>
              <w:rPr>
                <w:color w:val="FF0000"/>
              </w:rPr>
            </w:pPr>
          </w:p>
        </w:tc>
        <w:tc>
          <w:tcPr>
            <w:tcW w:w="4295" w:type="dxa"/>
            <w:gridSpan w:val="3"/>
          </w:tcPr>
          <w:p w14:paraId="6AA91F21" w14:textId="2F25D4D5" w:rsidR="005F6AEC" w:rsidRPr="00930C01" w:rsidRDefault="005F6AEC" w:rsidP="008D399B">
            <w:pPr>
              <w:spacing w:after="0" w:line="240" w:lineRule="auto"/>
              <w:jc w:val="center"/>
            </w:pPr>
            <w:r w:rsidRPr="00930C01">
              <w:t>Smoking status</w:t>
            </w:r>
          </w:p>
        </w:tc>
        <w:tc>
          <w:tcPr>
            <w:tcW w:w="828" w:type="dxa"/>
          </w:tcPr>
          <w:p w14:paraId="2A3FD9F2" w14:textId="77777777" w:rsidR="005F6AEC" w:rsidRPr="00930C01" w:rsidRDefault="005F6AEC" w:rsidP="008D399B">
            <w:pPr>
              <w:spacing w:after="0" w:line="240" w:lineRule="auto"/>
              <w:jc w:val="center"/>
            </w:pPr>
          </w:p>
        </w:tc>
        <w:tc>
          <w:tcPr>
            <w:tcW w:w="232" w:type="dxa"/>
            <w:tcBorders>
              <w:bottom w:val="nil"/>
            </w:tcBorders>
          </w:tcPr>
          <w:p w14:paraId="751C37CF" w14:textId="14660E50" w:rsidR="005F6AEC" w:rsidRPr="00930C01" w:rsidRDefault="005F6AEC" w:rsidP="008D399B">
            <w:pPr>
              <w:spacing w:after="0" w:line="240" w:lineRule="auto"/>
              <w:jc w:val="center"/>
            </w:pPr>
          </w:p>
        </w:tc>
        <w:tc>
          <w:tcPr>
            <w:tcW w:w="3565" w:type="dxa"/>
            <w:gridSpan w:val="3"/>
          </w:tcPr>
          <w:p w14:paraId="546EF798" w14:textId="17C0ACF4" w:rsidR="005F6AEC" w:rsidRPr="00A90F02" w:rsidRDefault="005F6AEC" w:rsidP="008D399B">
            <w:pPr>
              <w:spacing w:after="0" w:line="240" w:lineRule="auto"/>
              <w:jc w:val="center"/>
              <w:rPr>
                <w:color w:val="FF0000"/>
              </w:rPr>
            </w:pPr>
            <w:r w:rsidRPr="00930C01">
              <w:t>Physical activity</w:t>
            </w:r>
          </w:p>
        </w:tc>
      </w:tr>
      <w:tr w:rsidR="00EA6D66" w:rsidRPr="00A90F02" w14:paraId="3914B118" w14:textId="77777777" w:rsidTr="00EA6D66">
        <w:tc>
          <w:tcPr>
            <w:tcW w:w="3687" w:type="dxa"/>
            <w:gridSpan w:val="2"/>
            <w:tcBorders>
              <w:top w:val="nil"/>
              <w:bottom w:val="single" w:sz="4" w:space="0" w:color="auto"/>
            </w:tcBorders>
          </w:tcPr>
          <w:p w14:paraId="011EA54D" w14:textId="77777777" w:rsidR="005F6AEC" w:rsidRPr="00A90F02" w:rsidRDefault="005F6AEC" w:rsidP="006959FB">
            <w:pPr>
              <w:spacing w:after="0" w:line="240" w:lineRule="auto"/>
              <w:rPr>
                <w:color w:val="FF0000"/>
              </w:rPr>
            </w:pPr>
          </w:p>
        </w:tc>
        <w:tc>
          <w:tcPr>
            <w:tcW w:w="1506" w:type="dxa"/>
            <w:vMerge/>
            <w:tcBorders>
              <w:bottom w:val="single" w:sz="4" w:space="0" w:color="auto"/>
            </w:tcBorders>
          </w:tcPr>
          <w:p w14:paraId="0FB826CF" w14:textId="77777777" w:rsidR="005F6AEC" w:rsidRPr="00AC5C0A" w:rsidRDefault="005F6AEC" w:rsidP="006959FB">
            <w:pPr>
              <w:spacing w:after="0" w:line="240" w:lineRule="auto"/>
              <w:jc w:val="center"/>
            </w:pPr>
          </w:p>
        </w:tc>
        <w:tc>
          <w:tcPr>
            <w:tcW w:w="235" w:type="dxa"/>
            <w:tcBorders>
              <w:top w:val="nil"/>
              <w:bottom w:val="single" w:sz="4" w:space="0" w:color="auto"/>
            </w:tcBorders>
          </w:tcPr>
          <w:p w14:paraId="26B590A5" w14:textId="77777777" w:rsidR="005F6AEC" w:rsidRPr="00A90F02" w:rsidRDefault="005F6AEC" w:rsidP="006959FB">
            <w:pPr>
              <w:spacing w:after="0" w:line="240" w:lineRule="auto"/>
              <w:jc w:val="center"/>
              <w:rPr>
                <w:color w:val="FF0000"/>
              </w:rPr>
            </w:pPr>
          </w:p>
        </w:tc>
        <w:tc>
          <w:tcPr>
            <w:tcW w:w="1294" w:type="dxa"/>
            <w:tcBorders>
              <w:bottom w:val="single" w:sz="4" w:space="0" w:color="auto"/>
            </w:tcBorders>
          </w:tcPr>
          <w:p w14:paraId="672A434F" w14:textId="7EBBE56C" w:rsidR="005F6AEC" w:rsidRPr="00930C01" w:rsidRDefault="005F6AEC" w:rsidP="006959FB">
            <w:pPr>
              <w:spacing w:after="0" w:line="240" w:lineRule="auto"/>
              <w:jc w:val="center"/>
            </w:pPr>
            <w:r w:rsidRPr="00930C01">
              <w:t>Never smoker (</w:t>
            </w:r>
            <w:r w:rsidRPr="00930C01">
              <w:rPr>
                <w:i/>
              </w:rPr>
              <w:t>n</w:t>
            </w:r>
            <w:r w:rsidRPr="00930C01">
              <w:t>=</w:t>
            </w:r>
            <w:r>
              <w:t>2387</w:t>
            </w:r>
            <w:r w:rsidRPr="00930C01">
              <w:t>)</w:t>
            </w:r>
          </w:p>
        </w:tc>
        <w:tc>
          <w:tcPr>
            <w:tcW w:w="1506" w:type="dxa"/>
            <w:tcBorders>
              <w:bottom w:val="single" w:sz="4" w:space="0" w:color="auto"/>
            </w:tcBorders>
          </w:tcPr>
          <w:p w14:paraId="20B4E8EE" w14:textId="26DEFA83" w:rsidR="005F6AEC" w:rsidRPr="00930C01" w:rsidRDefault="005F6AEC" w:rsidP="006959FB">
            <w:pPr>
              <w:spacing w:after="0" w:line="240" w:lineRule="auto"/>
              <w:jc w:val="center"/>
            </w:pPr>
            <w:r w:rsidRPr="00930C01">
              <w:t>Former smoker (</w:t>
            </w:r>
            <w:r w:rsidRPr="00930C01">
              <w:rPr>
                <w:i/>
              </w:rPr>
              <w:t>n</w:t>
            </w:r>
            <w:r w:rsidRPr="00930C01">
              <w:t>=</w:t>
            </w:r>
            <w:r>
              <w:t>3141</w:t>
            </w:r>
            <w:r w:rsidRPr="00930C01">
              <w:t>)</w:t>
            </w:r>
          </w:p>
        </w:tc>
        <w:tc>
          <w:tcPr>
            <w:tcW w:w="1495" w:type="dxa"/>
            <w:tcBorders>
              <w:bottom w:val="single" w:sz="4" w:space="0" w:color="auto"/>
            </w:tcBorders>
          </w:tcPr>
          <w:p w14:paraId="53A8D82C" w14:textId="50689E2F" w:rsidR="005F6AEC" w:rsidRPr="00930C01" w:rsidRDefault="005F6AEC" w:rsidP="006959FB">
            <w:pPr>
              <w:spacing w:after="0" w:line="240" w:lineRule="auto"/>
              <w:jc w:val="center"/>
            </w:pPr>
            <w:r w:rsidRPr="00930C01">
              <w:t>Current smoker (</w:t>
            </w:r>
            <w:r w:rsidRPr="00930C01">
              <w:rPr>
                <w:i/>
              </w:rPr>
              <w:t>n</w:t>
            </w:r>
            <w:r w:rsidRPr="00930C01">
              <w:t>=</w:t>
            </w:r>
            <w:r>
              <w:t>897</w:t>
            </w:r>
            <w:r w:rsidRPr="00930C01">
              <w:t>)</w:t>
            </w:r>
          </w:p>
        </w:tc>
        <w:tc>
          <w:tcPr>
            <w:tcW w:w="828" w:type="dxa"/>
            <w:tcBorders>
              <w:bottom w:val="single" w:sz="4" w:space="0" w:color="auto"/>
            </w:tcBorders>
            <w:vAlign w:val="center"/>
          </w:tcPr>
          <w:p w14:paraId="7BAE72E7" w14:textId="6AB87088" w:rsidR="005F6AEC" w:rsidRPr="00EC5A92" w:rsidRDefault="005F6AEC" w:rsidP="007A5161">
            <w:pPr>
              <w:spacing w:after="0" w:line="240" w:lineRule="auto"/>
              <w:jc w:val="center"/>
              <w:rPr>
                <w:i/>
              </w:rPr>
            </w:pPr>
            <w:r w:rsidRPr="00EC5A92">
              <w:rPr>
                <w:i/>
              </w:rPr>
              <w:t>p</w:t>
            </w:r>
          </w:p>
        </w:tc>
        <w:tc>
          <w:tcPr>
            <w:tcW w:w="232" w:type="dxa"/>
            <w:tcBorders>
              <w:top w:val="nil"/>
              <w:bottom w:val="single" w:sz="4" w:space="0" w:color="auto"/>
            </w:tcBorders>
          </w:tcPr>
          <w:p w14:paraId="0F7A04CD" w14:textId="6E98EC4F" w:rsidR="005F6AEC" w:rsidRPr="00EC5A92" w:rsidRDefault="005F6AEC" w:rsidP="006959FB">
            <w:pPr>
              <w:spacing w:after="0" w:line="240" w:lineRule="auto"/>
              <w:jc w:val="center"/>
            </w:pPr>
          </w:p>
        </w:tc>
        <w:tc>
          <w:tcPr>
            <w:tcW w:w="1296" w:type="dxa"/>
            <w:tcBorders>
              <w:bottom w:val="single" w:sz="4" w:space="0" w:color="auto"/>
            </w:tcBorders>
          </w:tcPr>
          <w:p w14:paraId="249FD32F" w14:textId="22C25C12" w:rsidR="005F6AEC" w:rsidRPr="00EC5A92" w:rsidRDefault="005F6AEC" w:rsidP="006959FB">
            <w:pPr>
              <w:spacing w:after="0" w:line="240" w:lineRule="auto"/>
              <w:jc w:val="center"/>
            </w:pPr>
            <w:r w:rsidRPr="00EC5A92">
              <w:t>High (</w:t>
            </w:r>
            <w:r w:rsidRPr="00EC5A92">
              <w:rPr>
                <w:i/>
              </w:rPr>
              <w:t>n</w:t>
            </w:r>
            <w:r w:rsidRPr="00EC5A92">
              <w:t>=4233)</w:t>
            </w:r>
          </w:p>
        </w:tc>
        <w:tc>
          <w:tcPr>
            <w:tcW w:w="1439" w:type="dxa"/>
            <w:tcBorders>
              <w:bottom w:val="single" w:sz="4" w:space="0" w:color="auto"/>
            </w:tcBorders>
          </w:tcPr>
          <w:p w14:paraId="0B47EEB0" w14:textId="77777777" w:rsidR="00EC5A92" w:rsidRDefault="005F6AEC" w:rsidP="006959FB">
            <w:pPr>
              <w:spacing w:after="0" w:line="240" w:lineRule="auto"/>
              <w:jc w:val="center"/>
            </w:pPr>
            <w:r w:rsidRPr="00EC5A92">
              <w:t xml:space="preserve">Low </w:t>
            </w:r>
          </w:p>
          <w:p w14:paraId="0DFEF5CD" w14:textId="49137A4E" w:rsidR="005F6AEC" w:rsidRPr="00EC5A92" w:rsidRDefault="005F6AEC" w:rsidP="006959FB">
            <w:pPr>
              <w:spacing w:after="0" w:line="240" w:lineRule="auto"/>
              <w:jc w:val="center"/>
            </w:pPr>
            <w:r w:rsidRPr="00EC5A92">
              <w:t>(</w:t>
            </w:r>
            <w:r w:rsidRPr="00EC5A92">
              <w:rPr>
                <w:i/>
              </w:rPr>
              <w:t>n</w:t>
            </w:r>
            <w:r w:rsidRPr="00EC5A92">
              <w:t>=2192)</w:t>
            </w:r>
          </w:p>
        </w:tc>
        <w:tc>
          <w:tcPr>
            <w:tcW w:w="830" w:type="dxa"/>
            <w:tcBorders>
              <w:top w:val="nil"/>
              <w:bottom w:val="single" w:sz="4" w:space="0" w:color="auto"/>
            </w:tcBorders>
            <w:vAlign w:val="center"/>
          </w:tcPr>
          <w:p w14:paraId="092877AB" w14:textId="55B7C0DD" w:rsidR="005F6AEC" w:rsidRPr="00EC5A92" w:rsidRDefault="005F6AEC" w:rsidP="007A5161">
            <w:pPr>
              <w:spacing w:after="0" w:line="240" w:lineRule="auto"/>
              <w:jc w:val="center"/>
              <w:rPr>
                <w:i/>
              </w:rPr>
            </w:pPr>
            <w:r w:rsidRPr="00EC5A92">
              <w:rPr>
                <w:i/>
              </w:rPr>
              <w:t>p</w:t>
            </w:r>
          </w:p>
        </w:tc>
      </w:tr>
      <w:tr w:rsidR="00903805" w:rsidRPr="00A90F02" w14:paraId="13C96134" w14:textId="77777777" w:rsidTr="00EA6D66">
        <w:tc>
          <w:tcPr>
            <w:tcW w:w="3687" w:type="dxa"/>
            <w:gridSpan w:val="2"/>
            <w:tcBorders>
              <w:top w:val="nil"/>
            </w:tcBorders>
          </w:tcPr>
          <w:p w14:paraId="69DAAE52" w14:textId="77777777" w:rsidR="005F6AEC" w:rsidRPr="00A90F02" w:rsidRDefault="005F6AEC" w:rsidP="008D399B">
            <w:pPr>
              <w:spacing w:after="0" w:line="240" w:lineRule="auto"/>
            </w:pPr>
            <w:r w:rsidRPr="00A90F02">
              <w:t>Age in years, mean (SD)</w:t>
            </w:r>
          </w:p>
        </w:tc>
        <w:tc>
          <w:tcPr>
            <w:tcW w:w="1506" w:type="dxa"/>
          </w:tcPr>
          <w:p w14:paraId="055E805F" w14:textId="77777777" w:rsidR="005F6AEC" w:rsidRPr="00AC5C0A" w:rsidRDefault="005F6AEC" w:rsidP="008D399B">
            <w:pPr>
              <w:spacing w:after="0" w:line="240" w:lineRule="auto"/>
              <w:jc w:val="center"/>
            </w:pPr>
            <w:r w:rsidRPr="00AC5C0A">
              <w:t>65.88 (9.34)</w:t>
            </w:r>
          </w:p>
        </w:tc>
        <w:tc>
          <w:tcPr>
            <w:tcW w:w="235" w:type="dxa"/>
          </w:tcPr>
          <w:p w14:paraId="156F644D" w14:textId="77777777" w:rsidR="005F6AEC" w:rsidRPr="00A90F02" w:rsidRDefault="005F6AEC" w:rsidP="008D399B">
            <w:pPr>
              <w:spacing w:after="0" w:line="240" w:lineRule="auto"/>
              <w:jc w:val="center"/>
              <w:rPr>
                <w:color w:val="FF0000"/>
              </w:rPr>
            </w:pPr>
          </w:p>
        </w:tc>
        <w:tc>
          <w:tcPr>
            <w:tcW w:w="1294" w:type="dxa"/>
          </w:tcPr>
          <w:p w14:paraId="6D67A2C1" w14:textId="02C2984B" w:rsidR="005F6AEC" w:rsidRPr="0082436E" w:rsidRDefault="005F6AEC" w:rsidP="008D399B">
            <w:pPr>
              <w:spacing w:after="0" w:line="240" w:lineRule="auto"/>
              <w:jc w:val="center"/>
            </w:pPr>
            <w:r w:rsidRPr="0082436E">
              <w:t>65.55 (9.17)</w:t>
            </w:r>
          </w:p>
        </w:tc>
        <w:tc>
          <w:tcPr>
            <w:tcW w:w="1506" w:type="dxa"/>
          </w:tcPr>
          <w:p w14:paraId="02553229" w14:textId="193962A6" w:rsidR="005F6AEC" w:rsidRPr="0082436E" w:rsidRDefault="005F6AEC" w:rsidP="008D399B">
            <w:pPr>
              <w:spacing w:after="0" w:line="240" w:lineRule="auto"/>
              <w:jc w:val="center"/>
            </w:pPr>
            <w:r w:rsidRPr="0082436E">
              <w:t>66.95 (9.60)</w:t>
            </w:r>
          </w:p>
        </w:tc>
        <w:tc>
          <w:tcPr>
            <w:tcW w:w="1495" w:type="dxa"/>
          </w:tcPr>
          <w:p w14:paraId="3BDBBC93" w14:textId="7B05530D" w:rsidR="005F6AEC" w:rsidRPr="0082436E" w:rsidRDefault="005F6AEC" w:rsidP="008D399B">
            <w:pPr>
              <w:spacing w:after="0" w:line="240" w:lineRule="auto"/>
              <w:jc w:val="center"/>
            </w:pPr>
            <w:r w:rsidRPr="0082436E">
              <w:t>63.04 (8.12)</w:t>
            </w:r>
          </w:p>
        </w:tc>
        <w:tc>
          <w:tcPr>
            <w:tcW w:w="828" w:type="dxa"/>
          </w:tcPr>
          <w:p w14:paraId="0240D003" w14:textId="312E42B7" w:rsidR="005F6AEC" w:rsidRPr="00EC5A92" w:rsidRDefault="005F6AEC" w:rsidP="008D399B">
            <w:pPr>
              <w:spacing w:after="0" w:line="240" w:lineRule="auto"/>
              <w:jc w:val="center"/>
            </w:pPr>
            <w:r w:rsidRPr="00EC5A92">
              <w:t>&lt;0.001</w:t>
            </w:r>
          </w:p>
        </w:tc>
        <w:tc>
          <w:tcPr>
            <w:tcW w:w="232" w:type="dxa"/>
          </w:tcPr>
          <w:p w14:paraId="77DE33FB" w14:textId="6E7B10CF" w:rsidR="005F6AEC" w:rsidRPr="00EC5A92" w:rsidRDefault="005F6AEC" w:rsidP="008D399B">
            <w:pPr>
              <w:spacing w:after="0" w:line="240" w:lineRule="auto"/>
              <w:jc w:val="center"/>
            </w:pPr>
          </w:p>
        </w:tc>
        <w:tc>
          <w:tcPr>
            <w:tcW w:w="1296" w:type="dxa"/>
          </w:tcPr>
          <w:p w14:paraId="227D298F" w14:textId="09858A4D" w:rsidR="005F6AEC" w:rsidRPr="00EC5A92" w:rsidRDefault="005F6AEC" w:rsidP="008D399B">
            <w:pPr>
              <w:spacing w:after="0" w:line="240" w:lineRule="auto"/>
              <w:jc w:val="center"/>
            </w:pPr>
            <w:r w:rsidRPr="00EC5A92">
              <w:t>64.77 (8.54)</w:t>
            </w:r>
          </w:p>
        </w:tc>
        <w:tc>
          <w:tcPr>
            <w:tcW w:w="1439" w:type="dxa"/>
          </w:tcPr>
          <w:p w14:paraId="36B012B7" w14:textId="5196BDD4" w:rsidR="005F6AEC" w:rsidRPr="00EC5A92" w:rsidRDefault="005F6AEC" w:rsidP="008D399B">
            <w:pPr>
              <w:spacing w:after="0" w:line="240" w:lineRule="auto"/>
              <w:jc w:val="center"/>
            </w:pPr>
            <w:r w:rsidRPr="00EC5A92">
              <w:t>68.03 (10.38)</w:t>
            </w:r>
          </w:p>
        </w:tc>
        <w:tc>
          <w:tcPr>
            <w:tcW w:w="830" w:type="dxa"/>
          </w:tcPr>
          <w:p w14:paraId="1BCAC010" w14:textId="46DA73D7" w:rsidR="005F6AEC" w:rsidRPr="00EC5A92" w:rsidRDefault="005F6AEC" w:rsidP="008D399B">
            <w:pPr>
              <w:spacing w:after="0" w:line="240" w:lineRule="auto"/>
              <w:jc w:val="center"/>
            </w:pPr>
            <w:r w:rsidRPr="00EC5A92">
              <w:t>&lt;0.001</w:t>
            </w:r>
          </w:p>
        </w:tc>
      </w:tr>
      <w:tr w:rsidR="00903805" w:rsidRPr="00A90F02" w14:paraId="5C6C3A12" w14:textId="77777777" w:rsidTr="00EA6D66">
        <w:tc>
          <w:tcPr>
            <w:tcW w:w="3687" w:type="dxa"/>
            <w:gridSpan w:val="2"/>
            <w:tcBorders>
              <w:bottom w:val="nil"/>
            </w:tcBorders>
          </w:tcPr>
          <w:p w14:paraId="2FA2D0A6" w14:textId="77777777" w:rsidR="005F6AEC" w:rsidRPr="00A90F02" w:rsidRDefault="005F6AEC" w:rsidP="008D399B">
            <w:pPr>
              <w:spacing w:after="0" w:line="240" w:lineRule="auto"/>
            </w:pPr>
            <w:r w:rsidRPr="00A90F02">
              <w:t>Sex, % (</w:t>
            </w:r>
            <w:r w:rsidRPr="00A90F02">
              <w:rPr>
                <w:i/>
              </w:rPr>
              <w:t>n</w:t>
            </w:r>
            <w:r w:rsidRPr="00A90F02">
              <w:t>)</w:t>
            </w:r>
          </w:p>
        </w:tc>
        <w:tc>
          <w:tcPr>
            <w:tcW w:w="1506" w:type="dxa"/>
            <w:tcBorders>
              <w:bottom w:val="nil"/>
            </w:tcBorders>
          </w:tcPr>
          <w:p w14:paraId="142B3218" w14:textId="77777777" w:rsidR="005F6AEC" w:rsidRPr="00AC5C0A" w:rsidRDefault="005F6AEC" w:rsidP="008D399B">
            <w:pPr>
              <w:spacing w:after="0" w:line="240" w:lineRule="auto"/>
            </w:pPr>
          </w:p>
        </w:tc>
        <w:tc>
          <w:tcPr>
            <w:tcW w:w="235" w:type="dxa"/>
            <w:tcBorders>
              <w:bottom w:val="nil"/>
            </w:tcBorders>
          </w:tcPr>
          <w:p w14:paraId="582D88A0" w14:textId="77777777" w:rsidR="005F6AEC" w:rsidRPr="00A90F02" w:rsidRDefault="005F6AEC" w:rsidP="008D399B">
            <w:pPr>
              <w:spacing w:after="0" w:line="240" w:lineRule="auto"/>
              <w:rPr>
                <w:color w:val="FF0000"/>
              </w:rPr>
            </w:pPr>
          </w:p>
        </w:tc>
        <w:tc>
          <w:tcPr>
            <w:tcW w:w="1294" w:type="dxa"/>
            <w:tcBorders>
              <w:bottom w:val="nil"/>
            </w:tcBorders>
          </w:tcPr>
          <w:p w14:paraId="65DF4E05" w14:textId="77777777" w:rsidR="005F6AEC" w:rsidRPr="0082436E" w:rsidRDefault="005F6AEC" w:rsidP="008D399B">
            <w:pPr>
              <w:spacing w:after="0" w:line="240" w:lineRule="auto"/>
            </w:pPr>
          </w:p>
        </w:tc>
        <w:tc>
          <w:tcPr>
            <w:tcW w:w="1506" w:type="dxa"/>
            <w:tcBorders>
              <w:bottom w:val="nil"/>
            </w:tcBorders>
          </w:tcPr>
          <w:p w14:paraId="45E0278A" w14:textId="77777777" w:rsidR="005F6AEC" w:rsidRPr="0082436E" w:rsidRDefault="005F6AEC" w:rsidP="008D399B">
            <w:pPr>
              <w:spacing w:after="0" w:line="240" w:lineRule="auto"/>
            </w:pPr>
          </w:p>
        </w:tc>
        <w:tc>
          <w:tcPr>
            <w:tcW w:w="1495" w:type="dxa"/>
            <w:tcBorders>
              <w:bottom w:val="nil"/>
            </w:tcBorders>
          </w:tcPr>
          <w:p w14:paraId="42C1053C" w14:textId="197202BF" w:rsidR="005F6AEC" w:rsidRPr="0082436E" w:rsidRDefault="005F6AEC" w:rsidP="008D399B">
            <w:pPr>
              <w:spacing w:after="0" w:line="240" w:lineRule="auto"/>
            </w:pPr>
          </w:p>
        </w:tc>
        <w:tc>
          <w:tcPr>
            <w:tcW w:w="828" w:type="dxa"/>
            <w:tcBorders>
              <w:bottom w:val="nil"/>
            </w:tcBorders>
          </w:tcPr>
          <w:p w14:paraId="2F573D7E" w14:textId="77777777" w:rsidR="005F6AEC" w:rsidRPr="00EC5A92" w:rsidRDefault="005F6AEC" w:rsidP="008D399B">
            <w:pPr>
              <w:spacing w:after="0" w:line="240" w:lineRule="auto"/>
            </w:pPr>
          </w:p>
        </w:tc>
        <w:tc>
          <w:tcPr>
            <w:tcW w:w="232" w:type="dxa"/>
            <w:tcBorders>
              <w:bottom w:val="nil"/>
            </w:tcBorders>
          </w:tcPr>
          <w:p w14:paraId="01F2AC76" w14:textId="0B78AB7B" w:rsidR="005F6AEC" w:rsidRPr="00EC5A92" w:rsidRDefault="005F6AEC" w:rsidP="008D399B">
            <w:pPr>
              <w:spacing w:after="0" w:line="240" w:lineRule="auto"/>
            </w:pPr>
          </w:p>
        </w:tc>
        <w:tc>
          <w:tcPr>
            <w:tcW w:w="1296" w:type="dxa"/>
            <w:tcBorders>
              <w:bottom w:val="nil"/>
            </w:tcBorders>
          </w:tcPr>
          <w:p w14:paraId="55CEE04A" w14:textId="77777777" w:rsidR="005F6AEC" w:rsidRPr="00EC5A92" w:rsidRDefault="005F6AEC" w:rsidP="008D399B">
            <w:pPr>
              <w:spacing w:after="0" w:line="240" w:lineRule="auto"/>
            </w:pPr>
          </w:p>
        </w:tc>
        <w:tc>
          <w:tcPr>
            <w:tcW w:w="1439" w:type="dxa"/>
            <w:tcBorders>
              <w:bottom w:val="nil"/>
            </w:tcBorders>
          </w:tcPr>
          <w:p w14:paraId="7C7F6447" w14:textId="77777777" w:rsidR="005F6AEC" w:rsidRPr="00EC5A92" w:rsidRDefault="005F6AEC" w:rsidP="008D399B">
            <w:pPr>
              <w:spacing w:after="0" w:line="240" w:lineRule="auto"/>
            </w:pPr>
          </w:p>
        </w:tc>
        <w:tc>
          <w:tcPr>
            <w:tcW w:w="830" w:type="dxa"/>
            <w:tcBorders>
              <w:bottom w:val="nil"/>
            </w:tcBorders>
          </w:tcPr>
          <w:p w14:paraId="3E36F021" w14:textId="77777777" w:rsidR="005F6AEC" w:rsidRPr="00EC5A92" w:rsidRDefault="005F6AEC" w:rsidP="008D399B">
            <w:pPr>
              <w:spacing w:after="0" w:line="240" w:lineRule="auto"/>
            </w:pPr>
          </w:p>
        </w:tc>
      </w:tr>
      <w:tr w:rsidR="00500491" w:rsidRPr="00A90F02" w14:paraId="4B84F547" w14:textId="77777777" w:rsidTr="00EA6D66">
        <w:tc>
          <w:tcPr>
            <w:tcW w:w="274" w:type="dxa"/>
            <w:tcBorders>
              <w:top w:val="nil"/>
              <w:bottom w:val="nil"/>
            </w:tcBorders>
          </w:tcPr>
          <w:p w14:paraId="3EFCA98B" w14:textId="77777777" w:rsidR="005F6AEC" w:rsidRPr="00A90F02" w:rsidRDefault="005F6AEC" w:rsidP="008D399B">
            <w:pPr>
              <w:spacing w:after="0" w:line="240" w:lineRule="auto"/>
              <w:rPr>
                <w:color w:val="FF0000"/>
              </w:rPr>
            </w:pPr>
          </w:p>
        </w:tc>
        <w:tc>
          <w:tcPr>
            <w:tcW w:w="3413" w:type="dxa"/>
            <w:tcBorders>
              <w:top w:val="nil"/>
            </w:tcBorders>
          </w:tcPr>
          <w:p w14:paraId="7E010DA3" w14:textId="77777777" w:rsidR="005F6AEC" w:rsidRPr="00A90F02" w:rsidRDefault="005F6AEC" w:rsidP="008D399B">
            <w:pPr>
              <w:spacing w:after="0" w:line="240" w:lineRule="auto"/>
            </w:pPr>
            <w:r w:rsidRPr="00A90F02">
              <w:t>Men</w:t>
            </w:r>
          </w:p>
        </w:tc>
        <w:tc>
          <w:tcPr>
            <w:tcW w:w="1506" w:type="dxa"/>
            <w:tcBorders>
              <w:top w:val="nil"/>
            </w:tcBorders>
          </w:tcPr>
          <w:p w14:paraId="097525BF" w14:textId="77777777" w:rsidR="005F6AEC" w:rsidRPr="00AC5C0A" w:rsidRDefault="005F6AEC" w:rsidP="008D399B">
            <w:pPr>
              <w:spacing w:after="0" w:line="240" w:lineRule="auto"/>
              <w:jc w:val="center"/>
            </w:pPr>
            <w:r w:rsidRPr="00AC5C0A">
              <w:t>45.2 (2902)</w:t>
            </w:r>
          </w:p>
        </w:tc>
        <w:tc>
          <w:tcPr>
            <w:tcW w:w="235" w:type="dxa"/>
            <w:tcBorders>
              <w:top w:val="nil"/>
            </w:tcBorders>
          </w:tcPr>
          <w:p w14:paraId="6E35C9DB" w14:textId="77777777" w:rsidR="005F6AEC" w:rsidRPr="00A90F02" w:rsidRDefault="005F6AEC" w:rsidP="008D399B">
            <w:pPr>
              <w:spacing w:after="0" w:line="240" w:lineRule="auto"/>
              <w:jc w:val="center"/>
              <w:rPr>
                <w:color w:val="FF0000"/>
              </w:rPr>
            </w:pPr>
          </w:p>
        </w:tc>
        <w:tc>
          <w:tcPr>
            <w:tcW w:w="1294" w:type="dxa"/>
            <w:tcBorders>
              <w:top w:val="nil"/>
            </w:tcBorders>
          </w:tcPr>
          <w:p w14:paraId="208DBC9D" w14:textId="77DA8592" w:rsidR="005F6AEC" w:rsidRPr="0082436E" w:rsidRDefault="005F6AEC" w:rsidP="008D399B">
            <w:pPr>
              <w:spacing w:after="0" w:line="240" w:lineRule="auto"/>
              <w:jc w:val="center"/>
            </w:pPr>
            <w:r w:rsidRPr="0082436E">
              <w:t>34.1 (813)</w:t>
            </w:r>
          </w:p>
        </w:tc>
        <w:tc>
          <w:tcPr>
            <w:tcW w:w="1506" w:type="dxa"/>
            <w:tcBorders>
              <w:top w:val="nil"/>
            </w:tcBorders>
          </w:tcPr>
          <w:p w14:paraId="637E88C4" w14:textId="192CB3C1" w:rsidR="005F6AEC" w:rsidRPr="0082436E" w:rsidRDefault="005F6AEC" w:rsidP="008D399B">
            <w:pPr>
              <w:spacing w:after="0" w:line="240" w:lineRule="auto"/>
              <w:jc w:val="center"/>
            </w:pPr>
            <w:r w:rsidRPr="0082436E">
              <w:t>53.1 (1667)</w:t>
            </w:r>
          </w:p>
        </w:tc>
        <w:tc>
          <w:tcPr>
            <w:tcW w:w="1495" w:type="dxa"/>
            <w:tcBorders>
              <w:top w:val="nil"/>
            </w:tcBorders>
          </w:tcPr>
          <w:p w14:paraId="788995CB" w14:textId="65DDE10A" w:rsidR="005F6AEC" w:rsidRPr="0082436E" w:rsidRDefault="005F6AEC" w:rsidP="008D399B">
            <w:pPr>
              <w:spacing w:after="0" w:line="240" w:lineRule="auto"/>
              <w:jc w:val="center"/>
            </w:pPr>
            <w:r w:rsidRPr="0082436E">
              <w:t>47.0 (422)</w:t>
            </w:r>
          </w:p>
        </w:tc>
        <w:tc>
          <w:tcPr>
            <w:tcW w:w="828" w:type="dxa"/>
            <w:tcBorders>
              <w:top w:val="nil"/>
            </w:tcBorders>
          </w:tcPr>
          <w:p w14:paraId="3F00D2BF" w14:textId="68730D2E" w:rsidR="005F6AEC" w:rsidRPr="00EC5A92" w:rsidRDefault="005F6AEC" w:rsidP="008D399B">
            <w:pPr>
              <w:spacing w:after="0" w:line="240" w:lineRule="auto"/>
              <w:jc w:val="center"/>
            </w:pPr>
            <w:r w:rsidRPr="00EC5A92">
              <w:t>&lt;0.001</w:t>
            </w:r>
          </w:p>
        </w:tc>
        <w:tc>
          <w:tcPr>
            <w:tcW w:w="232" w:type="dxa"/>
            <w:tcBorders>
              <w:top w:val="nil"/>
            </w:tcBorders>
          </w:tcPr>
          <w:p w14:paraId="514486E1" w14:textId="40DED0E6" w:rsidR="005F6AEC" w:rsidRPr="00EC5A92" w:rsidRDefault="005F6AEC" w:rsidP="008D399B">
            <w:pPr>
              <w:spacing w:after="0" w:line="240" w:lineRule="auto"/>
              <w:jc w:val="center"/>
            </w:pPr>
          </w:p>
        </w:tc>
        <w:tc>
          <w:tcPr>
            <w:tcW w:w="1296" w:type="dxa"/>
            <w:tcBorders>
              <w:top w:val="nil"/>
            </w:tcBorders>
          </w:tcPr>
          <w:p w14:paraId="4CF74293" w14:textId="376D69F3" w:rsidR="005F6AEC" w:rsidRPr="00EC5A92" w:rsidRDefault="005F6AEC" w:rsidP="008D399B">
            <w:pPr>
              <w:spacing w:after="0" w:line="240" w:lineRule="auto"/>
              <w:jc w:val="center"/>
            </w:pPr>
            <w:r w:rsidRPr="00EC5A92">
              <w:t>47.5 (2011)</w:t>
            </w:r>
          </w:p>
        </w:tc>
        <w:tc>
          <w:tcPr>
            <w:tcW w:w="1439" w:type="dxa"/>
            <w:tcBorders>
              <w:top w:val="nil"/>
            </w:tcBorders>
          </w:tcPr>
          <w:p w14:paraId="44C1DD44" w14:textId="7686B837" w:rsidR="005F6AEC" w:rsidRPr="00EC5A92" w:rsidRDefault="005F6AEC" w:rsidP="008D399B">
            <w:pPr>
              <w:spacing w:after="0" w:line="240" w:lineRule="auto"/>
              <w:jc w:val="center"/>
            </w:pPr>
            <w:r w:rsidRPr="00EC5A92">
              <w:t>40.6 (891)</w:t>
            </w:r>
          </w:p>
        </w:tc>
        <w:tc>
          <w:tcPr>
            <w:tcW w:w="830" w:type="dxa"/>
            <w:tcBorders>
              <w:top w:val="nil"/>
            </w:tcBorders>
          </w:tcPr>
          <w:p w14:paraId="5C5247B4" w14:textId="7D53E162" w:rsidR="005F6AEC" w:rsidRPr="00EC5A92" w:rsidRDefault="005F6AEC" w:rsidP="00876D78">
            <w:pPr>
              <w:spacing w:after="0" w:line="240" w:lineRule="auto"/>
            </w:pPr>
            <w:r w:rsidRPr="00EC5A92">
              <w:t>&lt;0.001</w:t>
            </w:r>
          </w:p>
        </w:tc>
      </w:tr>
      <w:tr w:rsidR="00500491" w:rsidRPr="00A90F02" w14:paraId="652D0881" w14:textId="77777777" w:rsidTr="00EA6D66">
        <w:tc>
          <w:tcPr>
            <w:tcW w:w="274" w:type="dxa"/>
            <w:tcBorders>
              <w:top w:val="nil"/>
            </w:tcBorders>
          </w:tcPr>
          <w:p w14:paraId="46C283E0" w14:textId="77777777" w:rsidR="005F6AEC" w:rsidRPr="00A90F02" w:rsidRDefault="005F6AEC" w:rsidP="008D399B">
            <w:pPr>
              <w:spacing w:after="0" w:line="240" w:lineRule="auto"/>
              <w:rPr>
                <w:color w:val="FF0000"/>
              </w:rPr>
            </w:pPr>
          </w:p>
        </w:tc>
        <w:tc>
          <w:tcPr>
            <w:tcW w:w="3413" w:type="dxa"/>
          </w:tcPr>
          <w:p w14:paraId="2F4A1579" w14:textId="77777777" w:rsidR="005F6AEC" w:rsidRPr="00A90F02" w:rsidRDefault="005F6AEC" w:rsidP="008D399B">
            <w:pPr>
              <w:spacing w:after="0" w:line="240" w:lineRule="auto"/>
            </w:pPr>
            <w:r w:rsidRPr="00A90F02">
              <w:t>Women</w:t>
            </w:r>
          </w:p>
        </w:tc>
        <w:tc>
          <w:tcPr>
            <w:tcW w:w="1506" w:type="dxa"/>
          </w:tcPr>
          <w:p w14:paraId="4826886A" w14:textId="77777777" w:rsidR="005F6AEC" w:rsidRPr="00AC5C0A" w:rsidRDefault="005F6AEC" w:rsidP="008D399B">
            <w:pPr>
              <w:spacing w:after="0" w:line="240" w:lineRule="auto"/>
              <w:jc w:val="center"/>
            </w:pPr>
            <w:r w:rsidRPr="00AC5C0A">
              <w:t>54.8 (3523)</w:t>
            </w:r>
          </w:p>
        </w:tc>
        <w:tc>
          <w:tcPr>
            <w:tcW w:w="235" w:type="dxa"/>
          </w:tcPr>
          <w:p w14:paraId="094C32F6" w14:textId="77777777" w:rsidR="005F6AEC" w:rsidRPr="00A90F02" w:rsidRDefault="005F6AEC" w:rsidP="008D399B">
            <w:pPr>
              <w:spacing w:after="0" w:line="240" w:lineRule="auto"/>
              <w:jc w:val="center"/>
              <w:rPr>
                <w:color w:val="FF0000"/>
              </w:rPr>
            </w:pPr>
          </w:p>
        </w:tc>
        <w:tc>
          <w:tcPr>
            <w:tcW w:w="1294" w:type="dxa"/>
          </w:tcPr>
          <w:p w14:paraId="4B4BC2C9" w14:textId="638D4013" w:rsidR="005F6AEC" w:rsidRPr="0082436E" w:rsidRDefault="005F6AEC" w:rsidP="008D399B">
            <w:pPr>
              <w:spacing w:after="0" w:line="240" w:lineRule="auto"/>
              <w:jc w:val="center"/>
            </w:pPr>
            <w:r w:rsidRPr="0082436E">
              <w:t>65.9 (1574)</w:t>
            </w:r>
          </w:p>
        </w:tc>
        <w:tc>
          <w:tcPr>
            <w:tcW w:w="1506" w:type="dxa"/>
          </w:tcPr>
          <w:p w14:paraId="3FBB67BC" w14:textId="1F17710B" w:rsidR="005F6AEC" w:rsidRPr="0082436E" w:rsidRDefault="005F6AEC" w:rsidP="008D399B">
            <w:pPr>
              <w:spacing w:after="0" w:line="240" w:lineRule="auto"/>
              <w:jc w:val="center"/>
            </w:pPr>
            <w:r w:rsidRPr="0082436E">
              <w:t>46.9 (1474)</w:t>
            </w:r>
          </w:p>
        </w:tc>
        <w:tc>
          <w:tcPr>
            <w:tcW w:w="1495" w:type="dxa"/>
          </w:tcPr>
          <w:p w14:paraId="347C746F" w14:textId="46118EDD" w:rsidR="005F6AEC" w:rsidRPr="0082436E" w:rsidRDefault="005F6AEC" w:rsidP="008D399B">
            <w:pPr>
              <w:spacing w:after="0" w:line="240" w:lineRule="auto"/>
              <w:jc w:val="center"/>
            </w:pPr>
            <w:r w:rsidRPr="0082436E">
              <w:t>53.0 (475)</w:t>
            </w:r>
          </w:p>
        </w:tc>
        <w:tc>
          <w:tcPr>
            <w:tcW w:w="828" w:type="dxa"/>
          </w:tcPr>
          <w:p w14:paraId="6080C89D" w14:textId="20CD96DF" w:rsidR="005F6AEC" w:rsidRPr="00EC5A92" w:rsidRDefault="005F6AEC" w:rsidP="008D399B">
            <w:pPr>
              <w:spacing w:after="0" w:line="240" w:lineRule="auto"/>
              <w:jc w:val="center"/>
            </w:pPr>
            <w:r w:rsidRPr="00EC5A92">
              <w:t>-</w:t>
            </w:r>
          </w:p>
        </w:tc>
        <w:tc>
          <w:tcPr>
            <w:tcW w:w="232" w:type="dxa"/>
          </w:tcPr>
          <w:p w14:paraId="258B90E1" w14:textId="1DA1BA9D" w:rsidR="005F6AEC" w:rsidRPr="00EC5A92" w:rsidRDefault="005F6AEC" w:rsidP="008D399B">
            <w:pPr>
              <w:spacing w:after="0" w:line="240" w:lineRule="auto"/>
              <w:jc w:val="center"/>
            </w:pPr>
          </w:p>
        </w:tc>
        <w:tc>
          <w:tcPr>
            <w:tcW w:w="1296" w:type="dxa"/>
          </w:tcPr>
          <w:p w14:paraId="7641D74F" w14:textId="23DAE2B5" w:rsidR="005F6AEC" w:rsidRPr="00EC5A92" w:rsidRDefault="005F6AEC" w:rsidP="008D399B">
            <w:pPr>
              <w:spacing w:after="0" w:line="240" w:lineRule="auto"/>
              <w:jc w:val="center"/>
            </w:pPr>
            <w:r w:rsidRPr="00EC5A92">
              <w:t>52.5 (2222)</w:t>
            </w:r>
          </w:p>
        </w:tc>
        <w:tc>
          <w:tcPr>
            <w:tcW w:w="1439" w:type="dxa"/>
          </w:tcPr>
          <w:p w14:paraId="56EDEE27" w14:textId="157FAD4B" w:rsidR="005F6AEC" w:rsidRPr="00EC5A92" w:rsidRDefault="005F6AEC" w:rsidP="008D399B">
            <w:pPr>
              <w:spacing w:after="0" w:line="240" w:lineRule="auto"/>
              <w:jc w:val="center"/>
            </w:pPr>
            <w:r w:rsidRPr="00EC5A92">
              <w:t>59.4 (1301)</w:t>
            </w:r>
          </w:p>
        </w:tc>
        <w:tc>
          <w:tcPr>
            <w:tcW w:w="830" w:type="dxa"/>
          </w:tcPr>
          <w:p w14:paraId="00D64323" w14:textId="15FA7187" w:rsidR="005F6AEC" w:rsidRPr="00EC5A92" w:rsidRDefault="005F6AEC" w:rsidP="008D399B">
            <w:pPr>
              <w:spacing w:after="0" w:line="240" w:lineRule="auto"/>
              <w:jc w:val="center"/>
            </w:pPr>
            <w:r w:rsidRPr="00EC5A92">
              <w:t>-</w:t>
            </w:r>
          </w:p>
        </w:tc>
      </w:tr>
      <w:tr w:rsidR="00903805" w:rsidRPr="00A90F02" w14:paraId="06F5BA31" w14:textId="77777777" w:rsidTr="00EA6D66">
        <w:tc>
          <w:tcPr>
            <w:tcW w:w="3687" w:type="dxa"/>
            <w:gridSpan w:val="2"/>
            <w:tcBorders>
              <w:bottom w:val="nil"/>
            </w:tcBorders>
          </w:tcPr>
          <w:p w14:paraId="0BAC1E33" w14:textId="77777777" w:rsidR="005F6AEC" w:rsidRPr="00A90F02" w:rsidRDefault="005F6AEC" w:rsidP="008D399B">
            <w:pPr>
              <w:spacing w:after="0" w:line="240" w:lineRule="auto"/>
            </w:pPr>
            <w:r w:rsidRPr="00A90F02">
              <w:t>Ethnicity, % (</w:t>
            </w:r>
            <w:r w:rsidRPr="00A90F02">
              <w:rPr>
                <w:i/>
              </w:rPr>
              <w:t>n</w:t>
            </w:r>
            <w:r w:rsidRPr="00A90F02">
              <w:t>)</w:t>
            </w:r>
          </w:p>
        </w:tc>
        <w:tc>
          <w:tcPr>
            <w:tcW w:w="1506" w:type="dxa"/>
            <w:tcBorders>
              <w:bottom w:val="nil"/>
            </w:tcBorders>
          </w:tcPr>
          <w:p w14:paraId="650F3C21" w14:textId="77777777" w:rsidR="005F6AEC" w:rsidRPr="00AC5C0A" w:rsidRDefault="005F6AEC" w:rsidP="008D399B">
            <w:pPr>
              <w:spacing w:after="0" w:line="240" w:lineRule="auto"/>
            </w:pPr>
          </w:p>
        </w:tc>
        <w:tc>
          <w:tcPr>
            <w:tcW w:w="235" w:type="dxa"/>
            <w:tcBorders>
              <w:bottom w:val="nil"/>
            </w:tcBorders>
          </w:tcPr>
          <w:p w14:paraId="1482A145" w14:textId="77777777" w:rsidR="005F6AEC" w:rsidRPr="00A90F02" w:rsidRDefault="005F6AEC" w:rsidP="008D399B">
            <w:pPr>
              <w:spacing w:after="0" w:line="240" w:lineRule="auto"/>
              <w:rPr>
                <w:color w:val="FF0000"/>
              </w:rPr>
            </w:pPr>
          </w:p>
        </w:tc>
        <w:tc>
          <w:tcPr>
            <w:tcW w:w="1294" w:type="dxa"/>
            <w:tcBorders>
              <w:bottom w:val="nil"/>
            </w:tcBorders>
          </w:tcPr>
          <w:p w14:paraId="7271A164" w14:textId="77777777" w:rsidR="005F6AEC" w:rsidRPr="0082436E" w:rsidRDefault="005F6AEC" w:rsidP="008D399B">
            <w:pPr>
              <w:spacing w:after="0" w:line="240" w:lineRule="auto"/>
            </w:pPr>
          </w:p>
        </w:tc>
        <w:tc>
          <w:tcPr>
            <w:tcW w:w="1506" w:type="dxa"/>
            <w:tcBorders>
              <w:bottom w:val="nil"/>
            </w:tcBorders>
          </w:tcPr>
          <w:p w14:paraId="4F764D17" w14:textId="77777777" w:rsidR="005F6AEC" w:rsidRPr="0082436E" w:rsidRDefault="005F6AEC" w:rsidP="008D399B">
            <w:pPr>
              <w:spacing w:after="0" w:line="240" w:lineRule="auto"/>
            </w:pPr>
          </w:p>
        </w:tc>
        <w:tc>
          <w:tcPr>
            <w:tcW w:w="1495" w:type="dxa"/>
            <w:tcBorders>
              <w:bottom w:val="nil"/>
            </w:tcBorders>
          </w:tcPr>
          <w:p w14:paraId="0C49648E" w14:textId="13877A94" w:rsidR="005F6AEC" w:rsidRPr="0082436E" w:rsidRDefault="005F6AEC" w:rsidP="008D399B">
            <w:pPr>
              <w:spacing w:after="0" w:line="240" w:lineRule="auto"/>
            </w:pPr>
          </w:p>
        </w:tc>
        <w:tc>
          <w:tcPr>
            <w:tcW w:w="828" w:type="dxa"/>
            <w:tcBorders>
              <w:bottom w:val="nil"/>
            </w:tcBorders>
          </w:tcPr>
          <w:p w14:paraId="7061546A" w14:textId="77777777" w:rsidR="005F6AEC" w:rsidRPr="00EC5A92" w:rsidRDefault="005F6AEC" w:rsidP="008D399B">
            <w:pPr>
              <w:spacing w:after="0" w:line="240" w:lineRule="auto"/>
            </w:pPr>
          </w:p>
        </w:tc>
        <w:tc>
          <w:tcPr>
            <w:tcW w:w="232" w:type="dxa"/>
            <w:tcBorders>
              <w:bottom w:val="nil"/>
            </w:tcBorders>
          </w:tcPr>
          <w:p w14:paraId="76A34C5C" w14:textId="479D15FD" w:rsidR="005F6AEC" w:rsidRPr="00EC5A92" w:rsidRDefault="005F6AEC" w:rsidP="008D399B">
            <w:pPr>
              <w:spacing w:after="0" w:line="240" w:lineRule="auto"/>
            </w:pPr>
          </w:p>
        </w:tc>
        <w:tc>
          <w:tcPr>
            <w:tcW w:w="1296" w:type="dxa"/>
            <w:tcBorders>
              <w:bottom w:val="nil"/>
            </w:tcBorders>
          </w:tcPr>
          <w:p w14:paraId="71B56F23" w14:textId="77777777" w:rsidR="005F6AEC" w:rsidRPr="00EC5A92" w:rsidRDefault="005F6AEC" w:rsidP="008D399B">
            <w:pPr>
              <w:spacing w:after="0" w:line="240" w:lineRule="auto"/>
            </w:pPr>
          </w:p>
        </w:tc>
        <w:tc>
          <w:tcPr>
            <w:tcW w:w="1439" w:type="dxa"/>
            <w:tcBorders>
              <w:bottom w:val="nil"/>
            </w:tcBorders>
          </w:tcPr>
          <w:p w14:paraId="58758C85" w14:textId="77777777" w:rsidR="005F6AEC" w:rsidRPr="00EC5A92" w:rsidRDefault="005F6AEC" w:rsidP="008D399B">
            <w:pPr>
              <w:spacing w:after="0" w:line="240" w:lineRule="auto"/>
            </w:pPr>
          </w:p>
        </w:tc>
        <w:tc>
          <w:tcPr>
            <w:tcW w:w="830" w:type="dxa"/>
            <w:tcBorders>
              <w:bottom w:val="nil"/>
            </w:tcBorders>
          </w:tcPr>
          <w:p w14:paraId="309CBF6E" w14:textId="77777777" w:rsidR="005F6AEC" w:rsidRPr="00EC5A92" w:rsidRDefault="005F6AEC" w:rsidP="008D399B">
            <w:pPr>
              <w:spacing w:after="0" w:line="240" w:lineRule="auto"/>
            </w:pPr>
          </w:p>
        </w:tc>
      </w:tr>
      <w:tr w:rsidR="00500491" w:rsidRPr="00A90F02" w14:paraId="584E7611" w14:textId="77777777" w:rsidTr="00EA6D66">
        <w:tc>
          <w:tcPr>
            <w:tcW w:w="274" w:type="dxa"/>
            <w:tcBorders>
              <w:top w:val="nil"/>
              <w:bottom w:val="nil"/>
            </w:tcBorders>
          </w:tcPr>
          <w:p w14:paraId="1BF4A5AC" w14:textId="77777777" w:rsidR="005F6AEC" w:rsidRPr="00A90F02" w:rsidRDefault="005F6AEC" w:rsidP="008D399B">
            <w:pPr>
              <w:spacing w:after="0" w:line="240" w:lineRule="auto"/>
              <w:rPr>
                <w:color w:val="FF0000"/>
              </w:rPr>
            </w:pPr>
          </w:p>
        </w:tc>
        <w:tc>
          <w:tcPr>
            <w:tcW w:w="3413" w:type="dxa"/>
            <w:tcBorders>
              <w:top w:val="nil"/>
            </w:tcBorders>
          </w:tcPr>
          <w:p w14:paraId="13846FFC" w14:textId="77777777" w:rsidR="005F6AEC" w:rsidRPr="00A90F02" w:rsidRDefault="005F6AEC" w:rsidP="008D399B">
            <w:pPr>
              <w:spacing w:after="0" w:line="240" w:lineRule="auto"/>
            </w:pPr>
            <w:r w:rsidRPr="00A90F02">
              <w:t>White</w:t>
            </w:r>
          </w:p>
        </w:tc>
        <w:tc>
          <w:tcPr>
            <w:tcW w:w="1506" w:type="dxa"/>
            <w:tcBorders>
              <w:top w:val="nil"/>
            </w:tcBorders>
          </w:tcPr>
          <w:p w14:paraId="5AC8C85F" w14:textId="77777777" w:rsidR="005F6AEC" w:rsidRPr="00AC5C0A" w:rsidRDefault="005F6AEC" w:rsidP="008D399B">
            <w:pPr>
              <w:spacing w:after="0" w:line="240" w:lineRule="auto"/>
              <w:jc w:val="center"/>
            </w:pPr>
            <w:r w:rsidRPr="00AC5C0A">
              <w:t>98.8 (6345)</w:t>
            </w:r>
          </w:p>
        </w:tc>
        <w:tc>
          <w:tcPr>
            <w:tcW w:w="235" w:type="dxa"/>
            <w:tcBorders>
              <w:top w:val="nil"/>
            </w:tcBorders>
          </w:tcPr>
          <w:p w14:paraId="63BBDCB2" w14:textId="77777777" w:rsidR="005F6AEC" w:rsidRPr="00A90F02" w:rsidRDefault="005F6AEC" w:rsidP="008D399B">
            <w:pPr>
              <w:spacing w:after="0" w:line="240" w:lineRule="auto"/>
              <w:jc w:val="center"/>
              <w:rPr>
                <w:color w:val="FF0000"/>
              </w:rPr>
            </w:pPr>
          </w:p>
        </w:tc>
        <w:tc>
          <w:tcPr>
            <w:tcW w:w="1294" w:type="dxa"/>
            <w:tcBorders>
              <w:top w:val="nil"/>
            </w:tcBorders>
          </w:tcPr>
          <w:p w14:paraId="390E7FFE" w14:textId="01783029" w:rsidR="005F6AEC" w:rsidRPr="0082436E" w:rsidRDefault="005F6AEC" w:rsidP="008D399B">
            <w:pPr>
              <w:spacing w:after="0" w:line="240" w:lineRule="auto"/>
              <w:jc w:val="center"/>
            </w:pPr>
            <w:r w:rsidRPr="0082436E">
              <w:t>98.1 (2342)</w:t>
            </w:r>
          </w:p>
        </w:tc>
        <w:tc>
          <w:tcPr>
            <w:tcW w:w="1506" w:type="dxa"/>
            <w:tcBorders>
              <w:top w:val="nil"/>
            </w:tcBorders>
          </w:tcPr>
          <w:p w14:paraId="0B9E42D6" w14:textId="6AF70754" w:rsidR="005F6AEC" w:rsidRPr="0082436E" w:rsidRDefault="005F6AEC" w:rsidP="008D399B">
            <w:pPr>
              <w:spacing w:after="0" w:line="240" w:lineRule="auto"/>
              <w:jc w:val="center"/>
            </w:pPr>
            <w:r w:rsidRPr="0082436E">
              <w:t>99.3 (3118)</w:t>
            </w:r>
          </w:p>
        </w:tc>
        <w:tc>
          <w:tcPr>
            <w:tcW w:w="1495" w:type="dxa"/>
            <w:tcBorders>
              <w:top w:val="nil"/>
            </w:tcBorders>
          </w:tcPr>
          <w:p w14:paraId="7C50F941" w14:textId="347F21A7" w:rsidR="005F6AEC" w:rsidRPr="0082436E" w:rsidRDefault="005F6AEC" w:rsidP="008D399B">
            <w:pPr>
              <w:spacing w:after="0" w:line="240" w:lineRule="auto"/>
              <w:jc w:val="center"/>
            </w:pPr>
            <w:r w:rsidRPr="0082436E">
              <w:t>98.7 (885)</w:t>
            </w:r>
          </w:p>
        </w:tc>
        <w:tc>
          <w:tcPr>
            <w:tcW w:w="828" w:type="dxa"/>
            <w:tcBorders>
              <w:top w:val="nil"/>
            </w:tcBorders>
          </w:tcPr>
          <w:p w14:paraId="7CF83B75" w14:textId="652E6D6E" w:rsidR="005F6AEC" w:rsidRPr="00EC5A92" w:rsidRDefault="005F6AEC" w:rsidP="008D399B">
            <w:pPr>
              <w:spacing w:after="0" w:line="240" w:lineRule="auto"/>
              <w:jc w:val="center"/>
            </w:pPr>
            <w:r w:rsidRPr="00EC5A92">
              <w:t>0.001</w:t>
            </w:r>
          </w:p>
        </w:tc>
        <w:tc>
          <w:tcPr>
            <w:tcW w:w="232" w:type="dxa"/>
            <w:tcBorders>
              <w:top w:val="nil"/>
            </w:tcBorders>
          </w:tcPr>
          <w:p w14:paraId="4977257A" w14:textId="60F0479D" w:rsidR="005F6AEC" w:rsidRPr="00EC5A92" w:rsidRDefault="005F6AEC" w:rsidP="008D399B">
            <w:pPr>
              <w:spacing w:after="0" w:line="240" w:lineRule="auto"/>
              <w:jc w:val="center"/>
            </w:pPr>
          </w:p>
        </w:tc>
        <w:tc>
          <w:tcPr>
            <w:tcW w:w="1296" w:type="dxa"/>
            <w:tcBorders>
              <w:top w:val="nil"/>
            </w:tcBorders>
          </w:tcPr>
          <w:p w14:paraId="7AE5A4B0" w14:textId="3312FFB0" w:rsidR="005F6AEC" w:rsidRPr="00EC5A92" w:rsidRDefault="005F6AEC" w:rsidP="008D399B">
            <w:pPr>
              <w:spacing w:after="0" w:line="240" w:lineRule="auto"/>
              <w:jc w:val="center"/>
            </w:pPr>
            <w:r w:rsidRPr="00EC5A92">
              <w:t>98.7 (4180)</w:t>
            </w:r>
          </w:p>
        </w:tc>
        <w:tc>
          <w:tcPr>
            <w:tcW w:w="1439" w:type="dxa"/>
            <w:tcBorders>
              <w:top w:val="nil"/>
            </w:tcBorders>
          </w:tcPr>
          <w:p w14:paraId="56EBFF4E" w14:textId="3A7021C8" w:rsidR="005F6AEC" w:rsidRPr="00EC5A92" w:rsidRDefault="005F6AEC" w:rsidP="008D399B">
            <w:pPr>
              <w:spacing w:after="0" w:line="240" w:lineRule="auto"/>
              <w:jc w:val="center"/>
            </w:pPr>
            <w:r w:rsidRPr="00EC5A92">
              <w:t>98.8 (2165)</w:t>
            </w:r>
          </w:p>
        </w:tc>
        <w:tc>
          <w:tcPr>
            <w:tcW w:w="830" w:type="dxa"/>
            <w:tcBorders>
              <w:top w:val="nil"/>
            </w:tcBorders>
          </w:tcPr>
          <w:p w14:paraId="36AE277B" w14:textId="3E8A1D8F" w:rsidR="005F6AEC" w:rsidRPr="00EC5A92" w:rsidRDefault="005F6AEC" w:rsidP="008D399B">
            <w:pPr>
              <w:spacing w:after="0" w:line="240" w:lineRule="auto"/>
              <w:jc w:val="center"/>
            </w:pPr>
            <w:r w:rsidRPr="00EC5A92">
              <w:t>0.944</w:t>
            </w:r>
          </w:p>
        </w:tc>
      </w:tr>
      <w:tr w:rsidR="00500491" w:rsidRPr="00A90F02" w14:paraId="5DE6F38C" w14:textId="77777777" w:rsidTr="00EA6D66">
        <w:tc>
          <w:tcPr>
            <w:tcW w:w="274" w:type="dxa"/>
            <w:tcBorders>
              <w:top w:val="nil"/>
            </w:tcBorders>
          </w:tcPr>
          <w:p w14:paraId="55145B64" w14:textId="77777777" w:rsidR="005F6AEC" w:rsidRPr="00A90F02" w:rsidRDefault="005F6AEC" w:rsidP="008D399B">
            <w:pPr>
              <w:spacing w:after="0" w:line="240" w:lineRule="auto"/>
              <w:rPr>
                <w:color w:val="FF0000"/>
              </w:rPr>
            </w:pPr>
          </w:p>
        </w:tc>
        <w:tc>
          <w:tcPr>
            <w:tcW w:w="3413" w:type="dxa"/>
          </w:tcPr>
          <w:p w14:paraId="0902F6C7" w14:textId="77777777" w:rsidR="005F6AEC" w:rsidRPr="00A90F02" w:rsidRDefault="005F6AEC" w:rsidP="008D399B">
            <w:pPr>
              <w:spacing w:after="0" w:line="240" w:lineRule="auto"/>
            </w:pPr>
            <w:r w:rsidRPr="00A90F02">
              <w:t>Non-white</w:t>
            </w:r>
          </w:p>
        </w:tc>
        <w:tc>
          <w:tcPr>
            <w:tcW w:w="1506" w:type="dxa"/>
          </w:tcPr>
          <w:p w14:paraId="51C1F5E7" w14:textId="77777777" w:rsidR="005F6AEC" w:rsidRPr="00AC5C0A" w:rsidRDefault="005F6AEC" w:rsidP="008D399B">
            <w:pPr>
              <w:spacing w:after="0" w:line="240" w:lineRule="auto"/>
              <w:jc w:val="center"/>
            </w:pPr>
            <w:r w:rsidRPr="00AC5C0A">
              <w:t>1.2 (80)</w:t>
            </w:r>
          </w:p>
        </w:tc>
        <w:tc>
          <w:tcPr>
            <w:tcW w:w="235" w:type="dxa"/>
          </w:tcPr>
          <w:p w14:paraId="19036EF2" w14:textId="77777777" w:rsidR="005F6AEC" w:rsidRPr="00A90F02" w:rsidRDefault="005F6AEC" w:rsidP="008D399B">
            <w:pPr>
              <w:spacing w:after="0" w:line="240" w:lineRule="auto"/>
              <w:jc w:val="center"/>
              <w:rPr>
                <w:color w:val="FF0000"/>
              </w:rPr>
            </w:pPr>
          </w:p>
        </w:tc>
        <w:tc>
          <w:tcPr>
            <w:tcW w:w="1294" w:type="dxa"/>
          </w:tcPr>
          <w:p w14:paraId="33C3ED17" w14:textId="268A57DD" w:rsidR="005F6AEC" w:rsidRPr="0082436E" w:rsidRDefault="005F6AEC" w:rsidP="008D399B">
            <w:pPr>
              <w:spacing w:after="0" w:line="240" w:lineRule="auto"/>
              <w:jc w:val="center"/>
            </w:pPr>
            <w:r w:rsidRPr="0082436E">
              <w:t>1.9 (45)</w:t>
            </w:r>
          </w:p>
        </w:tc>
        <w:tc>
          <w:tcPr>
            <w:tcW w:w="1506" w:type="dxa"/>
          </w:tcPr>
          <w:p w14:paraId="53F4549E" w14:textId="10B087F1" w:rsidR="005F6AEC" w:rsidRPr="0082436E" w:rsidRDefault="005F6AEC" w:rsidP="008D399B">
            <w:pPr>
              <w:spacing w:after="0" w:line="240" w:lineRule="auto"/>
              <w:jc w:val="center"/>
            </w:pPr>
            <w:r w:rsidRPr="0082436E">
              <w:t>0.7 (23)</w:t>
            </w:r>
          </w:p>
        </w:tc>
        <w:tc>
          <w:tcPr>
            <w:tcW w:w="1495" w:type="dxa"/>
          </w:tcPr>
          <w:p w14:paraId="7E6B6784" w14:textId="41F26823" w:rsidR="005F6AEC" w:rsidRPr="0082436E" w:rsidRDefault="005F6AEC" w:rsidP="008D399B">
            <w:pPr>
              <w:spacing w:after="0" w:line="240" w:lineRule="auto"/>
              <w:jc w:val="center"/>
            </w:pPr>
            <w:r w:rsidRPr="0082436E">
              <w:t>1.3 (12)</w:t>
            </w:r>
          </w:p>
        </w:tc>
        <w:tc>
          <w:tcPr>
            <w:tcW w:w="828" w:type="dxa"/>
          </w:tcPr>
          <w:p w14:paraId="62696928" w14:textId="41290594" w:rsidR="005F6AEC" w:rsidRPr="00EC5A92" w:rsidRDefault="005F6AEC" w:rsidP="008D399B">
            <w:pPr>
              <w:spacing w:after="0" w:line="240" w:lineRule="auto"/>
              <w:jc w:val="center"/>
            </w:pPr>
            <w:r w:rsidRPr="00EC5A92">
              <w:t>-</w:t>
            </w:r>
          </w:p>
        </w:tc>
        <w:tc>
          <w:tcPr>
            <w:tcW w:w="232" w:type="dxa"/>
          </w:tcPr>
          <w:p w14:paraId="796F1CD3" w14:textId="5A0DE725" w:rsidR="005F6AEC" w:rsidRPr="00EC5A92" w:rsidRDefault="005F6AEC" w:rsidP="008D399B">
            <w:pPr>
              <w:spacing w:after="0" w:line="240" w:lineRule="auto"/>
              <w:jc w:val="center"/>
            </w:pPr>
          </w:p>
        </w:tc>
        <w:tc>
          <w:tcPr>
            <w:tcW w:w="1296" w:type="dxa"/>
          </w:tcPr>
          <w:p w14:paraId="36B1BDD1" w14:textId="6DBA72D9" w:rsidR="005F6AEC" w:rsidRPr="00EC5A92" w:rsidRDefault="005F6AEC" w:rsidP="008D399B">
            <w:pPr>
              <w:spacing w:after="0" w:line="240" w:lineRule="auto"/>
              <w:jc w:val="center"/>
            </w:pPr>
            <w:r w:rsidRPr="00EC5A92">
              <w:t>1.3 (53)</w:t>
            </w:r>
          </w:p>
        </w:tc>
        <w:tc>
          <w:tcPr>
            <w:tcW w:w="1439" w:type="dxa"/>
          </w:tcPr>
          <w:p w14:paraId="5BCBDBCF" w14:textId="64D46D5E" w:rsidR="005F6AEC" w:rsidRPr="00EC5A92" w:rsidRDefault="005F6AEC" w:rsidP="008D399B">
            <w:pPr>
              <w:spacing w:after="0" w:line="240" w:lineRule="auto"/>
              <w:jc w:val="center"/>
            </w:pPr>
            <w:r w:rsidRPr="00EC5A92">
              <w:t>1.2 (27)</w:t>
            </w:r>
          </w:p>
        </w:tc>
        <w:tc>
          <w:tcPr>
            <w:tcW w:w="830" w:type="dxa"/>
          </w:tcPr>
          <w:p w14:paraId="36BC68B8" w14:textId="539CD7E8" w:rsidR="005F6AEC" w:rsidRPr="00EC5A92" w:rsidRDefault="005F6AEC" w:rsidP="008D399B">
            <w:pPr>
              <w:spacing w:after="0" w:line="240" w:lineRule="auto"/>
              <w:jc w:val="center"/>
            </w:pPr>
            <w:r w:rsidRPr="00EC5A92">
              <w:t>-</w:t>
            </w:r>
          </w:p>
        </w:tc>
      </w:tr>
      <w:tr w:rsidR="00903805" w:rsidRPr="00A90F02" w14:paraId="2DD8212F" w14:textId="77777777" w:rsidTr="00EA6D66">
        <w:tc>
          <w:tcPr>
            <w:tcW w:w="3687" w:type="dxa"/>
            <w:gridSpan w:val="2"/>
            <w:tcBorders>
              <w:bottom w:val="nil"/>
            </w:tcBorders>
          </w:tcPr>
          <w:p w14:paraId="001A2F69" w14:textId="77777777" w:rsidR="005F6AEC" w:rsidRPr="00A90F02" w:rsidRDefault="005F6AEC" w:rsidP="008D399B">
            <w:pPr>
              <w:spacing w:after="0" w:line="240" w:lineRule="auto"/>
            </w:pPr>
            <w:r w:rsidRPr="00A90F02">
              <w:t>Wealth quintile, % (</w:t>
            </w:r>
            <w:r w:rsidRPr="00A90F02">
              <w:rPr>
                <w:i/>
              </w:rPr>
              <w:t>n</w:t>
            </w:r>
            <w:r w:rsidRPr="00A90F02">
              <w:t>)</w:t>
            </w:r>
          </w:p>
        </w:tc>
        <w:tc>
          <w:tcPr>
            <w:tcW w:w="1506" w:type="dxa"/>
            <w:tcBorders>
              <w:bottom w:val="nil"/>
            </w:tcBorders>
          </w:tcPr>
          <w:p w14:paraId="079971B1" w14:textId="77777777" w:rsidR="005F6AEC" w:rsidRPr="00AC5C0A" w:rsidRDefault="005F6AEC" w:rsidP="008D399B">
            <w:pPr>
              <w:spacing w:after="0" w:line="240" w:lineRule="auto"/>
            </w:pPr>
          </w:p>
        </w:tc>
        <w:tc>
          <w:tcPr>
            <w:tcW w:w="235" w:type="dxa"/>
            <w:tcBorders>
              <w:bottom w:val="nil"/>
            </w:tcBorders>
          </w:tcPr>
          <w:p w14:paraId="24AB3CAA" w14:textId="77777777" w:rsidR="005F6AEC" w:rsidRPr="00A90F02" w:rsidRDefault="005F6AEC" w:rsidP="008D399B">
            <w:pPr>
              <w:spacing w:after="0" w:line="240" w:lineRule="auto"/>
              <w:rPr>
                <w:color w:val="FF0000"/>
              </w:rPr>
            </w:pPr>
          </w:p>
        </w:tc>
        <w:tc>
          <w:tcPr>
            <w:tcW w:w="1294" w:type="dxa"/>
            <w:tcBorders>
              <w:bottom w:val="nil"/>
            </w:tcBorders>
          </w:tcPr>
          <w:p w14:paraId="584311CD" w14:textId="77777777" w:rsidR="005F6AEC" w:rsidRPr="0082436E" w:rsidRDefault="005F6AEC" w:rsidP="008D399B">
            <w:pPr>
              <w:spacing w:after="0" w:line="240" w:lineRule="auto"/>
            </w:pPr>
          </w:p>
        </w:tc>
        <w:tc>
          <w:tcPr>
            <w:tcW w:w="1506" w:type="dxa"/>
            <w:tcBorders>
              <w:bottom w:val="nil"/>
            </w:tcBorders>
          </w:tcPr>
          <w:p w14:paraId="5E2D5E96" w14:textId="77777777" w:rsidR="005F6AEC" w:rsidRPr="0082436E" w:rsidRDefault="005F6AEC" w:rsidP="008D399B">
            <w:pPr>
              <w:spacing w:after="0" w:line="240" w:lineRule="auto"/>
            </w:pPr>
          </w:p>
        </w:tc>
        <w:tc>
          <w:tcPr>
            <w:tcW w:w="1495" w:type="dxa"/>
            <w:tcBorders>
              <w:bottom w:val="nil"/>
            </w:tcBorders>
          </w:tcPr>
          <w:p w14:paraId="200EBE14" w14:textId="5F5F1820" w:rsidR="005F6AEC" w:rsidRPr="0082436E" w:rsidRDefault="005F6AEC" w:rsidP="008D399B">
            <w:pPr>
              <w:spacing w:after="0" w:line="240" w:lineRule="auto"/>
            </w:pPr>
          </w:p>
        </w:tc>
        <w:tc>
          <w:tcPr>
            <w:tcW w:w="828" w:type="dxa"/>
            <w:tcBorders>
              <w:bottom w:val="nil"/>
            </w:tcBorders>
          </w:tcPr>
          <w:p w14:paraId="2BD3111B" w14:textId="77777777" w:rsidR="005F6AEC" w:rsidRPr="00EC5A92" w:rsidRDefault="005F6AEC" w:rsidP="008D399B">
            <w:pPr>
              <w:spacing w:after="0" w:line="240" w:lineRule="auto"/>
            </w:pPr>
          </w:p>
        </w:tc>
        <w:tc>
          <w:tcPr>
            <w:tcW w:w="232" w:type="dxa"/>
            <w:tcBorders>
              <w:bottom w:val="nil"/>
            </w:tcBorders>
          </w:tcPr>
          <w:p w14:paraId="709EC3E7" w14:textId="00F400E5" w:rsidR="005F6AEC" w:rsidRPr="00EC5A92" w:rsidRDefault="005F6AEC" w:rsidP="008D399B">
            <w:pPr>
              <w:spacing w:after="0" w:line="240" w:lineRule="auto"/>
            </w:pPr>
          </w:p>
        </w:tc>
        <w:tc>
          <w:tcPr>
            <w:tcW w:w="1296" w:type="dxa"/>
            <w:tcBorders>
              <w:bottom w:val="nil"/>
            </w:tcBorders>
          </w:tcPr>
          <w:p w14:paraId="15CE6F6E" w14:textId="77777777" w:rsidR="005F6AEC" w:rsidRPr="00EC5A92" w:rsidRDefault="005F6AEC" w:rsidP="008D399B">
            <w:pPr>
              <w:spacing w:after="0" w:line="240" w:lineRule="auto"/>
            </w:pPr>
          </w:p>
        </w:tc>
        <w:tc>
          <w:tcPr>
            <w:tcW w:w="1439" w:type="dxa"/>
            <w:tcBorders>
              <w:bottom w:val="nil"/>
            </w:tcBorders>
          </w:tcPr>
          <w:p w14:paraId="2B9581D7" w14:textId="77777777" w:rsidR="005F6AEC" w:rsidRPr="00EC5A92" w:rsidRDefault="005F6AEC" w:rsidP="008D399B">
            <w:pPr>
              <w:spacing w:after="0" w:line="240" w:lineRule="auto"/>
            </w:pPr>
          </w:p>
        </w:tc>
        <w:tc>
          <w:tcPr>
            <w:tcW w:w="830" w:type="dxa"/>
            <w:tcBorders>
              <w:bottom w:val="nil"/>
            </w:tcBorders>
          </w:tcPr>
          <w:p w14:paraId="21A2D565" w14:textId="77777777" w:rsidR="005F6AEC" w:rsidRPr="00EC5A92" w:rsidRDefault="005F6AEC" w:rsidP="008D399B">
            <w:pPr>
              <w:spacing w:after="0" w:line="240" w:lineRule="auto"/>
            </w:pPr>
          </w:p>
        </w:tc>
      </w:tr>
      <w:tr w:rsidR="00500491" w:rsidRPr="00A90F02" w14:paraId="04B6A61B" w14:textId="77777777" w:rsidTr="00EA6D66">
        <w:tc>
          <w:tcPr>
            <w:tcW w:w="274" w:type="dxa"/>
            <w:tcBorders>
              <w:top w:val="nil"/>
              <w:bottom w:val="nil"/>
            </w:tcBorders>
          </w:tcPr>
          <w:p w14:paraId="577DDF71" w14:textId="77777777" w:rsidR="005F6AEC" w:rsidRPr="00A90F02" w:rsidRDefault="005F6AEC" w:rsidP="008D399B">
            <w:pPr>
              <w:spacing w:after="0" w:line="240" w:lineRule="auto"/>
              <w:rPr>
                <w:color w:val="FF0000"/>
              </w:rPr>
            </w:pPr>
          </w:p>
        </w:tc>
        <w:tc>
          <w:tcPr>
            <w:tcW w:w="3413" w:type="dxa"/>
            <w:tcBorders>
              <w:top w:val="nil"/>
            </w:tcBorders>
          </w:tcPr>
          <w:p w14:paraId="12F1C3F3" w14:textId="77777777" w:rsidR="005F6AEC" w:rsidRPr="00A90F02" w:rsidRDefault="005F6AEC" w:rsidP="008D399B">
            <w:pPr>
              <w:spacing w:after="0" w:line="240" w:lineRule="auto"/>
            </w:pPr>
            <w:r w:rsidRPr="00A90F02">
              <w:t>1 (poorest)</w:t>
            </w:r>
          </w:p>
        </w:tc>
        <w:tc>
          <w:tcPr>
            <w:tcW w:w="1506" w:type="dxa"/>
            <w:tcBorders>
              <w:top w:val="nil"/>
            </w:tcBorders>
          </w:tcPr>
          <w:p w14:paraId="5FF70935" w14:textId="77777777" w:rsidR="005F6AEC" w:rsidRPr="00AC5C0A" w:rsidRDefault="005F6AEC" w:rsidP="008D399B">
            <w:pPr>
              <w:spacing w:after="0" w:line="240" w:lineRule="auto"/>
              <w:jc w:val="center"/>
            </w:pPr>
            <w:r w:rsidRPr="00AC5C0A">
              <w:t>14.6 (940)</w:t>
            </w:r>
          </w:p>
        </w:tc>
        <w:tc>
          <w:tcPr>
            <w:tcW w:w="235" w:type="dxa"/>
            <w:tcBorders>
              <w:top w:val="nil"/>
            </w:tcBorders>
          </w:tcPr>
          <w:p w14:paraId="23291E7B" w14:textId="77777777" w:rsidR="005F6AEC" w:rsidRPr="00A90F02" w:rsidRDefault="005F6AEC" w:rsidP="008D399B">
            <w:pPr>
              <w:spacing w:after="0" w:line="240" w:lineRule="auto"/>
              <w:jc w:val="center"/>
              <w:rPr>
                <w:color w:val="FF0000"/>
              </w:rPr>
            </w:pPr>
          </w:p>
        </w:tc>
        <w:tc>
          <w:tcPr>
            <w:tcW w:w="1294" w:type="dxa"/>
            <w:tcBorders>
              <w:top w:val="nil"/>
            </w:tcBorders>
          </w:tcPr>
          <w:p w14:paraId="7B83218F" w14:textId="53699CD7" w:rsidR="005F6AEC" w:rsidRPr="0082436E" w:rsidRDefault="005F6AEC" w:rsidP="008D399B">
            <w:pPr>
              <w:spacing w:after="0" w:line="240" w:lineRule="auto"/>
              <w:jc w:val="center"/>
            </w:pPr>
            <w:r w:rsidRPr="0082436E">
              <w:t>11.5 (275)</w:t>
            </w:r>
          </w:p>
        </w:tc>
        <w:tc>
          <w:tcPr>
            <w:tcW w:w="1506" w:type="dxa"/>
            <w:tcBorders>
              <w:top w:val="nil"/>
            </w:tcBorders>
          </w:tcPr>
          <w:p w14:paraId="4A5CFEAB" w14:textId="53D22E30" w:rsidR="005F6AEC" w:rsidRPr="0082436E" w:rsidRDefault="005F6AEC" w:rsidP="008D399B">
            <w:pPr>
              <w:spacing w:after="0" w:line="240" w:lineRule="auto"/>
              <w:jc w:val="center"/>
            </w:pPr>
            <w:r w:rsidRPr="0082436E">
              <w:t>13.0 (408)</w:t>
            </w:r>
          </w:p>
        </w:tc>
        <w:tc>
          <w:tcPr>
            <w:tcW w:w="1495" w:type="dxa"/>
            <w:tcBorders>
              <w:top w:val="nil"/>
            </w:tcBorders>
          </w:tcPr>
          <w:p w14:paraId="70AB52B9" w14:textId="6C2D48E4" w:rsidR="005F6AEC" w:rsidRPr="0082436E" w:rsidRDefault="005F6AEC" w:rsidP="008D399B">
            <w:pPr>
              <w:spacing w:after="0" w:line="240" w:lineRule="auto"/>
              <w:jc w:val="center"/>
            </w:pPr>
            <w:r w:rsidRPr="0082436E">
              <w:t>28.7 (257)</w:t>
            </w:r>
          </w:p>
        </w:tc>
        <w:tc>
          <w:tcPr>
            <w:tcW w:w="828" w:type="dxa"/>
            <w:tcBorders>
              <w:top w:val="nil"/>
            </w:tcBorders>
          </w:tcPr>
          <w:p w14:paraId="5D332B7C" w14:textId="6000F917" w:rsidR="005F6AEC" w:rsidRPr="00EC5A92" w:rsidRDefault="005F6AEC" w:rsidP="008D399B">
            <w:pPr>
              <w:spacing w:after="0" w:line="240" w:lineRule="auto"/>
              <w:jc w:val="center"/>
            </w:pPr>
            <w:r w:rsidRPr="00EC5A92">
              <w:t>&lt;0.001</w:t>
            </w:r>
          </w:p>
        </w:tc>
        <w:tc>
          <w:tcPr>
            <w:tcW w:w="232" w:type="dxa"/>
            <w:tcBorders>
              <w:top w:val="nil"/>
            </w:tcBorders>
          </w:tcPr>
          <w:p w14:paraId="77917312" w14:textId="5B441053" w:rsidR="005F6AEC" w:rsidRPr="00EC5A92" w:rsidRDefault="005F6AEC" w:rsidP="008D399B">
            <w:pPr>
              <w:spacing w:after="0" w:line="240" w:lineRule="auto"/>
              <w:jc w:val="center"/>
            </w:pPr>
          </w:p>
        </w:tc>
        <w:tc>
          <w:tcPr>
            <w:tcW w:w="1296" w:type="dxa"/>
            <w:tcBorders>
              <w:top w:val="nil"/>
            </w:tcBorders>
          </w:tcPr>
          <w:p w14:paraId="21F88116" w14:textId="1D59C175" w:rsidR="005F6AEC" w:rsidRPr="00EC5A92" w:rsidRDefault="005F6AEC" w:rsidP="008D399B">
            <w:pPr>
              <w:spacing w:after="0" w:line="240" w:lineRule="auto"/>
              <w:jc w:val="center"/>
            </w:pPr>
            <w:r w:rsidRPr="00EC5A92">
              <w:t>10.7 (451)</w:t>
            </w:r>
          </w:p>
        </w:tc>
        <w:tc>
          <w:tcPr>
            <w:tcW w:w="1439" w:type="dxa"/>
            <w:tcBorders>
              <w:top w:val="nil"/>
            </w:tcBorders>
          </w:tcPr>
          <w:p w14:paraId="557CF318" w14:textId="6C5735F9" w:rsidR="005F6AEC" w:rsidRPr="00EC5A92" w:rsidRDefault="005F6AEC" w:rsidP="008D399B">
            <w:pPr>
              <w:spacing w:after="0" w:line="240" w:lineRule="auto"/>
              <w:jc w:val="center"/>
            </w:pPr>
            <w:r w:rsidRPr="00EC5A92">
              <w:t>22.3 (489)</w:t>
            </w:r>
          </w:p>
        </w:tc>
        <w:tc>
          <w:tcPr>
            <w:tcW w:w="830" w:type="dxa"/>
            <w:tcBorders>
              <w:top w:val="nil"/>
            </w:tcBorders>
          </w:tcPr>
          <w:p w14:paraId="3586D236" w14:textId="5D6CDAA5" w:rsidR="005F6AEC" w:rsidRPr="00EC5A92" w:rsidRDefault="005F6AEC" w:rsidP="008D399B">
            <w:pPr>
              <w:spacing w:after="0" w:line="240" w:lineRule="auto"/>
              <w:jc w:val="center"/>
            </w:pPr>
            <w:r w:rsidRPr="00EC5A92">
              <w:t>&lt;0.001</w:t>
            </w:r>
          </w:p>
        </w:tc>
      </w:tr>
      <w:tr w:rsidR="00500491" w:rsidRPr="00A90F02" w14:paraId="705A162B" w14:textId="77777777" w:rsidTr="00EA6D66">
        <w:tc>
          <w:tcPr>
            <w:tcW w:w="274" w:type="dxa"/>
            <w:tcBorders>
              <w:top w:val="nil"/>
              <w:bottom w:val="nil"/>
            </w:tcBorders>
          </w:tcPr>
          <w:p w14:paraId="6E0F1DD7" w14:textId="77777777" w:rsidR="005F6AEC" w:rsidRPr="00A90F02" w:rsidRDefault="005F6AEC" w:rsidP="008D399B">
            <w:pPr>
              <w:spacing w:after="0" w:line="240" w:lineRule="auto"/>
              <w:rPr>
                <w:color w:val="FF0000"/>
              </w:rPr>
            </w:pPr>
          </w:p>
        </w:tc>
        <w:tc>
          <w:tcPr>
            <w:tcW w:w="3413" w:type="dxa"/>
            <w:tcBorders>
              <w:top w:val="nil"/>
            </w:tcBorders>
          </w:tcPr>
          <w:p w14:paraId="54F8BE9C" w14:textId="77777777" w:rsidR="005F6AEC" w:rsidRPr="00A90F02" w:rsidRDefault="005F6AEC" w:rsidP="008D399B">
            <w:pPr>
              <w:spacing w:after="0" w:line="240" w:lineRule="auto"/>
            </w:pPr>
            <w:r w:rsidRPr="00A90F02">
              <w:t>2</w:t>
            </w:r>
          </w:p>
        </w:tc>
        <w:tc>
          <w:tcPr>
            <w:tcW w:w="1506" w:type="dxa"/>
            <w:tcBorders>
              <w:top w:val="nil"/>
            </w:tcBorders>
          </w:tcPr>
          <w:p w14:paraId="65B54A1A" w14:textId="77777777" w:rsidR="005F6AEC" w:rsidRPr="00AC5C0A" w:rsidRDefault="005F6AEC" w:rsidP="008D399B">
            <w:pPr>
              <w:spacing w:after="0" w:line="240" w:lineRule="auto"/>
              <w:jc w:val="center"/>
            </w:pPr>
            <w:r w:rsidRPr="00AC5C0A">
              <w:t>18.5 (1188)</w:t>
            </w:r>
          </w:p>
        </w:tc>
        <w:tc>
          <w:tcPr>
            <w:tcW w:w="235" w:type="dxa"/>
            <w:tcBorders>
              <w:top w:val="nil"/>
            </w:tcBorders>
          </w:tcPr>
          <w:p w14:paraId="76E8A2B4" w14:textId="77777777" w:rsidR="005F6AEC" w:rsidRPr="00A90F02" w:rsidRDefault="005F6AEC" w:rsidP="008D399B">
            <w:pPr>
              <w:spacing w:after="0" w:line="240" w:lineRule="auto"/>
              <w:jc w:val="center"/>
              <w:rPr>
                <w:color w:val="FF0000"/>
              </w:rPr>
            </w:pPr>
          </w:p>
        </w:tc>
        <w:tc>
          <w:tcPr>
            <w:tcW w:w="1294" w:type="dxa"/>
            <w:tcBorders>
              <w:top w:val="nil"/>
            </w:tcBorders>
          </w:tcPr>
          <w:p w14:paraId="55B6DCBC" w14:textId="2E685502" w:rsidR="005F6AEC" w:rsidRPr="0082436E" w:rsidRDefault="005F6AEC" w:rsidP="008D399B">
            <w:pPr>
              <w:spacing w:after="0" w:line="240" w:lineRule="auto"/>
              <w:jc w:val="center"/>
            </w:pPr>
            <w:r w:rsidRPr="0082436E">
              <w:t>17.1 (407)</w:t>
            </w:r>
          </w:p>
        </w:tc>
        <w:tc>
          <w:tcPr>
            <w:tcW w:w="1506" w:type="dxa"/>
            <w:tcBorders>
              <w:top w:val="nil"/>
            </w:tcBorders>
          </w:tcPr>
          <w:p w14:paraId="39C51C63" w14:textId="6481A111" w:rsidR="005F6AEC" w:rsidRPr="0082436E" w:rsidRDefault="005F6AEC" w:rsidP="008D399B">
            <w:pPr>
              <w:spacing w:after="0" w:line="240" w:lineRule="auto"/>
              <w:jc w:val="center"/>
            </w:pPr>
            <w:r w:rsidRPr="0082436E">
              <w:t>17.8 (559)</w:t>
            </w:r>
          </w:p>
        </w:tc>
        <w:tc>
          <w:tcPr>
            <w:tcW w:w="1495" w:type="dxa"/>
            <w:tcBorders>
              <w:top w:val="nil"/>
            </w:tcBorders>
          </w:tcPr>
          <w:p w14:paraId="633EF030" w14:textId="5E1BE24C" w:rsidR="005F6AEC" w:rsidRPr="0082436E" w:rsidRDefault="005F6AEC" w:rsidP="008D399B">
            <w:pPr>
              <w:spacing w:after="0" w:line="240" w:lineRule="auto"/>
              <w:jc w:val="center"/>
            </w:pPr>
            <w:r w:rsidRPr="0082436E">
              <w:t>24.7 (222)</w:t>
            </w:r>
          </w:p>
        </w:tc>
        <w:tc>
          <w:tcPr>
            <w:tcW w:w="828" w:type="dxa"/>
            <w:tcBorders>
              <w:top w:val="nil"/>
            </w:tcBorders>
          </w:tcPr>
          <w:p w14:paraId="2CE180B6" w14:textId="2060C9BD" w:rsidR="005F6AEC" w:rsidRPr="00EC5A92" w:rsidRDefault="005F6AEC" w:rsidP="008D399B">
            <w:pPr>
              <w:spacing w:after="0" w:line="240" w:lineRule="auto"/>
              <w:jc w:val="center"/>
            </w:pPr>
            <w:r w:rsidRPr="00EC5A92">
              <w:t>-</w:t>
            </w:r>
          </w:p>
        </w:tc>
        <w:tc>
          <w:tcPr>
            <w:tcW w:w="232" w:type="dxa"/>
            <w:tcBorders>
              <w:top w:val="nil"/>
            </w:tcBorders>
          </w:tcPr>
          <w:p w14:paraId="00913DC1" w14:textId="0F1828CA" w:rsidR="005F6AEC" w:rsidRPr="00EC5A92" w:rsidRDefault="005F6AEC" w:rsidP="008D399B">
            <w:pPr>
              <w:spacing w:after="0" w:line="240" w:lineRule="auto"/>
              <w:jc w:val="center"/>
            </w:pPr>
          </w:p>
        </w:tc>
        <w:tc>
          <w:tcPr>
            <w:tcW w:w="1296" w:type="dxa"/>
            <w:tcBorders>
              <w:top w:val="nil"/>
            </w:tcBorders>
          </w:tcPr>
          <w:p w14:paraId="5EFAC032" w14:textId="72E585A5" w:rsidR="005F6AEC" w:rsidRPr="00EC5A92" w:rsidRDefault="005F6AEC" w:rsidP="008D399B">
            <w:pPr>
              <w:spacing w:after="0" w:line="240" w:lineRule="auto"/>
              <w:jc w:val="center"/>
            </w:pPr>
            <w:r w:rsidRPr="00EC5A92">
              <w:t>15.6 (661)</w:t>
            </w:r>
          </w:p>
        </w:tc>
        <w:tc>
          <w:tcPr>
            <w:tcW w:w="1439" w:type="dxa"/>
            <w:tcBorders>
              <w:top w:val="nil"/>
            </w:tcBorders>
          </w:tcPr>
          <w:p w14:paraId="54AC2903" w14:textId="2A6C9E51" w:rsidR="005F6AEC" w:rsidRPr="00EC5A92" w:rsidRDefault="005F6AEC" w:rsidP="008D399B">
            <w:pPr>
              <w:spacing w:after="0" w:line="240" w:lineRule="auto"/>
              <w:jc w:val="center"/>
            </w:pPr>
            <w:r w:rsidRPr="00EC5A92">
              <w:t>24.0 (527)</w:t>
            </w:r>
          </w:p>
        </w:tc>
        <w:tc>
          <w:tcPr>
            <w:tcW w:w="830" w:type="dxa"/>
            <w:tcBorders>
              <w:top w:val="nil"/>
            </w:tcBorders>
          </w:tcPr>
          <w:p w14:paraId="6BAE3E24" w14:textId="340CCFAC" w:rsidR="005F6AEC" w:rsidRPr="00EC5A92" w:rsidRDefault="005F6AEC" w:rsidP="008D399B">
            <w:pPr>
              <w:spacing w:after="0" w:line="240" w:lineRule="auto"/>
              <w:jc w:val="center"/>
            </w:pPr>
            <w:r w:rsidRPr="00EC5A92">
              <w:t>-</w:t>
            </w:r>
          </w:p>
        </w:tc>
      </w:tr>
      <w:tr w:rsidR="00500491" w:rsidRPr="00A90F02" w14:paraId="69D6D9B1" w14:textId="77777777" w:rsidTr="00EA6D66">
        <w:tc>
          <w:tcPr>
            <w:tcW w:w="274" w:type="dxa"/>
            <w:tcBorders>
              <w:top w:val="nil"/>
              <w:bottom w:val="nil"/>
            </w:tcBorders>
          </w:tcPr>
          <w:p w14:paraId="4B115F0A" w14:textId="77777777" w:rsidR="005F6AEC" w:rsidRPr="00A90F02" w:rsidRDefault="005F6AEC" w:rsidP="008D399B">
            <w:pPr>
              <w:spacing w:after="0" w:line="240" w:lineRule="auto"/>
              <w:rPr>
                <w:color w:val="FF0000"/>
              </w:rPr>
            </w:pPr>
          </w:p>
        </w:tc>
        <w:tc>
          <w:tcPr>
            <w:tcW w:w="3413" w:type="dxa"/>
            <w:tcBorders>
              <w:top w:val="nil"/>
            </w:tcBorders>
          </w:tcPr>
          <w:p w14:paraId="7477E05D" w14:textId="77777777" w:rsidR="005F6AEC" w:rsidRPr="00A90F02" w:rsidRDefault="005F6AEC" w:rsidP="008D399B">
            <w:pPr>
              <w:spacing w:after="0" w:line="240" w:lineRule="auto"/>
            </w:pPr>
            <w:r w:rsidRPr="00A90F02">
              <w:t>3</w:t>
            </w:r>
          </w:p>
        </w:tc>
        <w:tc>
          <w:tcPr>
            <w:tcW w:w="1506" w:type="dxa"/>
            <w:tcBorders>
              <w:top w:val="nil"/>
            </w:tcBorders>
          </w:tcPr>
          <w:p w14:paraId="35E758E8" w14:textId="77777777" w:rsidR="005F6AEC" w:rsidRPr="00AC5C0A" w:rsidRDefault="005F6AEC" w:rsidP="008D399B">
            <w:pPr>
              <w:spacing w:after="0" w:line="240" w:lineRule="auto"/>
              <w:jc w:val="center"/>
            </w:pPr>
            <w:r w:rsidRPr="00AC5C0A">
              <w:t>20.8 (1338)</w:t>
            </w:r>
          </w:p>
        </w:tc>
        <w:tc>
          <w:tcPr>
            <w:tcW w:w="235" w:type="dxa"/>
            <w:tcBorders>
              <w:top w:val="nil"/>
            </w:tcBorders>
          </w:tcPr>
          <w:p w14:paraId="074A7F59" w14:textId="77777777" w:rsidR="005F6AEC" w:rsidRPr="00A90F02" w:rsidRDefault="005F6AEC" w:rsidP="008D399B">
            <w:pPr>
              <w:spacing w:after="0" w:line="240" w:lineRule="auto"/>
              <w:jc w:val="center"/>
              <w:rPr>
                <w:color w:val="FF0000"/>
              </w:rPr>
            </w:pPr>
          </w:p>
        </w:tc>
        <w:tc>
          <w:tcPr>
            <w:tcW w:w="1294" w:type="dxa"/>
            <w:tcBorders>
              <w:top w:val="nil"/>
            </w:tcBorders>
          </w:tcPr>
          <w:p w14:paraId="50041C3F" w14:textId="75657246" w:rsidR="005F6AEC" w:rsidRPr="0082436E" w:rsidRDefault="005F6AEC" w:rsidP="008D399B">
            <w:pPr>
              <w:spacing w:after="0" w:line="240" w:lineRule="auto"/>
              <w:jc w:val="center"/>
            </w:pPr>
            <w:r w:rsidRPr="0082436E">
              <w:t>21.3 (508)</w:t>
            </w:r>
          </w:p>
        </w:tc>
        <w:tc>
          <w:tcPr>
            <w:tcW w:w="1506" w:type="dxa"/>
            <w:tcBorders>
              <w:top w:val="nil"/>
            </w:tcBorders>
          </w:tcPr>
          <w:p w14:paraId="5341DAED" w14:textId="12B93755" w:rsidR="005F6AEC" w:rsidRPr="0082436E" w:rsidRDefault="005F6AEC" w:rsidP="008D399B">
            <w:pPr>
              <w:spacing w:after="0" w:line="240" w:lineRule="auto"/>
              <w:jc w:val="center"/>
            </w:pPr>
            <w:r w:rsidRPr="0082436E">
              <w:t>20.9 (656)</w:t>
            </w:r>
          </w:p>
        </w:tc>
        <w:tc>
          <w:tcPr>
            <w:tcW w:w="1495" w:type="dxa"/>
            <w:tcBorders>
              <w:top w:val="nil"/>
            </w:tcBorders>
          </w:tcPr>
          <w:p w14:paraId="48BC8F74" w14:textId="19B05E5A" w:rsidR="005F6AEC" w:rsidRPr="0082436E" w:rsidRDefault="005F6AEC" w:rsidP="008D399B">
            <w:pPr>
              <w:spacing w:after="0" w:line="240" w:lineRule="auto"/>
              <w:jc w:val="center"/>
            </w:pPr>
            <w:r w:rsidRPr="0082436E">
              <w:t>19.4 (174)</w:t>
            </w:r>
          </w:p>
        </w:tc>
        <w:tc>
          <w:tcPr>
            <w:tcW w:w="828" w:type="dxa"/>
            <w:tcBorders>
              <w:top w:val="nil"/>
            </w:tcBorders>
          </w:tcPr>
          <w:p w14:paraId="229C51D4" w14:textId="3C281E18" w:rsidR="005F6AEC" w:rsidRPr="00EC5A92" w:rsidRDefault="005F6AEC" w:rsidP="008D399B">
            <w:pPr>
              <w:spacing w:after="0" w:line="240" w:lineRule="auto"/>
              <w:jc w:val="center"/>
            </w:pPr>
            <w:r w:rsidRPr="00EC5A92">
              <w:t>-</w:t>
            </w:r>
          </w:p>
        </w:tc>
        <w:tc>
          <w:tcPr>
            <w:tcW w:w="232" w:type="dxa"/>
            <w:tcBorders>
              <w:top w:val="nil"/>
            </w:tcBorders>
          </w:tcPr>
          <w:p w14:paraId="04D82492" w14:textId="621389DA" w:rsidR="005F6AEC" w:rsidRPr="00EC5A92" w:rsidRDefault="005F6AEC" w:rsidP="008D399B">
            <w:pPr>
              <w:spacing w:after="0" w:line="240" w:lineRule="auto"/>
              <w:jc w:val="center"/>
            </w:pPr>
          </w:p>
        </w:tc>
        <w:tc>
          <w:tcPr>
            <w:tcW w:w="1296" w:type="dxa"/>
            <w:tcBorders>
              <w:top w:val="nil"/>
            </w:tcBorders>
          </w:tcPr>
          <w:p w14:paraId="72FF96D4" w14:textId="5199A1E3" w:rsidR="005F6AEC" w:rsidRPr="00EC5A92" w:rsidRDefault="005F6AEC" w:rsidP="008D399B">
            <w:pPr>
              <w:spacing w:after="0" w:line="240" w:lineRule="auto"/>
              <w:jc w:val="center"/>
            </w:pPr>
            <w:r w:rsidRPr="00EC5A92">
              <w:t>21.4 (905)</w:t>
            </w:r>
          </w:p>
        </w:tc>
        <w:tc>
          <w:tcPr>
            <w:tcW w:w="1439" w:type="dxa"/>
            <w:tcBorders>
              <w:top w:val="nil"/>
            </w:tcBorders>
          </w:tcPr>
          <w:p w14:paraId="524A4025" w14:textId="3E675DA3" w:rsidR="005F6AEC" w:rsidRPr="00EC5A92" w:rsidRDefault="005F6AEC" w:rsidP="008D399B">
            <w:pPr>
              <w:spacing w:after="0" w:line="240" w:lineRule="auto"/>
              <w:jc w:val="center"/>
            </w:pPr>
            <w:r w:rsidRPr="00EC5A92">
              <w:t>19.8 (433)</w:t>
            </w:r>
          </w:p>
        </w:tc>
        <w:tc>
          <w:tcPr>
            <w:tcW w:w="830" w:type="dxa"/>
            <w:tcBorders>
              <w:top w:val="nil"/>
            </w:tcBorders>
          </w:tcPr>
          <w:p w14:paraId="058BB279" w14:textId="6A87D8A4" w:rsidR="005F6AEC" w:rsidRPr="00EC5A92" w:rsidRDefault="005F6AEC" w:rsidP="008D399B">
            <w:pPr>
              <w:spacing w:after="0" w:line="240" w:lineRule="auto"/>
              <w:jc w:val="center"/>
            </w:pPr>
            <w:r w:rsidRPr="00EC5A92">
              <w:t>-</w:t>
            </w:r>
          </w:p>
        </w:tc>
      </w:tr>
      <w:tr w:rsidR="00500491" w:rsidRPr="00A90F02" w14:paraId="321F71B2" w14:textId="77777777" w:rsidTr="00EA6D66">
        <w:tc>
          <w:tcPr>
            <w:tcW w:w="274" w:type="dxa"/>
            <w:tcBorders>
              <w:top w:val="nil"/>
              <w:bottom w:val="nil"/>
            </w:tcBorders>
          </w:tcPr>
          <w:p w14:paraId="726A476B" w14:textId="77777777" w:rsidR="005F6AEC" w:rsidRPr="00A90F02" w:rsidRDefault="005F6AEC" w:rsidP="008D399B">
            <w:pPr>
              <w:spacing w:after="0" w:line="240" w:lineRule="auto"/>
              <w:rPr>
                <w:color w:val="FF0000"/>
              </w:rPr>
            </w:pPr>
          </w:p>
        </w:tc>
        <w:tc>
          <w:tcPr>
            <w:tcW w:w="3413" w:type="dxa"/>
            <w:tcBorders>
              <w:top w:val="nil"/>
            </w:tcBorders>
          </w:tcPr>
          <w:p w14:paraId="7242D831" w14:textId="77777777" w:rsidR="005F6AEC" w:rsidRPr="00A90F02" w:rsidRDefault="005F6AEC" w:rsidP="008D399B">
            <w:pPr>
              <w:spacing w:after="0" w:line="240" w:lineRule="auto"/>
            </w:pPr>
            <w:r w:rsidRPr="00A90F02">
              <w:t>4</w:t>
            </w:r>
          </w:p>
        </w:tc>
        <w:tc>
          <w:tcPr>
            <w:tcW w:w="1506" w:type="dxa"/>
            <w:tcBorders>
              <w:top w:val="nil"/>
            </w:tcBorders>
          </w:tcPr>
          <w:p w14:paraId="096CC79D" w14:textId="77777777" w:rsidR="005F6AEC" w:rsidRPr="00AC5C0A" w:rsidRDefault="005F6AEC" w:rsidP="008D399B">
            <w:pPr>
              <w:spacing w:after="0" w:line="240" w:lineRule="auto"/>
              <w:jc w:val="center"/>
            </w:pPr>
            <w:r w:rsidRPr="00AC5C0A">
              <w:t>22.3 (1432)</w:t>
            </w:r>
          </w:p>
        </w:tc>
        <w:tc>
          <w:tcPr>
            <w:tcW w:w="235" w:type="dxa"/>
            <w:tcBorders>
              <w:top w:val="nil"/>
            </w:tcBorders>
          </w:tcPr>
          <w:p w14:paraId="2D329699" w14:textId="77777777" w:rsidR="005F6AEC" w:rsidRPr="00A90F02" w:rsidRDefault="005F6AEC" w:rsidP="008D399B">
            <w:pPr>
              <w:spacing w:after="0" w:line="240" w:lineRule="auto"/>
              <w:jc w:val="center"/>
              <w:rPr>
                <w:color w:val="FF0000"/>
              </w:rPr>
            </w:pPr>
          </w:p>
        </w:tc>
        <w:tc>
          <w:tcPr>
            <w:tcW w:w="1294" w:type="dxa"/>
            <w:tcBorders>
              <w:top w:val="nil"/>
            </w:tcBorders>
          </w:tcPr>
          <w:p w14:paraId="08C826C7" w14:textId="709AA97E" w:rsidR="005F6AEC" w:rsidRPr="0082436E" w:rsidRDefault="005F6AEC" w:rsidP="008D399B">
            <w:pPr>
              <w:spacing w:after="0" w:line="240" w:lineRule="auto"/>
              <w:jc w:val="center"/>
            </w:pPr>
            <w:r w:rsidRPr="0082436E">
              <w:t>22.9 (546)</w:t>
            </w:r>
          </w:p>
        </w:tc>
        <w:tc>
          <w:tcPr>
            <w:tcW w:w="1506" w:type="dxa"/>
            <w:tcBorders>
              <w:top w:val="nil"/>
            </w:tcBorders>
          </w:tcPr>
          <w:p w14:paraId="4AD80BA3" w14:textId="248159C0" w:rsidR="005F6AEC" w:rsidRPr="0082436E" w:rsidRDefault="005F6AEC" w:rsidP="008D399B">
            <w:pPr>
              <w:spacing w:after="0" w:line="240" w:lineRule="auto"/>
              <w:jc w:val="center"/>
            </w:pPr>
            <w:r w:rsidRPr="0082436E">
              <w:t>23.7 (743)</w:t>
            </w:r>
          </w:p>
        </w:tc>
        <w:tc>
          <w:tcPr>
            <w:tcW w:w="1495" w:type="dxa"/>
            <w:tcBorders>
              <w:top w:val="nil"/>
            </w:tcBorders>
          </w:tcPr>
          <w:p w14:paraId="018466CE" w14:textId="27B8A48E" w:rsidR="005F6AEC" w:rsidRPr="0082436E" w:rsidRDefault="005F6AEC" w:rsidP="008D399B">
            <w:pPr>
              <w:spacing w:after="0" w:line="240" w:lineRule="auto"/>
              <w:jc w:val="center"/>
            </w:pPr>
            <w:r w:rsidRPr="0082436E">
              <w:t>15.9 (143)</w:t>
            </w:r>
          </w:p>
        </w:tc>
        <w:tc>
          <w:tcPr>
            <w:tcW w:w="828" w:type="dxa"/>
            <w:tcBorders>
              <w:top w:val="nil"/>
            </w:tcBorders>
          </w:tcPr>
          <w:p w14:paraId="1B855792" w14:textId="6A174EAA" w:rsidR="005F6AEC" w:rsidRPr="00EC5A92" w:rsidRDefault="005F6AEC" w:rsidP="008D399B">
            <w:pPr>
              <w:spacing w:after="0" w:line="240" w:lineRule="auto"/>
              <w:jc w:val="center"/>
            </w:pPr>
            <w:r w:rsidRPr="00EC5A92">
              <w:t>-</w:t>
            </w:r>
          </w:p>
        </w:tc>
        <w:tc>
          <w:tcPr>
            <w:tcW w:w="232" w:type="dxa"/>
            <w:tcBorders>
              <w:top w:val="nil"/>
            </w:tcBorders>
          </w:tcPr>
          <w:p w14:paraId="4F689D64" w14:textId="61FBFF7D" w:rsidR="005F6AEC" w:rsidRPr="00EC5A92" w:rsidRDefault="005F6AEC" w:rsidP="008D399B">
            <w:pPr>
              <w:spacing w:after="0" w:line="240" w:lineRule="auto"/>
              <w:jc w:val="center"/>
            </w:pPr>
          </w:p>
        </w:tc>
        <w:tc>
          <w:tcPr>
            <w:tcW w:w="1296" w:type="dxa"/>
            <w:tcBorders>
              <w:top w:val="nil"/>
            </w:tcBorders>
          </w:tcPr>
          <w:p w14:paraId="7B6AD3C7" w14:textId="32729B9C" w:rsidR="005F6AEC" w:rsidRPr="00EC5A92" w:rsidRDefault="005F6AEC" w:rsidP="008D399B">
            <w:pPr>
              <w:spacing w:after="0" w:line="240" w:lineRule="auto"/>
              <w:jc w:val="center"/>
            </w:pPr>
            <w:r w:rsidRPr="00EC5A92">
              <w:t>24.4 (1034)</w:t>
            </w:r>
          </w:p>
        </w:tc>
        <w:tc>
          <w:tcPr>
            <w:tcW w:w="1439" w:type="dxa"/>
            <w:tcBorders>
              <w:top w:val="nil"/>
            </w:tcBorders>
          </w:tcPr>
          <w:p w14:paraId="4C4B656A" w14:textId="5B2F0F89" w:rsidR="005F6AEC" w:rsidRPr="00EC5A92" w:rsidRDefault="005F6AEC" w:rsidP="008D399B">
            <w:pPr>
              <w:spacing w:after="0" w:line="240" w:lineRule="auto"/>
              <w:jc w:val="center"/>
            </w:pPr>
            <w:r w:rsidRPr="00EC5A92">
              <w:t>18.2 (398)</w:t>
            </w:r>
          </w:p>
        </w:tc>
        <w:tc>
          <w:tcPr>
            <w:tcW w:w="830" w:type="dxa"/>
            <w:tcBorders>
              <w:top w:val="nil"/>
            </w:tcBorders>
          </w:tcPr>
          <w:p w14:paraId="037E718C" w14:textId="788EFFA4" w:rsidR="005F6AEC" w:rsidRPr="00EC5A92" w:rsidRDefault="005F6AEC" w:rsidP="008D399B">
            <w:pPr>
              <w:spacing w:after="0" w:line="240" w:lineRule="auto"/>
              <w:jc w:val="center"/>
            </w:pPr>
            <w:r w:rsidRPr="00EC5A92">
              <w:t>-</w:t>
            </w:r>
          </w:p>
        </w:tc>
      </w:tr>
      <w:tr w:rsidR="00500491" w:rsidRPr="00A90F02" w14:paraId="50FCD0A5" w14:textId="77777777" w:rsidTr="00EA6D66">
        <w:tc>
          <w:tcPr>
            <w:tcW w:w="274" w:type="dxa"/>
            <w:tcBorders>
              <w:top w:val="nil"/>
            </w:tcBorders>
          </w:tcPr>
          <w:p w14:paraId="7B598005" w14:textId="77777777" w:rsidR="005F6AEC" w:rsidRPr="00A90F02" w:rsidRDefault="005F6AEC" w:rsidP="008D399B">
            <w:pPr>
              <w:spacing w:after="0" w:line="240" w:lineRule="auto"/>
              <w:rPr>
                <w:color w:val="FF0000"/>
              </w:rPr>
            </w:pPr>
          </w:p>
        </w:tc>
        <w:tc>
          <w:tcPr>
            <w:tcW w:w="3413" w:type="dxa"/>
          </w:tcPr>
          <w:p w14:paraId="33912F29" w14:textId="77777777" w:rsidR="005F6AEC" w:rsidRPr="00A90F02" w:rsidRDefault="005F6AEC" w:rsidP="008D399B">
            <w:pPr>
              <w:spacing w:after="0" w:line="240" w:lineRule="auto"/>
            </w:pPr>
            <w:r w:rsidRPr="00A90F02">
              <w:t>5 (richest)</w:t>
            </w:r>
          </w:p>
        </w:tc>
        <w:tc>
          <w:tcPr>
            <w:tcW w:w="1506" w:type="dxa"/>
          </w:tcPr>
          <w:p w14:paraId="63CB0EBC" w14:textId="77777777" w:rsidR="005F6AEC" w:rsidRPr="00AC5C0A" w:rsidRDefault="005F6AEC" w:rsidP="008D399B">
            <w:pPr>
              <w:spacing w:after="0" w:line="240" w:lineRule="auto"/>
              <w:jc w:val="center"/>
            </w:pPr>
            <w:r w:rsidRPr="00AC5C0A">
              <w:t>23.8 (1527)</w:t>
            </w:r>
          </w:p>
        </w:tc>
        <w:tc>
          <w:tcPr>
            <w:tcW w:w="235" w:type="dxa"/>
          </w:tcPr>
          <w:p w14:paraId="00013025" w14:textId="77777777" w:rsidR="005F6AEC" w:rsidRPr="00A90F02" w:rsidRDefault="005F6AEC" w:rsidP="008D399B">
            <w:pPr>
              <w:spacing w:after="0" w:line="240" w:lineRule="auto"/>
              <w:jc w:val="center"/>
              <w:rPr>
                <w:color w:val="FF0000"/>
              </w:rPr>
            </w:pPr>
          </w:p>
        </w:tc>
        <w:tc>
          <w:tcPr>
            <w:tcW w:w="1294" w:type="dxa"/>
          </w:tcPr>
          <w:p w14:paraId="48A0B9DB" w14:textId="36C361D4" w:rsidR="005F6AEC" w:rsidRPr="0082436E" w:rsidRDefault="005F6AEC" w:rsidP="008D399B">
            <w:pPr>
              <w:spacing w:after="0" w:line="240" w:lineRule="auto"/>
              <w:jc w:val="center"/>
            </w:pPr>
            <w:r w:rsidRPr="0082436E">
              <w:t>27.3 (651)</w:t>
            </w:r>
          </w:p>
        </w:tc>
        <w:tc>
          <w:tcPr>
            <w:tcW w:w="1506" w:type="dxa"/>
          </w:tcPr>
          <w:p w14:paraId="796D528C" w14:textId="3937868F" w:rsidR="005F6AEC" w:rsidRPr="0082436E" w:rsidRDefault="005F6AEC" w:rsidP="008D399B">
            <w:pPr>
              <w:spacing w:after="0" w:line="240" w:lineRule="auto"/>
              <w:jc w:val="center"/>
            </w:pPr>
            <w:r w:rsidRPr="0082436E">
              <w:t>24.7 (775)</w:t>
            </w:r>
          </w:p>
        </w:tc>
        <w:tc>
          <w:tcPr>
            <w:tcW w:w="1495" w:type="dxa"/>
          </w:tcPr>
          <w:p w14:paraId="5906EC29" w14:textId="4FB830E6" w:rsidR="005F6AEC" w:rsidRPr="0082436E" w:rsidRDefault="005F6AEC" w:rsidP="008D399B">
            <w:pPr>
              <w:spacing w:after="0" w:line="240" w:lineRule="auto"/>
              <w:jc w:val="center"/>
            </w:pPr>
            <w:r w:rsidRPr="0082436E">
              <w:t>11.3 (101)</w:t>
            </w:r>
          </w:p>
        </w:tc>
        <w:tc>
          <w:tcPr>
            <w:tcW w:w="828" w:type="dxa"/>
          </w:tcPr>
          <w:p w14:paraId="12ADDD6D" w14:textId="1B31C8B2" w:rsidR="005F6AEC" w:rsidRPr="00EC5A92" w:rsidRDefault="005F6AEC" w:rsidP="008D399B">
            <w:pPr>
              <w:spacing w:after="0" w:line="240" w:lineRule="auto"/>
              <w:jc w:val="center"/>
            </w:pPr>
            <w:r w:rsidRPr="00EC5A92">
              <w:t>-</w:t>
            </w:r>
          </w:p>
        </w:tc>
        <w:tc>
          <w:tcPr>
            <w:tcW w:w="232" w:type="dxa"/>
          </w:tcPr>
          <w:p w14:paraId="799ED448" w14:textId="657D4ADD" w:rsidR="005F6AEC" w:rsidRPr="00EC5A92" w:rsidRDefault="005F6AEC" w:rsidP="008D399B">
            <w:pPr>
              <w:spacing w:after="0" w:line="240" w:lineRule="auto"/>
              <w:jc w:val="center"/>
            </w:pPr>
          </w:p>
        </w:tc>
        <w:tc>
          <w:tcPr>
            <w:tcW w:w="1296" w:type="dxa"/>
          </w:tcPr>
          <w:p w14:paraId="5D42C3DE" w14:textId="4712D101" w:rsidR="005F6AEC" w:rsidRPr="00EC5A92" w:rsidRDefault="005F6AEC" w:rsidP="008D399B">
            <w:pPr>
              <w:spacing w:after="0" w:line="240" w:lineRule="auto"/>
              <w:jc w:val="center"/>
            </w:pPr>
            <w:r w:rsidRPr="00EC5A92">
              <w:t>27.9 (1182)</w:t>
            </w:r>
          </w:p>
        </w:tc>
        <w:tc>
          <w:tcPr>
            <w:tcW w:w="1439" w:type="dxa"/>
          </w:tcPr>
          <w:p w14:paraId="65610346" w14:textId="3090F657" w:rsidR="005F6AEC" w:rsidRPr="00EC5A92" w:rsidRDefault="005F6AEC" w:rsidP="008D399B">
            <w:pPr>
              <w:spacing w:after="0" w:line="240" w:lineRule="auto"/>
              <w:jc w:val="center"/>
            </w:pPr>
            <w:r w:rsidRPr="00EC5A92">
              <w:t>15.7 (345)</w:t>
            </w:r>
          </w:p>
        </w:tc>
        <w:tc>
          <w:tcPr>
            <w:tcW w:w="830" w:type="dxa"/>
          </w:tcPr>
          <w:p w14:paraId="55C77649" w14:textId="20F21E48" w:rsidR="005F6AEC" w:rsidRPr="00EC5A92" w:rsidRDefault="005F6AEC" w:rsidP="008D399B">
            <w:pPr>
              <w:spacing w:after="0" w:line="240" w:lineRule="auto"/>
              <w:jc w:val="center"/>
            </w:pPr>
            <w:r w:rsidRPr="00EC5A92">
              <w:t>-</w:t>
            </w:r>
          </w:p>
        </w:tc>
      </w:tr>
      <w:tr w:rsidR="00903805" w:rsidRPr="00A90F02" w14:paraId="6F21C7CA" w14:textId="77777777" w:rsidTr="00EA6D66">
        <w:tc>
          <w:tcPr>
            <w:tcW w:w="3687" w:type="dxa"/>
            <w:gridSpan w:val="2"/>
            <w:tcBorders>
              <w:bottom w:val="nil"/>
            </w:tcBorders>
          </w:tcPr>
          <w:p w14:paraId="0DDD1C84" w14:textId="77777777" w:rsidR="005F6AEC" w:rsidRPr="00A90F02" w:rsidRDefault="005F6AEC" w:rsidP="008D399B">
            <w:pPr>
              <w:spacing w:after="0" w:line="240" w:lineRule="auto"/>
            </w:pPr>
            <w:r w:rsidRPr="00A90F02">
              <w:t>Alcohol intake, % (</w:t>
            </w:r>
            <w:r w:rsidRPr="00A90F02">
              <w:rPr>
                <w:i/>
              </w:rPr>
              <w:t>n</w:t>
            </w:r>
            <w:r w:rsidRPr="00A90F02">
              <w:t>)</w:t>
            </w:r>
          </w:p>
        </w:tc>
        <w:tc>
          <w:tcPr>
            <w:tcW w:w="1506" w:type="dxa"/>
            <w:tcBorders>
              <w:bottom w:val="nil"/>
            </w:tcBorders>
          </w:tcPr>
          <w:p w14:paraId="769BADDF" w14:textId="77777777" w:rsidR="005F6AEC" w:rsidRPr="00AC5C0A" w:rsidRDefault="005F6AEC" w:rsidP="008D399B">
            <w:pPr>
              <w:spacing w:after="0" w:line="240" w:lineRule="auto"/>
            </w:pPr>
          </w:p>
        </w:tc>
        <w:tc>
          <w:tcPr>
            <w:tcW w:w="235" w:type="dxa"/>
            <w:tcBorders>
              <w:bottom w:val="nil"/>
            </w:tcBorders>
          </w:tcPr>
          <w:p w14:paraId="4D6A2D83" w14:textId="77777777" w:rsidR="005F6AEC" w:rsidRPr="00A90F02" w:rsidRDefault="005F6AEC" w:rsidP="008D399B">
            <w:pPr>
              <w:spacing w:after="0" w:line="240" w:lineRule="auto"/>
              <w:rPr>
                <w:color w:val="FF0000"/>
              </w:rPr>
            </w:pPr>
          </w:p>
        </w:tc>
        <w:tc>
          <w:tcPr>
            <w:tcW w:w="1294" w:type="dxa"/>
            <w:tcBorders>
              <w:bottom w:val="nil"/>
            </w:tcBorders>
          </w:tcPr>
          <w:p w14:paraId="7D60CAD6" w14:textId="77777777" w:rsidR="005F6AEC" w:rsidRPr="0082436E" w:rsidRDefault="005F6AEC" w:rsidP="008D399B">
            <w:pPr>
              <w:spacing w:after="0" w:line="240" w:lineRule="auto"/>
            </w:pPr>
          </w:p>
        </w:tc>
        <w:tc>
          <w:tcPr>
            <w:tcW w:w="1506" w:type="dxa"/>
            <w:tcBorders>
              <w:bottom w:val="nil"/>
            </w:tcBorders>
          </w:tcPr>
          <w:p w14:paraId="3B1193AF" w14:textId="77777777" w:rsidR="005F6AEC" w:rsidRPr="0082436E" w:rsidRDefault="005F6AEC" w:rsidP="008D399B">
            <w:pPr>
              <w:spacing w:after="0" w:line="240" w:lineRule="auto"/>
            </w:pPr>
          </w:p>
        </w:tc>
        <w:tc>
          <w:tcPr>
            <w:tcW w:w="1495" w:type="dxa"/>
            <w:tcBorders>
              <w:bottom w:val="nil"/>
            </w:tcBorders>
          </w:tcPr>
          <w:p w14:paraId="05526231" w14:textId="7204BE9D" w:rsidR="005F6AEC" w:rsidRPr="0082436E" w:rsidRDefault="005F6AEC" w:rsidP="008D399B">
            <w:pPr>
              <w:spacing w:after="0" w:line="240" w:lineRule="auto"/>
            </w:pPr>
          </w:p>
        </w:tc>
        <w:tc>
          <w:tcPr>
            <w:tcW w:w="828" w:type="dxa"/>
            <w:tcBorders>
              <w:bottom w:val="nil"/>
            </w:tcBorders>
          </w:tcPr>
          <w:p w14:paraId="2C58A331" w14:textId="77777777" w:rsidR="005F6AEC" w:rsidRPr="00EC5A92" w:rsidRDefault="005F6AEC" w:rsidP="008D399B">
            <w:pPr>
              <w:spacing w:after="0" w:line="240" w:lineRule="auto"/>
            </w:pPr>
          </w:p>
        </w:tc>
        <w:tc>
          <w:tcPr>
            <w:tcW w:w="232" w:type="dxa"/>
            <w:tcBorders>
              <w:bottom w:val="nil"/>
            </w:tcBorders>
          </w:tcPr>
          <w:p w14:paraId="448D9B63" w14:textId="3314499C" w:rsidR="005F6AEC" w:rsidRPr="00EC5A92" w:rsidRDefault="005F6AEC" w:rsidP="008D399B">
            <w:pPr>
              <w:spacing w:after="0" w:line="240" w:lineRule="auto"/>
            </w:pPr>
          </w:p>
        </w:tc>
        <w:tc>
          <w:tcPr>
            <w:tcW w:w="1296" w:type="dxa"/>
            <w:tcBorders>
              <w:bottom w:val="nil"/>
            </w:tcBorders>
          </w:tcPr>
          <w:p w14:paraId="078EF78A" w14:textId="77777777" w:rsidR="005F6AEC" w:rsidRPr="00EC5A92" w:rsidRDefault="005F6AEC" w:rsidP="008D399B">
            <w:pPr>
              <w:spacing w:after="0" w:line="240" w:lineRule="auto"/>
            </w:pPr>
          </w:p>
        </w:tc>
        <w:tc>
          <w:tcPr>
            <w:tcW w:w="1439" w:type="dxa"/>
            <w:tcBorders>
              <w:bottom w:val="nil"/>
            </w:tcBorders>
          </w:tcPr>
          <w:p w14:paraId="12BB230E" w14:textId="77777777" w:rsidR="005F6AEC" w:rsidRPr="00EC5A92" w:rsidRDefault="005F6AEC" w:rsidP="008D399B">
            <w:pPr>
              <w:spacing w:after="0" w:line="240" w:lineRule="auto"/>
            </w:pPr>
          </w:p>
        </w:tc>
        <w:tc>
          <w:tcPr>
            <w:tcW w:w="830" w:type="dxa"/>
            <w:tcBorders>
              <w:bottom w:val="nil"/>
            </w:tcBorders>
          </w:tcPr>
          <w:p w14:paraId="303C9339" w14:textId="77777777" w:rsidR="005F6AEC" w:rsidRPr="00EC5A92" w:rsidRDefault="005F6AEC" w:rsidP="008D399B">
            <w:pPr>
              <w:spacing w:after="0" w:line="240" w:lineRule="auto"/>
            </w:pPr>
          </w:p>
        </w:tc>
      </w:tr>
      <w:tr w:rsidR="00500491" w:rsidRPr="00A90F02" w14:paraId="4CBE476E" w14:textId="77777777" w:rsidTr="00EA6D66">
        <w:tc>
          <w:tcPr>
            <w:tcW w:w="274" w:type="dxa"/>
            <w:tcBorders>
              <w:top w:val="nil"/>
              <w:bottom w:val="nil"/>
            </w:tcBorders>
          </w:tcPr>
          <w:p w14:paraId="7DFA7B61" w14:textId="77777777" w:rsidR="005F6AEC" w:rsidRPr="00A90F02" w:rsidRDefault="005F6AEC" w:rsidP="008D399B">
            <w:pPr>
              <w:spacing w:after="0" w:line="240" w:lineRule="auto"/>
              <w:rPr>
                <w:color w:val="FF0000"/>
              </w:rPr>
            </w:pPr>
          </w:p>
        </w:tc>
        <w:tc>
          <w:tcPr>
            <w:tcW w:w="3413" w:type="dxa"/>
            <w:tcBorders>
              <w:top w:val="nil"/>
            </w:tcBorders>
          </w:tcPr>
          <w:p w14:paraId="0D5C20C4" w14:textId="77777777" w:rsidR="005F6AEC" w:rsidRPr="00A90F02" w:rsidRDefault="005F6AEC" w:rsidP="008D399B">
            <w:pPr>
              <w:spacing w:after="0" w:line="240" w:lineRule="auto"/>
            </w:pPr>
            <w:r w:rsidRPr="00A90F02">
              <w:t>Never/rarely</w:t>
            </w:r>
          </w:p>
        </w:tc>
        <w:tc>
          <w:tcPr>
            <w:tcW w:w="1506" w:type="dxa"/>
            <w:tcBorders>
              <w:top w:val="nil"/>
            </w:tcBorders>
          </w:tcPr>
          <w:p w14:paraId="2261C1AB" w14:textId="77777777" w:rsidR="005F6AEC" w:rsidRPr="00AC5C0A" w:rsidRDefault="005F6AEC" w:rsidP="008D399B">
            <w:pPr>
              <w:spacing w:after="0" w:line="240" w:lineRule="auto"/>
              <w:jc w:val="center"/>
            </w:pPr>
            <w:r w:rsidRPr="00AC5C0A">
              <w:t>18.9 (1213)</w:t>
            </w:r>
          </w:p>
        </w:tc>
        <w:tc>
          <w:tcPr>
            <w:tcW w:w="235" w:type="dxa"/>
            <w:tcBorders>
              <w:top w:val="nil"/>
            </w:tcBorders>
          </w:tcPr>
          <w:p w14:paraId="1B4F7505" w14:textId="77777777" w:rsidR="005F6AEC" w:rsidRPr="00A90F02" w:rsidRDefault="005F6AEC" w:rsidP="008D399B">
            <w:pPr>
              <w:spacing w:after="0" w:line="240" w:lineRule="auto"/>
              <w:jc w:val="center"/>
              <w:rPr>
                <w:color w:val="FF0000"/>
              </w:rPr>
            </w:pPr>
          </w:p>
        </w:tc>
        <w:tc>
          <w:tcPr>
            <w:tcW w:w="1294" w:type="dxa"/>
            <w:tcBorders>
              <w:top w:val="nil"/>
            </w:tcBorders>
          </w:tcPr>
          <w:p w14:paraId="5249079F" w14:textId="6894135F" w:rsidR="005F6AEC" w:rsidRPr="0082436E" w:rsidRDefault="005F6AEC" w:rsidP="008D399B">
            <w:pPr>
              <w:spacing w:after="0" w:line="240" w:lineRule="auto"/>
              <w:jc w:val="center"/>
            </w:pPr>
            <w:r w:rsidRPr="0082436E">
              <w:t>21.5 (513)</w:t>
            </w:r>
          </w:p>
        </w:tc>
        <w:tc>
          <w:tcPr>
            <w:tcW w:w="1506" w:type="dxa"/>
            <w:tcBorders>
              <w:top w:val="nil"/>
            </w:tcBorders>
          </w:tcPr>
          <w:p w14:paraId="490FED3C" w14:textId="6D176287" w:rsidR="005F6AEC" w:rsidRPr="0082436E" w:rsidRDefault="005F6AEC" w:rsidP="008D399B">
            <w:pPr>
              <w:spacing w:after="0" w:line="240" w:lineRule="auto"/>
              <w:jc w:val="center"/>
            </w:pPr>
            <w:r w:rsidRPr="0082436E">
              <w:t>14.9 (468)</w:t>
            </w:r>
          </w:p>
        </w:tc>
        <w:tc>
          <w:tcPr>
            <w:tcW w:w="1495" w:type="dxa"/>
            <w:tcBorders>
              <w:top w:val="nil"/>
            </w:tcBorders>
          </w:tcPr>
          <w:p w14:paraId="56B6518D" w14:textId="1EAF3446" w:rsidR="005F6AEC" w:rsidRPr="0082436E" w:rsidRDefault="005F6AEC" w:rsidP="008D399B">
            <w:pPr>
              <w:spacing w:after="0" w:line="240" w:lineRule="auto"/>
              <w:jc w:val="center"/>
            </w:pPr>
            <w:r w:rsidRPr="0082436E">
              <w:t>25.9 (232)</w:t>
            </w:r>
          </w:p>
        </w:tc>
        <w:tc>
          <w:tcPr>
            <w:tcW w:w="828" w:type="dxa"/>
            <w:tcBorders>
              <w:top w:val="nil"/>
            </w:tcBorders>
          </w:tcPr>
          <w:p w14:paraId="4AAB470F" w14:textId="3C9F2807" w:rsidR="005F6AEC" w:rsidRPr="00EC5A92" w:rsidRDefault="005F6AEC" w:rsidP="008D399B">
            <w:pPr>
              <w:spacing w:after="0" w:line="240" w:lineRule="auto"/>
              <w:jc w:val="center"/>
            </w:pPr>
            <w:r w:rsidRPr="00EC5A92">
              <w:t>&lt;0.001</w:t>
            </w:r>
          </w:p>
        </w:tc>
        <w:tc>
          <w:tcPr>
            <w:tcW w:w="232" w:type="dxa"/>
            <w:tcBorders>
              <w:top w:val="nil"/>
            </w:tcBorders>
          </w:tcPr>
          <w:p w14:paraId="2B63728E" w14:textId="5F794725" w:rsidR="005F6AEC" w:rsidRPr="00EC5A92" w:rsidRDefault="005F6AEC" w:rsidP="008D399B">
            <w:pPr>
              <w:spacing w:after="0" w:line="240" w:lineRule="auto"/>
              <w:jc w:val="center"/>
            </w:pPr>
          </w:p>
        </w:tc>
        <w:tc>
          <w:tcPr>
            <w:tcW w:w="1296" w:type="dxa"/>
            <w:tcBorders>
              <w:top w:val="nil"/>
            </w:tcBorders>
          </w:tcPr>
          <w:p w14:paraId="212E6D62" w14:textId="2F96B1C4" w:rsidR="005F6AEC" w:rsidRPr="00EC5A92" w:rsidRDefault="005F6AEC" w:rsidP="008D399B">
            <w:pPr>
              <w:spacing w:after="0" w:line="240" w:lineRule="auto"/>
              <w:jc w:val="center"/>
            </w:pPr>
            <w:r w:rsidRPr="00EC5A92">
              <w:t>15.4 (651)</w:t>
            </w:r>
          </w:p>
        </w:tc>
        <w:tc>
          <w:tcPr>
            <w:tcW w:w="1439" w:type="dxa"/>
            <w:tcBorders>
              <w:top w:val="nil"/>
            </w:tcBorders>
          </w:tcPr>
          <w:p w14:paraId="0D26FA22" w14:textId="06113C97" w:rsidR="005F6AEC" w:rsidRPr="00EC5A92" w:rsidRDefault="005F6AEC" w:rsidP="008D399B">
            <w:pPr>
              <w:spacing w:after="0" w:line="240" w:lineRule="auto"/>
              <w:jc w:val="center"/>
            </w:pPr>
            <w:r w:rsidRPr="00EC5A92">
              <w:t>25.6 (562)</w:t>
            </w:r>
          </w:p>
        </w:tc>
        <w:tc>
          <w:tcPr>
            <w:tcW w:w="830" w:type="dxa"/>
            <w:tcBorders>
              <w:top w:val="nil"/>
            </w:tcBorders>
          </w:tcPr>
          <w:p w14:paraId="2B56A04D" w14:textId="3CA9D929" w:rsidR="005F6AEC" w:rsidRPr="00EC5A92" w:rsidRDefault="005F6AEC" w:rsidP="008D399B">
            <w:pPr>
              <w:spacing w:after="0" w:line="240" w:lineRule="auto"/>
              <w:jc w:val="center"/>
            </w:pPr>
            <w:r w:rsidRPr="00EC5A92">
              <w:t>&lt;0.001</w:t>
            </w:r>
          </w:p>
        </w:tc>
      </w:tr>
      <w:tr w:rsidR="00500491" w:rsidRPr="00A90F02" w14:paraId="0A4A3DD0" w14:textId="77777777" w:rsidTr="00EA6D66">
        <w:tc>
          <w:tcPr>
            <w:tcW w:w="274" w:type="dxa"/>
            <w:tcBorders>
              <w:top w:val="nil"/>
              <w:bottom w:val="nil"/>
            </w:tcBorders>
          </w:tcPr>
          <w:p w14:paraId="3AC73807" w14:textId="77777777" w:rsidR="005F6AEC" w:rsidRPr="00A90F02" w:rsidRDefault="005F6AEC" w:rsidP="008D399B">
            <w:pPr>
              <w:spacing w:after="0" w:line="240" w:lineRule="auto"/>
              <w:rPr>
                <w:color w:val="FF0000"/>
              </w:rPr>
            </w:pPr>
          </w:p>
        </w:tc>
        <w:tc>
          <w:tcPr>
            <w:tcW w:w="3413" w:type="dxa"/>
            <w:tcBorders>
              <w:top w:val="nil"/>
            </w:tcBorders>
          </w:tcPr>
          <w:p w14:paraId="07BD420F" w14:textId="77777777" w:rsidR="005F6AEC" w:rsidRPr="00A90F02" w:rsidRDefault="005F6AEC" w:rsidP="008D399B">
            <w:pPr>
              <w:spacing w:after="0" w:line="240" w:lineRule="auto"/>
            </w:pPr>
            <w:r w:rsidRPr="00A90F02">
              <w:t>Regularly</w:t>
            </w:r>
          </w:p>
        </w:tc>
        <w:tc>
          <w:tcPr>
            <w:tcW w:w="1506" w:type="dxa"/>
            <w:tcBorders>
              <w:top w:val="nil"/>
            </w:tcBorders>
          </w:tcPr>
          <w:p w14:paraId="029BE0F1" w14:textId="77777777" w:rsidR="005F6AEC" w:rsidRPr="00AC5C0A" w:rsidRDefault="005F6AEC" w:rsidP="008D399B">
            <w:pPr>
              <w:spacing w:after="0" w:line="240" w:lineRule="auto"/>
              <w:jc w:val="center"/>
            </w:pPr>
            <w:r w:rsidRPr="00AC5C0A">
              <w:t>45.3 (2909)</w:t>
            </w:r>
          </w:p>
        </w:tc>
        <w:tc>
          <w:tcPr>
            <w:tcW w:w="235" w:type="dxa"/>
            <w:tcBorders>
              <w:top w:val="nil"/>
            </w:tcBorders>
          </w:tcPr>
          <w:p w14:paraId="31112676" w14:textId="77777777" w:rsidR="005F6AEC" w:rsidRPr="00A90F02" w:rsidRDefault="005F6AEC" w:rsidP="008D399B">
            <w:pPr>
              <w:spacing w:after="0" w:line="240" w:lineRule="auto"/>
              <w:jc w:val="center"/>
              <w:rPr>
                <w:color w:val="FF0000"/>
              </w:rPr>
            </w:pPr>
          </w:p>
        </w:tc>
        <w:tc>
          <w:tcPr>
            <w:tcW w:w="1294" w:type="dxa"/>
            <w:tcBorders>
              <w:top w:val="nil"/>
            </w:tcBorders>
          </w:tcPr>
          <w:p w14:paraId="79FD5D73" w14:textId="6C2137DB" w:rsidR="005F6AEC" w:rsidRPr="0082436E" w:rsidRDefault="005F6AEC" w:rsidP="008D399B">
            <w:pPr>
              <w:spacing w:after="0" w:line="240" w:lineRule="auto"/>
              <w:jc w:val="center"/>
            </w:pPr>
            <w:r w:rsidRPr="0082436E">
              <w:t>48.0 (1145)</w:t>
            </w:r>
          </w:p>
        </w:tc>
        <w:tc>
          <w:tcPr>
            <w:tcW w:w="1506" w:type="dxa"/>
            <w:tcBorders>
              <w:top w:val="nil"/>
            </w:tcBorders>
          </w:tcPr>
          <w:p w14:paraId="24F0D270" w14:textId="01C31C91" w:rsidR="005F6AEC" w:rsidRPr="0082436E" w:rsidRDefault="005F6AEC" w:rsidP="008D399B">
            <w:pPr>
              <w:spacing w:after="0" w:line="240" w:lineRule="auto"/>
              <w:jc w:val="center"/>
            </w:pPr>
            <w:r w:rsidRPr="0082436E">
              <w:t>44.3 (1393)</w:t>
            </w:r>
          </w:p>
        </w:tc>
        <w:tc>
          <w:tcPr>
            <w:tcW w:w="1495" w:type="dxa"/>
            <w:tcBorders>
              <w:top w:val="nil"/>
            </w:tcBorders>
          </w:tcPr>
          <w:p w14:paraId="07F6FACB" w14:textId="2EF68188" w:rsidR="005F6AEC" w:rsidRPr="0082436E" w:rsidRDefault="005F6AEC" w:rsidP="008D399B">
            <w:pPr>
              <w:spacing w:after="0" w:line="240" w:lineRule="auto"/>
              <w:jc w:val="center"/>
            </w:pPr>
            <w:r w:rsidRPr="0082436E">
              <w:t>41.4 (371)</w:t>
            </w:r>
          </w:p>
        </w:tc>
        <w:tc>
          <w:tcPr>
            <w:tcW w:w="828" w:type="dxa"/>
            <w:tcBorders>
              <w:top w:val="nil"/>
            </w:tcBorders>
          </w:tcPr>
          <w:p w14:paraId="3A385C2B" w14:textId="40CF74FA" w:rsidR="005F6AEC" w:rsidRPr="00EC5A92" w:rsidRDefault="005F6AEC" w:rsidP="008D399B">
            <w:pPr>
              <w:spacing w:after="0" w:line="240" w:lineRule="auto"/>
              <w:jc w:val="center"/>
            </w:pPr>
            <w:r w:rsidRPr="00EC5A92">
              <w:t>-</w:t>
            </w:r>
          </w:p>
        </w:tc>
        <w:tc>
          <w:tcPr>
            <w:tcW w:w="232" w:type="dxa"/>
            <w:tcBorders>
              <w:top w:val="nil"/>
            </w:tcBorders>
          </w:tcPr>
          <w:p w14:paraId="28FFF485" w14:textId="27D1E484" w:rsidR="005F6AEC" w:rsidRPr="00EC5A92" w:rsidRDefault="005F6AEC" w:rsidP="008D399B">
            <w:pPr>
              <w:spacing w:after="0" w:line="240" w:lineRule="auto"/>
              <w:jc w:val="center"/>
            </w:pPr>
          </w:p>
        </w:tc>
        <w:tc>
          <w:tcPr>
            <w:tcW w:w="1296" w:type="dxa"/>
            <w:tcBorders>
              <w:top w:val="nil"/>
            </w:tcBorders>
          </w:tcPr>
          <w:p w14:paraId="7E5463AF" w14:textId="3AB12811" w:rsidR="005F6AEC" w:rsidRPr="00EC5A92" w:rsidRDefault="005F6AEC" w:rsidP="008D399B">
            <w:pPr>
              <w:spacing w:after="0" w:line="240" w:lineRule="auto"/>
              <w:jc w:val="center"/>
            </w:pPr>
            <w:r w:rsidRPr="00EC5A92">
              <w:t>45.0 (1905)</w:t>
            </w:r>
          </w:p>
        </w:tc>
        <w:tc>
          <w:tcPr>
            <w:tcW w:w="1439" w:type="dxa"/>
            <w:tcBorders>
              <w:top w:val="nil"/>
            </w:tcBorders>
          </w:tcPr>
          <w:p w14:paraId="06813AD2" w14:textId="13837F4A" w:rsidR="005F6AEC" w:rsidRPr="00EC5A92" w:rsidRDefault="005F6AEC" w:rsidP="008D399B">
            <w:pPr>
              <w:spacing w:after="0" w:line="240" w:lineRule="auto"/>
              <w:jc w:val="center"/>
            </w:pPr>
            <w:r w:rsidRPr="00EC5A92">
              <w:t>45.8 (1004)</w:t>
            </w:r>
          </w:p>
        </w:tc>
        <w:tc>
          <w:tcPr>
            <w:tcW w:w="830" w:type="dxa"/>
            <w:tcBorders>
              <w:top w:val="nil"/>
            </w:tcBorders>
          </w:tcPr>
          <w:p w14:paraId="26BA42B6" w14:textId="5AFCD229" w:rsidR="005F6AEC" w:rsidRPr="00EC5A92" w:rsidRDefault="005F6AEC" w:rsidP="008D399B">
            <w:pPr>
              <w:spacing w:after="0" w:line="240" w:lineRule="auto"/>
              <w:jc w:val="center"/>
            </w:pPr>
            <w:r w:rsidRPr="00EC5A92">
              <w:t>-</w:t>
            </w:r>
          </w:p>
        </w:tc>
      </w:tr>
      <w:tr w:rsidR="00500491" w:rsidRPr="00A90F02" w14:paraId="30FF9A71" w14:textId="77777777" w:rsidTr="00EA6D66">
        <w:tc>
          <w:tcPr>
            <w:tcW w:w="274" w:type="dxa"/>
            <w:tcBorders>
              <w:top w:val="nil"/>
            </w:tcBorders>
          </w:tcPr>
          <w:p w14:paraId="5D321E11" w14:textId="77777777" w:rsidR="005F6AEC" w:rsidRPr="00A90F02" w:rsidRDefault="005F6AEC" w:rsidP="008D399B">
            <w:pPr>
              <w:spacing w:after="0" w:line="240" w:lineRule="auto"/>
              <w:rPr>
                <w:color w:val="FF0000"/>
              </w:rPr>
            </w:pPr>
          </w:p>
        </w:tc>
        <w:tc>
          <w:tcPr>
            <w:tcW w:w="3413" w:type="dxa"/>
          </w:tcPr>
          <w:p w14:paraId="66B85348" w14:textId="77777777" w:rsidR="005F6AEC" w:rsidRPr="00A90F02" w:rsidRDefault="005F6AEC" w:rsidP="008D399B">
            <w:pPr>
              <w:spacing w:after="0" w:line="240" w:lineRule="auto"/>
            </w:pPr>
            <w:r w:rsidRPr="00A90F02">
              <w:t>Frequently</w:t>
            </w:r>
          </w:p>
        </w:tc>
        <w:tc>
          <w:tcPr>
            <w:tcW w:w="1506" w:type="dxa"/>
          </w:tcPr>
          <w:p w14:paraId="485FDA95" w14:textId="77777777" w:rsidR="005F6AEC" w:rsidRPr="00AC5C0A" w:rsidRDefault="005F6AEC" w:rsidP="008D399B">
            <w:pPr>
              <w:spacing w:after="0" w:line="240" w:lineRule="auto"/>
              <w:jc w:val="center"/>
            </w:pPr>
            <w:r w:rsidRPr="00AC5C0A">
              <w:t>35.8 (2303)</w:t>
            </w:r>
          </w:p>
        </w:tc>
        <w:tc>
          <w:tcPr>
            <w:tcW w:w="235" w:type="dxa"/>
          </w:tcPr>
          <w:p w14:paraId="20514F69" w14:textId="77777777" w:rsidR="005F6AEC" w:rsidRPr="00A90F02" w:rsidRDefault="005F6AEC" w:rsidP="008D399B">
            <w:pPr>
              <w:spacing w:after="0" w:line="240" w:lineRule="auto"/>
              <w:jc w:val="center"/>
              <w:rPr>
                <w:color w:val="FF0000"/>
              </w:rPr>
            </w:pPr>
          </w:p>
        </w:tc>
        <w:tc>
          <w:tcPr>
            <w:tcW w:w="1294" w:type="dxa"/>
          </w:tcPr>
          <w:p w14:paraId="6A603B58" w14:textId="06AD9EC9" w:rsidR="005F6AEC" w:rsidRPr="0082436E" w:rsidRDefault="005F6AEC" w:rsidP="008D399B">
            <w:pPr>
              <w:spacing w:after="0" w:line="240" w:lineRule="auto"/>
              <w:jc w:val="center"/>
            </w:pPr>
            <w:r w:rsidRPr="0082436E">
              <w:t>30.5 (729)</w:t>
            </w:r>
          </w:p>
        </w:tc>
        <w:tc>
          <w:tcPr>
            <w:tcW w:w="1506" w:type="dxa"/>
          </w:tcPr>
          <w:p w14:paraId="515B4A65" w14:textId="41A3961C" w:rsidR="005F6AEC" w:rsidRPr="0082436E" w:rsidRDefault="005F6AEC" w:rsidP="008D399B">
            <w:pPr>
              <w:spacing w:after="0" w:line="240" w:lineRule="auto"/>
              <w:jc w:val="center"/>
            </w:pPr>
            <w:r w:rsidRPr="0082436E">
              <w:t>40.8 (1280)</w:t>
            </w:r>
          </w:p>
        </w:tc>
        <w:tc>
          <w:tcPr>
            <w:tcW w:w="1495" w:type="dxa"/>
          </w:tcPr>
          <w:p w14:paraId="08D194C2" w14:textId="48203C8F" w:rsidR="005F6AEC" w:rsidRPr="0082436E" w:rsidRDefault="005F6AEC" w:rsidP="008D399B">
            <w:pPr>
              <w:spacing w:after="0" w:line="240" w:lineRule="auto"/>
              <w:jc w:val="center"/>
            </w:pPr>
            <w:r w:rsidRPr="0082436E">
              <w:t>32.8 (294)</w:t>
            </w:r>
          </w:p>
        </w:tc>
        <w:tc>
          <w:tcPr>
            <w:tcW w:w="828" w:type="dxa"/>
          </w:tcPr>
          <w:p w14:paraId="428371A7" w14:textId="71C76BE4" w:rsidR="005F6AEC" w:rsidRPr="00EC5A92" w:rsidRDefault="005F6AEC" w:rsidP="008D399B">
            <w:pPr>
              <w:spacing w:after="0" w:line="240" w:lineRule="auto"/>
              <w:jc w:val="center"/>
            </w:pPr>
            <w:r w:rsidRPr="00EC5A92">
              <w:t>-</w:t>
            </w:r>
          </w:p>
        </w:tc>
        <w:tc>
          <w:tcPr>
            <w:tcW w:w="232" w:type="dxa"/>
          </w:tcPr>
          <w:p w14:paraId="6B449EA1" w14:textId="1F34AAA6" w:rsidR="005F6AEC" w:rsidRPr="00EC5A92" w:rsidRDefault="005F6AEC" w:rsidP="008D399B">
            <w:pPr>
              <w:spacing w:after="0" w:line="240" w:lineRule="auto"/>
              <w:jc w:val="center"/>
            </w:pPr>
          </w:p>
        </w:tc>
        <w:tc>
          <w:tcPr>
            <w:tcW w:w="1296" w:type="dxa"/>
          </w:tcPr>
          <w:p w14:paraId="4286839E" w14:textId="1C710751" w:rsidR="005F6AEC" w:rsidRPr="00EC5A92" w:rsidRDefault="005F6AEC" w:rsidP="008D399B">
            <w:pPr>
              <w:spacing w:after="0" w:line="240" w:lineRule="auto"/>
              <w:jc w:val="center"/>
            </w:pPr>
            <w:r w:rsidRPr="00EC5A92">
              <w:t>39.6 (1677)</w:t>
            </w:r>
          </w:p>
        </w:tc>
        <w:tc>
          <w:tcPr>
            <w:tcW w:w="1439" w:type="dxa"/>
          </w:tcPr>
          <w:p w14:paraId="3D742B6D" w14:textId="1986A66A" w:rsidR="005F6AEC" w:rsidRPr="00EC5A92" w:rsidRDefault="005F6AEC" w:rsidP="008D399B">
            <w:pPr>
              <w:spacing w:after="0" w:line="240" w:lineRule="auto"/>
              <w:jc w:val="center"/>
            </w:pPr>
            <w:r w:rsidRPr="00EC5A92">
              <w:t>28.6 (626)</w:t>
            </w:r>
          </w:p>
        </w:tc>
        <w:tc>
          <w:tcPr>
            <w:tcW w:w="830" w:type="dxa"/>
          </w:tcPr>
          <w:p w14:paraId="2CB2C512" w14:textId="301747B0" w:rsidR="005F6AEC" w:rsidRPr="00EC5A92" w:rsidRDefault="005F6AEC" w:rsidP="008D399B">
            <w:pPr>
              <w:spacing w:after="0" w:line="240" w:lineRule="auto"/>
              <w:jc w:val="center"/>
            </w:pPr>
            <w:r w:rsidRPr="00EC5A92">
              <w:t>-</w:t>
            </w:r>
          </w:p>
        </w:tc>
      </w:tr>
      <w:tr w:rsidR="00903805" w:rsidRPr="00A90F02" w14:paraId="128CBAC2" w14:textId="77777777" w:rsidTr="00EA6D66">
        <w:tc>
          <w:tcPr>
            <w:tcW w:w="3687" w:type="dxa"/>
            <w:gridSpan w:val="2"/>
            <w:tcBorders>
              <w:top w:val="nil"/>
            </w:tcBorders>
          </w:tcPr>
          <w:p w14:paraId="58D4BF02" w14:textId="77777777" w:rsidR="005F6AEC" w:rsidRPr="00A90F02" w:rsidRDefault="005F6AEC" w:rsidP="008D399B">
            <w:pPr>
              <w:spacing w:after="0" w:line="240" w:lineRule="auto"/>
            </w:pPr>
            <w:r w:rsidRPr="00A90F02">
              <w:t>BMI, mean (SD)</w:t>
            </w:r>
          </w:p>
        </w:tc>
        <w:tc>
          <w:tcPr>
            <w:tcW w:w="1506" w:type="dxa"/>
          </w:tcPr>
          <w:p w14:paraId="74B0A762" w14:textId="77777777" w:rsidR="005F6AEC" w:rsidRPr="00AC5C0A" w:rsidRDefault="005F6AEC" w:rsidP="008D399B">
            <w:pPr>
              <w:spacing w:after="0" w:line="240" w:lineRule="auto"/>
              <w:jc w:val="center"/>
            </w:pPr>
            <w:r w:rsidRPr="00AC5C0A">
              <w:t>27.91 (4.87)</w:t>
            </w:r>
          </w:p>
        </w:tc>
        <w:tc>
          <w:tcPr>
            <w:tcW w:w="235" w:type="dxa"/>
          </w:tcPr>
          <w:p w14:paraId="38125DE0" w14:textId="77777777" w:rsidR="005F6AEC" w:rsidRPr="00A90F02" w:rsidRDefault="005F6AEC" w:rsidP="008D399B">
            <w:pPr>
              <w:spacing w:after="0" w:line="240" w:lineRule="auto"/>
              <w:jc w:val="center"/>
              <w:rPr>
                <w:color w:val="FF0000"/>
              </w:rPr>
            </w:pPr>
          </w:p>
        </w:tc>
        <w:tc>
          <w:tcPr>
            <w:tcW w:w="1294" w:type="dxa"/>
          </w:tcPr>
          <w:p w14:paraId="33A83D35" w14:textId="033D8AB2" w:rsidR="005F6AEC" w:rsidRPr="0082436E" w:rsidRDefault="005F6AEC" w:rsidP="008D399B">
            <w:pPr>
              <w:spacing w:after="0" w:line="240" w:lineRule="auto"/>
              <w:jc w:val="center"/>
            </w:pPr>
            <w:r w:rsidRPr="0082436E">
              <w:t>27.84 (4.84)</w:t>
            </w:r>
          </w:p>
        </w:tc>
        <w:tc>
          <w:tcPr>
            <w:tcW w:w="1506" w:type="dxa"/>
          </w:tcPr>
          <w:p w14:paraId="192AEBC3" w14:textId="28718992" w:rsidR="005F6AEC" w:rsidRPr="0082436E" w:rsidRDefault="005F6AEC" w:rsidP="008D399B">
            <w:pPr>
              <w:spacing w:after="0" w:line="240" w:lineRule="auto"/>
              <w:jc w:val="center"/>
            </w:pPr>
            <w:r w:rsidRPr="0082436E">
              <w:t>28.19 (4.85)</w:t>
            </w:r>
          </w:p>
        </w:tc>
        <w:tc>
          <w:tcPr>
            <w:tcW w:w="1495" w:type="dxa"/>
          </w:tcPr>
          <w:p w14:paraId="5840E422" w14:textId="3D41E54E" w:rsidR="005F6AEC" w:rsidRPr="0082436E" w:rsidRDefault="005F6AEC" w:rsidP="008D399B">
            <w:pPr>
              <w:spacing w:after="0" w:line="240" w:lineRule="auto"/>
              <w:jc w:val="center"/>
            </w:pPr>
            <w:r w:rsidRPr="0082436E">
              <w:t>27.14 (4.93)</w:t>
            </w:r>
          </w:p>
        </w:tc>
        <w:tc>
          <w:tcPr>
            <w:tcW w:w="828" w:type="dxa"/>
          </w:tcPr>
          <w:p w14:paraId="2BD16E3C" w14:textId="650BA1FE" w:rsidR="005F6AEC" w:rsidRPr="00EC5A92" w:rsidRDefault="005F6AEC" w:rsidP="008D399B">
            <w:pPr>
              <w:spacing w:after="0" w:line="240" w:lineRule="auto"/>
              <w:jc w:val="center"/>
            </w:pPr>
            <w:r w:rsidRPr="00EC5A92">
              <w:t>&lt;0.001</w:t>
            </w:r>
          </w:p>
        </w:tc>
        <w:tc>
          <w:tcPr>
            <w:tcW w:w="232" w:type="dxa"/>
          </w:tcPr>
          <w:p w14:paraId="4C7CC9F0" w14:textId="47ABFB38" w:rsidR="005F6AEC" w:rsidRPr="00EC5A92" w:rsidRDefault="005F6AEC" w:rsidP="008D399B">
            <w:pPr>
              <w:spacing w:after="0" w:line="240" w:lineRule="auto"/>
              <w:jc w:val="center"/>
            </w:pPr>
          </w:p>
        </w:tc>
        <w:tc>
          <w:tcPr>
            <w:tcW w:w="1296" w:type="dxa"/>
          </w:tcPr>
          <w:p w14:paraId="6A5BD101" w14:textId="6FBCD982" w:rsidR="005F6AEC" w:rsidRPr="00EC5A92" w:rsidRDefault="005F6AEC" w:rsidP="008D399B">
            <w:pPr>
              <w:spacing w:after="0" w:line="240" w:lineRule="auto"/>
              <w:jc w:val="center"/>
            </w:pPr>
            <w:r w:rsidRPr="00EC5A92">
              <w:t>27.48 (4.44)</w:t>
            </w:r>
          </w:p>
        </w:tc>
        <w:tc>
          <w:tcPr>
            <w:tcW w:w="1439" w:type="dxa"/>
          </w:tcPr>
          <w:p w14:paraId="5F6E04E1" w14:textId="4C5550D8" w:rsidR="005F6AEC" w:rsidRPr="00EC5A92" w:rsidRDefault="005F6AEC" w:rsidP="008D399B">
            <w:pPr>
              <w:spacing w:after="0" w:line="240" w:lineRule="auto"/>
              <w:jc w:val="center"/>
            </w:pPr>
            <w:r w:rsidRPr="00EC5A92">
              <w:t>28.75 (5.51)</w:t>
            </w:r>
          </w:p>
        </w:tc>
        <w:tc>
          <w:tcPr>
            <w:tcW w:w="830" w:type="dxa"/>
          </w:tcPr>
          <w:p w14:paraId="1ABE0CB3" w14:textId="5D10B94C" w:rsidR="005F6AEC" w:rsidRPr="00EC5A92" w:rsidRDefault="00EA39F2" w:rsidP="008D399B">
            <w:pPr>
              <w:spacing w:after="0" w:line="240" w:lineRule="auto"/>
              <w:jc w:val="center"/>
            </w:pPr>
            <w:r w:rsidRPr="00EC5A92">
              <w:t>&lt;0.001</w:t>
            </w:r>
          </w:p>
        </w:tc>
      </w:tr>
      <w:tr w:rsidR="00903805" w:rsidRPr="00A90F02" w14:paraId="2CC41D3F" w14:textId="77777777" w:rsidTr="00EA6D66">
        <w:tc>
          <w:tcPr>
            <w:tcW w:w="3687" w:type="dxa"/>
            <w:gridSpan w:val="2"/>
            <w:tcBorders>
              <w:top w:val="nil"/>
            </w:tcBorders>
          </w:tcPr>
          <w:p w14:paraId="3BE55495" w14:textId="77777777" w:rsidR="005F6AEC" w:rsidRPr="00A90F02" w:rsidRDefault="005F6AEC" w:rsidP="008D399B">
            <w:pPr>
              <w:spacing w:after="0" w:line="240" w:lineRule="auto"/>
            </w:pPr>
            <w:r w:rsidRPr="00A90F02">
              <w:t>Fair/poor self-rated health</w:t>
            </w:r>
            <w:r w:rsidRPr="00A90F02">
              <w:rPr>
                <w:vertAlign w:val="superscript"/>
              </w:rPr>
              <w:t>1</w:t>
            </w:r>
            <w:r w:rsidRPr="00A90F02">
              <w:t>, % (</w:t>
            </w:r>
            <w:r w:rsidRPr="00A90F02">
              <w:rPr>
                <w:i/>
              </w:rPr>
              <w:t>n</w:t>
            </w:r>
            <w:r w:rsidRPr="00A90F02">
              <w:t>)</w:t>
            </w:r>
          </w:p>
        </w:tc>
        <w:tc>
          <w:tcPr>
            <w:tcW w:w="1506" w:type="dxa"/>
          </w:tcPr>
          <w:p w14:paraId="67EAA321" w14:textId="77777777" w:rsidR="005F6AEC" w:rsidRPr="00AC5C0A" w:rsidRDefault="005F6AEC" w:rsidP="008D399B">
            <w:pPr>
              <w:spacing w:after="0" w:line="240" w:lineRule="auto"/>
              <w:jc w:val="center"/>
            </w:pPr>
            <w:r w:rsidRPr="00AC5C0A">
              <w:t>24.5 (1575)</w:t>
            </w:r>
          </w:p>
        </w:tc>
        <w:tc>
          <w:tcPr>
            <w:tcW w:w="235" w:type="dxa"/>
          </w:tcPr>
          <w:p w14:paraId="2F812260" w14:textId="77777777" w:rsidR="005F6AEC" w:rsidRPr="00A90F02" w:rsidRDefault="005F6AEC" w:rsidP="008D399B">
            <w:pPr>
              <w:spacing w:after="0" w:line="240" w:lineRule="auto"/>
              <w:jc w:val="center"/>
              <w:rPr>
                <w:color w:val="FF0000"/>
              </w:rPr>
            </w:pPr>
          </w:p>
        </w:tc>
        <w:tc>
          <w:tcPr>
            <w:tcW w:w="1294" w:type="dxa"/>
          </w:tcPr>
          <w:p w14:paraId="08107A3F" w14:textId="7F6F28CD" w:rsidR="005F6AEC" w:rsidRPr="0082436E" w:rsidRDefault="005F6AEC" w:rsidP="008D399B">
            <w:pPr>
              <w:spacing w:after="0" w:line="240" w:lineRule="auto"/>
              <w:jc w:val="center"/>
            </w:pPr>
            <w:r w:rsidRPr="0082436E">
              <w:t>19.7 (469)</w:t>
            </w:r>
          </w:p>
        </w:tc>
        <w:tc>
          <w:tcPr>
            <w:tcW w:w="1506" w:type="dxa"/>
          </w:tcPr>
          <w:p w14:paraId="791D1923" w14:textId="1EC051BD" w:rsidR="005F6AEC" w:rsidRPr="0082436E" w:rsidRDefault="005F6AEC" w:rsidP="008D399B">
            <w:pPr>
              <w:spacing w:after="0" w:line="240" w:lineRule="auto"/>
              <w:jc w:val="center"/>
            </w:pPr>
            <w:r w:rsidRPr="0082436E">
              <w:t>24.5 (770)</w:t>
            </w:r>
          </w:p>
        </w:tc>
        <w:tc>
          <w:tcPr>
            <w:tcW w:w="1495" w:type="dxa"/>
          </w:tcPr>
          <w:p w14:paraId="7B2E6D4B" w14:textId="36CAC66E" w:rsidR="005F6AEC" w:rsidRPr="0082436E" w:rsidRDefault="005F6AEC" w:rsidP="008D399B">
            <w:pPr>
              <w:spacing w:after="0" w:line="240" w:lineRule="auto"/>
              <w:jc w:val="center"/>
            </w:pPr>
            <w:r w:rsidRPr="0082436E">
              <w:t>37.5 (336)</w:t>
            </w:r>
          </w:p>
        </w:tc>
        <w:tc>
          <w:tcPr>
            <w:tcW w:w="828" w:type="dxa"/>
          </w:tcPr>
          <w:p w14:paraId="43C9C43F" w14:textId="4E740B3B" w:rsidR="005F6AEC" w:rsidRPr="00EC5A92" w:rsidRDefault="005F6AEC" w:rsidP="008D399B">
            <w:pPr>
              <w:spacing w:after="0" w:line="240" w:lineRule="auto"/>
              <w:jc w:val="center"/>
            </w:pPr>
            <w:r w:rsidRPr="00EC5A92">
              <w:t>&lt;0.001</w:t>
            </w:r>
          </w:p>
        </w:tc>
        <w:tc>
          <w:tcPr>
            <w:tcW w:w="232" w:type="dxa"/>
          </w:tcPr>
          <w:p w14:paraId="3F23CF1B" w14:textId="1C7EB3F0" w:rsidR="005F6AEC" w:rsidRPr="00EC5A92" w:rsidRDefault="005F6AEC" w:rsidP="008D399B">
            <w:pPr>
              <w:spacing w:after="0" w:line="240" w:lineRule="auto"/>
              <w:jc w:val="center"/>
            </w:pPr>
          </w:p>
        </w:tc>
        <w:tc>
          <w:tcPr>
            <w:tcW w:w="1296" w:type="dxa"/>
          </w:tcPr>
          <w:p w14:paraId="5BCD1832" w14:textId="6D2ACF4D" w:rsidR="005F6AEC" w:rsidRPr="00EC5A92" w:rsidRDefault="005F6AEC" w:rsidP="008D399B">
            <w:pPr>
              <w:spacing w:after="0" w:line="240" w:lineRule="auto"/>
              <w:jc w:val="center"/>
            </w:pPr>
            <w:r w:rsidRPr="00EC5A92">
              <w:t>16.8 (709)</w:t>
            </w:r>
          </w:p>
        </w:tc>
        <w:tc>
          <w:tcPr>
            <w:tcW w:w="1439" w:type="dxa"/>
          </w:tcPr>
          <w:p w14:paraId="66262AC0" w14:textId="1217F179" w:rsidR="005F6AEC" w:rsidRPr="00EC5A92" w:rsidRDefault="005F6AEC" w:rsidP="008D399B">
            <w:pPr>
              <w:spacing w:after="0" w:line="240" w:lineRule="auto"/>
              <w:jc w:val="center"/>
            </w:pPr>
            <w:r w:rsidRPr="00EC5A92">
              <w:t>39.5 (866)</w:t>
            </w:r>
          </w:p>
        </w:tc>
        <w:tc>
          <w:tcPr>
            <w:tcW w:w="830" w:type="dxa"/>
          </w:tcPr>
          <w:p w14:paraId="6142F9DD" w14:textId="24155E7F" w:rsidR="005F6AEC" w:rsidRPr="00EC5A92" w:rsidRDefault="00EA39F2" w:rsidP="008D399B">
            <w:pPr>
              <w:spacing w:after="0" w:line="240" w:lineRule="auto"/>
              <w:jc w:val="center"/>
            </w:pPr>
            <w:r w:rsidRPr="00EC5A92">
              <w:t>&lt;0.001</w:t>
            </w:r>
          </w:p>
        </w:tc>
      </w:tr>
      <w:tr w:rsidR="00EA6D66" w:rsidRPr="00A90F02" w14:paraId="2F8D6D7B" w14:textId="77777777" w:rsidTr="00EA6D66">
        <w:tc>
          <w:tcPr>
            <w:tcW w:w="3687" w:type="dxa"/>
            <w:gridSpan w:val="2"/>
            <w:tcBorders>
              <w:top w:val="nil"/>
            </w:tcBorders>
          </w:tcPr>
          <w:p w14:paraId="7AA2CF87" w14:textId="77777777" w:rsidR="00EA39F2" w:rsidRPr="00A90F02" w:rsidRDefault="00EA39F2" w:rsidP="00EA39F2">
            <w:pPr>
              <w:spacing w:after="0" w:line="240" w:lineRule="auto"/>
            </w:pPr>
            <w:r w:rsidRPr="00A90F02">
              <w:t>Limiting long-standing illness</w:t>
            </w:r>
            <w:r w:rsidRPr="00A90F02">
              <w:rPr>
                <w:vertAlign w:val="superscript"/>
              </w:rPr>
              <w:t>1</w:t>
            </w:r>
            <w:r w:rsidRPr="00A90F02">
              <w:t>, % (</w:t>
            </w:r>
            <w:r w:rsidRPr="00A90F02">
              <w:rPr>
                <w:i/>
              </w:rPr>
              <w:t>n</w:t>
            </w:r>
            <w:r w:rsidRPr="00A90F02">
              <w:t>)</w:t>
            </w:r>
          </w:p>
        </w:tc>
        <w:tc>
          <w:tcPr>
            <w:tcW w:w="1506" w:type="dxa"/>
          </w:tcPr>
          <w:p w14:paraId="53005F7C" w14:textId="77777777" w:rsidR="00EA39F2" w:rsidRPr="00AC5C0A" w:rsidRDefault="00EA39F2" w:rsidP="00EA39F2">
            <w:pPr>
              <w:spacing w:after="0" w:line="240" w:lineRule="auto"/>
              <w:jc w:val="center"/>
            </w:pPr>
            <w:r w:rsidRPr="00AC5C0A">
              <w:t>32.9 (2111)</w:t>
            </w:r>
          </w:p>
        </w:tc>
        <w:tc>
          <w:tcPr>
            <w:tcW w:w="235" w:type="dxa"/>
          </w:tcPr>
          <w:p w14:paraId="505BF22F" w14:textId="77777777" w:rsidR="00EA39F2" w:rsidRPr="00A90F02" w:rsidRDefault="00EA39F2" w:rsidP="00EA39F2">
            <w:pPr>
              <w:spacing w:after="0" w:line="240" w:lineRule="auto"/>
              <w:jc w:val="center"/>
              <w:rPr>
                <w:color w:val="FF0000"/>
              </w:rPr>
            </w:pPr>
          </w:p>
        </w:tc>
        <w:tc>
          <w:tcPr>
            <w:tcW w:w="1294" w:type="dxa"/>
          </w:tcPr>
          <w:p w14:paraId="7266E29E" w14:textId="307005F2" w:rsidR="00EA39F2" w:rsidRPr="0082436E" w:rsidRDefault="00EA39F2" w:rsidP="00EA39F2">
            <w:pPr>
              <w:spacing w:after="0" w:line="240" w:lineRule="auto"/>
              <w:jc w:val="center"/>
            </w:pPr>
            <w:r w:rsidRPr="0082436E">
              <w:t>28.0 (668)</w:t>
            </w:r>
          </w:p>
        </w:tc>
        <w:tc>
          <w:tcPr>
            <w:tcW w:w="1506" w:type="dxa"/>
          </w:tcPr>
          <w:p w14:paraId="6157C46C" w14:textId="750FD19D" w:rsidR="00EA39F2" w:rsidRPr="0082436E" w:rsidRDefault="00EA39F2" w:rsidP="00EA39F2">
            <w:pPr>
              <w:spacing w:after="0" w:line="240" w:lineRule="auto"/>
              <w:jc w:val="center"/>
            </w:pPr>
            <w:r w:rsidRPr="0082436E">
              <w:t>34.5 (1082)</w:t>
            </w:r>
          </w:p>
        </w:tc>
        <w:tc>
          <w:tcPr>
            <w:tcW w:w="1495" w:type="dxa"/>
          </w:tcPr>
          <w:p w14:paraId="7010B6AA" w14:textId="4F991CD2" w:rsidR="00EA39F2" w:rsidRPr="0082436E" w:rsidRDefault="00EA39F2" w:rsidP="00EA39F2">
            <w:pPr>
              <w:spacing w:after="0" w:line="240" w:lineRule="auto"/>
              <w:jc w:val="center"/>
            </w:pPr>
            <w:r w:rsidRPr="0082436E">
              <w:t>40.2 (361)</w:t>
            </w:r>
          </w:p>
        </w:tc>
        <w:tc>
          <w:tcPr>
            <w:tcW w:w="828" w:type="dxa"/>
          </w:tcPr>
          <w:p w14:paraId="2B68223D" w14:textId="2B108509" w:rsidR="00EA39F2" w:rsidRPr="00EC5A92" w:rsidRDefault="00EA39F2" w:rsidP="00EA39F2">
            <w:pPr>
              <w:spacing w:after="0" w:line="240" w:lineRule="auto"/>
              <w:jc w:val="center"/>
            </w:pPr>
            <w:r w:rsidRPr="00EC5A92">
              <w:t>&lt;0.001</w:t>
            </w:r>
          </w:p>
        </w:tc>
        <w:tc>
          <w:tcPr>
            <w:tcW w:w="232" w:type="dxa"/>
          </w:tcPr>
          <w:p w14:paraId="4C3C8DEB" w14:textId="2E7A785C" w:rsidR="00EA39F2" w:rsidRPr="00EC5A92" w:rsidRDefault="00EA39F2" w:rsidP="00EA39F2">
            <w:pPr>
              <w:spacing w:after="0" w:line="240" w:lineRule="auto"/>
              <w:jc w:val="center"/>
            </w:pPr>
          </w:p>
        </w:tc>
        <w:tc>
          <w:tcPr>
            <w:tcW w:w="1296" w:type="dxa"/>
          </w:tcPr>
          <w:p w14:paraId="4A1D5B71" w14:textId="4F06F3E7" w:rsidR="00EA39F2" w:rsidRPr="00EC5A92" w:rsidRDefault="00EA39F2" w:rsidP="00EA39F2">
            <w:pPr>
              <w:spacing w:after="0" w:line="240" w:lineRule="auto"/>
              <w:jc w:val="center"/>
            </w:pPr>
            <w:r w:rsidRPr="00EC5A92">
              <w:t>23.7 (1004)</w:t>
            </w:r>
          </w:p>
        </w:tc>
        <w:tc>
          <w:tcPr>
            <w:tcW w:w="1439" w:type="dxa"/>
          </w:tcPr>
          <w:p w14:paraId="6349ED8B" w14:textId="18BA4589" w:rsidR="00EA39F2" w:rsidRPr="00EC5A92" w:rsidRDefault="00EA39F2" w:rsidP="00EA39F2">
            <w:pPr>
              <w:spacing w:after="0" w:line="240" w:lineRule="auto"/>
              <w:jc w:val="center"/>
            </w:pPr>
            <w:r w:rsidRPr="00EC5A92">
              <w:t>50.5 (1107)</w:t>
            </w:r>
          </w:p>
        </w:tc>
        <w:tc>
          <w:tcPr>
            <w:tcW w:w="830" w:type="dxa"/>
          </w:tcPr>
          <w:p w14:paraId="262AD220" w14:textId="2CA67073" w:rsidR="00EA39F2" w:rsidRPr="00EC5A92" w:rsidRDefault="00EA39F2" w:rsidP="00EA39F2">
            <w:pPr>
              <w:spacing w:after="0" w:line="240" w:lineRule="auto"/>
              <w:jc w:val="center"/>
            </w:pPr>
            <w:r w:rsidRPr="00EC5A92">
              <w:t>&lt;0.001</w:t>
            </w:r>
          </w:p>
        </w:tc>
      </w:tr>
      <w:tr w:rsidR="00EA6D66" w:rsidRPr="00A90F02" w14:paraId="6CCA46A1" w14:textId="77777777" w:rsidTr="00EA6D66">
        <w:tc>
          <w:tcPr>
            <w:tcW w:w="3687" w:type="dxa"/>
            <w:gridSpan w:val="2"/>
            <w:tcBorders>
              <w:top w:val="nil"/>
            </w:tcBorders>
          </w:tcPr>
          <w:p w14:paraId="5FADCB0B" w14:textId="77777777" w:rsidR="00EA39F2" w:rsidRPr="00A90F02" w:rsidRDefault="00EA39F2" w:rsidP="00EA39F2">
            <w:pPr>
              <w:spacing w:after="0" w:line="240" w:lineRule="auto"/>
            </w:pPr>
            <w:r w:rsidRPr="00A90F02">
              <w:t>Coronary heart disease</w:t>
            </w:r>
            <w:r w:rsidRPr="00A90F02">
              <w:rPr>
                <w:vertAlign w:val="superscript"/>
              </w:rPr>
              <w:t>1</w:t>
            </w:r>
            <w:r w:rsidRPr="00A90F02">
              <w:t>, % (</w:t>
            </w:r>
            <w:r w:rsidRPr="00A90F02">
              <w:rPr>
                <w:i/>
              </w:rPr>
              <w:t>n</w:t>
            </w:r>
            <w:r w:rsidRPr="00A90F02">
              <w:t>)</w:t>
            </w:r>
          </w:p>
        </w:tc>
        <w:tc>
          <w:tcPr>
            <w:tcW w:w="1506" w:type="dxa"/>
          </w:tcPr>
          <w:p w14:paraId="29534A27" w14:textId="77777777" w:rsidR="00EA39F2" w:rsidRPr="00AC5C0A" w:rsidRDefault="00EA39F2" w:rsidP="00EA39F2">
            <w:pPr>
              <w:spacing w:after="0" w:line="240" w:lineRule="auto"/>
              <w:jc w:val="center"/>
            </w:pPr>
            <w:r w:rsidRPr="00AC5C0A">
              <w:t>8.6 (553)</w:t>
            </w:r>
          </w:p>
        </w:tc>
        <w:tc>
          <w:tcPr>
            <w:tcW w:w="235" w:type="dxa"/>
          </w:tcPr>
          <w:p w14:paraId="7B5075E2" w14:textId="77777777" w:rsidR="00EA39F2" w:rsidRPr="00A90F02" w:rsidRDefault="00EA39F2" w:rsidP="00EA39F2">
            <w:pPr>
              <w:spacing w:after="0" w:line="240" w:lineRule="auto"/>
              <w:jc w:val="center"/>
              <w:rPr>
                <w:color w:val="FF0000"/>
              </w:rPr>
            </w:pPr>
          </w:p>
        </w:tc>
        <w:tc>
          <w:tcPr>
            <w:tcW w:w="1294" w:type="dxa"/>
          </w:tcPr>
          <w:p w14:paraId="58C75663" w14:textId="322E920A" w:rsidR="00EA39F2" w:rsidRPr="0082436E" w:rsidRDefault="00EA39F2" w:rsidP="00EA39F2">
            <w:pPr>
              <w:spacing w:after="0" w:line="240" w:lineRule="auto"/>
              <w:jc w:val="center"/>
            </w:pPr>
            <w:r w:rsidRPr="0082436E">
              <w:t>6.7 (159)</w:t>
            </w:r>
          </w:p>
        </w:tc>
        <w:tc>
          <w:tcPr>
            <w:tcW w:w="1506" w:type="dxa"/>
          </w:tcPr>
          <w:p w14:paraId="3CE1AD4B" w14:textId="64EA44CD" w:rsidR="00EA39F2" w:rsidRPr="0082436E" w:rsidRDefault="00EA39F2" w:rsidP="00EA39F2">
            <w:pPr>
              <w:spacing w:after="0" w:line="240" w:lineRule="auto"/>
              <w:jc w:val="center"/>
            </w:pPr>
            <w:r w:rsidRPr="0082436E">
              <w:t>10.3 (324)</w:t>
            </w:r>
          </w:p>
        </w:tc>
        <w:tc>
          <w:tcPr>
            <w:tcW w:w="1495" w:type="dxa"/>
          </w:tcPr>
          <w:p w14:paraId="7249F465" w14:textId="44D73D0D" w:rsidR="00EA39F2" w:rsidRPr="0082436E" w:rsidRDefault="00EA39F2" w:rsidP="00EA39F2">
            <w:pPr>
              <w:spacing w:after="0" w:line="240" w:lineRule="auto"/>
              <w:jc w:val="center"/>
            </w:pPr>
            <w:r w:rsidRPr="0082436E">
              <w:t>7.8 (70)</w:t>
            </w:r>
          </w:p>
        </w:tc>
        <w:tc>
          <w:tcPr>
            <w:tcW w:w="828" w:type="dxa"/>
          </w:tcPr>
          <w:p w14:paraId="048A6400" w14:textId="3BFDE87F" w:rsidR="00EA39F2" w:rsidRPr="00EC5A92" w:rsidRDefault="00EA39F2" w:rsidP="00EA39F2">
            <w:pPr>
              <w:spacing w:after="0" w:line="240" w:lineRule="auto"/>
              <w:jc w:val="center"/>
            </w:pPr>
            <w:r w:rsidRPr="00EC5A92">
              <w:t>&lt;0.001</w:t>
            </w:r>
          </w:p>
        </w:tc>
        <w:tc>
          <w:tcPr>
            <w:tcW w:w="232" w:type="dxa"/>
          </w:tcPr>
          <w:p w14:paraId="1A31BE21" w14:textId="54F63635" w:rsidR="00EA39F2" w:rsidRPr="00EC5A92" w:rsidRDefault="00EA39F2" w:rsidP="00EA39F2">
            <w:pPr>
              <w:spacing w:after="0" w:line="240" w:lineRule="auto"/>
              <w:jc w:val="center"/>
            </w:pPr>
          </w:p>
        </w:tc>
        <w:tc>
          <w:tcPr>
            <w:tcW w:w="1296" w:type="dxa"/>
          </w:tcPr>
          <w:p w14:paraId="0157C026" w14:textId="0757EA0D" w:rsidR="00EA39F2" w:rsidRPr="00EC5A92" w:rsidRDefault="00EA39F2" w:rsidP="00EA39F2">
            <w:pPr>
              <w:spacing w:after="0" w:line="240" w:lineRule="auto"/>
              <w:jc w:val="center"/>
            </w:pPr>
            <w:r w:rsidRPr="00EC5A92">
              <w:t>6.8 (286)</w:t>
            </w:r>
          </w:p>
        </w:tc>
        <w:tc>
          <w:tcPr>
            <w:tcW w:w="1439" w:type="dxa"/>
          </w:tcPr>
          <w:p w14:paraId="1E732236" w14:textId="5C477F80" w:rsidR="00EA39F2" w:rsidRPr="00EC5A92" w:rsidRDefault="00EA39F2" w:rsidP="00EA39F2">
            <w:pPr>
              <w:spacing w:after="0" w:line="240" w:lineRule="auto"/>
              <w:jc w:val="center"/>
            </w:pPr>
            <w:r w:rsidRPr="00EC5A92">
              <w:t>12.2 (267)</w:t>
            </w:r>
          </w:p>
        </w:tc>
        <w:tc>
          <w:tcPr>
            <w:tcW w:w="830" w:type="dxa"/>
          </w:tcPr>
          <w:p w14:paraId="41F43222" w14:textId="5EBA9BF9" w:rsidR="00EA39F2" w:rsidRPr="00EC5A92" w:rsidRDefault="00EA39F2" w:rsidP="00EA39F2">
            <w:pPr>
              <w:spacing w:after="0" w:line="240" w:lineRule="auto"/>
              <w:jc w:val="center"/>
            </w:pPr>
            <w:r w:rsidRPr="00EC5A92">
              <w:t>&lt;0.001</w:t>
            </w:r>
          </w:p>
        </w:tc>
      </w:tr>
      <w:tr w:rsidR="00EA6D66" w:rsidRPr="00A90F02" w14:paraId="22044ED3" w14:textId="77777777" w:rsidTr="00EA6D66">
        <w:tc>
          <w:tcPr>
            <w:tcW w:w="3687" w:type="dxa"/>
            <w:gridSpan w:val="2"/>
            <w:tcBorders>
              <w:top w:val="nil"/>
            </w:tcBorders>
          </w:tcPr>
          <w:p w14:paraId="270483C1" w14:textId="77777777" w:rsidR="00EA39F2" w:rsidRPr="00A90F02" w:rsidRDefault="00EA39F2" w:rsidP="00EA39F2">
            <w:pPr>
              <w:spacing w:after="0" w:line="240" w:lineRule="auto"/>
            </w:pPr>
            <w:r w:rsidRPr="00A90F02">
              <w:t>Stroke</w:t>
            </w:r>
            <w:r w:rsidRPr="00A90F02">
              <w:rPr>
                <w:vertAlign w:val="superscript"/>
              </w:rPr>
              <w:t>1</w:t>
            </w:r>
            <w:r w:rsidRPr="00A90F02">
              <w:t>, % (</w:t>
            </w:r>
            <w:r w:rsidRPr="00A90F02">
              <w:rPr>
                <w:i/>
              </w:rPr>
              <w:t>n</w:t>
            </w:r>
            <w:r w:rsidRPr="00A90F02">
              <w:t>)</w:t>
            </w:r>
          </w:p>
        </w:tc>
        <w:tc>
          <w:tcPr>
            <w:tcW w:w="1506" w:type="dxa"/>
          </w:tcPr>
          <w:p w14:paraId="733F40ED" w14:textId="77777777" w:rsidR="00EA39F2" w:rsidRPr="00AC5C0A" w:rsidRDefault="00EA39F2" w:rsidP="00EA39F2">
            <w:pPr>
              <w:spacing w:after="0" w:line="240" w:lineRule="auto"/>
              <w:jc w:val="center"/>
            </w:pPr>
            <w:r w:rsidRPr="00AC5C0A">
              <w:t>2.4 (152)</w:t>
            </w:r>
          </w:p>
        </w:tc>
        <w:tc>
          <w:tcPr>
            <w:tcW w:w="235" w:type="dxa"/>
          </w:tcPr>
          <w:p w14:paraId="5CAABEAE" w14:textId="77777777" w:rsidR="00EA39F2" w:rsidRPr="00A90F02" w:rsidRDefault="00EA39F2" w:rsidP="00EA39F2">
            <w:pPr>
              <w:spacing w:after="0" w:line="240" w:lineRule="auto"/>
              <w:jc w:val="center"/>
              <w:rPr>
                <w:color w:val="FF0000"/>
              </w:rPr>
            </w:pPr>
          </w:p>
        </w:tc>
        <w:tc>
          <w:tcPr>
            <w:tcW w:w="1294" w:type="dxa"/>
          </w:tcPr>
          <w:p w14:paraId="1D61F959" w14:textId="4DF91540" w:rsidR="00EA39F2" w:rsidRPr="0082436E" w:rsidRDefault="00EA39F2" w:rsidP="00EA39F2">
            <w:pPr>
              <w:spacing w:after="0" w:line="240" w:lineRule="auto"/>
              <w:jc w:val="center"/>
            </w:pPr>
            <w:r w:rsidRPr="0082436E">
              <w:t>1.6 (39)</w:t>
            </w:r>
          </w:p>
        </w:tc>
        <w:tc>
          <w:tcPr>
            <w:tcW w:w="1506" w:type="dxa"/>
          </w:tcPr>
          <w:p w14:paraId="0443C0BC" w14:textId="47477884" w:rsidR="00EA39F2" w:rsidRPr="0082436E" w:rsidRDefault="00EA39F2" w:rsidP="00EA39F2">
            <w:pPr>
              <w:spacing w:after="0" w:line="240" w:lineRule="auto"/>
              <w:jc w:val="center"/>
            </w:pPr>
            <w:r w:rsidRPr="0082436E">
              <w:t>2.9 (91)</w:t>
            </w:r>
          </w:p>
        </w:tc>
        <w:tc>
          <w:tcPr>
            <w:tcW w:w="1495" w:type="dxa"/>
          </w:tcPr>
          <w:p w14:paraId="52A78088" w14:textId="2E983DD3" w:rsidR="00EA39F2" w:rsidRPr="0082436E" w:rsidRDefault="00EA39F2" w:rsidP="00EA39F2">
            <w:pPr>
              <w:spacing w:after="0" w:line="240" w:lineRule="auto"/>
              <w:jc w:val="center"/>
            </w:pPr>
            <w:r w:rsidRPr="0082436E">
              <w:t>2.5 (22)</w:t>
            </w:r>
          </w:p>
        </w:tc>
        <w:tc>
          <w:tcPr>
            <w:tcW w:w="828" w:type="dxa"/>
          </w:tcPr>
          <w:p w14:paraId="2C4BA827" w14:textId="0548DC88" w:rsidR="00EA39F2" w:rsidRPr="00EC5A92" w:rsidRDefault="00EA39F2" w:rsidP="00EA39F2">
            <w:pPr>
              <w:spacing w:after="0" w:line="240" w:lineRule="auto"/>
              <w:jc w:val="center"/>
            </w:pPr>
            <w:r w:rsidRPr="00EC5A92">
              <w:t>0.009</w:t>
            </w:r>
          </w:p>
        </w:tc>
        <w:tc>
          <w:tcPr>
            <w:tcW w:w="232" w:type="dxa"/>
          </w:tcPr>
          <w:p w14:paraId="7EFAB9E5" w14:textId="4C2B182F" w:rsidR="00EA39F2" w:rsidRPr="00EC5A92" w:rsidRDefault="00EA39F2" w:rsidP="00EA39F2">
            <w:pPr>
              <w:spacing w:after="0" w:line="240" w:lineRule="auto"/>
              <w:jc w:val="center"/>
            </w:pPr>
          </w:p>
        </w:tc>
        <w:tc>
          <w:tcPr>
            <w:tcW w:w="1296" w:type="dxa"/>
          </w:tcPr>
          <w:p w14:paraId="73BA73E2" w14:textId="0FD5E086" w:rsidR="00EA39F2" w:rsidRPr="00EC5A92" w:rsidRDefault="00EA39F2" w:rsidP="00EA39F2">
            <w:pPr>
              <w:spacing w:after="0" w:line="240" w:lineRule="auto"/>
              <w:jc w:val="center"/>
            </w:pPr>
            <w:r w:rsidRPr="00EC5A92">
              <w:t>1.5 (64)</w:t>
            </w:r>
          </w:p>
        </w:tc>
        <w:tc>
          <w:tcPr>
            <w:tcW w:w="1439" w:type="dxa"/>
          </w:tcPr>
          <w:p w14:paraId="52FCA24E" w14:textId="4FCF966D" w:rsidR="00EA39F2" w:rsidRPr="00EC5A92" w:rsidRDefault="00EA39F2" w:rsidP="00EA39F2">
            <w:pPr>
              <w:spacing w:after="0" w:line="240" w:lineRule="auto"/>
              <w:jc w:val="center"/>
            </w:pPr>
            <w:r w:rsidRPr="00EC5A92">
              <w:t>4.0 (88)</w:t>
            </w:r>
          </w:p>
        </w:tc>
        <w:tc>
          <w:tcPr>
            <w:tcW w:w="830" w:type="dxa"/>
          </w:tcPr>
          <w:p w14:paraId="40EB7842" w14:textId="19A06BB2" w:rsidR="00EA39F2" w:rsidRPr="00EC5A92" w:rsidRDefault="00EA39F2" w:rsidP="00EA39F2">
            <w:pPr>
              <w:spacing w:after="0" w:line="240" w:lineRule="auto"/>
              <w:jc w:val="center"/>
            </w:pPr>
            <w:r w:rsidRPr="00EC5A92">
              <w:t>&lt;0.001</w:t>
            </w:r>
          </w:p>
        </w:tc>
      </w:tr>
      <w:tr w:rsidR="00EA6D66" w:rsidRPr="00A90F02" w14:paraId="082D0D8E" w14:textId="77777777" w:rsidTr="00EA6D66">
        <w:tc>
          <w:tcPr>
            <w:tcW w:w="3687" w:type="dxa"/>
            <w:gridSpan w:val="2"/>
            <w:tcBorders>
              <w:top w:val="nil"/>
            </w:tcBorders>
          </w:tcPr>
          <w:p w14:paraId="1A50A954" w14:textId="77777777" w:rsidR="00EA39F2" w:rsidRPr="00A90F02" w:rsidRDefault="00EA39F2" w:rsidP="00EA39F2">
            <w:pPr>
              <w:spacing w:after="0" w:line="240" w:lineRule="auto"/>
            </w:pPr>
            <w:r w:rsidRPr="00A90F02">
              <w:t>Cancer</w:t>
            </w:r>
            <w:r w:rsidRPr="00A90F02">
              <w:rPr>
                <w:vertAlign w:val="superscript"/>
              </w:rPr>
              <w:t>1</w:t>
            </w:r>
            <w:r w:rsidRPr="00A90F02">
              <w:t>, % (</w:t>
            </w:r>
            <w:r w:rsidRPr="00A90F02">
              <w:rPr>
                <w:i/>
              </w:rPr>
              <w:t>n</w:t>
            </w:r>
            <w:r w:rsidRPr="00A90F02">
              <w:t>)</w:t>
            </w:r>
          </w:p>
        </w:tc>
        <w:tc>
          <w:tcPr>
            <w:tcW w:w="1506" w:type="dxa"/>
          </w:tcPr>
          <w:p w14:paraId="237CC998" w14:textId="77777777" w:rsidR="00EA39F2" w:rsidRPr="00AC5C0A" w:rsidRDefault="00EA39F2" w:rsidP="00EA39F2">
            <w:pPr>
              <w:spacing w:after="0" w:line="240" w:lineRule="auto"/>
              <w:jc w:val="center"/>
            </w:pPr>
            <w:r w:rsidRPr="00AC5C0A">
              <w:t>7.7 (496)</w:t>
            </w:r>
          </w:p>
        </w:tc>
        <w:tc>
          <w:tcPr>
            <w:tcW w:w="235" w:type="dxa"/>
          </w:tcPr>
          <w:p w14:paraId="054E8A0A" w14:textId="77777777" w:rsidR="00EA39F2" w:rsidRPr="00A90F02" w:rsidRDefault="00EA39F2" w:rsidP="00EA39F2">
            <w:pPr>
              <w:spacing w:after="0" w:line="240" w:lineRule="auto"/>
              <w:jc w:val="center"/>
              <w:rPr>
                <w:color w:val="FF0000"/>
              </w:rPr>
            </w:pPr>
          </w:p>
        </w:tc>
        <w:tc>
          <w:tcPr>
            <w:tcW w:w="1294" w:type="dxa"/>
          </w:tcPr>
          <w:p w14:paraId="31124F7D" w14:textId="4180A4C7" w:rsidR="00EA39F2" w:rsidRPr="0082436E" w:rsidRDefault="00EA39F2" w:rsidP="00EA39F2">
            <w:pPr>
              <w:spacing w:after="0" w:line="240" w:lineRule="auto"/>
              <w:jc w:val="center"/>
            </w:pPr>
            <w:r w:rsidRPr="0082436E">
              <w:t>7.2 (171)</w:t>
            </w:r>
          </w:p>
        </w:tc>
        <w:tc>
          <w:tcPr>
            <w:tcW w:w="1506" w:type="dxa"/>
          </w:tcPr>
          <w:p w14:paraId="2979704F" w14:textId="563C2ACD" w:rsidR="00EA39F2" w:rsidRPr="0082436E" w:rsidRDefault="00EA39F2" w:rsidP="00EA39F2">
            <w:pPr>
              <w:spacing w:after="0" w:line="240" w:lineRule="auto"/>
              <w:jc w:val="center"/>
            </w:pPr>
            <w:r w:rsidRPr="0082436E">
              <w:t>8.4 (263)</w:t>
            </w:r>
          </w:p>
        </w:tc>
        <w:tc>
          <w:tcPr>
            <w:tcW w:w="1495" w:type="dxa"/>
          </w:tcPr>
          <w:p w14:paraId="26804E8C" w14:textId="61E42D7B" w:rsidR="00EA39F2" w:rsidRPr="0082436E" w:rsidRDefault="00EA39F2" w:rsidP="00EA39F2">
            <w:pPr>
              <w:spacing w:after="0" w:line="240" w:lineRule="auto"/>
              <w:jc w:val="center"/>
            </w:pPr>
            <w:r w:rsidRPr="0082436E">
              <w:t>6.9 (62)</w:t>
            </w:r>
          </w:p>
        </w:tc>
        <w:tc>
          <w:tcPr>
            <w:tcW w:w="828" w:type="dxa"/>
          </w:tcPr>
          <w:p w14:paraId="31E38E33" w14:textId="32E08F89" w:rsidR="00EA39F2" w:rsidRPr="00EC5A92" w:rsidRDefault="00EA39F2" w:rsidP="00EA39F2">
            <w:pPr>
              <w:spacing w:after="0" w:line="240" w:lineRule="auto"/>
              <w:jc w:val="center"/>
            </w:pPr>
            <w:r w:rsidRPr="00EC5A92">
              <w:t>0.154</w:t>
            </w:r>
          </w:p>
        </w:tc>
        <w:tc>
          <w:tcPr>
            <w:tcW w:w="232" w:type="dxa"/>
          </w:tcPr>
          <w:p w14:paraId="2352060F" w14:textId="6D7EBB47" w:rsidR="00EA39F2" w:rsidRPr="00EC5A92" w:rsidRDefault="00EA39F2" w:rsidP="00EA39F2">
            <w:pPr>
              <w:spacing w:after="0" w:line="240" w:lineRule="auto"/>
              <w:jc w:val="center"/>
            </w:pPr>
          </w:p>
        </w:tc>
        <w:tc>
          <w:tcPr>
            <w:tcW w:w="1296" w:type="dxa"/>
          </w:tcPr>
          <w:p w14:paraId="1CBF45F1" w14:textId="208714FA" w:rsidR="00EA39F2" w:rsidRPr="00EC5A92" w:rsidRDefault="00EA39F2" w:rsidP="00EA39F2">
            <w:pPr>
              <w:spacing w:after="0" w:line="240" w:lineRule="auto"/>
              <w:jc w:val="center"/>
            </w:pPr>
            <w:r w:rsidRPr="00EC5A92">
              <w:t>7.2 (303)</w:t>
            </w:r>
          </w:p>
        </w:tc>
        <w:tc>
          <w:tcPr>
            <w:tcW w:w="1439" w:type="dxa"/>
          </w:tcPr>
          <w:p w14:paraId="70EAF5E1" w14:textId="179B941B" w:rsidR="00EA39F2" w:rsidRPr="00EC5A92" w:rsidRDefault="00EA39F2" w:rsidP="00EA39F2">
            <w:pPr>
              <w:spacing w:after="0" w:line="240" w:lineRule="auto"/>
              <w:jc w:val="center"/>
            </w:pPr>
            <w:r w:rsidRPr="00EC5A92">
              <w:t>8.8 (193)</w:t>
            </w:r>
          </w:p>
        </w:tc>
        <w:tc>
          <w:tcPr>
            <w:tcW w:w="830" w:type="dxa"/>
          </w:tcPr>
          <w:p w14:paraId="00E7B5F3" w14:textId="42DB3233" w:rsidR="00EA39F2" w:rsidRPr="00EC5A92" w:rsidRDefault="00EA39F2" w:rsidP="00EA39F2">
            <w:pPr>
              <w:spacing w:after="0" w:line="240" w:lineRule="auto"/>
              <w:jc w:val="center"/>
            </w:pPr>
            <w:r w:rsidRPr="00EC5A92">
              <w:t>0.019</w:t>
            </w:r>
          </w:p>
        </w:tc>
      </w:tr>
      <w:tr w:rsidR="00EA6D66" w:rsidRPr="00A90F02" w14:paraId="314EB0CC" w14:textId="77777777" w:rsidTr="00EA6D66">
        <w:tc>
          <w:tcPr>
            <w:tcW w:w="3687" w:type="dxa"/>
            <w:gridSpan w:val="2"/>
            <w:tcBorders>
              <w:top w:val="nil"/>
            </w:tcBorders>
          </w:tcPr>
          <w:p w14:paraId="436DB81C" w14:textId="77777777" w:rsidR="00EA39F2" w:rsidRPr="00A90F02" w:rsidRDefault="00EA39F2" w:rsidP="00EA39F2">
            <w:pPr>
              <w:spacing w:after="0" w:line="240" w:lineRule="auto"/>
            </w:pPr>
            <w:r w:rsidRPr="00A90F02">
              <w:t>Chronic lung disease</w:t>
            </w:r>
            <w:r w:rsidRPr="00A90F02">
              <w:rPr>
                <w:vertAlign w:val="superscript"/>
              </w:rPr>
              <w:t>1</w:t>
            </w:r>
            <w:r w:rsidRPr="00A90F02">
              <w:t>, % (</w:t>
            </w:r>
            <w:r w:rsidRPr="00A90F02">
              <w:rPr>
                <w:i/>
              </w:rPr>
              <w:t>n</w:t>
            </w:r>
            <w:r w:rsidRPr="00A90F02">
              <w:t>)</w:t>
            </w:r>
          </w:p>
        </w:tc>
        <w:tc>
          <w:tcPr>
            <w:tcW w:w="1506" w:type="dxa"/>
          </w:tcPr>
          <w:p w14:paraId="633CD480" w14:textId="77777777" w:rsidR="00EA39F2" w:rsidRPr="00AC5C0A" w:rsidRDefault="00EA39F2" w:rsidP="00EA39F2">
            <w:pPr>
              <w:spacing w:after="0" w:line="240" w:lineRule="auto"/>
              <w:jc w:val="center"/>
            </w:pPr>
            <w:r w:rsidRPr="00AC5C0A">
              <w:t>7.3 (466)</w:t>
            </w:r>
          </w:p>
        </w:tc>
        <w:tc>
          <w:tcPr>
            <w:tcW w:w="235" w:type="dxa"/>
          </w:tcPr>
          <w:p w14:paraId="2FB11389" w14:textId="77777777" w:rsidR="00EA39F2" w:rsidRPr="00A90F02" w:rsidRDefault="00EA39F2" w:rsidP="00EA39F2">
            <w:pPr>
              <w:spacing w:after="0" w:line="240" w:lineRule="auto"/>
              <w:jc w:val="center"/>
              <w:rPr>
                <w:color w:val="FF0000"/>
              </w:rPr>
            </w:pPr>
          </w:p>
        </w:tc>
        <w:tc>
          <w:tcPr>
            <w:tcW w:w="1294" w:type="dxa"/>
          </w:tcPr>
          <w:p w14:paraId="37472ADD" w14:textId="58E895D4" w:rsidR="00EA39F2" w:rsidRPr="0082436E" w:rsidRDefault="00EA39F2" w:rsidP="00EA39F2">
            <w:pPr>
              <w:spacing w:after="0" w:line="240" w:lineRule="auto"/>
              <w:jc w:val="center"/>
            </w:pPr>
            <w:r w:rsidRPr="0082436E">
              <w:t>4.4 (105)</w:t>
            </w:r>
          </w:p>
        </w:tc>
        <w:tc>
          <w:tcPr>
            <w:tcW w:w="1506" w:type="dxa"/>
          </w:tcPr>
          <w:p w14:paraId="621D8404" w14:textId="4C9C8851" w:rsidR="00EA39F2" w:rsidRPr="0082436E" w:rsidRDefault="00EA39F2" w:rsidP="00EA39F2">
            <w:pPr>
              <w:spacing w:after="0" w:line="240" w:lineRule="auto"/>
              <w:jc w:val="center"/>
            </w:pPr>
            <w:r w:rsidRPr="0082436E">
              <w:t>7.7 (241)</w:t>
            </w:r>
          </w:p>
        </w:tc>
        <w:tc>
          <w:tcPr>
            <w:tcW w:w="1495" w:type="dxa"/>
          </w:tcPr>
          <w:p w14:paraId="40442DB0" w14:textId="12DD323E" w:rsidR="00EA39F2" w:rsidRPr="0082436E" w:rsidRDefault="00EA39F2" w:rsidP="00EA39F2">
            <w:pPr>
              <w:spacing w:after="0" w:line="240" w:lineRule="auto"/>
              <w:jc w:val="center"/>
            </w:pPr>
            <w:r w:rsidRPr="0082436E">
              <w:t>13.4 (120)</w:t>
            </w:r>
          </w:p>
        </w:tc>
        <w:tc>
          <w:tcPr>
            <w:tcW w:w="828" w:type="dxa"/>
          </w:tcPr>
          <w:p w14:paraId="1AB2A0F6" w14:textId="27B7D3BB" w:rsidR="00EA39F2" w:rsidRPr="00EC5A92" w:rsidRDefault="00EA39F2" w:rsidP="00EA39F2">
            <w:pPr>
              <w:spacing w:after="0" w:line="240" w:lineRule="auto"/>
              <w:jc w:val="center"/>
            </w:pPr>
            <w:r w:rsidRPr="00EC5A92">
              <w:t>&lt;0.001</w:t>
            </w:r>
          </w:p>
        </w:tc>
        <w:tc>
          <w:tcPr>
            <w:tcW w:w="232" w:type="dxa"/>
          </w:tcPr>
          <w:p w14:paraId="129984C5" w14:textId="01D31AAA" w:rsidR="00EA39F2" w:rsidRPr="00EC5A92" w:rsidRDefault="00EA39F2" w:rsidP="00EA39F2">
            <w:pPr>
              <w:spacing w:after="0" w:line="240" w:lineRule="auto"/>
              <w:jc w:val="center"/>
            </w:pPr>
          </w:p>
        </w:tc>
        <w:tc>
          <w:tcPr>
            <w:tcW w:w="1296" w:type="dxa"/>
          </w:tcPr>
          <w:p w14:paraId="26872627" w14:textId="4F721C30" w:rsidR="00EA39F2" w:rsidRPr="00EC5A92" w:rsidRDefault="00EA39F2" w:rsidP="00EA39F2">
            <w:pPr>
              <w:spacing w:after="0" w:line="240" w:lineRule="auto"/>
              <w:jc w:val="center"/>
            </w:pPr>
            <w:r w:rsidRPr="00EC5A92">
              <w:t>5.4 (228)</w:t>
            </w:r>
          </w:p>
        </w:tc>
        <w:tc>
          <w:tcPr>
            <w:tcW w:w="1439" w:type="dxa"/>
          </w:tcPr>
          <w:p w14:paraId="29CF5C91" w14:textId="4BFF1F96" w:rsidR="00EA39F2" w:rsidRPr="00EC5A92" w:rsidRDefault="00EA39F2" w:rsidP="00EA39F2">
            <w:pPr>
              <w:spacing w:after="0" w:line="240" w:lineRule="auto"/>
              <w:jc w:val="center"/>
            </w:pPr>
            <w:r w:rsidRPr="00EC5A92">
              <w:t>10.9 (238)</w:t>
            </w:r>
          </w:p>
        </w:tc>
        <w:tc>
          <w:tcPr>
            <w:tcW w:w="830" w:type="dxa"/>
          </w:tcPr>
          <w:p w14:paraId="131EFB93" w14:textId="09CAD6E6" w:rsidR="00EA39F2" w:rsidRPr="00EC5A92" w:rsidRDefault="00EA39F2" w:rsidP="00EA39F2">
            <w:pPr>
              <w:spacing w:after="0" w:line="240" w:lineRule="auto"/>
              <w:jc w:val="center"/>
            </w:pPr>
            <w:r w:rsidRPr="00EC5A92">
              <w:t>&lt;0.001</w:t>
            </w:r>
          </w:p>
        </w:tc>
      </w:tr>
      <w:tr w:rsidR="00EA6D66" w:rsidRPr="00A90F02" w14:paraId="7848426A" w14:textId="77777777" w:rsidTr="00EA6D66">
        <w:tc>
          <w:tcPr>
            <w:tcW w:w="3687" w:type="dxa"/>
            <w:gridSpan w:val="2"/>
            <w:tcBorders>
              <w:top w:val="nil"/>
            </w:tcBorders>
          </w:tcPr>
          <w:p w14:paraId="042DE54E" w14:textId="1E86D6AE" w:rsidR="00EA39F2" w:rsidRPr="00A90F02" w:rsidRDefault="004638DF" w:rsidP="00EA39F2">
            <w:pPr>
              <w:spacing w:after="0" w:line="240" w:lineRule="auto"/>
            </w:pPr>
            <w:r>
              <w:t>Clinically relevant d</w:t>
            </w:r>
            <w:r w:rsidR="00EA39F2" w:rsidRPr="00A90F02">
              <w:t>epressive symptoms</w:t>
            </w:r>
            <w:r w:rsidR="00EA39F2" w:rsidRPr="00A90F02">
              <w:rPr>
                <w:vertAlign w:val="superscript"/>
              </w:rPr>
              <w:t>1</w:t>
            </w:r>
            <w:r w:rsidR="00EA39F2" w:rsidRPr="00A90F02">
              <w:t>, % (</w:t>
            </w:r>
            <w:r w:rsidR="00EA39F2" w:rsidRPr="00A90F02">
              <w:rPr>
                <w:i/>
              </w:rPr>
              <w:t>n</w:t>
            </w:r>
            <w:r w:rsidR="00EA39F2" w:rsidRPr="00A90F02">
              <w:t>)</w:t>
            </w:r>
          </w:p>
        </w:tc>
        <w:tc>
          <w:tcPr>
            <w:tcW w:w="1506" w:type="dxa"/>
          </w:tcPr>
          <w:p w14:paraId="6FC29063" w14:textId="77777777" w:rsidR="00EA39F2" w:rsidRPr="00AC5C0A" w:rsidRDefault="00EA39F2" w:rsidP="00EA39F2">
            <w:pPr>
              <w:spacing w:after="0" w:line="240" w:lineRule="auto"/>
              <w:jc w:val="center"/>
            </w:pPr>
            <w:r w:rsidRPr="00AC5C0A">
              <w:t>13.5 (860)</w:t>
            </w:r>
          </w:p>
        </w:tc>
        <w:tc>
          <w:tcPr>
            <w:tcW w:w="235" w:type="dxa"/>
          </w:tcPr>
          <w:p w14:paraId="162A28DE" w14:textId="77777777" w:rsidR="00EA39F2" w:rsidRPr="00A90F02" w:rsidRDefault="00EA39F2" w:rsidP="00EA39F2">
            <w:pPr>
              <w:spacing w:after="0" w:line="240" w:lineRule="auto"/>
              <w:jc w:val="center"/>
              <w:rPr>
                <w:color w:val="FF0000"/>
              </w:rPr>
            </w:pPr>
          </w:p>
        </w:tc>
        <w:tc>
          <w:tcPr>
            <w:tcW w:w="1294" w:type="dxa"/>
          </w:tcPr>
          <w:p w14:paraId="6A6E8CB6" w14:textId="2A65273E" w:rsidR="00EA39F2" w:rsidRPr="0082436E" w:rsidRDefault="00EA39F2" w:rsidP="00EA39F2">
            <w:pPr>
              <w:spacing w:after="0" w:line="240" w:lineRule="auto"/>
              <w:jc w:val="center"/>
            </w:pPr>
            <w:r w:rsidRPr="0082436E">
              <w:t>11.5 (273)</w:t>
            </w:r>
          </w:p>
        </w:tc>
        <w:tc>
          <w:tcPr>
            <w:tcW w:w="1506" w:type="dxa"/>
          </w:tcPr>
          <w:p w14:paraId="2E190792" w14:textId="0AFC4495" w:rsidR="00EA39F2" w:rsidRPr="0082436E" w:rsidRDefault="00EA39F2" w:rsidP="00EA39F2">
            <w:pPr>
              <w:spacing w:after="0" w:line="240" w:lineRule="auto"/>
              <w:jc w:val="center"/>
            </w:pPr>
            <w:r w:rsidRPr="0082436E">
              <w:t>13.2 (411)</w:t>
            </w:r>
          </w:p>
        </w:tc>
        <w:tc>
          <w:tcPr>
            <w:tcW w:w="1495" w:type="dxa"/>
          </w:tcPr>
          <w:p w14:paraId="114443A2" w14:textId="5C02DADE" w:rsidR="00EA39F2" w:rsidRPr="0082436E" w:rsidRDefault="00EA39F2" w:rsidP="00EA39F2">
            <w:pPr>
              <w:spacing w:after="0" w:line="240" w:lineRule="auto"/>
              <w:jc w:val="center"/>
            </w:pPr>
            <w:r w:rsidRPr="0082436E">
              <w:t>19.8 (176)</w:t>
            </w:r>
          </w:p>
        </w:tc>
        <w:tc>
          <w:tcPr>
            <w:tcW w:w="828" w:type="dxa"/>
          </w:tcPr>
          <w:p w14:paraId="0DBA797A" w14:textId="33B7C54E" w:rsidR="00EA39F2" w:rsidRPr="00EC5A92" w:rsidRDefault="00EA39F2" w:rsidP="00EA39F2">
            <w:pPr>
              <w:spacing w:after="0" w:line="240" w:lineRule="auto"/>
              <w:jc w:val="center"/>
            </w:pPr>
            <w:r w:rsidRPr="00EC5A92">
              <w:t>&lt;0.001</w:t>
            </w:r>
          </w:p>
        </w:tc>
        <w:tc>
          <w:tcPr>
            <w:tcW w:w="232" w:type="dxa"/>
          </w:tcPr>
          <w:p w14:paraId="02E35E4B" w14:textId="51D5AF7F" w:rsidR="00EA39F2" w:rsidRPr="00EC5A92" w:rsidRDefault="00EA39F2" w:rsidP="00EA39F2">
            <w:pPr>
              <w:spacing w:after="0" w:line="240" w:lineRule="auto"/>
              <w:jc w:val="center"/>
            </w:pPr>
          </w:p>
        </w:tc>
        <w:tc>
          <w:tcPr>
            <w:tcW w:w="1296" w:type="dxa"/>
          </w:tcPr>
          <w:p w14:paraId="67A51ED0" w14:textId="5DE4E789" w:rsidR="00EA39F2" w:rsidRPr="00EC5A92" w:rsidRDefault="00EA39F2" w:rsidP="00EA39F2">
            <w:pPr>
              <w:spacing w:after="0" w:line="240" w:lineRule="auto"/>
              <w:jc w:val="center"/>
            </w:pPr>
            <w:r w:rsidRPr="00EC5A92">
              <w:t>9.7 (408)</w:t>
            </w:r>
          </w:p>
        </w:tc>
        <w:tc>
          <w:tcPr>
            <w:tcW w:w="1439" w:type="dxa"/>
          </w:tcPr>
          <w:p w14:paraId="449BFAEA" w14:textId="326CD6CF" w:rsidR="00EA39F2" w:rsidRPr="00EC5A92" w:rsidRDefault="00EA39F2" w:rsidP="00EA39F2">
            <w:pPr>
              <w:spacing w:after="0" w:line="240" w:lineRule="auto"/>
              <w:jc w:val="center"/>
            </w:pPr>
            <w:r w:rsidRPr="00EC5A92">
              <w:t>20.8 (452)</w:t>
            </w:r>
          </w:p>
        </w:tc>
        <w:tc>
          <w:tcPr>
            <w:tcW w:w="830" w:type="dxa"/>
          </w:tcPr>
          <w:p w14:paraId="2EF5BC53" w14:textId="4F64FB91" w:rsidR="00EA39F2" w:rsidRPr="00EC5A92" w:rsidRDefault="00EA39F2" w:rsidP="00EA39F2">
            <w:pPr>
              <w:spacing w:after="0" w:line="240" w:lineRule="auto"/>
              <w:jc w:val="center"/>
            </w:pPr>
            <w:r w:rsidRPr="00EC5A92">
              <w:t>&lt;0.001</w:t>
            </w:r>
          </w:p>
        </w:tc>
      </w:tr>
      <w:tr w:rsidR="00EA6D66" w:rsidRPr="00A90F02" w14:paraId="0126F1FA" w14:textId="77777777" w:rsidTr="00EA6D66">
        <w:tc>
          <w:tcPr>
            <w:tcW w:w="3687" w:type="dxa"/>
            <w:gridSpan w:val="2"/>
            <w:tcBorders>
              <w:bottom w:val="nil"/>
            </w:tcBorders>
          </w:tcPr>
          <w:p w14:paraId="16E98001" w14:textId="09EE1182" w:rsidR="00EA39F2" w:rsidRPr="00A90F02" w:rsidRDefault="00EA39F2" w:rsidP="00EA39F2">
            <w:pPr>
              <w:spacing w:after="0" w:line="240" w:lineRule="auto"/>
            </w:pPr>
            <w:r>
              <w:t xml:space="preserve">Smoking status, </w:t>
            </w:r>
            <w:r w:rsidRPr="00A90F02">
              <w:t>% (</w:t>
            </w:r>
            <w:r w:rsidRPr="00A90F02">
              <w:rPr>
                <w:i/>
              </w:rPr>
              <w:t>n</w:t>
            </w:r>
            <w:r w:rsidRPr="00A90F02">
              <w:t>)</w:t>
            </w:r>
          </w:p>
        </w:tc>
        <w:tc>
          <w:tcPr>
            <w:tcW w:w="1506" w:type="dxa"/>
            <w:tcBorders>
              <w:bottom w:val="nil"/>
            </w:tcBorders>
          </w:tcPr>
          <w:p w14:paraId="16E05353" w14:textId="77777777" w:rsidR="00EA39F2" w:rsidRPr="00AC5C0A" w:rsidRDefault="00EA39F2" w:rsidP="00EA39F2">
            <w:pPr>
              <w:spacing w:after="0" w:line="240" w:lineRule="auto"/>
            </w:pPr>
          </w:p>
        </w:tc>
        <w:tc>
          <w:tcPr>
            <w:tcW w:w="235" w:type="dxa"/>
            <w:tcBorders>
              <w:bottom w:val="nil"/>
            </w:tcBorders>
          </w:tcPr>
          <w:p w14:paraId="36E94A08" w14:textId="77777777" w:rsidR="00EA39F2" w:rsidRPr="00A90F02" w:rsidRDefault="00EA39F2" w:rsidP="00EA39F2">
            <w:pPr>
              <w:spacing w:after="0" w:line="240" w:lineRule="auto"/>
              <w:rPr>
                <w:color w:val="FF0000"/>
              </w:rPr>
            </w:pPr>
          </w:p>
        </w:tc>
        <w:tc>
          <w:tcPr>
            <w:tcW w:w="1294" w:type="dxa"/>
            <w:tcBorders>
              <w:bottom w:val="nil"/>
            </w:tcBorders>
          </w:tcPr>
          <w:p w14:paraId="2EC9D532" w14:textId="77777777" w:rsidR="00EA39F2" w:rsidRPr="0082436E" w:rsidRDefault="00EA39F2" w:rsidP="00EA39F2">
            <w:pPr>
              <w:spacing w:after="0" w:line="240" w:lineRule="auto"/>
            </w:pPr>
          </w:p>
        </w:tc>
        <w:tc>
          <w:tcPr>
            <w:tcW w:w="1506" w:type="dxa"/>
            <w:tcBorders>
              <w:bottom w:val="nil"/>
            </w:tcBorders>
          </w:tcPr>
          <w:p w14:paraId="1004B329" w14:textId="77777777" w:rsidR="00EA39F2" w:rsidRPr="0082436E" w:rsidRDefault="00EA39F2" w:rsidP="00EA39F2">
            <w:pPr>
              <w:spacing w:after="0" w:line="240" w:lineRule="auto"/>
            </w:pPr>
          </w:p>
        </w:tc>
        <w:tc>
          <w:tcPr>
            <w:tcW w:w="1495" w:type="dxa"/>
            <w:tcBorders>
              <w:bottom w:val="nil"/>
            </w:tcBorders>
          </w:tcPr>
          <w:p w14:paraId="1F59F720" w14:textId="77777777" w:rsidR="00EA39F2" w:rsidRPr="0082436E" w:rsidRDefault="00EA39F2" w:rsidP="00EA39F2">
            <w:pPr>
              <w:spacing w:after="0" w:line="240" w:lineRule="auto"/>
            </w:pPr>
          </w:p>
        </w:tc>
        <w:tc>
          <w:tcPr>
            <w:tcW w:w="828" w:type="dxa"/>
            <w:tcBorders>
              <w:bottom w:val="nil"/>
            </w:tcBorders>
          </w:tcPr>
          <w:p w14:paraId="469DC89A" w14:textId="77777777" w:rsidR="00EA39F2" w:rsidRPr="00EC5A92" w:rsidRDefault="00EA39F2" w:rsidP="00EA39F2">
            <w:pPr>
              <w:spacing w:after="0" w:line="240" w:lineRule="auto"/>
            </w:pPr>
          </w:p>
        </w:tc>
        <w:tc>
          <w:tcPr>
            <w:tcW w:w="232" w:type="dxa"/>
            <w:tcBorders>
              <w:bottom w:val="nil"/>
            </w:tcBorders>
          </w:tcPr>
          <w:p w14:paraId="596A4830" w14:textId="45D2E4BC" w:rsidR="00EA39F2" w:rsidRPr="00EC5A92" w:rsidRDefault="00EA39F2" w:rsidP="00EA39F2">
            <w:pPr>
              <w:spacing w:after="0" w:line="240" w:lineRule="auto"/>
            </w:pPr>
          </w:p>
        </w:tc>
        <w:tc>
          <w:tcPr>
            <w:tcW w:w="1296" w:type="dxa"/>
            <w:tcBorders>
              <w:bottom w:val="nil"/>
            </w:tcBorders>
          </w:tcPr>
          <w:p w14:paraId="5D6030CD" w14:textId="77777777" w:rsidR="00EA39F2" w:rsidRPr="00EC5A92" w:rsidRDefault="00EA39F2" w:rsidP="00EA39F2">
            <w:pPr>
              <w:spacing w:after="0" w:line="240" w:lineRule="auto"/>
            </w:pPr>
          </w:p>
        </w:tc>
        <w:tc>
          <w:tcPr>
            <w:tcW w:w="1439" w:type="dxa"/>
            <w:tcBorders>
              <w:bottom w:val="nil"/>
            </w:tcBorders>
          </w:tcPr>
          <w:p w14:paraId="4E3D20BB" w14:textId="77777777" w:rsidR="00EA39F2" w:rsidRPr="00EC5A92" w:rsidRDefault="00EA39F2" w:rsidP="00EA39F2">
            <w:pPr>
              <w:spacing w:after="0" w:line="240" w:lineRule="auto"/>
            </w:pPr>
          </w:p>
        </w:tc>
        <w:tc>
          <w:tcPr>
            <w:tcW w:w="830" w:type="dxa"/>
            <w:tcBorders>
              <w:bottom w:val="nil"/>
            </w:tcBorders>
          </w:tcPr>
          <w:p w14:paraId="1A1D943B" w14:textId="77777777" w:rsidR="00EA39F2" w:rsidRPr="00EC5A92" w:rsidRDefault="00EA39F2" w:rsidP="00EA39F2">
            <w:pPr>
              <w:spacing w:after="0" w:line="240" w:lineRule="auto"/>
            </w:pPr>
          </w:p>
        </w:tc>
      </w:tr>
      <w:tr w:rsidR="00EC5A92" w:rsidRPr="00A90F02" w14:paraId="403919AD" w14:textId="77777777" w:rsidTr="00EA6D66">
        <w:tc>
          <w:tcPr>
            <w:tcW w:w="274" w:type="dxa"/>
            <w:tcBorders>
              <w:top w:val="nil"/>
              <w:bottom w:val="nil"/>
            </w:tcBorders>
          </w:tcPr>
          <w:p w14:paraId="4E1DB4D3" w14:textId="77777777" w:rsidR="00EA39F2" w:rsidRPr="00A90F02" w:rsidRDefault="00EA39F2" w:rsidP="00EA39F2">
            <w:pPr>
              <w:spacing w:after="0" w:line="240" w:lineRule="auto"/>
              <w:rPr>
                <w:color w:val="FF0000"/>
              </w:rPr>
            </w:pPr>
          </w:p>
        </w:tc>
        <w:tc>
          <w:tcPr>
            <w:tcW w:w="3413" w:type="dxa"/>
            <w:tcBorders>
              <w:top w:val="nil"/>
            </w:tcBorders>
          </w:tcPr>
          <w:p w14:paraId="64AED48C" w14:textId="11628FDC" w:rsidR="00EA39F2" w:rsidRPr="00A90F02" w:rsidRDefault="00EA39F2" w:rsidP="00EA39F2">
            <w:pPr>
              <w:spacing w:after="0" w:line="240" w:lineRule="auto"/>
            </w:pPr>
            <w:r>
              <w:t>Never smoker</w:t>
            </w:r>
          </w:p>
        </w:tc>
        <w:tc>
          <w:tcPr>
            <w:tcW w:w="1506" w:type="dxa"/>
            <w:tcBorders>
              <w:top w:val="nil"/>
            </w:tcBorders>
          </w:tcPr>
          <w:p w14:paraId="221CF89F" w14:textId="1D6CEA9B" w:rsidR="00EA39F2" w:rsidRPr="00AC5C0A" w:rsidRDefault="00EA39F2" w:rsidP="00EA39F2">
            <w:pPr>
              <w:spacing w:after="0" w:line="240" w:lineRule="auto"/>
              <w:jc w:val="center"/>
            </w:pPr>
            <w:r>
              <w:t>37.2 (2387)</w:t>
            </w:r>
          </w:p>
        </w:tc>
        <w:tc>
          <w:tcPr>
            <w:tcW w:w="235" w:type="dxa"/>
            <w:tcBorders>
              <w:top w:val="nil"/>
            </w:tcBorders>
          </w:tcPr>
          <w:p w14:paraId="4C7AA59B" w14:textId="77777777" w:rsidR="00EA39F2" w:rsidRPr="00A90F02" w:rsidRDefault="00EA39F2" w:rsidP="00EA39F2">
            <w:pPr>
              <w:spacing w:after="0" w:line="240" w:lineRule="auto"/>
              <w:jc w:val="center"/>
              <w:rPr>
                <w:color w:val="FF0000"/>
              </w:rPr>
            </w:pPr>
          </w:p>
        </w:tc>
        <w:tc>
          <w:tcPr>
            <w:tcW w:w="1294" w:type="dxa"/>
            <w:tcBorders>
              <w:top w:val="nil"/>
            </w:tcBorders>
          </w:tcPr>
          <w:p w14:paraId="18300DD8" w14:textId="71446759" w:rsidR="00EA39F2" w:rsidRPr="0082436E" w:rsidRDefault="00EA39F2" w:rsidP="00EA39F2">
            <w:pPr>
              <w:spacing w:after="0" w:line="240" w:lineRule="auto"/>
              <w:jc w:val="center"/>
            </w:pPr>
            <w:r w:rsidRPr="0082436E">
              <w:t>100 (2387)</w:t>
            </w:r>
          </w:p>
        </w:tc>
        <w:tc>
          <w:tcPr>
            <w:tcW w:w="1506" w:type="dxa"/>
            <w:tcBorders>
              <w:top w:val="nil"/>
            </w:tcBorders>
          </w:tcPr>
          <w:p w14:paraId="068FC57B" w14:textId="5905CF76" w:rsidR="00EA39F2" w:rsidRPr="0082436E" w:rsidRDefault="00EA39F2" w:rsidP="00EA39F2">
            <w:pPr>
              <w:spacing w:after="0" w:line="240" w:lineRule="auto"/>
              <w:jc w:val="center"/>
            </w:pPr>
            <w:r w:rsidRPr="0082436E">
              <w:t>-</w:t>
            </w:r>
          </w:p>
        </w:tc>
        <w:tc>
          <w:tcPr>
            <w:tcW w:w="1495" w:type="dxa"/>
            <w:tcBorders>
              <w:top w:val="nil"/>
            </w:tcBorders>
          </w:tcPr>
          <w:p w14:paraId="5497A107" w14:textId="4EF4DA80" w:rsidR="00EA39F2" w:rsidRPr="0082436E" w:rsidRDefault="00EA39F2" w:rsidP="00EA39F2">
            <w:pPr>
              <w:spacing w:after="0" w:line="240" w:lineRule="auto"/>
              <w:jc w:val="center"/>
            </w:pPr>
            <w:r w:rsidRPr="0082436E">
              <w:t>-</w:t>
            </w:r>
          </w:p>
        </w:tc>
        <w:tc>
          <w:tcPr>
            <w:tcW w:w="828" w:type="dxa"/>
            <w:tcBorders>
              <w:top w:val="nil"/>
            </w:tcBorders>
          </w:tcPr>
          <w:p w14:paraId="7490DEF0" w14:textId="2C190CA4" w:rsidR="00EA39F2" w:rsidRPr="00EC5A92" w:rsidRDefault="00EA39F2" w:rsidP="00EA39F2">
            <w:pPr>
              <w:spacing w:after="0" w:line="240" w:lineRule="auto"/>
              <w:jc w:val="center"/>
            </w:pPr>
            <w:r w:rsidRPr="00EC5A92">
              <w:t>-</w:t>
            </w:r>
          </w:p>
        </w:tc>
        <w:tc>
          <w:tcPr>
            <w:tcW w:w="232" w:type="dxa"/>
            <w:tcBorders>
              <w:top w:val="nil"/>
            </w:tcBorders>
          </w:tcPr>
          <w:p w14:paraId="58095CDD" w14:textId="2E25A0A6" w:rsidR="00EA39F2" w:rsidRPr="00EC5A92" w:rsidRDefault="00EA39F2" w:rsidP="00EA39F2">
            <w:pPr>
              <w:spacing w:after="0" w:line="240" w:lineRule="auto"/>
              <w:jc w:val="center"/>
            </w:pPr>
          </w:p>
        </w:tc>
        <w:tc>
          <w:tcPr>
            <w:tcW w:w="1296" w:type="dxa"/>
            <w:tcBorders>
              <w:top w:val="nil"/>
            </w:tcBorders>
          </w:tcPr>
          <w:p w14:paraId="7A3C6386" w14:textId="26AD1092" w:rsidR="00EA39F2" w:rsidRPr="00EC5A92" w:rsidRDefault="00EA39F2" w:rsidP="00EA39F2">
            <w:pPr>
              <w:spacing w:after="0" w:line="240" w:lineRule="auto"/>
              <w:jc w:val="center"/>
            </w:pPr>
            <w:r w:rsidRPr="00EC5A92">
              <w:t>38.2 (1616)</w:t>
            </w:r>
          </w:p>
        </w:tc>
        <w:tc>
          <w:tcPr>
            <w:tcW w:w="1439" w:type="dxa"/>
            <w:tcBorders>
              <w:top w:val="nil"/>
            </w:tcBorders>
          </w:tcPr>
          <w:p w14:paraId="79C2F254" w14:textId="5B0EA31E" w:rsidR="00EA39F2" w:rsidRPr="00EC5A92" w:rsidRDefault="00EA39F2" w:rsidP="00EA39F2">
            <w:pPr>
              <w:spacing w:after="0" w:line="240" w:lineRule="auto"/>
              <w:jc w:val="center"/>
            </w:pPr>
            <w:r w:rsidRPr="00EC5A92">
              <w:t>35.2 (771)</w:t>
            </w:r>
          </w:p>
        </w:tc>
        <w:tc>
          <w:tcPr>
            <w:tcW w:w="830" w:type="dxa"/>
            <w:tcBorders>
              <w:top w:val="nil"/>
            </w:tcBorders>
          </w:tcPr>
          <w:p w14:paraId="46D77B06" w14:textId="53D87FDC" w:rsidR="00EA39F2" w:rsidRPr="00EC5A92" w:rsidRDefault="00EA39F2" w:rsidP="00EA39F2">
            <w:pPr>
              <w:spacing w:after="0" w:line="240" w:lineRule="auto"/>
              <w:jc w:val="center"/>
            </w:pPr>
            <w:r w:rsidRPr="00EC5A92">
              <w:t>&lt;0.001</w:t>
            </w:r>
          </w:p>
        </w:tc>
      </w:tr>
      <w:tr w:rsidR="00EC5A92" w:rsidRPr="00A90F02" w14:paraId="7E64AF26" w14:textId="77777777" w:rsidTr="00EA6D66">
        <w:tc>
          <w:tcPr>
            <w:tcW w:w="274" w:type="dxa"/>
            <w:tcBorders>
              <w:top w:val="nil"/>
              <w:bottom w:val="nil"/>
            </w:tcBorders>
          </w:tcPr>
          <w:p w14:paraId="699ACD26" w14:textId="77777777" w:rsidR="00EA39F2" w:rsidRPr="00A90F02" w:rsidRDefault="00EA39F2" w:rsidP="00EA39F2">
            <w:pPr>
              <w:spacing w:after="0" w:line="240" w:lineRule="auto"/>
              <w:rPr>
                <w:color w:val="FF0000"/>
              </w:rPr>
            </w:pPr>
          </w:p>
        </w:tc>
        <w:tc>
          <w:tcPr>
            <w:tcW w:w="3413" w:type="dxa"/>
            <w:tcBorders>
              <w:top w:val="nil"/>
            </w:tcBorders>
          </w:tcPr>
          <w:p w14:paraId="72BD19B2" w14:textId="7C0D9901" w:rsidR="00EA39F2" w:rsidRPr="00A90F02" w:rsidRDefault="00EA39F2" w:rsidP="00EA39F2">
            <w:pPr>
              <w:spacing w:after="0" w:line="240" w:lineRule="auto"/>
            </w:pPr>
            <w:r>
              <w:t>Former smoker</w:t>
            </w:r>
          </w:p>
        </w:tc>
        <w:tc>
          <w:tcPr>
            <w:tcW w:w="1506" w:type="dxa"/>
            <w:tcBorders>
              <w:top w:val="nil"/>
            </w:tcBorders>
          </w:tcPr>
          <w:p w14:paraId="5B8FBB45" w14:textId="108B3402" w:rsidR="00EA39F2" w:rsidRPr="00AC5C0A" w:rsidRDefault="00EA39F2" w:rsidP="00EA39F2">
            <w:pPr>
              <w:spacing w:after="0" w:line="240" w:lineRule="auto"/>
              <w:jc w:val="center"/>
            </w:pPr>
            <w:r>
              <w:t>48.9 (3141)</w:t>
            </w:r>
          </w:p>
        </w:tc>
        <w:tc>
          <w:tcPr>
            <w:tcW w:w="235" w:type="dxa"/>
            <w:tcBorders>
              <w:top w:val="nil"/>
            </w:tcBorders>
          </w:tcPr>
          <w:p w14:paraId="34103EC7" w14:textId="77777777" w:rsidR="00EA39F2" w:rsidRPr="00A90F02" w:rsidRDefault="00EA39F2" w:rsidP="00EA39F2">
            <w:pPr>
              <w:spacing w:after="0" w:line="240" w:lineRule="auto"/>
              <w:jc w:val="center"/>
              <w:rPr>
                <w:color w:val="FF0000"/>
              </w:rPr>
            </w:pPr>
          </w:p>
        </w:tc>
        <w:tc>
          <w:tcPr>
            <w:tcW w:w="1294" w:type="dxa"/>
            <w:tcBorders>
              <w:top w:val="nil"/>
            </w:tcBorders>
          </w:tcPr>
          <w:p w14:paraId="6E4523AB" w14:textId="2AE6ADFE" w:rsidR="00EA39F2" w:rsidRPr="0082436E" w:rsidRDefault="00EA39F2" w:rsidP="00EA39F2">
            <w:pPr>
              <w:spacing w:after="0" w:line="240" w:lineRule="auto"/>
              <w:jc w:val="center"/>
            </w:pPr>
            <w:r w:rsidRPr="0082436E">
              <w:t>-</w:t>
            </w:r>
          </w:p>
        </w:tc>
        <w:tc>
          <w:tcPr>
            <w:tcW w:w="1506" w:type="dxa"/>
            <w:tcBorders>
              <w:top w:val="nil"/>
            </w:tcBorders>
          </w:tcPr>
          <w:p w14:paraId="6D764CFB" w14:textId="27488932" w:rsidR="00EA39F2" w:rsidRPr="0082436E" w:rsidRDefault="00EA39F2" w:rsidP="00EA39F2">
            <w:pPr>
              <w:spacing w:after="0" w:line="240" w:lineRule="auto"/>
              <w:jc w:val="center"/>
            </w:pPr>
            <w:r w:rsidRPr="0082436E">
              <w:t>100 (3141)</w:t>
            </w:r>
          </w:p>
        </w:tc>
        <w:tc>
          <w:tcPr>
            <w:tcW w:w="1495" w:type="dxa"/>
            <w:tcBorders>
              <w:top w:val="nil"/>
            </w:tcBorders>
          </w:tcPr>
          <w:p w14:paraId="6E742EBE" w14:textId="226F4B46" w:rsidR="00EA39F2" w:rsidRPr="0082436E" w:rsidRDefault="00EA39F2" w:rsidP="00EA39F2">
            <w:pPr>
              <w:spacing w:after="0" w:line="240" w:lineRule="auto"/>
              <w:jc w:val="center"/>
            </w:pPr>
            <w:r w:rsidRPr="0082436E">
              <w:t>-</w:t>
            </w:r>
          </w:p>
        </w:tc>
        <w:tc>
          <w:tcPr>
            <w:tcW w:w="828" w:type="dxa"/>
            <w:tcBorders>
              <w:top w:val="nil"/>
            </w:tcBorders>
          </w:tcPr>
          <w:p w14:paraId="58D29E13" w14:textId="5806B81C" w:rsidR="00EA39F2" w:rsidRPr="00EC5A92" w:rsidRDefault="00EA39F2" w:rsidP="00EA39F2">
            <w:pPr>
              <w:spacing w:after="0" w:line="240" w:lineRule="auto"/>
              <w:jc w:val="center"/>
            </w:pPr>
            <w:r w:rsidRPr="00EC5A92">
              <w:t>-</w:t>
            </w:r>
          </w:p>
        </w:tc>
        <w:tc>
          <w:tcPr>
            <w:tcW w:w="232" w:type="dxa"/>
            <w:tcBorders>
              <w:top w:val="nil"/>
            </w:tcBorders>
          </w:tcPr>
          <w:p w14:paraId="7A322F13" w14:textId="74C586D5" w:rsidR="00EA39F2" w:rsidRPr="00EC5A92" w:rsidRDefault="00EA39F2" w:rsidP="00EA39F2">
            <w:pPr>
              <w:spacing w:after="0" w:line="240" w:lineRule="auto"/>
              <w:jc w:val="center"/>
            </w:pPr>
          </w:p>
        </w:tc>
        <w:tc>
          <w:tcPr>
            <w:tcW w:w="1296" w:type="dxa"/>
            <w:tcBorders>
              <w:top w:val="nil"/>
            </w:tcBorders>
          </w:tcPr>
          <w:p w14:paraId="7244D613" w14:textId="10D03091" w:rsidR="00EA39F2" w:rsidRPr="00EC5A92" w:rsidRDefault="00EA39F2" w:rsidP="00EA39F2">
            <w:pPr>
              <w:spacing w:after="0" w:line="240" w:lineRule="auto"/>
              <w:jc w:val="center"/>
            </w:pPr>
            <w:r w:rsidRPr="00EC5A92">
              <w:t>49.3 (2085)</w:t>
            </w:r>
          </w:p>
        </w:tc>
        <w:tc>
          <w:tcPr>
            <w:tcW w:w="1439" w:type="dxa"/>
            <w:tcBorders>
              <w:top w:val="nil"/>
            </w:tcBorders>
          </w:tcPr>
          <w:p w14:paraId="55D57F93" w14:textId="4AFA228F" w:rsidR="00EA39F2" w:rsidRPr="00EC5A92" w:rsidRDefault="00EA39F2" w:rsidP="00EA39F2">
            <w:pPr>
              <w:spacing w:after="0" w:line="240" w:lineRule="auto"/>
              <w:jc w:val="center"/>
            </w:pPr>
            <w:r w:rsidRPr="00EC5A92">
              <w:t>48.2 (1056)</w:t>
            </w:r>
          </w:p>
        </w:tc>
        <w:tc>
          <w:tcPr>
            <w:tcW w:w="830" w:type="dxa"/>
            <w:tcBorders>
              <w:top w:val="nil"/>
            </w:tcBorders>
          </w:tcPr>
          <w:p w14:paraId="7A8C2129" w14:textId="0FDB91BC" w:rsidR="00EA39F2" w:rsidRPr="00EC5A92" w:rsidRDefault="00EA39F2" w:rsidP="00EA39F2">
            <w:pPr>
              <w:spacing w:after="0" w:line="240" w:lineRule="auto"/>
              <w:jc w:val="center"/>
            </w:pPr>
            <w:r w:rsidRPr="00EC5A92">
              <w:t>-</w:t>
            </w:r>
          </w:p>
        </w:tc>
      </w:tr>
      <w:tr w:rsidR="00EC5A92" w:rsidRPr="00A90F02" w14:paraId="79CA49A5" w14:textId="77777777" w:rsidTr="00EA6D66">
        <w:tc>
          <w:tcPr>
            <w:tcW w:w="274" w:type="dxa"/>
            <w:tcBorders>
              <w:top w:val="nil"/>
            </w:tcBorders>
          </w:tcPr>
          <w:p w14:paraId="77A0539D" w14:textId="77777777" w:rsidR="00EA39F2" w:rsidRPr="00A90F02" w:rsidRDefault="00EA39F2" w:rsidP="00EA39F2">
            <w:pPr>
              <w:spacing w:after="0" w:line="240" w:lineRule="auto"/>
              <w:rPr>
                <w:color w:val="FF0000"/>
              </w:rPr>
            </w:pPr>
          </w:p>
        </w:tc>
        <w:tc>
          <w:tcPr>
            <w:tcW w:w="3413" w:type="dxa"/>
          </w:tcPr>
          <w:p w14:paraId="5CB4B654" w14:textId="45EC0B41" w:rsidR="00EA39F2" w:rsidRPr="00A90F02" w:rsidRDefault="00EA39F2" w:rsidP="00EA39F2">
            <w:pPr>
              <w:spacing w:after="0" w:line="240" w:lineRule="auto"/>
            </w:pPr>
            <w:r>
              <w:t>Current smoker</w:t>
            </w:r>
          </w:p>
        </w:tc>
        <w:tc>
          <w:tcPr>
            <w:tcW w:w="1506" w:type="dxa"/>
          </w:tcPr>
          <w:p w14:paraId="1BC39DF1" w14:textId="6ACD5C8B" w:rsidR="00EA39F2" w:rsidRPr="00AC5C0A" w:rsidRDefault="00EA39F2" w:rsidP="00EA39F2">
            <w:pPr>
              <w:spacing w:after="0" w:line="240" w:lineRule="auto"/>
              <w:jc w:val="center"/>
            </w:pPr>
            <w:r>
              <w:t>14.0 (897)</w:t>
            </w:r>
          </w:p>
        </w:tc>
        <w:tc>
          <w:tcPr>
            <w:tcW w:w="235" w:type="dxa"/>
          </w:tcPr>
          <w:p w14:paraId="3A8EEFD5" w14:textId="77777777" w:rsidR="00EA39F2" w:rsidRPr="00A90F02" w:rsidRDefault="00EA39F2" w:rsidP="00EA39F2">
            <w:pPr>
              <w:spacing w:after="0" w:line="240" w:lineRule="auto"/>
              <w:jc w:val="center"/>
              <w:rPr>
                <w:color w:val="FF0000"/>
              </w:rPr>
            </w:pPr>
          </w:p>
        </w:tc>
        <w:tc>
          <w:tcPr>
            <w:tcW w:w="1294" w:type="dxa"/>
          </w:tcPr>
          <w:p w14:paraId="18938A95" w14:textId="6EADA271" w:rsidR="00EA39F2" w:rsidRPr="0082436E" w:rsidRDefault="00EA39F2" w:rsidP="00EA39F2">
            <w:pPr>
              <w:spacing w:after="0" w:line="240" w:lineRule="auto"/>
              <w:jc w:val="center"/>
            </w:pPr>
            <w:r w:rsidRPr="0082436E">
              <w:t>-</w:t>
            </w:r>
          </w:p>
        </w:tc>
        <w:tc>
          <w:tcPr>
            <w:tcW w:w="1506" w:type="dxa"/>
          </w:tcPr>
          <w:p w14:paraId="6F38458D" w14:textId="163DB999" w:rsidR="00EA39F2" w:rsidRPr="0082436E" w:rsidRDefault="00EA39F2" w:rsidP="00EA39F2">
            <w:pPr>
              <w:spacing w:after="0" w:line="240" w:lineRule="auto"/>
              <w:jc w:val="center"/>
            </w:pPr>
            <w:r w:rsidRPr="0082436E">
              <w:t>-</w:t>
            </w:r>
          </w:p>
        </w:tc>
        <w:tc>
          <w:tcPr>
            <w:tcW w:w="1495" w:type="dxa"/>
          </w:tcPr>
          <w:p w14:paraId="5CD120BE" w14:textId="5D06242B" w:rsidR="00EA39F2" w:rsidRPr="0082436E" w:rsidRDefault="00EA39F2" w:rsidP="00EA39F2">
            <w:pPr>
              <w:spacing w:after="0" w:line="240" w:lineRule="auto"/>
              <w:jc w:val="center"/>
            </w:pPr>
            <w:r w:rsidRPr="0082436E">
              <w:t>100 (897)</w:t>
            </w:r>
          </w:p>
        </w:tc>
        <w:tc>
          <w:tcPr>
            <w:tcW w:w="828" w:type="dxa"/>
          </w:tcPr>
          <w:p w14:paraId="6640D52C" w14:textId="14D1DD6C" w:rsidR="00EA39F2" w:rsidRPr="00EC5A92" w:rsidRDefault="00EA39F2" w:rsidP="00EA39F2">
            <w:pPr>
              <w:spacing w:after="0" w:line="240" w:lineRule="auto"/>
              <w:jc w:val="center"/>
            </w:pPr>
            <w:r w:rsidRPr="00EC5A92">
              <w:t>-</w:t>
            </w:r>
          </w:p>
        </w:tc>
        <w:tc>
          <w:tcPr>
            <w:tcW w:w="232" w:type="dxa"/>
          </w:tcPr>
          <w:p w14:paraId="5DE1EFDD" w14:textId="2307331E" w:rsidR="00EA39F2" w:rsidRPr="00EC5A92" w:rsidRDefault="00EA39F2" w:rsidP="00EA39F2">
            <w:pPr>
              <w:spacing w:after="0" w:line="240" w:lineRule="auto"/>
              <w:jc w:val="center"/>
            </w:pPr>
          </w:p>
        </w:tc>
        <w:tc>
          <w:tcPr>
            <w:tcW w:w="1296" w:type="dxa"/>
          </w:tcPr>
          <w:p w14:paraId="3FBBDF21" w14:textId="3CDC0F87" w:rsidR="00EA39F2" w:rsidRPr="00EC5A92" w:rsidRDefault="00EA39F2" w:rsidP="00EA39F2">
            <w:pPr>
              <w:spacing w:after="0" w:line="240" w:lineRule="auto"/>
              <w:jc w:val="center"/>
            </w:pPr>
            <w:r w:rsidRPr="00EC5A92">
              <w:t>12.6 (532)</w:t>
            </w:r>
          </w:p>
        </w:tc>
        <w:tc>
          <w:tcPr>
            <w:tcW w:w="1439" w:type="dxa"/>
          </w:tcPr>
          <w:p w14:paraId="256BD9C5" w14:textId="7F61ED4D" w:rsidR="00EA39F2" w:rsidRPr="00EC5A92" w:rsidRDefault="00EA39F2" w:rsidP="00EA39F2">
            <w:pPr>
              <w:spacing w:after="0" w:line="240" w:lineRule="auto"/>
              <w:jc w:val="center"/>
            </w:pPr>
            <w:r w:rsidRPr="00EC5A92">
              <w:t>16.7 (365)</w:t>
            </w:r>
          </w:p>
        </w:tc>
        <w:tc>
          <w:tcPr>
            <w:tcW w:w="830" w:type="dxa"/>
          </w:tcPr>
          <w:p w14:paraId="358E19CF" w14:textId="2D96DE51" w:rsidR="00EA39F2" w:rsidRPr="00EC5A92" w:rsidRDefault="00EA39F2" w:rsidP="00EA39F2">
            <w:pPr>
              <w:spacing w:after="0" w:line="240" w:lineRule="auto"/>
              <w:jc w:val="center"/>
            </w:pPr>
            <w:r w:rsidRPr="00EC5A92">
              <w:t>-</w:t>
            </w:r>
          </w:p>
        </w:tc>
      </w:tr>
      <w:tr w:rsidR="00EA6D66" w:rsidRPr="00A90F02" w14:paraId="4B5C9149" w14:textId="77777777" w:rsidTr="00EA6D66">
        <w:tc>
          <w:tcPr>
            <w:tcW w:w="3687" w:type="dxa"/>
            <w:gridSpan w:val="2"/>
            <w:tcBorders>
              <w:bottom w:val="nil"/>
            </w:tcBorders>
          </w:tcPr>
          <w:p w14:paraId="040E55B9" w14:textId="5D2E002E" w:rsidR="00EA39F2" w:rsidRPr="00A90F02" w:rsidRDefault="00EA39F2" w:rsidP="00EA39F2">
            <w:pPr>
              <w:spacing w:after="0" w:line="240" w:lineRule="auto"/>
            </w:pPr>
            <w:r>
              <w:t>Level of physical activity</w:t>
            </w:r>
            <w:r w:rsidRPr="00A90F02">
              <w:t>, % (</w:t>
            </w:r>
            <w:r w:rsidRPr="00A90F02">
              <w:rPr>
                <w:i/>
              </w:rPr>
              <w:t>n</w:t>
            </w:r>
            <w:r w:rsidRPr="00A90F02">
              <w:t>)</w:t>
            </w:r>
          </w:p>
        </w:tc>
        <w:tc>
          <w:tcPr>
            <w:tcW w:w="1506" w:type="dxa"/>
            <w:tcBorders>
              <w:bottom w:val="nil"/>
            </w:tcBorders>
          </w:tcPr>
          <w:p w14:paraId="34FB4BE3" w14:textId="77777777" w:rsidR="00EA39F2" w:rsidRPr="00AC5C0A" w:rsidRDefault="00EA39F2" w:rsidP="00EA39F2">
            <w:pPr>
              <w:spacing w:after="0" w:line="240" w:lineRule="auto"/>
            </w:pPr>
          </w:p>
        </w:tc>
        <w:tc>
          <w:tcPr>
            <w:tcW w:w="235" w:type="dxa"/>
            <w:tcBorders>
              <w:bottom w:val="nil"/>
            </w:tcBorders>
          </w:tcPr>
          <w:p w14:paraId="279B075A" w14:textId="77777777" w:rsidR="00EA39F2" w:rsidRPr="00A90F02" w:rsidRDefault="00EA39F2" w:rsidP="00EA39F2">
            <w:pPr>
              <w:spacing w:after="0" w:line="240" w:lineRule="auto"/>
              <w:rPr>
                <w:color w:val="FF0000"/>
              </w:rPr>
            </w:pPr>
          </w:p>
        </w:tc>
        <w:tc>
          <w:tcPr>
            <w:tcW w:w="1294" w:type="dxa"/>
            <w:tcBorders>
              <w:bottom w:val="nil"/>
            </w:tcBorders>
          </w:tcPr>
          <w:p w14:paraId="0175D0E8" w14:textId="77777777" w:rsidR="00EA39F2" w:rsidRPr="0082436E" w:rsidRDefault="00EA39F2" w:rsidP="00EA39F2">
            <w:pPr>
              <w:spacing w:after="0" w:line="240" w:lineRule="auto"/>
            </w:pPr>
          </w:p>
        </w:tc>
        <w:tc>
          <w:tcPr>
            <w:tcW w:w="1506" w:type="dxa"/>
            <w:tcBorders>
              <w:bottom w:val="nil"/>
            </w:tcBorders>
          </w:tcPr>
          <w:p w14:paraId="1FDBF327" w14:textId="77777777" w:rsidR="00EA39F2" w:rsidRPr="0082436E" w:rsidRDefault="00EA39F2" w:rsidP="00EA39F2">
            <w:pPr>
              <w:spacing w:after="0" w:line="240" w:lineRule="auto"/>
            </w:pPr>
          </w:p>
        </w:tc>
        <w:tc>
          <w:tcPr>
            <w:tcW w:w="1495" w:type="dxa"/>
            <w:tcBorders>
              <w:bottom w:val="nil"/>
            </w:tcBorders>
          </w:tcPr>
          <w:p w14:paraId="540BF2B7" w14:textId="77777777" w:rsidR="00EA39F2" w:rsidRPr="0082436E" w:rsidRDefault="00EA39F2" w:rsidP="00EA39F2">
            <w:pPr>
              <w:spacing w:after="0" w:line="240" w:lineRule="auto"/>
            </w:pPr>
          </w:p>
        </w:tc>
        <w:tc>
          <w:tcPr>
            <w:tcW w:w="828" w:type="dxa"/>
            <w:tcBorders>
              <w:bottom w:val="nil"/>
            </w:tcBorders>
          </w:tcPr>
          <w:p w14:paraId="662D6EAF" w14:textId="77777777" w:rsidR="00EA39F2" w:rsidRPr="00EC5A92" w:rsidRDefault="00EA39F2" w:rsidP="00EA39F2">
            <w:pPr>
              <w:spacing w:after="0" w:line="240" w:lineRule="auto"/>
            </w:pPr>
          </w:p>
        </w:tc>
        <w:tc>
          <w:tcPr>
            <w:tcW w:w="232" w:type="dxa"/>
            <w:tcBorders>
              <w:bottom w:val="nil"/>
            </w:tcBorders>
          </w:tcPr>
          <w:p w14:paraId="696B29C3" w14:textId="603ED991" w:rsidR="00EA39F2" w:rsidRPr="00EC5A92" w:rsidRDefault="00EA39F2" w:rsidP="00EA39F2">
            <w:pPr>
              <w:spacing w:after="0" w:line="240" w:lineRule="auto"/>
            </w:pPr>
          </w:p>
        </w:tc>
        <w:tc>
          <w:tcPr>
            <w:tcW w:w="1296" w:type="dxa"/>
            <w:tcBorders>
              <w:bottom w:val="nil"/>
            </w:tcBorders>
          </w:tcPr>
          <w:p w14:paraId="4F2E06BD" w14:textId="77777777" w:rsidR="00EA39F2" w:rsidRPr="00EC5A92" w:rsidRDefault="00EA39F2" w:rsidP="00EA39F2">
            <w:pPr>
              <w:spacing w:after="0" w:line="240" w:lineRule="auto"/>
            </w:pPr>
          </w:p>
        </w:tc>
        <w:tc>
          <w:tcPr>
            <w:tcW w:w="1439" w:type="dxa"/>
            <w:tcBorders>
              <w:bottom w:val="nil"/>
            </w:tcBorders>
          </w:tcPr>
          <w:p w14:paraId="33C565E4" w14:textId="77777777" w:rsidR="00EA39F2" w:rsidRPr="00EC5A92" w:rsidRDefault="00EA39F2" w:rsidP="00EA39F2">
            <w:pPr>
              <w:spacing w:after="0" w:line="240" w:lineRule="auto"/>
            </w:pPr>
          </w:p>
        </w:tc>
        <w:tc>
          <w:tcPr>
            <w:tcW w:w="830" w:type="dxa"/>
            <w:tcBorders>
              <w:bottom w:val="nil"/>
            </w:tcBorders>
          </w:tcPr>
          <w:p w14:paraId="36E29E84" w14:textId="77777777" w:rsidR="00EA39F2" w:rsidRPr="00EC5A92" w:rsidRDefault="00EA39F2" w:rsidP="00EA39F2">
            <w:pPr>
              <w:spacing w:after="0" w:line="240" w:lineRule="auto"/>
            </w:pPr>
          </w:p>
        </w:tc>
      </w:tr>
      <w:tr w:rsidR="00EC5A92" w:rsidRPr="00A90F02" w14:paraId="52CEB209" w14:textId="77777777" w:rsidTr="00EA6D66">
        <w:tc>
          <w:tcPr>
            <w:tcW w:w="274" w:type="dxa"/>
            <w:tcBorders>
              <w:top w:val="nil"/>
              <w:bottom w:val="nil"/>
            </w:tcBorders>
          </w:tcPr>
          <w:p w14:paraId="393E7749" w14:textId="77777777" w:rsidR="00EA39F2" w:rsidRPr="00A90F02" w:rsidRDefault="00EA39F2" w:rsidP="00EA39F2">
            <w:pPr>
              <w:spacing w:after="0" w:line="240" w:lineRule="auto"/>
              <w:rPr>
                <w:color w:val="FF0000"/>
              </w:rPr>
            </w:pPr>
          </w:p>
        </w:tc>
        <w:tc>
          <w:tcPr>
            <w:tcW w:w="3413" w:type="dxa"/>
            <w:tcBorders>
              <w:top w:val="nil"/>
            </w:tcBorders>
          </w:tcPr>
          <w:p w14:paraId="2C72F639" w14:textId="7888F83E" w:rsidR="00EA39F2" w:rsidRPr="00A90F02" w:rsidRDefault="00EA39F2" w:rsidP="00EA39F2">
            <w:pPr>
              <w:spacing w:after="0" w:line="240" w:lineRule="auto"/>
            </w:pPr>
            <w:r>
              <w:t>High</w:t>
            </w:r>
          </w:p>
        </w:tc>
        <w:tc>
          <w:tcPr>
            <w:tcW w:w="1506" w:type="dxa"/>
            <w:tcBorders>
              <w:top w:val="nil"/>
            </w:tcBorders>
          </w:tcPr>
          <w:p w14:paraId="515CC638" w14:textId="1CF13B08" w:rsidR="00EA39F2" w:rsidRPr="00AC5C0A" w:rsidRDefault="00EA39F2" w:rsidP="00EA39F2">
            <w:pPr>
              <w:spacing w:after="0" w:line="240" w:lineRule="auto"/>
              <w:jc w:val="center"/>
            </w:pPr>
            <w:r>
              <w:t>65.9 (4233)</w:t>
            </w:r>
          </w:p>
        </w:tc>
        <w:tc>
          <w:tcPr>
            <w:tcW w:w="235" w:type="dxa"/>
            <w:tcBorders>
              <w:top w:val="nil"/>
            </w:tcBorders>
          </w:tcPr>
          <w:p w14:paraId="6F2D2031" w14:textId="77777777" w:rsidR="00EA39F2" w:rsidRPr="00A90F02" w:rsidRDefault="00EA39F2" w:rsidP="00EA39F2">
            <w:pPr>
              <w:spacing w:after="0" w:line="240" w:lineRule="auto"/>
              <w:jc w:val="center"/>
              <w:rPr>
                <w:color w:val="FF0000"/>
              </w:rPr>
            </w:pPr>
          </w:p>
        </w:tc>
        <w:tc>
          <w:tcPr>
            <w:tcW w:w="1294" w:type="dxa"/>
            <w:tcBorders>
              <w:top w:val="nil"/>
            </w:tcBorders>
          </w:tcPr>
          <w:p w14:paraId="3138ED70" w14:textId="03E4D741" w:rsidR="00EA39F2" w:rsidRPr="0082436E" w:rsidRDefault="00EA39F2" w:rsidP="00EA39F2">
            <w:pPr>
              <w:spacing w:after="0" w:line="240" w:lineRule="auto"/>
              <w:jc w:val="center"/>
            </w:pPr>
            <w:r w:rsidRPr="0082436E">
              <w:t>67.7 (1616)</w:t>
            </w:r>
          </w:p>
        </w:tc>
        <w:tc>
          <w:tcPr>
            <w:tcW w:w="1506" w:type="dxa"/>
            <w:tcBorders>
              <w:top w:val="nil"/>
            </w:tcBorders>
          </w:tcPr>
          <w:p w14:paraId="6FF9C26B" w14:textId="3CE49D68" w:rsidR="00EA39F2" w:rsidRPr="0082436E" w:rsidRDefault="00EA39F2" w:rsidP="00EA39F2">
            <w:pPr>
              <w:spacing w:after="0" w:line="240" w:lineRule="auto"/>
              <w:jc w:val="center"/>
            </w:pPr>
            <w:r w:rsidRPr="0082436E">
              <w:t>66.4 (2085)</w:t>
            </w:r>
          </w:p>
        </w:tc>
        <w:tc>
          <w:tcPr>
            <w:tcW w:w="1495" w:type="dxa"/>
            <w:tcBorders>
              <w:top w:val="nil"/>
            </w:tcBorders>
          </w:tcPr>
          <w:p w14:paraId="5BA46FD1" w14:textId="476A9A88" w:rsidR="00EA39F2" w:rsidRPr="0082436E" w:rsidRDefault="00EA39F2" w:rsidP="00EA39F2">
            <w:pPr>
              <w:spacing w:after="0" w:line="240" w:lineRule="auto"/>
              <w:jc w:val="center"/>
            </w:pPr>
            <w:r w:rsidRPr="0082436E">
              <w:t>59.3 (532)</w:t>
            </w:r>
          </w:p>
        </w:tc>
        <w:tc>
          <w:tcPr>
            <w:tcW w:w="828" w:type="dxa"/>
            <w:tcBorders>
              <w:top w:val="nil"/>
            </w:tcBorders>
          </w:tcPr>
          <w:p w14:paraId="1CD963F9" w14:textId="4801AEF2" w:rsidR="00EA39F2" w:rsidRPr="00EC5A92" w:rsidRDefault="00EA39F2" w:rsidP="00EA39F2">
            <w:pPr>
              <w:spacing w:after="0" w:line="240" w:lineRule="auto"/>
              <w:jc w:val="center"/>
            </w:pPr>
            <w:r w:rsidRPr="00EC5A92">
              <w:t>&lt;0.001</w:t>
            </w:r>
          </w:p>
        </w:tc>
        <w:tc>
          <w:tcPr>
            <w:tcW w:w="232" w:type="dxa"/>
            <w:tcBorders>
              <w:top w:val="nil"/>
            </w:tcBorders>
          </w:tcPr>
          <w:p w14:paraId="4E6282F6" w14:textId="77FC15B3" w:rsidR="00EA39F2" w:rsidRPr="00EC5A92" w:rsidRDefault="00EA39F2" w:rsidP="00EA39F2">
            <w:pPr>
              <w:spacing w:after="0" w:line="240" w:lineRule="auto"/>
              <w:jc w:val="center"/>
            </w:pPr>
          </w:p>
        </w:tc>
        <w:tc>
          <w:tcPr>
            <w:tcW w:w="1296" w:type="dxa"/>
            <w:tcBorders>
              <w:top w:val="nil"/>
            </w:tcBorders>
          </w:tcPr>
          <w:p w14:paraId="3446EFA2" w14:textId="1599CC42" w:rsidR="00EA39F2" w:rsidRPr="00EC5A92" w:rsidRDefault="00EA39F2" w:rsidP="00EA39F2">
            <w:pPr>
              <w:spacing w:after="0" w:line="240" w:lineRule="auto"/>
              <w:jc w:val="center"/>
            </w:pPr>
            <w:r w:rsidRPr="00EC5A92">
              <w:t>100 (4233)</w:t>
            </w:r>
          </w:p>
        </w:tc>
        <w:tc>
          <w:tcPr>
            <w:tcW w:w="1439" w:type="dxa"/>
            <w:tcBorders>
              <w:top w:val="nil"/>
            </w:tcBorders>
          </w:tcPr>
          <w:p w14:paraId="2063F2A5" w14:textId="124D7413" w:rsidR="00EA39F2" w:rsidRPr="00EC5A92" w:rsidRDefault="00EA39F2" w:rsidP="00EA39F2">
            <w:pPr>
              <w:spacing w:after="0" w:line="240" w:lineRule="auto"/>
              <w:jc w:val="center"/>
            </w:pPr>
            <w:r w:rsidRPr="00EC5A92">
              <w:t>-</w:t>
            </w:r>
          </w:p>
        </w:tc>
        <w:tc>
          <w:tcPr>
            <w:tcW w:w="830" w:type="dxa"/>
            <w:tcBorders>
              <w:top w:val="nil"/>
            </w:tcBorders>
          </w:tcPr>
          <w:p w14:paraId="356060C9" w14:textId="33AE02EC" w:rsidR="00EA39F2" w:rsidRPr="00EC5A92" w:rsidRDefault="00EA39F2" w:rsidP="00EA39F2">
            <w:pPr>
              <w:spacing w:after="0" w:line="240" w:lineRule="auto"/>
              <w:jc w:val="center"/>
            </w:pPr>
            <w:r w:rsidRPr="00EC5A92">
              <w:t>-</w:t>
            </w:r>
          </w:p>
        </w:tc>
      </w:tr>
      <w:tr w:rsidR="00EC5A92" w:rsidRPr="00A90F02" w14:paraId="5997D226" w14:textId="77777777" w:rsidTr="00EA6D66">
        <w:tc>
          <w:tcPr>
            <w:tcW w:w="274" w:type="dxa"/>
            <w:tcBorders>
              <w:top w:val="nil"/>
              <w:bottom w:val="single" w:sz="4" w:space="0" w:color="auto"/>
            </w:tcBorders>
          </w:tcPr>
          <w:p w14:paraId="5E90E32D" w14:textId="77777777" w:rsidR="00EA39F2" w:rsidRPr="00A90F02" w:rsidRDefault="00EA39F2" w:rsidP="00EA39F2">
            <w:pPr>
              <w:spacing w:after="0" w:line="240" w:lineRule="auto"/>
              <w:rPr>
                <w:color w:val="FF0000"/>
              </w:rPr>
            </w:pPr>
          </w:p>
        </w:tc>
        <w:tc>
          <w:tcPr>
            <w:tcW w:w="3413" w:type="dxa"/>
            <w:tcBorders>
              <w:top w:val="nil"/>
              <w:bottom w:val="single" w:sz="4" w:space="0" w:color="auto"/>
            </w:tcBorders>
          </w:tcPr>
          <w:p w14:paraId="7768225E" w14:textId="5FDE1B31" w:rsidR="00EA39F2" w:rsidRPr="00A90F02" w:rsidRDefault="00EA39F2" w:rsidP="00EA39F2">
            <w:pPr>
              <w:spacing w:after="0" w:line="240" w:lineRule="auto"/>
            </w:pPr>
            <w:r>
              <w:t>Low</w:t>
            </w:r>
          </w:p>
        </w:tc>
        <w:tc>
          <w:tcPr>
            <w:tcW w:w="1506" w:type="dxa"/>
            <w:tcBorders>
              <w:top w:val="nil"/>
              <w:bottom w:val="single" w:sz="4" w:space="0" w:color="auto"/>
            </w:tcBorders>
          </w:tcPr>
          <w:p w14:paraId="70FB5500" w14:textId="1109F1FE" w:rsidR="00EA39F2" w:rsidRPr="00AC5C0A" w:rsidRDefault="00EA39F2" w:rsidP="00EA39F2">
            <w:pPr>
              <w:spacing w:after="0" w:line="240" w:lineRule="auto"/>
              <w:jc w:val="center"/>
            </w:pPr>
            <w:r>
              <w:t>34.1 (2192)</w:t>
            </w:r>
          </w:p>
        </w:tc>
        <w:tc>
          <w:tcPr>
            <w:tcW w:w="235" w:type="dxa"/>
            <w:tcBorders>
              <w:top w:val="nil"/>
              <w:bottom w:val="single" w:sz="4" w:space="0" w:color="auto"/>
            </w:tcBorders>
          </w:tcPr>
          <w:p w14:paraId="74F8CDB8" w14:textId="77777777" w:rsidR="00EA39F2" w:rsidRPr="00A90F02" w:rsidRDefault="00EA39F2" w:rsidP="00EA39F2">
            <w:pPr>
              <w:spacing w:after="0" w:line="240" w:lineRule="auto"/>
              <w:jc w:val="center"/>
              <w:rPr>
                <w:color w:val="FF0000"/>
              </w:rPr>
            </w:pPr>
          </w:p>
        </w:tc>
        <w:tc>
          <w:tcPr>
            <w:tcW w:w="1294" w:type="dxa"/>
            <w:tcBorders>
              <w:top w:val="nil"/>
              <w:bottom w:val="single" w:sz="4" w:space="0" w:color="auto"/>
            </w:tcBorders>
          </w:tcPr>
          <w:p w14:paraId="07F8FB44" w14:textId="1B9BD0C0" w:rsidR="00EA39F2" w:rsidRPr="0082436E" w:rsidRDefault="00EA39F2" w:rsidP="00EA39F2">
            <w:pPr>
              <w:spacing w:after="0" w:line="240" w:lineRule="auto"/>
              <w:jc w:val="center"/>
            </w:pPr>
            <w:r w:rsidRPr="0082436E">
              <w:t>32.3 (771)</w:t>
            </w:r>
          </w:p>
        </w:tc>
        <w:tc>
          <w:tcPr>
            <w:tcW w:w="1506" w:type="dxa"/>
            <w:tcBorders>
              <w:top w:val="nil"/>
              <w:bottom w:val="single" w:sz="4" w:space="0" w:color="auto"/>
            </w:tcBorders>
          </w:tcPr>
          <w:p w14:paraId="75CC1712" w14:textId="2E3560A2" w:rsidR="00EA39F2" w:rsidRPr="0082436E" w:rsidRDefault="00EA39F2" w:rsidP="00EA39F2">
            <w:pPr>
              <w:spacing w:after="0" w:line="240" w:lineRule="auto"/>
              <w:jc w:val="center"/>
            </w:pPr>
            <w:r w:rsidRPr="0082436E">
              <w:t>33.6 (1056)</w:t>
            </w:r>
          </w:p>
        </w:tc>
        <w:tc>
          <w:tcPr>
            <w:tcW w:w="1495" w:type="dxa"/>
            <w:tcBorders>
              <w:top w:val="nil"/>
              <w:bottom w:val="single" w:sz="4" w:space="0" w:color="auto"/>
            </w:tcBorders>
          </w:tcPr>
          <w:p w14:paraId="319E16A9" w14:textId="7196EE66" w:rsidR="00EA39F2" w:rsidRPr="0082436E" w:rsidRDefault="00EA39F2" w:rsidP="00EA39F2">
            <w:pPr>
              <w:spacing w:after="0" w:line="240" w:lineRule="auto"/>
              <w:jc w:val="center"/>
            </w:pPr>
            <w:r w:rsidRPr="0082436E">
              <w:t>40.7 (365)</w:t>
            </w:r>
          </w:p>
        </w:tc>
        <w:tc>
          <w:tcPr>
            <w:tcW w:w="828" w:type="dxa"/>
            <w:tcBorders>
              <w:top w:val="nil"/>
              <w:bottom w:val="single" w:sz="4" w:space="0" w:color="auto"/>
            </w:tcBorders>
          </w:tcPr>
          <w:p w14:paraId="6CBB5BAA" w14:textId="03A15D6C" w:rsidR="00EA39F2" w:rsidRPr="00EC5A92" w:rsidRDefault="00EA39F2" w:rsidP="00EA39F2">
            <w:pPr>
              <w:spacing w:after="0" w:line="240" w:lineRule="auto"/>
              <w:jc w:val="center"/>
            </w:pPr>
            <w:r w:rsidRPr="00EC5A92">
              <w:t>-</w:t>
            </w:r>
          </w:p>
        </w:tc>
        <w:tc>
          <w:tcPr>
            <w:tcW w:w="232" w:type="dxa"/>
            <w:tcBorders>
              <w:top w:val="nil"/>
              <w:bottom w:val="single" w:sz="4" w:space="0" w:color="auto"/>
            </w:tcBorders>
          </w:tcPr>
          <w:p w14:paraId="18D81475" w14:textId="5ADD0951" w:rsidR="00EA39F2" w:rsidRPr="00EC5A92" w:rsidRDefault="00EA39F2" w:rsidP="00EA39F2">
            <w:pPr>
              <w:spacing w:after="0" w:line="240" w:lineRule="auto"/>
              <w:jc w:val="center"/>
            </w:pPr>
          </w:p>
        </w:tc>
        <w:tc>
          <w:tcPr>
            <w:tcW w:w="1296" w:type="dxa"/>
            <w:tcBorders>
              <w:top w:val="nil"/>
              <w:bottom w:val="single" w:sz="4" w:space="0" w:color="auto"/>
            </w:tcBorders>
          </w:tcPr>
          <w:p w14:paraId="349595C9" w14:textId="483DAA76" w:rsidR="00EA39F2" w:rsidRPr="00EC5A92" w:rsidRDefault="00EA39F2" w:rsidP="00EA39F2">
            <w:pPr>
              <w:spacing w:after="0" w:line="240" w:lineRule="auto"/>
              <w:jc w:val="center"/>
            </w:pPr>
            <w:r w:rsidRPr="00EC5A92">
              <w:t>-</w:t>
            </w:r>
          </w:p>
        </w:tc>
        <w:tc>
          <w:tcPr>
            <w:tcW w:w="1439" w:type="dxa"/>
            <w:tcBorders>
              <w:top w:val="nil"/>
              <w:bottom w:val="single" w:sz="4" w:space="0" w:color="auto"/>
            </w:tcBorders>
          </w:tcPr>
          <w:p w14:paraId="69A00C38" w14:textId="1BD7CA27" w:rsidR="00EA39F2" w:rsidRPr="00EC5A92" w:rsidRDefault="00EA39F2" w:rsidP="00EA39F2">
            <w:pPr>
              <w:spacing w:after="0" w:line="240" w:lineRule="auto"/>
              <w:jc w:val="center"/>
            </w:pPr>
            <w:r w:rsidRPr="00EC5A92">
              <w:t>100 (2192)</w:t>
            </w:r>
          </w:p>
        </w:tc>
        <w:tc>
          <w:tcPr>
            <w:tcW w:w="830" w:type="dxa"/>
            <w:tcBorders>
              <w:top w:val="nil"/>
              <w:bottom w:val="single" w:sz="4" w:space="0" w:color="auto"/>
            </w:tcBorders>
          </w:tcPr>
          <w:p w14:paraId="3C01B622" w14:textId="35B2F612" w:rsidR="00EA39F2" w:rsidRPr="00EC5A92" w:rsidRDefault="00EA39F2" w:rsidP="00EA39F2">
            <w:pPr>
              <w:spacing w:after="0" w:line="240" w:lineRule="auto"/>
              <w:jc w:val="center"/>
            </w:pPr>
            <w:r w:rsidRPr="00EC5A92">
              <w:t>-</w:t>
            </w:r>
          </w:p>
        </w:tc>
      </w:tr>
    </w:tbl>
    <w:p w14:paraId="0231B37A" w14:textId="070A8F6A" w:rsidR="008D19E6" w:rsidRDefault="00E264C9" w:rsidP="00E264C9">
      <w:pPr>
        <w:spacing w:after="0" w:line="240" w:lineRule="auto"/>
      </w:pPr>
      <w:r>
        <w:t>BMI = body mass index; SD = standard deviation.</w:t>
      </w:r>
      <w:r w:rsidR="008D19E6">
        <w:t xml:space="preserve"> </w:t>
      </w:r>
    </w:p>
    <w:p w14:paraId="74870B49" w14:textId="0BEF9B9E" w:rsidR="00E264C9" w:rsidRDefault="00E264C9" w:rsidP="00E264C9">
      <w:pPr>
        <w:spacing w:after="0" w:line="240" w:lineRule="auto"/>
      </w:pPr>
      <w:r w:rsidRPr="003E2ED1">
        <w:rPr>
          <w:vertAlign w:val="superscript"/>
        </w:rPr>
        <w:t xml:space="preserve">1 </w:t>
      </w:r>
      <w:r>
        <w:t>Complete data on all health variables at baseline was not a prerequisite for inclusion, so there was a small amount of missing data across these variables. Valid percentages are presented for ease of interpretation</w:t>
      </w:r>
      <w:bookmarkEnd w:id="1"/>
      <w:r>
        <w:t>.</w:t>
      </w:r>
      <w:r>
        <w:br w:type="page"/>
      </w:r>
    </w:p>
    <w:tbl>
      <w:tblPr>
        <w:tblStyle w:val="TableGrid"/>
        <w:tblW w:w="14528"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80"/>
        <w:gridCol w:w="2490"/>
        <w:gridCol w:w="1483"/>
        <w:gridCol w:w="1705"/>
        <w:gridCol w:w="1713"/>
        <w:gridCol w:w="238"/>
        <w:gridCol w:w="1305"/>
        <w:gridCol w:w="1673"/>
        <w:gridCol w:w="236"/>
        <w:gridCol w:w="1704"/>
        <w:gridCol w:w="1701"/>
      </w:tblGrid>
      <w:tr w:rsidR="006F1135" w14:paraId="77278C92" w14:textId="77777777" w:rsidTr="00726BC2">
        <w:tc>
          <w:tcPr>
            <w:tcW w:w="14528" w:type="dxa"/>
            <w:gridSpan w:val="11"/>
            <w:tcBorders>
              <w:top w:val="nil"/>
              <w:bottom w:val="single" w:sz="4" w:space="0" w:color="auto"/>
            </w:tcBorders>
          </w:tcPr>
          <w:p w14:paraId="6B5D58E0" w14:textId="77777777" w:rsidR="006F1135" w:rsidRPr="001A457F" w:rsidRDefault="006F1135" w:rsidP="00F644EA">
            <w:pPr>
              <w:spacing w:after="0" w:line="240" w:lineRule="auto"/>
              <w:rPr>
                <w:b/>
              </w:rPr>
            </w:pPr>
            <w:bookmarkStart w:id="2" w:name="_Hlk3581017"/>
            <w:r w:rsidRPr="001A457F">
              <w:rPr>
                <w:b/>
              </w:rPr>
              <w:lastRenderedPageBreak/>
              <w:t xml:space="preserve">Table </w:t>
            </w:r>
            <w:r>
              <w:rPr>
                <w:b/>
              </w:rPr>
              <w:t>2.</w:t>
            </w:r>
            <w:r w:rsidRPr="001A457F">
              <w:t xml:space="preserve"> Main effects of smoking status and physical activity and the interaction between smoking status and physical activity for risks of incident health problems over 12-year follow-up</w:t>
            </w:r>
          </w:p>
        </w:tc>
      </w:tr>
      <w:tr w:rsidR="006F1135" w14:paraId="4F912A88" w14:textId="77777777" w:rsidTr="00726BC2">
        <w:trPr>
          <w:trHeight w:val="84"/>
        </w:trPr>
        <w:tc>
          <w:tcPr>
            <w:tcW w:w="2770" w:type="dxa"/>
            <w:gridSpan w:val="2"/>
            <w:tcBorders>
              <w:top w:val="nil"/>
              <w:bottom w:val="nil"/>
              <w:right w:val="nil"/>
            </w:tcBorders>
          </w:tcPr>
          <w:p w14:paraId="4348BF57" w14:textId="77777777" w:rsidR="006F1135" w:rsidRDefault="006F1135" w:rsidP="00F644EA">
            <w:pPr>
              <w:spacing w:after="0" w:line="240" w:lineRule="auto"/>
            </w:pPr>
          </w:p>
        </w:tc>
        <w:tc>
          <w:tcPr>
            <w:tcW w:w="4901" w:type="dxa"/>
            <w:gridSpan w:val="3"/>
            <w:tcBorders>
              <w:top w:val="single" w:sz="4" w:space="0" w:color="auto"/>
              <w:left w:val="nil"/>
              <w:bottom w:val="single" w:sz="4" w:space="0" w:color="auto"/>
              <w:right w:val="nil"/>
            </w:tcBorders>
          </w:tcPr>
          <w:p w14:paraId="58E141A6" w14:textId="77777777" w:rsidR="006F1135" w:rsidRDefault="006F1135" w:rsidP="00F644EA">
            <w:pPr>
              <w:spacing w:after="0" w:line="240" w:lineRule="auto"/>
              <w:jc w:val="center"/>
            </w:pPr>
            <w:r>
              <w:t>Smoking status</w:t>
            </w:r>
          </w:p>
        </w:tc>
        <w:tc>
          <w:tcPr>
            <w:tcW w:w="238" w:type="dxa"/>
            <w:tcBorders>
              <w:top w:val="nil"/>
              <w:left w:val="nil"/>
              <w:bottom w:val="nil"/>
              <w:right w:val="nil"/>
            </w:tcBorders>
          </w:tcPr>
          <w:p w14:paraId="54A05D5D" w14:textId="77777777" w:rsidR="006F1135" w:rsidRDefault="006F1135" w:rsidP="00F644EA">
            <w:pPr>
              <w:spacing w:after="0" w:line="240" w:lineRule="auto"/>
              <w:jc w:val="center"/>
            </w:pPr>
          </w:p>
        </w:tc>
        <w:tc>
          <w:tcPr>
            <w:tcW w:w="2978" w:type="dxa"/>
            <w:gridSpan w:val="2"/>
            <w:tcBorders>
              <w:top w:val="single" w:sz="4" w:space="0" w:color="auto"/>
              <w:left w:val="nil"/>
              <w:bottom w:val="single" w:sz="4" w:space="0" w:color="auto"/>
              <w:right w:val="nil"/>
            </w:tcBorders>
          </w:tcPr>
          <w:p w14:paraId="272A8D62" w14:textId="77777777" w:rsidR="006F1135" w:rsidRDefault="006F1135" w:rsidP="00F644EA">
            <w:pPr>
              <w:spacing w:after="0" w:line="240" w:lineRule="auto"/>
              <w:jc w:val="center"/>
            </w:pPr>
            <w:r>
              <w:t>Physical activity</w:t>
            </w:r>
          </w:p>
        </w:tc>
        <w:tc>
          <w:tcPr>
            <w:tcW w:w="236" w:type="dxa"/>
            <w:tcBorders>
              <w:top w:val="nil"/>
              <w:left w:val="nil"/>
              <w:bottom w:val="nil"/>
              <w:right w:val="nil"/>
            </w:tcBorders>
          </w:tcPr>
          <w:p w14:paraId="267E9EDA" w14:textId="77777777" w:rsidR="006F1135" w:rsidRDefault="006F1135" w:rsidP="00F644EA">
            <w:pPr>
              <w:spacing w:after="0" w:line="240" w:lineRule="auto"/>
              <w:jc w:val="center"/>
              <w:rPr>
                <w:i/>
              </w:rPr>
            </w:pPr>
          </w:p>
        </w:tc>
        <w:tc>
          <w:tcPr>
            <w:tcW w:w="3405" w:type="dxa"/>
            <w:gridSpan w:val="2"/>
            <w:tcBorders>
              <w:top w:val="nil"/>
              <w:left w:val="nil"/>
              <w:bottom w:val="single" w:sz="4" w:space="0" w:color="auto"/>
              <w:right w:val="nil"/>
            </w:tcBorders>
          </w:tcPr>
          <w:p w14:paraId="62A0D827" w14:textId="6279CA4E" w:rsidR="006F1135" w:rsidRPr="0031024E" w:rsidRDefault="006F1135" w:rsidP="00F644EA">
            <w:pPr>
              <w:spacing w:after="0" w:line="240" w:lineRule="auto"/>
              <w:jc w:val="center"/>
            </w:pPr>
            <w:r w:rsidRPr="0031024E">
              <w:t>Interaction</w:t>
            </w:r>
            <w:r w:rsidR="00F644EA" w:rsidRPr="00F644EA">
              <w:rPr>
                <w:vertAlign w:val="superscript"/>
              </w:rPr>
              <w:t>1</w:t>
            </w:r>
          </w:p>
        </w:tc>
      </w:tr>
      <w:tr w:rsidR="006F1135" w14:paraId="3E69C4CF" w14:textId="77777777" w:rsidTr="00726BC2">
        <w:tc>
          <w:tcPr>
            <w:tcW w:w="2770" w:type="dxa"/>
            <w:gridSpan w:val="2"/>
            <w:tcBorders>
              <w:top w:val="nil"/>
              <w:bottom w:val="single" w:sz="4" w:space="0" w:color="auto"/>
              <w:right w:val="nil"/>
            </w:tcBorders>
            <w:vAlign w:val="center"/>
          </w:tcPr>
          <w:p w14:paraId="0F197F7F" w14:textId="77777777" w:rsidR="006F1135" w:rsidRDefault="006F1135" w:rsidP="00F644EA">
            <w:pPr>
              <w:spacing w:after="0" w:line="240" w:lineRule="auto"/>
              <w:jc w:val="center"/>
            </w:pPr>
          </w:p>
        </w:tc>
        <w:tc>
          <w:tcPr>
            <w:tcW w:w="1483" w:type="dxa"/>
            <w:tcBorders>
              <w:top w:val="single" w:sz="4" w:space="0" w:color="auto"/>
              <w:left w:val="nil"/>
              <w:bottom w:val="single" w:sz="4" w:space="0" w:color="auto"/>
              <w:right w:val="nil"/>
            </w:tcBorders>
            <w:vAlign w:val="center"/>
          </w:tcPr>
          <w:p w14:paraId="603CE7AD" w14:textId="77777777" w:rsidR="006F1135" w:rsidRDefault="006F1135" w:rsidP="00F644EA">
            <w:pPr>
              <w:spacing w:after="0" w:line="240" w:lineRule="auto"/>
              <w:jc w:val="center"/>
            </w:pPr>
            <w:r>
              <w:t>Never smoker</w:t>
            </w:r>
          </w:p>
        </w:tc>
        <w:tc>
          <w:tcPr>
            <w:tcW w:w="1705" w:type="dxa"/>
            <w:tcBorders>
              <w:top w:val="single" w:sz="4" w:space="0" w:color="auto"/>
              <w:left w:val="nil"/>
              <w:bottom w:val="single" w:sz="4" w:space="0" w:color="auto"/>
              <w:right w:val="nil"/>
            </w:tcBorders>
            <w:vAlign w:val="center"/>
          </w:tcPr>
          <w:p w14:paraId="1B90CF10" w14:textId="77777777" w:rsidR="006F1135" w:rsidRDefault="006F1135" w:rsidP="00F644EA">
            <w:pPr>
              <w:spacing w:after="0" w:line="240" w:lineRule="auto"/>
              <w:jc w:val="center"/>
            </w:pPr>
            <w:r>
              <w:t>Former smoker</w:t>
            </w:r>
          </w:p>
        </w:tc>
        <w:tc>
          <w:tcPr>
            <w:tcW w:w="1713" w:type="dxa"/>
            <w:tcBorders>
              <w:top w:val="single" w:sz="4" w:space="0" w:color="auto"/>
              <w:left w:val="nil"/>
              <w:bottom w:val="single" w:sz="4" w:space="0" w:color="auto"/>
              <w:right w:val="nil"/>
            </w:tcBorders>
            <w:vAlign w:val="center"/>
          </w:tcPr>
          <w:p w14:paraId="1D644BEB" w14:textId="77777777" w:rsidR="006F1135" w:rsidRDefault="006F1135" w:rsidP="00F644EA">
            <w:pPr>
              <w:spacing w:after="0" w:line="240" w:lineRule="auto"/>
              <w:jc w:val="center"/>
            </w:pPr>
            <w:r>
              <w:t>Current smoker</w:t>
            </w:r>
          </w:p>
        </w:tc>
        <w:tc>
          <w:tcPr>
            <w:tcW w:w="238" w:type="dxa"/>
            <w:tcBorders>
              <w:top w:val="nil"/>
              <w:left w:val="nil"/>
              <w:bottom w:val="single" w:sz="4" w:space="0" w:color="auto"/>
              <w:right w:val="nil"/>
            </w:tcBorders>
            <w:vAlign w:val="center"/>
          </w:tcPr>
          <w:p w14:paraId="2BC12534" w14:textId="77777777" w:rsidR="006F1135" w:rsidRDefault="006F1135" w:rsidP="00F644EA">
            <w:pPr>
              <w:spacing w:after="0" w:line="240" w:lineRule="auto"/>
              <w:jc w:val="center"/>
            </w:pPr>
          </w:p>
        </w:tc>
        <w:tc>
          <w:tcPr>
            <w:tcW w:w="1305" w:type="dxa"/>
            <w:tcBorders>
              <w:top w:val="single" w:sz="4" w:space="0" w:color="auto"/>
              <w:left w:val="nil"/>
              <w:bottom w:val="single" w:sz="4" w:space="0" w:color="auto"/>
              <w:right w:val="nil"/>
            </w:tcBorders>
            <w:vAlign w:val="center"/>
          </w:tcPr>
          <w:p w14:paraId="2BBD0386" w14:textId="77777777" w:rsidR="006F1135" w:rsidRDefault="006F1135" w:rsidP="00F644EA">
            <w:pPr>
              <w:spacing w:after="0" w:line="240" w:lineRule="auto"/>
              <w:jc w:val="center"/>
            </w:pPr>
            <w:r>
              <w:t>High active</w:t>
            </w:r>
          </w:p>
        </w:tc>
        <w:tc>
          <w:tcPr>
            <w:tcW w:w="1673" w:type="dxa"/>
            <w:tcBorders>
              <w:top w:val="single" w:sz="4" w:space="0" w:color="auto"/>
              <w:left w:val="nil"/>
              <w:bottom w:val="single" w:sz="4" w:space="0" w:color="auto"/>
              <w:right w:val="nil"/>
            </w:tcBorders>
            <w:vAlign w:val="center"/>
          </w:tcPr>
          <w:p w14:paraId="0D3CF809" w14:textId="77777777" w:rsidR="006F1135" w:rsidRDefault="006F1135" w:rsidP="00F644EA">
            <w:pPr>
              <w:spacing w:after="0" w:line="240" w:lineRule="auto"/>
              <w:jc w:val="center"/>
            </w:pPr>
            <w:r>
              <w:t>Low active</w:t>
            </w:r>
          </w:p>
        </w:tc>
        <w:tc>
          <w:tcPr>
            <w:tcW w:w="236" w:type="dxa"/>
            <w:tcBorders>
              <w:top w:val="nil"/>
              <w:left w:val="nil"/>
              <w:bottom w:val="single" w:sz="4" w:space="0" w:color="auto"/>
              <w:right w:val="nil"/>
            </w:tcBorders>
            <w:vAlign w:val="center"/>
          </w:tcPr>
          <w:p w14:paraId="77042844" w14:textId="77777777" w:rsidR="006F1135" w:rsidRDefault="006F1135" w:rsidP="00F644EA">
            <w:pPr>
              <w:spacing w:after="0" w:line="240" w:lineRule="auto"/>
              <w:jc w:val="center"/>
              <w:rPr>
                <w:i/>
              </w:rPr>
            </w:pPr>
          </w:p>
        </w:tc>
        <w:tc>
          <w:tcPr>
            <w:tcW w:w="1704" w:type="dxa"/>
            <w:tcBorders>
              <w:top w:val="single" w:sz="4" w:space="0" w:color="auto"/>
              <w:left w:val="nil"/>
              <w:bottom w:val="single" w:sz="4" w:space="0" w:color="auto"/>
              <w:right w:val="nil"/>
            </w:tcBorders>
            <w:vAlign w:val="center"/>
          </w:tcPr>
          <w:p w14:paraId="75899EFA" w14:textId="77777777" w:rsidR="006F1135" w:rsidRPr="00AE26E1" w:rsidRDefault="006F1135" w:rsidP="00F644EA">
            <w:pPr>
              <w:spacing w:after="0" w:line="240" w:lineRule="auto"/>
              <w:jc w:val="center"/>
              <w:rPr>
                <w:i/>
              </w:rPr>
            </w:pPr>
            <w:r>
              <w:t>Former smoker x low active</w:t>
            </w:r>
          </w:p>
        </w:tc>
        <w:tc>
          <w:tcPr>
            <w:tcW w:w="1701" w:type="dxa"/>
            <w:tcBorders>
              <w:top w:val="single" w:sz="4" w:space="0" w:color="auto"/>
              <w:left w:val="nil"/>
              <w:bottom w:val="single" w:sz="4" w:space="0" w:color="auto"/>
              <w:right w:val="nil"/>
            </w:tcBorders>
            <w:vAlign w:val="center"/>
          </w:tcPr>
          <w:p w14:paraId="3BA4DAC6" w14:textId="77777777" w:rsidR="006F1135" w:rsidRPr="00AE26E1" w:rsidRDefault="006F1135" w:rsidP="00F644EA">
            <w:pPr>
              <w:spacing w:after="0" w:line="240" w:lineRule="auto"/>
              <w:jc w:val="center"/>
              <w:rPr>
                <w:i/>
              </w:rPr>
            </w:pPr>
            <w:r>
              <w:t>Current smoker x low active</w:t>
            </w:r>
          </w:p>
        </w:tc>
      </w:tr>
      <w:tr w:rsidR="006F1135" w14:paraId="063F9FBC" w14:textId="77777777" w:rsidTr="00726BC2">
        <w:tc>
          <w:tcPr>
            <w:tcW w:w="2770" w:type="dxa"/>
            <w:gridSpan w:val="2"/>
            <w:tcBorders>
              <w:bottom w:val="nil"/>
            </w:tcBorders>
          </w:tcPr>
          <w:p w14:paraId="7AAFFBBB" w14:textId="77777777" w:rsidR="006F1135" w:rsidRDefault="006F1135" w:rsidP="00F644EA">
            <w:pPr>
              <w:spacing w:after="0" w:line="240" w:lineRule="auto"/>
            </w:pPr>
            <w:r>
              <w:t>Fair/poor self-rated health</w:t>
            </w:r>
          </w:p>
        </w:tc>
        <w:tc>
          <w:tcPr>
            <w:tcW w:w="1483" w:type="dxa"/>
            <w:tcBorders>
              <w:bottom w:val="nil"/>
            </w:tcBorders>
          </w:tcPr>
          <w:p w14:paraId="4C594086" w14:textId="77777777" w:rsidR="006F1135" w:rsidRDefault="006F1135" w:rsidP="00F644EA">
            <w:pPr>
              <w:spacing w:after="0" w:line="240" w:lineRule="auto"/>
            </w:pPr>
          </w:p>
        </w:tc>
        <w:tc>
          <w:tcPr>
            <w:tcW w:w="1705" w:type="dxa"/>
            <w:tcBorders>
              <w:bottom w:val="nil"/>
            </w:tcBorders>
          </w:tcPr>
          <w:p w14:paraId="170D3DCF" w14:textId="77777777" w:rsidR="006F1135" w:rsidRDefault="006F1135" w:rsidP="00F644EA">
            <w:pPr>
              <w:spacing w:after="0" w:line="240" w:lineRule="auto"/>
            </w:pPr>
          </w:p>
        </w:tc>
        <w:tc>
          <w:tcPr>
            <w:tcW w:w="1713" w:type="dxa"/>
            <w:tcBorders>
              <w:bottom w:val="nil"/>
            </w:tcBorders>
          </w:tcPr>
          <w:p w14:paraId="7208DB9A" w14:textId="77777777" w:rsidR="006F1135" w:rsidRDefault="006F1135" w:rsidP="00F644EA">
            <w:pPr>
              <w:spacing w:after="0" w:line="240" w:lineRule="auto"/>
            </w:pPr>
          </w:p>
        </w:tc>
        <w:tc>
          <w:tcPr>
            <w:tcW w:w="238" w:type="dxa"/>
            <w:tcBorders>
              <w:bottom w:val="nil"/>
            </w:tcBorders>
          </w:tcPr>
          <w:p w14:paraId="58DDA5FE" w14:textId="77777777" w:rsidR="006F1135" w:rsidRDefault="006F1135" w:rsidP="00F644EA">
            <w:pPr>
              <w:spacing w:after="0" w:line="240" w:lineRule="auto"/>
            </w:pPr>
          </w:p>
        </w:tc>
        <w:tc>
          <w:tcPr>
            <w:tcW w:w="1305" w:type="dxa"/>
            <w:tcBorders>
              <w:bottom w:val="nil"/>
            </w:tcBorders>
          </w:tcPr>
          <w:p w14:paraId="4A35F5A3" w14:textId="77777777" w:rsidR="006F1135" w:rsidRDefault="006F1135" w:rsidP="00F644EA">
            <w:pPr>
              <w:spacing w:after="0" w:line="240" w:lineRule="auto"/>
            </w:pPr>
          </w:p>
        </w:tc>
        <w:tc>
          <w:tcPr>
            <w:tcW w:w="1673" w:type="dxa"/>
            <w:tcBorders>
              <w:bottom w:val="nil"/>
            </w:tcBorders>
          </w:tcPr>
          <w:p w14:paraId="131D4B6E" w14:textId="77777777" w:rsidR="006F1135" w:rsidRDefault="006F1135" w:rsidP="00F644EA">
            <w:pPr>
              <w:spacing w:after="0" w:line="240" w:lineRule="auto"/>
            </w:pPr>
          </w:p>
        </w:tc>
        <w:tc>
          <w:tcPr>
            <w:tcW w:w="236" w:type="dxa"/>
            <w:tcBorders>
              <w:bottom w:val="nil"/>
            </w:tcBorders>
          </w:tcPr>
          <w:p w14:paraId="65E36CF0" w14:textId="77777777" w:rsidR="006F1135" w:rsidRDefault="006F1135" w:rsidP="00F644EA">
            <w:pPr>
              <w:spacing w:after="0" w:line="240" w:lineRule="auto"/>
            </w:pPr>
          </w:p>
        </w:tc>
        <w:tc>
          <w:tcPr>
            <w:tcW w:w="1704" w:type="dxa"/>
            <w:tcBorders>
              <w:bottom w:val="nil"/>
            </w:tcBorders>
          </w:tcPr>
          <w:p w14:paraId="60D712F2" w14:textId="77777777" w:rsidR="006F1135" w:rsidRDefault="006F1135" w:rsidP="00F644EA">
            <w:pPr>
              <w:spacing w:after="0" w:line="240" w:lineRule="auto"/>
            </w:pPr>
          </w:p>
        </w:tc>
        <w:tc>
          <w:tcPr>
            <w:tcW w:w="1701" w:type="dxa"/>
            <w:tcBorders>
              <w:bottom w:val="nil"/>
            </w:tcBorders>
          </w:tcPr>
          <w:p w14:paraId="35FEAD00" w14:textId="77777777" w:rsidR="006F1135" w:rsidRDefault="006F1135" w:rsidP="00F644EA">
            <w:pPr>
              <w:spacing w:after="0" w:line="240" w:lineRule="auto"/>
            </w:pPr>
          </w:p>
        </w:tc>
      </w:tr>
      <w:tr w:rsidR="006F1135" w14:paraId="25E66DED" w14:textId="77777777" w:rsidTr="00726BC2">
        <w:tc>
          <w:tcPr>
            <w:tcW w:w="280" w:type="dxa"/>
            <w:tcBorders>
              <w:top w:val="nil"/>
              <w:bottom w:val="nil"/>
            </w:tcBorders>
          </w:tcPr>
          <w:p w14:paraId="51DFB4C1" w14:textId="77777777" w:rsidR="006F1135" w:rsidRDefault="006F1135" w:rsidP="00F644EA">
            <w:pPr>
              <w:spacing w:after="0" w:line="240" w:lineRule="auto"/>
            </w:pPr>
          </w:p>
        </w:tc>
        <w:tc>
          <w:tcPr>
            <w:tcW w:w="2490" w:type="dxa"/>
            <w:tcBorders>
              <w:top w:val="nil"/>
            </w:tcBorders>
          </w:tcPr>
          <w:p w14:paraId="0E263891" w14:textId="77777777" w:rsidR="006F1135" w:rsidRDefault="006F1135" w:rsidP="00F644EA">
            <w:pPr>
              <w:spacing w:after="0" w:line="240" w:lineRule="auto"/>
            </w:pPr>
            <w:r>
              <w:t>% (</w:t>
            </w:r>
            <w:r w:rsidRPr="00DA1594">
              <w:rPr>
                <w:i/>
              </w:rPr>
              <w:t>n</w:t>
            </w:r>
            <w:r>
              <w:t>)</w:t>
            </w:r>
          </w:p>
        </w:tc>
        <w:tc>
          <w:tcPr>
            <w:tcW w:w="1483" w:type="dxa"/>
            <w:tcBorders>
              <w:top w:val="nil"/>
            </w:tcBorders>
          </w:tcPr>
          <w:p w14:paraId="6B54CE17" w14:textId="2D771E1B" w:rsidR="006F1135" w:rsidRDefault="006F1135" w:rsidP="00F644EA">
            <w:pPr>
              <w:spacing w:after="0" w:line="240" w:lineRule="auto"/>
              <w:jc w:val="center"/>
            </w:pPr>
            <w:r>
              <w:t>40.9</w:t>
            </w:r>
            <w:r w:rsidR="005733B1">
              <w:t xml:space="preserve"> (529)</w:t>
            </w:r>
          </w:p>
        </w:tc>
        <w:tc>
          <w:tcPr>
            <w:tcW w:w="1705" w:type="dxa"/>
            <w:tcBorders>
              <w:top w:val="nil"/>
            </w:tcBorders>
          </w:tcPr>
          <w:p w14:paraId="2F734A22" w14:textId="5526FE14" w:rsidR="006F1135" w:rsidRDefault="006F1135" w:rsidP="00F644EA">
            <w:pPr>
              <w:spacing w:after="0" w:line="240" w:lineRule="auto"/>
              <w:jc w:val="center"/>
            </w:pPr>
            <w:r>
              <w:t>49.0</w:t>
            </w:r>
            <w:r w:rsidR="005733B1">
              <w:t xml:space="preserve"> (744)</w:t>
            </w:r>
          </w:p>
        </w:tc>
        <w:tc>
          <w:tcPr>
            <w:tcW w:w="1713" w:type="dxa"/>
            <w:tcBorders>
              <w:top w:val="nil"/>
            </w:tcBorders>
          </w:tcPr>
          <w:p w14:paraId="74EFC4E7" w14:textId="787BDC03" w:rsidR="006F1135" w:rsidRDefault="006F1135" w:rsidP="00F644EA">
            <w:pPr>
              <w:spacing w:after="0" w:line="240" w:lineRule="auto"/>
              <w:jc w:val="center"/>
            </w:pPr>
            <w:r>
              <w:t>59.2</w:t>
            </w:r>
            <w:r w:rsidR="005733B1">
              <w:t xml:space="preserve"> (225)</w:t>
            </w:r>
          </w:p>
        </w:tc>
        <w:tc>
          <w:tcPr>
            <w:tcW w:w="238" w:type="dxa"/>
            <w:tcBorders>
              <w:top w:val="nil"/>
            </w:tcBorders>
          </w:tcPr>
          <w:p w14:paraId="2D61C7DB" w14:textId="77777777" w:rsidR="006F1135" w:rsidRDefault="006F1135" w:rsidP="00F644EA">
            <w:pPr>
              <w:spacing w:after="0" w:line="240" w:lineRule="auto"/>
              <w:jc w:val="center"/>
            </w:pPr>
          </w:p>
        </w:tc>
        <w:tc>
          <w:tcPr>
            <w:tcW w:w="1305" w:type="dxa"/>
            <w:tcBorders>
              <w:top w:val="nil"/>
            </w:tcBorders>
          </w:tcPr>
          <w:p w14:paraId="1B3CF2CE" w14:textId="194467FC" w:rsidR="006F1135" w:rsidRDefault="006F1135" w:rsidP="00F644EA">
            <w:pPr>
              <w:spacing w:after="0" w:line="240" w:lineRule="auto"/>
              <w:jc w:val="center"/>
            </w:pPr>
            <w:r>
              <w:t>42.3</w:t>
            </w:r>
            <w:r w:rsidR="005733B1">
              <w:t xml:space="preserve"> (999)</w:t>
            </w:r>
          </w:p>
        </w:tc>
        <w:tc>
          <w:tcPr>
            <w:tcW w:w="1673" w:type="dxa"/>
            <w:tcBorders>
              <w:top w:val="nil"/>
            </w:tcBorders>
          </w:tcPr>
          <w:p w14:paraId="0C3B7EF0" w14:textId="4C8C63A2" w:rsidR="006F1135" w:rsidRDefault="006F1135" w:rsidP="00F644EA">
            <w:pPr>
              <w:spacing w:after="0" w:line="240" w:lineRule="auto"/>
              <w:jc w:val="center"/>
            </w:pPr>
            <w:r>
              <w:t>60.0</w:t>
            </w:r>
            <w:r w:rsidR="005733B1">
              <w:t xml:space="preserve"> (499)</w:t>
            </w:r>
          </w:p>
        </w:tc>
        <w:tc>
          <w:tcPr>
            <w:tcW w:w="236" w:type="dxa"/>
            <w:tcBorders>
              <w:top w:val="nil"/>
            </w:tcBorders>
          </w:tcPr>
          <w:p w14:paraId="61817635" w14:textId="77777777" w:rsidR="006F1135" w:rsidRDefault="006F1135" w:rsidP="00F644EA">
            <w:pPr>
              <w:spacing w:after="0" w:line="240" w:lineRule="auto"/>
              <w:jc w:val="center"/>
            </w:pPr>
          </w:p>
        </w:tc>
        <w:tc>
          <w:tcPr>
            <w:tcW w:w="1704" w:type="dxa"/>
            <w:tcBorders>
              <w:top w:val="nil"/>
            </w:tcBorders>
            <w:vAlign w:val="center"/>
          </w:tcPr>
          <w:p w14:paraId="3EA0B1DC" w14:textId="77777777" w:rsidR="006F1135" w:rsidRDefault="006F1135" w:rsidP="00F644EA">
            <w:pPr>
              <w:spacing w:after="0" w:line="240" w:lineRule="auto"/>
              <w:jc w:val="center"/>
            </w:pPr>
            <w:r>
              <w:t>-</w:t>
            </w:r>
          </w:p>
        </w:tc>
        <w:tc>
          <w:tcPr>
            <w:tcW w:w="1701" w:type="dxa"/>
            <w:tcBorders>
              <w:top w:val="nil"/>
            </w:tcBorders>
            <w:vAlign w:val="center"/>
          </w:tcPr>
          <w:p w14:paraId="35D42043" w14:textId="77777777" w:rsidR="006F1135" w:rsidRDefault="006F1135" w:rsidP="00F644EA">
            <w:pPr>
              <w:spacing w:after="0" w:line="240" w:lineRule="auto"/>
              <w:jc w:val="center"/>
            </w:pPr>
            <w:r>
              <w:t>-</w:t>
            </w:r>
          </w:p>
        </w:tc>
      </w:tr>
      <w:tr w:rsidR="006F1135" w14:paraId="39684CAD" w14:textId="77777777" w:rsidTr="00726BC2">
        <w:tc>
          <w:tcPr>
            <w:tcW w:w="280" w:type="dxa"/>
            <w:tcBorders>
              <w:top w:val="nil"/>
              <w:bottom w:val="nil"/>
            </w:tcBorders>
          </w:tcPr>
          <w:p w14:paraId="1413F0CC" w14:textId="77777777" w:rsidR="006F1135" w:rsidRDefault="006F1135" w:rsidP="00F644EA">
            <w:pPr>
              <w:spacing w:after="0" w:line="240" w:lineRule="auto"/>
            </w:pPr>
          </w:p>
        </w:tc>
        <w:tc>
          <w:tcPr>
            <w:tcW w:w="2490" w:type="dxa"/>
          </w:tcPr>
          <w:p w14:paraId="5C097176" w14:textId="77777777" w:rsidR="006F1135" w:rsidRDefault="006F1135" w:rsidP="00F644EA">
            <w:pPr>
              <w:spacing w:after="0" w:line="240" w:lineRule="auto"/>
            </w:pPr>
            <w:r>
              <w:t>RR [95% CI]</w:t>
            </w:r>
          </w:p>
          <w:p w14:paraId="7152B446" w14:textId="77777777" w:rsidR="006F1135" w:rsidRPr="00E6027F" w:rsidRDefault="006F1135" w:rsidP="00F644EA">
            <w:pPr>
              <w:spacing w:after="0" w:line="240" w:lineRule="auto"/>
              <w:rPr>
                <w:i/>
              </w:rPr>
            </w:pPr>
            <w:r>
              <w:rPr>
                <w:i/>
              </w:rPr>
              <w:t>p</w:t>
            </w:r>
          </w:p>
        </w:tc>
        <w:tc>
          <w:tcPr>
            <w:tcW w:w="1483" w:type="dxa"/>
          </w:tcPr>
          <w:p w14:paraId="0CDADDAA" w14:textId="77777777" w:rsidR="006F1135" w:rsidRDefault="006F1135" w:rsidP="00F644EA">
            <w:pPr>
              <w:spacing w:after="0" w:line="240" w:lineRule="auto"/>
              <w:jc w:val="center"/>
            </w:pPr>
            <w:r>
              <w:t>1</w:t>
            </w:r>
          </w:p>
        </w:tc>
        <w:tc>
          <w:tcPr>
            <w:tcW w:w="1705" w:type="dxa"/>
          </w:tcPr>
          <w:p w14:paraId="43767C87" w14:textId="77777777" w:rsidR="006F1135" w:rsidRDefault="006F1135" w:rsidP="00F644EA">
            <w:pPr>
              <w:spacing w:after="0" w:line="240" w:lineRule="auto"/>
              <w:jc w:val="center"/>
            </w:pPr>
            <w:r>
              <w:t>1.20 [1.05-1.37]</w:t>
            </w:r>
          </w:p>
          <w:p w14:paraId="3394229B" w14:textId="77777777" w:rsidR="006F1135" w:rsidRDefault="006F1135" w:rsidP="00F644EA">
            <w:pPr>
              <w:spacing w:after="0" w:line="240" w:lineRule="auto"/>
              <w:jc w:val="center"/>
            </w:pPr>
            <w:r>
              <w:t>0.008</w:t>
            </w:r>
          </w:p>
        </w:tc>
        <w:tc>
          <w:tcPr>
            <w:tcW w:w="1713" w:type="dxa"/>
          </w:tcPr>
          <w:p w14:paraId="55006CCC" w14:textId="77777777" w:rsidR="006F1135" w:rsidRDefault="006F1135" w:rsidP="00F644EA">
            <w:pPr>
              <w:spacing w:after="0" w:line="240" w:lineRule="auto"/>
              <w:jc w:val="center"/>
            </w:pPr>
            <w:r>
              <w:t>1.45 [1.19-1.76]</w:t>
            </w:r>
          </w:p>
          <w:p w14:paraId="0C5ABBCF" w14:textId="77777777" w:rsidR="006F1135" w:rsidRDefault="006F1135" w:rsidP="00F644EA">
            <w:pPr>
              <w:spacing w:after="0" w:line="240" w:lineRule="auto"/>
              <w:jc w:val="center"/>
            </w:pPr>
            <w:r>
              <w:t>&lt;0.001</w:t>
            </w:r>
          </w:p>
        </w:tc>
        <w:tc>
          <w:tcPr>
            <w:tcW w:w="238" w:type="dxa"/>
          </w:tcPr>
          <w:p w14:paraId="0FE3A4AE" w14:textId="77777777" w:rsidR="006F1135" w:rsidRDefault="006F1135" w:rsidP="00F644EA">
            <w:pPr>
              <w:spacing w:after="0" w:line="240" w:lineRule="auto"/>
              <w:jc w:val="center"/>
            </w:pPr>
          </w:p>
        </w:tc>
        <w:tc>
          <w:tcPr>
            <w:tcW w:w="1305" w:type="dxa"/>
          </w:tcPr>
          <w:p w14:paraId="2B316EB2" w14:textId="77777777" w:rsidR="006F1135" w:rsidRDefault="006F1135" w:rsidP="00F644EA">
            <w:pPr>
              <w:spacing w:after="0" w:line="240" w:lineRule="auto"/>
              <w:jc w:val="center"/>
            </w:pPr>
            <w:r>
              <w:t>1</w:t>
            </w:r>
          </w:p>
        </w:tc>
        <w:tc>
          <w:tcPr>
            <w:tcW w:w="1673" w:type="dxa"/>
          </w:tcPr>
          <w:p w14:paraId="22706115" w14:textId="77777777" w:rsidR="006F1135" w:rsidRDefault="006F1135" w:rsidP="00F644EA">
            <w:pPr>
              <w:spacing w:after="0" w:line="240" w:lineRule="auto"/>
              <w:jc w:val="center"/>
            </w:pPr>
            <w:r>
              <w:t>1.42 [1.24-1.62]</w:t>
            </w:r>
          </w:p>
          <w:p w14:paraId="4C4921DE" w14:textId="77777777" w:rsidR="006F1135" w:rsidRDefault="006F1135" w:rsidP="00F644EA">
            <w:pPr>
              <w:spacing w:after="0" w:line="240" w:lineRule="auto"/>
              <w:jc w:val="center"/>
            </w:pPr>
            <w:r>
              <w:t>&lt;0.001</w:t>
            </w:r>
          </w:p>
        </w:tc>
        <w:tc>
          <w:tcPr>
            <w:tcW w:w="236" w:type="dxa"/>
          </w:tcPr>
          <w:p w14:paraId="2CA5272E" w14:textId="77777777" w:rsidR="006F1135" w:rsidRDefault="006F1135" w:rsidP="00F644EA">
            <w:pPr>
              <w:spacing w:after="0" w:line="240" w:lineRule="auto"/>
              <w:jc w:val="center"/>
            </w:pPr>
          </w:p>
        </w:tc>
        <w:tc>
          <w:tcPr>
            <w:tcW w:w="1704" w:type="dxa"/>
            <w:vAlign w:val="center"/>
          </w:tcPr>
          <w:p w14:paraId="56DCC7E8" w14:textId="77777777" w:rsidR="006F1135" w:rsidRDefault="006F1135" w:rsidP="00F644EA">
            <w:pPr>
              <w:spacing w:after="0" w:line="240" w:lineRule="auto"/>
              <w:jc w:val="center"/>
            </w:pPr>
            <w:r>
              <w:t>-</w:t>
            </w:r>
          </w:p>
        </w:tc>
        <w:tc>
          <w:tcPr>
            <w:tcW w:w="1701" w:type="dxa"/>
            <w:vAlign w:val="center"/>
          </w:tcPr>
          <w:p w14:paraId="6EEDF1F6" w14:textId="77777777" w:rsidR="006F1135" w:rsidRDefault="006F1135" w:rsidP="00F644EA">
            <w:pPr>
              <w:spacing w:after="0" w:line="240" w:lineRule="auto"/>
              <w:jc w:val="center"/>
            </w:pPr>
            <w:r>
              <w:t>-</w:t>
            </w:r>
          </w:p>
        </w:tc>
      </w:tr>
      <w:tr w:rsidR="006F1135" w14:paraId="02B218FB" w14:textId="77777777" w:rsidTr="00726BC2">
        <w:tc>
          <w:tcPr>
            <w:tcW w:w="280" w:type="dxa"/>
            <w:tcBorders>
              <w:top w:val="nil"/>
            </w:tcBorders>
          </w:tcPr>
          <w:p w14:paraId="7152484F" w14:textId="77777777" w:rsidR="006F1135" w:rsidRDefault="006F1135" w:rsidP="00F644EA">
            <w:pPr>
              <w:spacing w:after="0" w:line="240" w:lineRule="auto"/>
            </w:pPr>
          </w:p>
        </w:tc>
        <w:tc>
          <w:tcPr>
            <w:tcW w:w="2490" w:type="dxa"/>
          </w:tcPr>
          <w:p w14:paraId="7CACF921" w14:textId="77777777" w:rsidR="006F1135" w:rsidRDefault="006F1135" w:rsidP="00F644EA">
            <w:pPr>
              <w:spacing w:after="0" w:line="240" w:lineRule="auto"/>
            </w:pPr>
            <w:r>
              <w:t>RR</w:t>
            </w:r>
            <w:r w:rsidRPr="009A0497">
              <w:rPr>
                <w:vertAlign w:val="subscript"/>
              </w:rPr>
              <w:t>adj</w:t>
            </w:r>
            <w:r>
              <w:t xml:space="preserve"> [95% CI]</w:t>
            </w:r>
          </w:p>
          <w:p w14:paraId="12DE5FB3" w14:textId="77777777" w:rsidR="006F1135" w:rsidRPr="00E6027F" w:rsidRDefault="006F1135" w:rsidP="00F644EA">
            <w:pPr>
              <w:spacing w:after="0" w:line="240" w:lineRule="auto"/>
              <w:rPr>
                <w:i/>
              </w:rPr>
            </w:pPr>
            <w:r>
              <w:rPr>
                <w:i/>
              </w:rPr>
              <w:t>p</w:t>
            </w:r>
          </w:p>
        </w:tc>
        <w:tc>
          <w:tcPr>
            <w:tcW w:w="1483" w:type="dxa"/>
          </w:tcPr>
          <w:p w14:paraId="780A217A" w14:textId="77777777" w:rsidR="006F1135" w:rsidRDefault="006F1135" w:rsidP="00F644EA">
            <w:pPr>
              <w:spacing w:after="0" w:line="240" w:lineRule="auto"/>
              <w:jc w:val="center"/>
            </w:pPr>
            <w:r>
              <w:t>1</w:t>
            </w:r>
          </w:p>
        </w:tc>
        <w:tc>
          <w:tcPr>
            <w:tcW w:w="1705" w:type="dxa"/>
          </w:tcPr>
          <w:p w14:paraId="37B34227" w14:textId="77777777" w:rsidR="006F1135" w:rsidRDefault="006F1135" w:rsidP="00F644EA">
            <w:pPr>
              <w:spacing w:after="0" w:line="240" w:lineRule="auto"/>
              <w:jc w:val="center"/>
            </w:pPr>
            <w:r>
              <w:t>1.14 [0.97-1.35]</w:t>
            </w:r>
          </w:p>
          <w:p w14:paraId="72FD9D51" w14:textId="77777777" w:rsidR="006F1135" w:rsidRDefault="006F1135" w:rsidP="00F644EA">
            <w:pPr>
              <w:spacing w:after="0" w:line="240" w:lineRule="auto"/>
              <w:jc w:val="center"/>
            </w:pPr>
            <w:r>
              <w:t>0.112</w:t>
            </w:r>
          </w:p>
        </w:tc>
        <w:tc>
          <w:tcPr>
            <w:tcW w:w="1713" w:type="dxa"/>
          </w:tcPr>
          <w:p w14:paraId="068933C0" w14:textId="77777777" w:rsidR="006F1135" w:rsidRDefault="006F1135" w:rsidP="00F644EA">
            <w:pPr>
              <w:spacing w:after="0" w:line="240" w:lineRule="auto"/>
              <w:jc w:val="center"/>
            </w:pPr>
            <w:r>
              <w:t>1.55 [1.22-1.99]</w:t>
            </w:r>
          </w:p>
          <w:p w14:paraId="58930206" w14:textId="77777777" w:rsidR="006F1135" w:rsidRDefault="006F1135" w:rsidP="00F644EA">
            <w:pPr>
              <w:spacing w:after="0" w:line="240" w:lineRule="auto"/>
              <w:jc w:val="center"/>
            </w:pPr>
            <w:r>
              <w:t>&lt;0.001</w:t>
            </w:r>
          </w:p>
        </w:tc>
        <w:tc>
          <w:tcPr>
            <w:tcW w:w="238" w:type="dxa"/>
          </w:tcPr>
          <w:p w14:paraId="1AC17FA4" w14:textId="77777777" w:rsidR="006F1135" w:rsidRDefault="006F1135" w:rsidP="00F644EA">
            <w:pPr>
              <w:spacing w:after="0" w:line="240" w:lineRule="auto"/>
              <w:jc w:val="center"/>
            </w:pPr>
          </w:p>
        </w:tc>
        <w:tc>
          <w:tcPr>
            <w:tcW w:w="1305" w:type="dxa"/>
          </w:tcPr>
          <w:p w14:paraId="0C4A79CB" w14:textId="77777777" w:rsidR="006F1135" w:rsidRDefault="006F1135" w:rsidP="00F644EA">
            <w:pPr>
              <w:spacing w:after="0" w:line="240" w:lineRule="auto"/>
              <w:jc w:val="center"/>
            </w:pPr>
            <w:r>
              <w:t>1</w:t>
            </w:r>
          </w:p>
        </w:tc>
        <w:tc>
          <w:tcPr>
            <w:tcW w:w="1673" w:type="dxa"/>
          </w:tcPr>
          <w:p w14:paraId="202F119A" w14:textId="77777777" w:rsidR="006F1135" w:rsidRDefault="006F1135" w:rsidP="00F644EA">
            <w:pPr>
              <w:spacing w:after="0" w:line="240" w:lineRule="auto"/>
              <w:jc w:val="center"/>
            </w:pPr>
            <w:r>
              <w:t>1.19 [0.95-1.49]</w:t>
            </w:r>
          </w:p>
          <w:p w14:paraId="48C304E8" w14:textId="77777777" w:rsidR="006F1135" w:rsidRDefault="006F1135" w:rsidP="00F644EA">
            <w:pPr>
              <w:spacing w:after="0" w:line="240" w:lineRule="auto"/>
              <w:jc w:val="center"/>
            </w:pPr>
            <w:r>
              <w:t>0.141</w:t>
            </w:r>
          </w:p>
        </w:tc>
        <w:tc>
          <w:tcPr>
            <w:tcW w:w="236" w:type="dxa"/>
          </w:tcPr>
          <w:p w14:paraId="7CA00873" w14:textId="77777777" w:rsidR="006F1135" w:rsidRDefault="006F1135" w:rsidP="00F644EA">
            <w:pPr>
              <w:spacing w:after="0" w:line="240" w:lineRule="auto"/>
              <w:jc w:val="center"/>
            </w:pPr>
          </w:p>
        </w:tc>
        <w:tc>
          <w:tcPr>
            <w:tcW w:w="1704" w:type="dxa"/>
            <w:vAlign w:val="center"/>
          </w:tcPr>
          <w:p w14:paraId="2271319E" w14:textId="77777777" w:rsidR="006F1135" w:rsidRDefault="006F1135" w:rsidP="00F644EA">
            <w:pPr>
              <w:spacing w:after="0" w:line="240" w:lineRule="auto"/>
              <w:jc w:val="center"/>
            </w:pPr>
            <w:r>
              <w:t>0.99 [0.74-1.34]</w:t>
            </w:r>
          </w:p>
          <w:p w14:paraId="6B894E64" w14:textId="77777777" w:rsidR="006F1135" w:rsidRDefault="006F1135" w:rsidP="00F644EA">
            <w:pPr>
              <w:spacing w:after="0" w:line="240" w:lineRule="auto"/>
              <w:jc w:val="center"/>
            </w:pPr>
            <w:r>
              <w:t>0.954</w:t>
            </w:r>
          </w:p>
        </w:tc>
        <w:tc>
          <w:tcPr>
            <w:tcW w:w="1701" w:type="dxa"/>
            <w:vAlign w:val="center"/>
          </w:tcPr>
          <w:p w14:paraId="0D9143EC" w14:textId="77777777" w:rsidR="006F1135" w:rsidRDefault="006F1135" w:rsidP="00F644EA">
            <w:pPr>
              <w:spacing w:after="0" w:line="240" w:lineRule="auto"/>
              <w:jc w:val="center"/>
            </w:pPr>
            <w:r>
              <w:t>1.04 [0.68-1.59]</w:t>
            </w:r>
          </w:p>
          <w:p w14:paraId="18E7764D" w14:textId="77777777" w:rsidR="006F1135" w:rsidRDefault="006F1135" w:rsidP="00F644EA">
            <w:pPr>
              <w:spacing w:after="0" w:line="240" w:lineRule="auto"/>
              <w:jc w:val="center"/>
            </w:pPr>
            <w:r>
              <w:t>0.846</w:t>
            </w:r>
          </w:p>
        </w:tc>
      </w:tr>
      <w:tr w:rsidR="006F1135" w14:paraId="2746D8B6" w14:textId="77777777" w:rsidTr="00726BC2">
        <w:tc>
          <w:tcPr>
            <w:tcW w:w="2770" w:type="dxa"/>
            <w:gridSpan w:val="2"/>
            <w:tcBorders>
              <w:bottom w:val="nil"/>
            </w:tcBorders>
          </w:tcPr>
          <w:p w14:paraId="057500B9" w14:textId="77777777" w:rsidR="006F1135" w:rsidRDefault="006F1135" w:rsidP="00F644EA">
            <w:pPr>
              <w:spacing w:after="0" w:line="240" w:lineRule="auto"/>
            </w:pPr>
            <w:r>
              <w:t>Limiting long-standing illness</w:t>
            </w:r>
          </w:p>
        </w:tc>
        <w:tc>
          <w:tcPr>
            <w:tcW w:w="1483" w:type="dxa"/>
            <w:tcBorders>
              <w:bottom w:val="nil"/>
            </w:tcBorders>
          </w:tcPr>
          <w:p w14:paraId="74A95AC6" w14:textId="77777777" w:rsidR="006F1135" w:rsidRDefault="006F1135" w:rsidP="00F644EA">
            <w:pPr>
              <w:spacing w:after="0" w:line="240" w:lineRule="auto"/>
              <w:jc w:val="center"/>
            </w:pPr>
          </w:p>
        </w:tc>
        <w:tc>
          <w:tcPr>
            <w:tcW w:w="1705" w:type="dxa"/>
            <w:tcBorders>
              <w:bottom w:val="nil"/>
            </w:tcBorders>
          </w:tcPr>
          <w:p w14:paraId="200C5D27" w14:textId="77777777" w:rsidR="006F1135" w:rsidRDefault="006F1135" w:rsidP="00F644EA">
            <w:pPr>
              <w:spacing w:after="0" w:line="240" w:lineRule="auto"/>
              <w:jc w:val="center"/>
            </w:pPr>
          </w:p>
        </w:tc>
        <w:tc>
          <w:tcPr>
            <w:tcW w:w="1713" w:type="dxa"/>
            <w:tcBorders>
              <w:bottom w:val="nil"/>
            </w:tcBorders>
          </w:tcPr>
          <w:p w14:paraId="155E55D8" w14:textId="77777777" w:rsidR="006F1135" w:rsidRDefault="006F1135" w:rsidP="00F644EA">
            <w:pPr>
              <w:spacing w:after="0" w:line="240" w:lineRule="auto"/>
              <w:jc w:val="center"/>
            </w:pPr>
          </w:p>
        </w:tc>
        <w:tc>
          <w:tcPr>
            <w:tcW w:w="238" w:type="dxa"/>
            <w:tcBorders>
              <w:bottom w:val="nil"/>
            </w:tcBorders>
          </w:tcPr>
          <w:p w14:paraId="5F100D8B" w14:textId="77777777" w:rsidR="006F1135" w:rsidRDefault="006F1135" w:rsidP="00F644EA">
            <w:pPr>
              <w:spacing w:after="0" w:line="240" w:lineRule="auto"/>
              <w:jc w:val="center"/>
            </w:pPr>
          </w:p>
        </w:tc>
        <w:tc>
          <w:tcPr>
            <w:tcW w:w="1305" w:type="dxa"/>
            <w:tcBorders>
              <w:bottom w:val="nil"/>
            </w:tcBorders>
          </w:tcPr>
          <w:p w14:paraId="05E471AE" w14:textId="77777777" w:rsidR="006F1135" w:rsidRDefault="006F1135" w:rsidP="00F644EA">
            <w:pPr>
              <w:spacing w:after="0" w:line="240" w:lineRule="auto"/>
              <w:jc w:val="center"/>
            </w:pPr>
          </w:p>
        </w:tc>
        <w:tc>
          <w:tcPr>
            <w:tcW w:w="1673" w:type="dxa"/>
            <w:tcBorders>
              <w:bottom w:val="nil"/>
            </w:tcBorders>
          </w:tcPr>
          <w:p w14:paraId="27E9CE12" w14:textId="77777777" w:rsidR="006F1135" w:rsidRDefault="006F1135" w:rsidP="00F644EA">
            <w:pPr>
              <w:spacing w:after="0" w:line="240" w:lineRule="auto"/>
              <w:jc w:val="center"/>
            </w:pPr>
          </w:p>
        </w:tc>
        <w:tc>
          <w:tcPr>
            <w:tcW w:w="236" w:type="dxa"/>
            <w:tcBorders>
              <w:bottom w:val="nil"/>
            </w:tcBorders>
          </w:tcPr>
          <w:p w14:paraId="4F93424F" w14:textId="77777777" w:rsidR="006F1135" w:rsidRDefault="006F1135" w:rsidP="00F644EA">
            <w:pPr>
              <w:spacing w:after="0" w:line="240" w:lineRule="auto"/>
              <w:jc w:val="center"/>
            </w:pPr>
          </w:p>
        </w:tc>
        <w:tc>
          <w:tcPr>
            <w:tcW w:w="1704" w:type="dxa"/>
            <w:tcBorders>
              <w:bottom w:val="nil"/>
            </w:tcBorders>
            <w:vAlign w:val="center"/>
          </w:tcPr>
          <w:p w14:paraId="5F63AC43" w14:textId="77777777" w:rsidR="006F1135" w:rsidRDefault="006F1135" w:rsidP="00F644EA">
            <w:pPr>
              <w:spacing w:after="0" w:line="240" w:lineRule="auto"/>
              <w:jc w:val="center"/>
            </w:pPr>
          </w:p>
        </w:tc>
        <w:tc>
          <w:tcPr>
            <w:tcW w:w="1701" w:type="dxa"/>
            <w:tcBorders>
              <w:bottom w:val="nil"/>
            </w:tcBorders>
            <w:vAlign w:val="center"/>
          </w:tcPr>
          <w:p w14:paraId="0DD45ED5" w14:textId="77777777" w:rsidR="006F1135" w:rsidRDefault="006F1135" w:rsidP="00F644EA">
            <w:pPr>
              <w:spacing w:after="0" w:line="240" w:lineRule="auto"/>
              <w:jc w:val="center"/>
            </w:pPr>
          </w:p>
        </w:tc>
      </w:tr>
      <w:tr w:rsidR="006F1135" w14:paraId="1357F413" w14:textId="77777777" w:rsidTr="00726BC2">
        <w:tc>
          <w:tcPr>
            <w:tcW w:w="280" w:type="dxa"/>
            <w:tcBorders>
              <w:top w:val="nil"/>
              <w:bottom w:val="nil"/>
            </w:tcBorders>
          </w:tcPr>
          <w:p w14:paraId="63F494F5" w14:textId="77777777" w:rsidR="006F1135" w:rsidRDefault="006F1135" w:rsidP="00F644EA">
            <w:pPr>
              <w:spacing w:after="0" w:line="240" w:lineRule="auto"/>
            </w:pPr>
          </w:p>
        </w:tc>
        <w:tc>
          <w:tcPr>
            <w:tcW w:w="2490" w:type="dxa"/>
            <w:tcBorders>
              <w:top w:val="nil"/>
            </w:tcBorders>
          </w:tcPr>
          <w:p w14:paraId="390368D9" w14:textId="77777777" w:rsidR="006F1135" w:rsidRDefault="006F1135" w:rsidP="00F644EA">
            <w:pPr>
              <w:spacing w:after="0" w:line="240" w:lineRule="auto"/>
            </w:pPr>
            <w:r>
              <w:t>% (</w:t>
            </w:r>
            <w:r w:rsidRPr="00DA1594">
              <w:rPr>
                <w:i/>
              </w:rPr>
              <w:t>n</w:t>
            </w:r>
            <w:r>
              <w:t>)</w:t>
            </w:r>
          </w:p>
        </w:tc>
        <w:tc>
          <w:tcPr>
            <w:tcW w:w="1483" w:type="dxa"/>
            <w:tcBorders>
              <w:top w:val="nil"/>
            </w:tcBorders>
          </w:tcPr>
          <w:p w14:paraId="52DA319C" w14:textId="3443139A" w:rsidR="006F1135" w:rsidRDefault="006F1135" w:rsidP="00F644EA">
            <w:pPr>
              <w:spacing w:after="0" w:line="240" w:lineRule="auto"/>
              <w:jc w:val="center"/>
            </w:pPr>
            <w:r>
              <w:t>57.1</w:t>
            </w:r>
            <w:r w:rsidR="005733B1">
              <w:t xml:space="preserve"> (720)</w:t>
            </w:r>
          </w:p>
        </w:tc>
        <w:tc>
          <w:tcPr>
            <w:tcW w:w="1705" w:type="dxa"/>
            <w:tcBorders>
              <w:top w:val="nil"/>
            </w:tcBorders>
          </w:tcPr>
          <w:p w14:paraId="17AE1347" w14:textId="38E78372" w:rsidR="006F1135" w:rsidRDefault="006F1135" w:rsidP="00F644EA">
            <w:pPr>
              <w:spacing w:after="0" w:line="240" w:lineRule="auto"/>
              <w:jc w:val="center"/>
            </w:pPr>
            <w:r>
              <w:t>62.7</w:t>
            </w:r>
            <w:r w:rsidR="005733B1">
              <w:t xml:space="preserve"> (905)</w:t>
            </w:r>
          </w:p>
        </w:tc>
        <w:tc>
          <w:tcPr>
            <w:tcW w:w="1713" w:type="dxa"/>
            <w:tcBorders>
              <w:top w:val="nil"/>
            </w:tcBorders>
          </w:tcPr>
          <w:p w14:paraId="0C2649F6" w14:textId="202E9B18" w:rsidR="006F1135" w:rsidRDefault="006F1135" w:rsidP="00F644EA">
            <w:pPr>
              <w:spacing w:after="0" w:line="240" w:lineRule="auto"/>
              <w:jc w:val="center"/>
            </w:pPr>
            <w:r>
              <w:t>64.0</w:t>
            </w:r>
            <w:r w:rsidR="005733B1">
              <w:t xml:space="preserve"> (240)</w:t>
            </w:r>
          </w:p>
        </w:tc>
        <w:tc>
          <w:tcPr>
            <w:tcW w:w="238" w:type="dxa"/>
            <w:tcBorders>
              <w:top w:val="nil"/>
            </w:tcBorders>
          </w:tcPr>
          <w:p w14:paraId="33F01A91" w14:textId="77777777" w:rsidR="006F1135" w:rsidRDefault="006F1135" w:rsidP="00F644EA">
            <w:pPr>
              <w:spacing w:after="0" w:line="240" w:lineRule="auto"/>
              <w:jc w:val="center"/>
            </w:pPr>
          </w:p>
        </w:tc>
        <w:tc>
          <w:tcPr>
            <w:tcW w:w="1305" w:type="dxa"/>
            <w:tcBorders>
              <w:top w:val="nil"/>
            </w:tcBorders>
          </w:tcPr>
          <w:p w14:paraId="1D37E8FF" w14:textId="2FF24F12" w:rsidR="006F1135" w:rsidRDefault="006F1135" w:rsidP="00F644EA">
            <w:pPr>
              <w:spacing w:after="0" w:line="240" w:lineRule="auto"/>
              <w:jc w:val="center"/>
            </w:pPr>
            <w:r>
              <w:t>57.8</w:t>
            </w:r>
            <w:r w:rsidR="005733B1">
              <w:t xml:space="preserve"> (1345)</w:t>
            </w:r>
          </w:p>
        </w:tc>
        <w:tc>
          <w:tcPr>
            <w:tcW w:w="1673" w:type="dxa"/>
            <w:tcBorders>
              <w:top w:val="nil"/>
            </w:tcBorders>
          </w:tcPr>
          <w:p w14:paraId="04F23A95" w14:textId="69BBFD96" w:rsidR="006F1135" w:rsidRDefault="006F1135" w:rsidP="00F644EA">
            <w:pPr>
              <w:spacing w:after="0" w:line="240" w:lineRule="auto"/>
              <w:jc w:val="center"/>
            </w:pPr>
            <w:r>
              <w:t>69.2</w:t>
            </w:r>
            <w:r w:rsidR="005733B1">
              <w:t xml:space="preserve"> (520)</w:t>
            </w:r>
          </w:p>
        </w:tc>
        <w:tc>
          <w:tcPr>
            <w:tcW w:w="236" w:type="dxa"/>
            <w:tcBorders>
              <w:top w:val="nil"/>
            </w:tcBorders>
          </w:tcPr>
          <w:p w14:paraId="5BBE2598" w14:textId="77777777" w:rsidR="006F1135" w:rsidRDefault="006F1135" w:rsidP="00F644EA">
            <w:pPr>
              <w:spacing w:after="0" w:line="240" w:lineRule="auto"/>
              <w:jc w:val="center"/>
            </w:pPr>
          </w:p>
        </w:tc>
        <w:tc>
          <w:tcPr>
            <w:tcW w:w="1704" w:type="dxa"/>
            <w:tcBorders>
              <w:top w:val="nil"/>
            </w:tcBorders>
            <w:vAlign w:val="center"/>
          </w:tcPr>
          <w:p w14:paraId="28B50C4A" w14:textId="77777777" w:rsidR="006F1135" w:rsidRDefault="006F1135" w:rsidP="00F644EA">
            <w:pPr>
              <w:spacing w:after="0" w:line="240" w:lineRule="auto"/>
              <w:jc w:val="center"/>
            </w:pPr>
            <w:r>
              <w:t>-</w:t>
            </w:r>
          </w:p>
        </w:tc>
        <w:tc>
          <w:tcPr>
            <w:tcW w:w="1701" w:type="dxa"/>
            <w:tcBorders>
              <w:top w:val="nil"/>
            </w:tcBorders>
            <w:vAlign w:val="center"/>
          </w:tcPr>
          <w:p w14:paraId="44A54514" w14:textId="77777777" w:rsidR="006F1135" w:rsidRDefault="006F1135" w:rsidP="00F644EA">
            <w:pPr>
              <w:spacing w:after="0" w:line="240" w:lineRule="auto"/>
              <w:jc w:val="center"/>
            </w:pPr>
            <w:r>
              <w:t>-</w:t>
            </w:r>
          </w:p>
        </w:tc>
      </w:tr>
      <w:tr w:rsidR="006F1135" w14:paraId="7F4D8AA6" w14:textId="77777777" w:rsidTr="00726BC2">
        <w:tc>
          <w:tcPr>
            <w:tcW w:w="280" w:type="dxa"/>
            <w:tcBorders>
              <w:top w:val="nil"/>
              <w:bottom w:val="nil"/>
            </w:tcBorders>
          </w:tcPr>
          <w:p w14:paraId="303B2E48" w14:textId="77777777" w:rsidR="006F1135" w:rsidRDefault="006F1135" w:rsidP="00F644EA">
            <w:pPr>
              <w:spacing w:after="0" w:line="240" w:lineRule="auto"/>
            </w:pPr>
          </w:p>
        </w:tc>
        <w:tc>
          <w:tcPr>
            <w:tcW w:w="2490" w:type="dxa"/>
          </w:tcPr>
          <w:p w14:paraId="696B4E87" w14:textId="77777777" w:rsidR="006F1135" w:rsidRDefault="006F1135" w:rsidP="00F644EA">
            <w:pPr>
              <w:spacing w:after="0" w:line="240" w:lineRule="auto"/>
            </w:pPr>
            <w:r>
              <w:t>RR [95% CI]</w:t>
            </w:r>
          </w:p>
          <w:p w14:paraId="54B09118" w14:textId="77777777" w:rsidR="006F1135" w:rsidRPr="00E6027F" w:rsidRDefault="006F1135" w:rsidP="00F644EA">
            <w:pPr>
              <w:spacing w:after="0" w:line="240" w:lineRule="auto"/>
              <w:rPr>
                <w:i/>
              </w:rPr>
            </w:pPr>
            <w:r>
              <w:rPr>
                <w:i/>
              </w:rPr>
              <w:t>p</w:t>
            </w:r>
          </w:p>
        </w:tc>
        <w:tc>
          <w:tcPr>
            <w:tcW w:w="1483" w:type="dxa"/>
          </w:tcPr>
          <w:p w14:paraId="14BB2FD2" w14:textId="77777777" w:rsidR="006F1135" w:rsidRDefault="006F1135" w:rsidP="00F644EA">
            <w:pPr>
              <w:spacing w:after="0" w:line="240" w:lineRule="auto"/>
              <w:jc w:val="center"/>
            </w:pPr>
            <w:r>
              <w:t>1</w:t>
            </w:r>
          </w:p>
        </w:tc>
        <w:tc>
          <w:tcPr>
            <w:tcW w:w="1705" w:type="dxa"/>
          </w:tcPr>
          <w:p w14:paraId="6C26468E" w14:textId="77777777" w:rsidR="006F1135" w:rsidRDefault="006F1135" w:rsidP="00F644EA">
            <w:pPr>
              <w:spacing w:after="0" w:line="240" w:lineRule="auto"/>
              <w:jc w:val="center"/>
            </w:pPr>
            <w:r>
              <w:t>1.10 [0.97-1.24]</w:t>
            </w:r>
          </w:p>
          <w:p w14:paraId="136DA96E" w14:textId="77777777" w:rsidR="006F1135" w:rsidRDefault="006F1135" w:rsidP="00F644EA">
            <w:pPr>
              <w:spacing w:after="0" w:line="240" w:lineRule="auto"/>
              <w:jc w:val="center"/>
            </w:pPr>
            <w:r>
              <w:t>0.143</w:t>
            </w:r>
          </w:p>
        </w:tc>
        <w:tc>
          <w:tcPr>
            <w:tcW w:w="1713" w:type="dxa"/>
          </w:tcPr>
          <w:p w14:paraId="71098D8A" w14:textId="77777777" w:rsidR="006F1135" w:rsidRDefault="006F1135" w:rsidP="00F644EA">
            <w:pPr>
              <w:spacing w:after="0" w:line="240" w:lineRule="auto"/>
              <w:jc w:val="center"/>
            </w:pPr>
            <w:r>
              <w:t>1.12 [0.93-1.35]</w:t>
            </w:r>
          </w:p>
          <w:p w14:paraId="1687EA43" w14:textId="77777777" w:rsidR="006F1135" w:rsidRDefault="006F1135" w:rsidP="00F644EA">
            <w:pPr>
              <w:spacing w:after="0" w:line="240" w:lineRule="auto"/>
              <w:jc w:val="center"/>
            </w:pPr>
            <w:r>
              <w:t>0.233</w:t>
            </w:r>
          </w:p>
        </w:tc>
        <w:tc>
          <w:tcPr>
            <w:tcW w:w="238" w:type="dxa"/>
          </w:tcPr>
          <w:p w14:paraId="7732BB04" w14:textId="77777777" w:rsidR="006F1135" w:rsidRDefault="006F1135" w:rsidP="00F644EA">
            <w:pPr>
              <w:spacing w:after="0" w:line="240" w:lineRule="auto"/>
              <w:jc w:val="center"/>
            </w:pPr>
          </w:p>
        </w:tc>
        <w:tc>
          <w:tcPr>
            <w:tcW w:w="1305" w:type="dxa"/>
          </w:tcPr>
          <w:p w14:paraId="703D8EDF" w14:textId="77777777" w:rsidR="006F1135" w:rsidRDefault="006F1135" w:rsidP="00F644EA">
            <w:pPr>
              <w:spacing w:after="0" w:line="240" w:lineRule="auto"/>
              <w:jc w:val="center"/>
            </w:pPr>
            <w:r>
              <w:t>1</w:t>
            </w:r>
          </w:p>
        </w:tc>
        <w:tc>
          <w:tcPr>
            <w:tcW w:w="1673" w:type="dxa"/>
          </w:tcPr>
          <w:p w14:paraId="049EFC1F" w14:textId="77777777" w:rsidR="006F1135" w:rsidRDefault="006F1135" w:rsidP="00F644EA">
            <w:pPr>
              <w:spacing w:after="0" w:line="240" w:lineRule="auto"/>
              <w:jc w:val="center"/>
            </w:pPr>
            <w:r>
              <w:t>1.20 [1.05-1.37]</w:t>
            </w:r>
          </w:p>
          <w:p w14:paraId="623AF585" w14:textId="77777777" w:rsidR="006F1135" w:rsidRDefault="006F1135" w:rsidP="00F644EA">
            <w:pPr>
              <w:spacing w:after="0" w:line="240" w:lineRule="auto"/>
              <w:jc w:val="center"/>
            </w:pPr>
            <w:r>
              <w:t>0.007</w:t>
            </w:r>
          </w:p>
        </w:tc>
        <w:tc>
          <w:tcPr>
            <w:tcW w:w="236" w:type="dxa"/>
          </w:tcPr>
          <w:p w14:paraId="0AE9DB5E" w14:textId="77777777" w:rsidR="006F1135" w:rsidRDefault="006F1135" w:rsidP="00F644EA">
            <w:pPr>
              <w:spacing w:after="0" w:line="240" w:lineRule="auto"/>
              <w:jc w:val="center"/>
            </w:pPr>
          </w:p>
        </w:tc>
        <w:tc>
          <w:tcPr>
            <w:tcW w:w="1704" w:type="dxa"/>
            <w:vAlign w:val="center"/>
          </w:tcPr>
          <w:p w14:paraId="489155C7" w14:textId="77777777" w:rsidR="006F1135" w:rsidRDefault="006F1135" w:rsidP="00F644EA">
            <w:pPr>
              <w:spacing w:after="0" w:line="240" w:lineRule="auto"/>
              <w:jc w:val="center"/>
            </w:pPr>
            <w:r>
              <w:t>-</w:t>
            </w:r>
          </w:p>
        </w:tc>
        <w:tc>
          <w:tcPr>
            <w:tcW w:w="1701" w:type="dxa"/>
            <w:vAlign w:val="center"/>
          </w:tcPr>
          <w:p w14:paraId="0A9488B7" w14:textId="77777777" w:rsidR="006F1135" w:rsidRDefault="006F1135" w:rsidP="00F644EA">
            <w:pPr>
              <w:spacing w:after="0" w:line="240" w:lineRule="auto"/>
              <w:jc w:val="center"/>
            </w:pPr>
            <w:r>
              <w:t>-</w:t>
            </w:r>
          </w:p>
        </w:tc>
      </w:tr>
      <w:tr w:rsidR="006F1135" w14:paraId="7B938F8A" w14:textId="77777777" w:rsidTr="00726BC2">
        <w:tc>
          <w:tcPr>
            <w:tcW w:w="280" w:type="dxa"/>
            <w:tcBorders>
              <w:top w:val="nil"/>
            </w:tcBorders>
          </w:tcPr>
          <w:p w14:paraId="5CCD0F05" w14:textId="77777777" w:rsidR="006F1135" w:rsidRDefault="006F1135" w:rsidP="00F644EA">
            <w:pPr>
              <w:spacing w:after="0" w:line="240" w:lineRule="auto"/>
            </w:pPr>
          </w:p>
        </w:tc>
        <w:tc>
          <w:tcPr>
            <w:tcW w:w="2490" w:type="dxa"/>
          </w:tcPr>
          <w:p w14:paraId="41C61173" w14:textId="77777777" w:rsidR="006F1135" w:rsidRDefault="006F1135" w:rsidP="00F644EA">
            <w:pPr>
              <w:spacing w:after="0" w:line="240" w:lineRule="auto"/>
            </w:pPr>
            <w:r>
              <w:t>RR</w:t>
            </w:r>
            <w:r w:rsidRPr="009A0497">
              <w:rPr>
                <w:vertAlign w:val="subscript"/>
              </w:rPr>
              <w:t>adj</w:t>
            </w:r>
            <w:r>
              <w:t xml:space="preserve"> [95% CI]</w:t>
            </w:r>
          </w:p>
          <w:p w14:paraId="6698526D" w14:textId="77777777" w:rsidR="006F1135" w:rsidRPr="00E6027F" w:rsidRDefault="006F1135" w:rsidP="00F644EA">
            <w:pPr>
              <w:spacing w:after="0" w:line="240" w:lineRule="auto"/>
              <w:rPr>
                <w:i/>
              </w:rPr>
            </w:pPr>
            <w:r>
              <w:rPr>
                <w:i/>
              </w:rPr>
              <w:t>p</w:t>
            </w:r>
          </w:p>
        </w:tc>
        <w:tc>
          <w:tcPr>
            <w:tcW w:w="1483" w:type="dxa"/>
          </w:tcPr>
          <w:p w14:paraId="7C9EFDC7" w14:textId="77777777" w:rsidR="006F1135" w:rsidRDefault="006F1135" w:rsidP="00F644EA">
            <w:pPr>
              <w:spacing w:after="0" w:line="240" w:lineRule="auto"/>
              <w:jc w:val="center"/>
            </w:pPr>
            <w:r>
              <w:t>1</w:t>
            </w:r>
          </w:p>
        </w:tc>
        <w:tc>
          <w:tcPr>
            <w:tcW w:w="1705" w:type="dxa"/>
          </w:tcPr>
          <w:p w14:paraId="7A7AC7DB" w14:textId="77777777" w:rsidR="006F1135" w:rsidRDefault="006F1135" w:rsidP="00F644EA">
            <w:pPr>
              <w:spacing w:after="0" w:line="240" w:lineRule="auto"/>
              <w:jc w:val="center"/>
            </w:pPr>
            <w:r>
              <w:t>1.07 [0.93-1.24]</w:t>
            </w:r>
          </w:p>
          <w:p w14:paraId="53521378" w14:textId="77777777" w:rsidR="006F1135" w:rsidRDefault="006F1135" w:rsidP="00F644EA">
            <w:pPr>
              <w:spacing w:after="0" w:line="240" w:lineRule="auto"/>
              <w:jc w:val="center"/>
            </w:pPr>
            <w:r>
              <w:t>0.359</w:t>
            </w:r>
          </w:p>
        </w:tc>
        <w:tc>
          <w:tcPr>
            <w:tcW w:w="1713" w:type="dxa"/>
          </w:tcPr>
          <w:p w14:paraId="0EC1C6A0" w14:textId="77777777" w:rsidR="006F1135" w:rsidRDefault="006F1135" w:rsidP="00F644EA">
            <w:pPr>
              <w:spacing w:after="0" w:line="240" w:lineRule="auto"/>
              <w:jc w:val="center"/>
            </w:pPr>
            <w:r>
              <w:t>1.16 [0.92-1.45]</w:t>
            </w:r>
          </w:p>
          <w:p w14:paraId="3AEDAE69" w14:textId="77777777" w:rsidR="006F1135" w:rsidRDefault="006F1135" w:rsidP="00F644EA">
            <w:pPr>
              <w:spacing w:after="0" w:line="240" w:lineRule="auto"/>
              <w:jc w:val="center"/>
            </w:pPr>
            <w:r>
              <w:t>0.205</w:t>
            </w:r>
          </w:p>
        </w:tc>
        <w:tc>
          <w:tcPr>
            <w:tcW w:w="238" w:type="dxa"/>
          </w:tcPr>
          <w:p w14:paraId="4B48B428" w14:textId="77777777" w:rsidR="006F1135" w:rsidRDefault="006F1135" w:rsidP="00F644EA">
            <w:pPr>
              <w:spacing w:after="0" w:line="240" w:lineRule="auto"/>
            </w:pPr>
          </w:p>
        </w:tc>
        <w:tc>
          <w:tcPr>
            <w:tcW w:w="1305" w:type="dxa"/>
          </w:tcPr>
          <w:p w14:paraId="3F343D58" w14:textId="77777777" w:rsidR="006F1135" w:rsidRDefault="006F1135" w:rsidP="00F644EA">
            <w:pPr>
              <w:spacing w:after="0" w:line="240" w:lineRule="auto"/>
              <w:jc w:val="center"/>
            </w:pPr>
            <w:r>
              <w:t>1</w:t>
            </w:r>
          </w:p>
        </w:tc>
        <w:tc>
          <w:tcPr>
            <w:tcW w:w="1673" w:type="dxa"/>
          </w:tcPr>
          <w:p w14:paraId="52223880" w14:textId="77777777" w:rsidR="006F1135" w:rsidRDefault="006F1135" w:rsidP="00F644EA">
            <w:pPr>
              <w:spacing w:after="0" w:line="240" w:lineRule="auto"/>
              <w:jc w:val="center"/>
            </w:pPr>
            <w:r>
              <w:t>1.06 [0.86-1.31]</w:t>
            </w:r>
          </w:p>
          <w:p w14:paraId="05DE770C" w14:textId="77777777" w:rsidR="006F1135" w:rsidRDefault="006F1135" w:rsidP="00F644EA">
            <w:pPr>
              <w:spacing w:after="0" w:line="240" w:lineRule="auto"/>
              <w:jc w:val="center"/>
            </w:pPr>
            <w:r>
              <w:t>0.564</w:t>
            </w:r>
          </w:p>
        </w:tc>
        <w:tc>
          <w:tcPr>
            <w:tcW w:w="236" w:type="dxa"/>
          </w:tcPr>
          <w:p w14:paraId="4289B417" w14:textId="77777777" w:rsidR="006F1135" w:rsidRDefault="006F1135" w:rsidP="00F644EA">
            <w:pPr>
              <w:spacing w:after="0" w:line="240" w:lineRule="auto"/>
              <w:jc w:val="center"/>
            </w:pPr>
          </w:p>
        </w:tc>
        <w:tc>
          <w:tcPr>
            <w:tcW w:w="1704" w:type="dxa"/>
            <w:vAlign w:val="center"/>
          </w:tcPr>
          <w:p w14:paraId="37CEC10E" w14:textId="77777777" w:rsidR="006F1135" w:rsidRDefault="006F1135" w:rsidP="00F644EA">
            <w:pPr>
              <w:spacing w:after="0" w:line="240" w:lineRule="auto"/>
              <w:jc w:val="center"/>
            </w:pPr>
            <w:r>
              <w:t>0.97 [0.73-1.29]</w:t>
            </w:r>
          </w:p>
          <w:p w14:paraId="11D102BE" w14:textId="77777777" w:rsidR="006F1135" w:rsidRDefault="006F1135" w:rsidP="00F644EA">
            <w:pPr>
              <w:spacing w:after="0" w:line="240" w:lineRule="auto"/>
              <w:jc w:val="center"/>
            </w:pPr>
            <w:r>
              <w:t>0.845</w:t>
            </w:r>
          </w:p>
        </w:tc>
        <w:tc>
          <w:tcPr>
            <w:tcW w:w="1701" w:type="dxa"/>
            <w:vAlign w:val="center"/>
          </w:tcPr>
          <w:p w14:paraId="1A62DF89" w14:textId="77777777" w:rsidR="006F1135" w:rsidRDefault="006F1135" w:rsidP="00F644EA">
            <w:pPr>
              <w:spacing w:after="0" w:line="240" w:lineRule="auto"/>
              <w:jc w:val="center"/>
            </w:pPr>
            <w:r>
              <w:t>1.08 [0.71-1.64]</w:t>
            </w:r>
          </w:p>
          <w:p w14:paraId="5E263A33" w14:textId="77777777" w:rsidR="006F1135" w:rsidRDefault="006F1135" w:rsidP="00F644EA">
            <w:pPr>
              <w:spacing w:after="0" w:line="240" w:lineRule="auto"/>
              <w:jc w:val="center"/>
            </w:pPr>
            <w:r>
              <w:t>0.719</w:t>
            </w:r>
          </w:p>
        </w:tc>
      </w:tr>
      <w:tr w:rsidR="006F1135" w14:paraId="123258ED" w14:textId="77777777" w:rsidTr="00726BC2">
        <w:tc>
          <w:tcPr>
            <w:tcW w:w="2770" w:type="dxa"/>
            <w:gridSpan w:val="2"/>
            <w:tcBorders>
              <w:bottom w:val="nil"/>
            </w:tcBorders>
          </w:tcPr>
          <w:p w14:paraId="66F6993E" w14:textId="77777777" w:rsidR="006F1135" w:rsidRDefault="006F1135" w:rsidP="00F644EA">
            <w:pPr>
              <w:spacing w:after="0" w:line="240" w:lineRule="auto"/>
            </w:pPr>
            <w:r>
              <w:t>Coronary heart disease</w:t>
            </w:r>
          </w:p>
        </w:tc>
        <w:tc>
          <w:tcPr>
            <w:tcW w:w="1483" w:type="dxa"/>
            <w:tcBorders>
              <w:bottom w:val="nil"/>
            </w:tcBorders>
          </w:tcPr>
          <w:p w14:paraId="1D61BFF5" w14:textId="77777777" w:rsidR="006F1135" w:rsidRDefault="006F1135" w:rsidP="00F644EA">
            <w:pPr>
              <w:spacing w:after="0" w:line="240" w:lineRule="auto"/>
              <w:jc w:val="center"/>
            </w:pPr>
          </w:p>
        </w:tc>
        <w:tc>
          <w:tcPr>
            <w:tcW w:w="1705" w:type="dxa"/>
            <w:tcBorders>
              <w:bottom w:val="nil"/>
            </w:tcBorders>
          </w:tcPr>
          <w:p w14:paraId="4A0DEB13" w14:textId="77777777" w:rsidR="006F1135" w:rsidRDefault="006F1135" w:rsidP="00F644EA">
            <w:pPr>
              <w:spacing w:after="0" w:line="240" w:lineRule="auto"/>
              <w:jc w:val="center"/>
            </w:pPr>
          </w:p>
        </w:tc>
        <w:tc>
          <w:tcPr>
            <w:tcW w:w="1713" w:type="dxa"/>
            <w:tcBorders>
              <w:bottom w:val="nil"/>
            </w:tcBorders>
          </w:tcPr>
          <w:p w14:paraId="13002646" w14:textId="77777777" w:rsidR="006F1135" w:rsidRDefault="006F1135" w:rsidP="00F644EA">
            <w:pPr>
              <w:spacing w:after="0" w:line="240" w:lineRule="auto"/>
              <w:jc w:val="center"/>
            </w:pPr>
          </w:p>
        </w:tc>
        <w:tc>
          <w:tcPr>
            <w:tcW w:w="238" w:type="dxa"/>
            <w:tcBorders>
              <w:bottom w:val="nil"/>
            </w:tcBorders>
          </w:tcPr>
          <w:p w14:paraId="07C91444" w14:textId="77777777" w:rsidR="006F1135" w:rsidRDefault="006F1135" w:rsidP="00F644EA">
            <w:pPr>
              <w:spacing w:after="0" w:line="240" w:lineRule="auto"/>
              <w:jc w:val="center"/>
            </w:pPr>
          </w:p>
        </w:tc>
        <w:tc>
          <w:tcPr>
            <w:tcW w:w="1305" w:type="dxa"/>
            <w:tcBorders>
              <w:bottom w:val="nil"/>
            </w:tcBorders>
          </w:tcPr>
          <w:p w14:paraId="481B1718" w14:textId="77777777" w:rsidR="006F1135" w:rsidRDefault="006F1135" w:rsidP="00F644EA">
            <w:pPr>
              <w:spacing w:after="0" w:line="240" w:lineRule="auto"/>
              <w:jc w:val="center"/>
            </w:pPr>
          </w:p>
        </w:tc>
        <w:tc>
          <w:tcPr>
            <w:tcW w:w="1673" w:type="dxa"/>
            <w:tcBorders>
              <w:bottom w:val="nil"/>
            </w:tcBorders>
          </w:tcPr>
          <w:p w14:paraId="5251DBDE" w14:textId="77777777" w:rsidR="006F1135" w:rsidRDefault="006F1135" w:rsidP="00F644EA">
            <w:pPr>
              <w:spacing w:after="0" w:line="240" w:lineRule="auto"/>
              <w:jc w:val="center"/>
            </w:pPr>
          </w:p>
        </w:tc>
        <w:tc>
          <w:tcPr>
            <w:tcW w:w="236" w:type="dxa"/>
            <w:tcBorders>
              <w:bottom w:val="nil"/>
            </w:tcBorders>
          </w:tcPr>
          <w:p w14:paraId="296CBFEC" w14:textId="77777777" w:rsidR="006F1135" w:rsidRDefault="006F1135" w:rsidP="00F644EA">
            <w:pPr>
              <w:spacing w:after="0" w:line="240" w:lineRule="auto"/>
              <w:jc w:val="center"/>
            </w:pPr>
          </w:p>
        </w:tc>
        <w:tc>
          <w:tcPr>
            <w:tcW w:w="1704" w:type="dxa"/>
            <w:tcBorders>
              <w:bottom w:val="nil"/>
            </w:tcBorders>
            <w:vAlign w:val="center"/>
          </w:tcPr>
          <w:p w14:paraId="4C0B8644" w14:textId="77777777" w:rsidR="006F1135" w:rsidRDefault="006F1135" w:rsidP="00F644EA">
            <w:pPr>
              <w:spacing w:after="0" w:line="240" w:lineRule="auto"/>
              <w:jc w:val="center"/>
            </w:pPr>
          </w:p>
        </w:tc>
        <w:tc>
          <w:tcPr>
            <w:tcW w:w="1701" w:type="dxa"/>
            <w:tcBorders>
              <w:bottom w:val="nil"/>
            </w:tcBorders>
            <w:vAlign w:val="center"/>
          </w:tcPr>
          <w:p w14:paraId="712ACE1E" w14:textId="77777777" w:rsidR="006F1135" w:rsidRDefault="006F1135" w:rsidP="00F644EA">
            <w:pPr>
              <w:spacing w:after="0" w:line="240" w:lineRule="auto"/>
              <w:jc w:val="center"/>
            </w:pPr>
          </w:p>
        </w:tc>
      </w:tr>
      <w:tr w:rsidR="006F1135" w14:paraId="08C89718" w14:textId="77777777" w:rsidTr="00726BC2">
        <w:tc>
          <w:tcPr>
            <w:tcW w:w="280" w:type="dxa"/>
            <w:tcBorders>
              <w:top w:val="nil"/>
              <w:bottom w:val="nil"/>
            </w:tcBorders>
          </w:tcPr>
          <w:p w14:paraId="308A31AC" w14:textId="77777777" w:rsidR="006F1135" w:rsidRDefault="006F1135" w:rsidP="00F644EA">
            <w:pPr>
              <w:spacing w:after="0" w:line="240" w:lineRule="auto"/>
            </w:pPr>
          </w:p>
        </w:tc>
        <w:tc>
          <w:tcPr>
            <w:tcW w:w="2490" w:type="dxa"/>
            <w:tcBorders>
              <w:top w:val="nil"/>
            </w:tcBorders>
          </w:tcPr>
          <w:p w14:paraId="40A06874" w14:textId="77777777" w:rsidR="006F1135" w:rsidRDefault="006F1135" w:rsidP="00F644EA">
            <w:pPr>
              <w:spacing w:after="0" w:line="240" w:lineRule="auto"/>
            </w:pPr>
            <w:r>
              <w:t>% (</w:t>
            </w:r>
            <w:r w:rsidRPr="00DA1594">
              <w:rPr>
                <w:i/>
              </w:rPr>
              <w:t>n</w:t>
            </w:r>
            <w:r>
              <w:t>)</w:t>
            </w:r>
          </w:p>
        </w:tc>
        <w:tc>
          <w:tcPr>
            <w:tcW w:w="1483" w:type="dxa"/>
            <w:tcBorders>
              <w:top w:val="nil"/>
            </w:tcBorders>
          </w:tcPr>
          <w:p w14:paraId="64D4033A" w14:textId="2ACF9933" w:rsidR="006F1135" w:rsidRDefault="006F1135" w:rsidP="00F644EA">
            <w:pPr>
              <w:spacing w:after="0" w:line="240" w:lineRule="auto"/>
              <w:jc w:val="center"/>
            </w:pPr>
            <w:r>
              <w:t>8.8</w:t>
            </w:r>
            <w:r w:rsidR="005733B1">
              <w:t xml:space="preserve"> (117)</w:t>
            </w:r>
          </w:p>
        </w:tc>
        <w:tc>
          <w:tcPr>
            <w:tcW w:w="1705" w:type="dxa"/>
            <w:tcBorders>
              <w:top w:val="nil"/>
            </w:tcBorders>
          </w:tcPr>
          <w:p w14:paraId="348CC726" w14:textId="1C3A4B2D" w:rsidR="006F1135" w:rsidRDefault="006F1135" w:rsidP="00F644EA">
            <w:pPr>
              <w:spacing w:after="0" w:line="240" w:lineRule="auto"/>
              <w:jc w:val="center"/>
            </w:pPr>
            <w:r>
              <w:t>11.7</w:t>
            </w:r>
            <w:r w:rsidR="005733B1">
              <w:t xml:space="preserve"> (176)</w:t>
            </w:r>
          </w:p>
        </w:tc>
        <w:tc>
          <w:tcPr>
            <w:tcW w:w="1713" w:type="dxa"/>
            <w:tcBorders>
              <w:top w:val="nil"/>
            </w:tcBorders>
          </w:tcPr>
          <w:p w14:paraId="17C0D90B" w14:textId="4D7DCDCC" w:rsidR="006F1135" w:rsidRDefault="006F1135" w:rsidP="00F644EA">
            <w:pPr>
              <w:spacing w:after="0" w:line="240" w:lineRule="auto"/>
              <w:jc w:val="center"/>
            </w:pPr>
            <w:r>
              <w:t>14.9</w:t>
            </w:r>
            <w:r w:rsidR="005733B1">
              <w:t xml:space="preserve"> (59)</w:t>
            </w:r>
          </w:p>
        </w:tc>
        <w:tc>
          <w:tcPr>
            <w:tcW w:w="238" w:type="dxa"/>
            <w:tcBorders>
              <w:top w:val="nil"/>
            </w:tcBorders>
          </w:tcPr>
          <w:p w14:paraId="5C534579" w14:textId="77777777" w:rsidR="006F1135" w:rsidRDefault="006F1135" w:rsidP="00F644EA">
            <w:pPr>
              <w:spacing w:after="0" w:line="240" w:lineRule="auto"/>
              <w:jc w:val="center"/>
            </w:pPr>
          </w:p>
        </w:tc>
        <w:tc>
          <w:tcPr>
            <w:tcW w:w="1305" w:type="dxa"/>
            <w:tcBorders>
              <w:top w:val="nil"/>
            </w:tcBorders>
          </w:tcPr>
          <w:p w14:paraId="019D21EE" w14:textId="43508837" w:rsidR="006F1135" w:rsidRDefault="006F1135" w:rsidP="00F644EA">
            <w:pPr>
              <w:spacing w:after="0" w:line="240" w:lineRule="auto"/>
              <w:jc w:val="center"/>
            </w:pPr>
            <w:r>
              <w:t>9.2</w:t>
            </w:r>
            <w:r w:rsidR="005733B1">
              <w:t xml:space="preserve"> (214)</w:t>
            </w:r>
          </w:p>
        </w:tc>
        <w:tc>
          <w:tcPr>
            <w:tcW w:w="1673" w:type="dxa"/>
            <w:tcBorders>
              <w:top w:val="nil"/>
            </w:tcBorders>
          </w:tcPr>
          <w:p w14:paraId="042B5B51" w14:textId="37F7A5C3" w:rsidR="006F1135" w:rsidRDefault="006F1135" w:rsidP="00F644EA">
            <w:pPr>
              <w:spacing w:after="0" w:line="240" w:lineRule="auto"/>
              <w:jc w:val="center"/>
            </w:pPr>
            <w:r>
              <w:t>15.2</w:t>
            </w:r>
            <w:r w:rsidR="005733B1">
              <w:t xml:space="preserve"> (138)</w:t>
            </w:r>
          </w:p>
        </w:tc>
        <w:tc>
          <w:tcPr>
            <w:tcW w:w="236" w:type="dxa"/>
            <w:tcBorders>
              <w:top w:val="nil"/>
            </w:tcBorders>
          </w:tcPr>
          <w:p w14:paraId="0E5ADA38" w14:textId="77777777" w:rsidR="006F1135" w:rsidRDefault="006F1135" w:rsidP="00F644EA">
            <w:pPr>
              <w:spacing w:after="0" w:line="240" w:lineRule="auto"/>
              <w:jc w:val="center"/>
            </w:pPr>
          </w:p>
        </w:tc>
        <w:tc>
          <w:tcPr>
            <w:tcW w:w="1704" w:type="dxa"/>
            <w:tcBorders>
              <w:top w:val="nil"/>
            </w:tcBorders>
            <w:vAlign w:val="center"/>
          </w:tcPr>
          <w:p w14:paraId="4E724043" w14:textId="77777777" w:rsidR="006F1135" w:rsidRDefault="006F1135" w:rsidP="00F644EA">
            <w:pPr>
              <w:spacing w:after="0" w:line="240" w:lineRule="auto"/>
              <w:jc w:val="center"/>
            </w:pPr>
            <w:r>
              <w:t>-</w:t>
            </w:r>
          </w:p>
        </w:tc>
        <w:tc>
          <w:tcPr>
            <w:tcW w:w="1701" w:type="dxa"/>
            <w:tcBorders>
              <w:top w:val="nil"/>
            </w:tcBorders>
            <w:vAlign w:val="center"/>
          </w:tcPr>
          <w:p w14:paraId="10182177" w14:textId="77777777" w:rsidR="006F1135" w:rsidRDefault="006F1135" w:rsidP="00F644EA">
            <w:pPr>
              <w:spacing w:after="0" w:line="240" w:lineRule="auto"/>
              <w:jc w:val="center"/>
            </w:pPr>
            <w:r>
              <w:t>-</w:t>
            </w:r>
          </w:p>
        </w:tc>
      </w:tr>
      <w:tr w:rsidR="006F1135" w14:paraId="46B8381D" w14:textId="77777777" w:rsidTr="00726BC2">
        <w:tc>
          <w:tcPr>
            <w:tcW w:w="280" w:type="dxa"/>
            <w:tcBorders>
              <w:top w:val="nil"/>
              <w:bottom w:val="nil"/>
            </w:tcBorders>
          </w:tcPr>
          <w:p w14:paraId="1259246D" w14:textId="77777777" w:rsidR="006F1135" w:rsidRDefault="006F1135" w:rsidP="00F644EA">
            <w:pPr>
              <w:spacing w:after="0" w:line="240" w:lineRule="auto"/>
            </w:pPr>
          </w:p>
        </w:tc>
        <w:tc>
          <w:tcPr>
            <w:tcW w:w="2490" w:type="dxa"/>
          </w:tcPr>
          <w:p w14:paraId="00D71FA0" w14:textId="77777777" w:rsidR="006F1135" w:rsidRDefault="006F1135" w:rsidP="00F644EA">
            <w:pPr>
              <w:spacing w:after="0" w:line="240" w:lineRule="auto"/>
            </w:pPr>
            <w:r>
              <w:t>RR [95% CI]</w:t>
            </w:r>
          </w:p>
          <w:p w14:paraId="57E4EF2D" w14:textId="77777777" w:rsidR="006F1135" w:rsidRPr="00E6027F" w:rsidRDefault="006F1135" w:rsidP="00F644EA">
            <w:pPr>
              <w:spacing w:after="0" w:line="240" w:lineRule="auto"/>
              <w:rPr>
                <w:i/>
              </w:rPr>
            </w:pPr>
            <w:r>
              <w:rPr>
                <w:i/>
              </w:rPr>
              <w:t>p</w:t>
            </w:r>
          </w:p>
        </w:tc>
        <w:tc>
          <w:tcPr>
            <w:tcW w:w="1483" w:type="dxa"/>
          </w:tcPr>
          <w:p w14:paraId="04B87814" w14:textId="77777777" w:rsidR="006F1135" w:rsidRDefault="006F1135" w:rsidP="00F644EA">
            <w:pPr>
              <w:spacing w:after="0" w:line="240" w:lineRule="auto"/>
              <w:jc w:val="center"/>
            </w:pPr>
            <w:r>
              <w:t>1</w:t>
            </w:r>
          </w:p>
        </w:tc>
        <w:tc>
          <w:tcPr>
            <w:tcW w:w="1705" w:type="dxa"/>
          </w:tcPr>
          <w:p w14:paraId="33E35755" w14:textId="77777777" w:rsidR="006F1135" w:rsidRDefault="006F1135" w:rsidP="00F644EA">
            <w:pPr>
              <w:spacing w:after="0" w:line="240" w:lineRule="auto"/>
              <w:jc w:val="center"/>
            </w:pPr>
            <w:r>
              <w:t>1.33 [1.04-1.70]</w:t>
            </w:r>
          </w:p>
          <w:p w14:paraId="339A16F8" w14:textId="77777777" w:rsidR="006F1135" w:rsidRDefault="006F1135" w:rsidP="00F644EA">
            <w:pPr>
              <w:spacing w:after="0" w:line="240" w:lineRule="auto"/>
              <w:jc w:val="center"/>
            </w:pPr>
            <w:r>
              <w:t>0.023</w:t>
            </w:r>
          </w:p>
        </w:tc>
        <w:tc>
          <w:tcPr>
            <w:tcW w:w="1713" w:type="dxa"/>
          </w:tcPr>
          <w:p w14:paraId="396FFFB0" w14:textId="77777777" w:rsidR="006F1135" w:rsidRDefault="006F1135" w:rsidP="00F644EA">
            <w:pPr>
              <w:spacing w:after="0" w:line="240" w:lineRule="auto"/>
              <w:jc w:val="center"/>
            </w:pPr>
            <w:r>
              <w:t>1.69 [1.21-2.36]</w:t>
            </w:r>
          </w:p>
          <w:p w14:paraId="18B0C361" w14:textId="77777777" w:rsidR="006F1135" w:rsidRDefault="006F1135" w:rsidP="00F644EA">
            <w:pPr>
              <w:spacing w:after="0" w:line="240" w:lineRule="auto"/>
              <w:jc w:val="center"/>
            </w:pPr>
            <w:r>
              <w:t>0.002</w:t>
            </w:r>
          </w:p>
        </w:tc>
        <w:tc>
          <w:tcPr>
            <w:tcW w:w="238" w:type="dxa"/>
          </w:tcPr>
          <w:p w14:paraId="50441BCE" w14:textId="77777777" w:rsidR="006F1135" w:rsidRDefault="006F1135" w:rsidP="00F644EA">
            <w:pPr>
              <w:spacing w:after="0" w:line="240" w:lineRule="auto"/>
              <w:jc w:val="center"/>
            </w:pPr>
          </w:p>
        </w:tc>
        <w:tc>
          <w:tcPr>
            <w:tcW w:w="1305" w:type="dxa"/>
          </w:tcPr>
          <w:p w14:paraId="5FEB972F" w14:textId="77777777" w:rsidR="006F1135" w:rsidRDefault="006F1135" w:rsidP="00F644EA">
            <w:pPr>
              <w:spacing w:after="0" w:line="240" w:lineRule="auto"/>
              <w:jc w:val="center"/>
            </w:pPr>
            <w:r>
              <w:t>1</w:t>
            </w:r>
          </w:p>
        </w:tc>
        <w:tc>
          <w:tcPr>
            <w:tcW w:w="1673" w:type="dxa"/>
          </w:tcPr>
          <w:p w14:paraId="6C13CEBF" w14:textId="77777777" w:rsidR="006F1135" w:rsidRDefault="006F1135" w:rsidP="00F644EA">
            <w:pPr>
              <w:spacing w:after="0" w:line="240" w:lineRule="auto"/>
              <w:jc w:val="center"/>
            </w:pPr>
            <w:r>
              <w:t>1.66 [1.32-2.08]</w:t>
            </w:r>
          </w:p>
          <w:p w14:paraId="4EEF6C13" w14:textId="77777777" w:rsidR="006F1135" w:rsidRDefault="006F1135" w:rsidP="00F644EA">
            <w:pPr>
              <w:spacing w:after="0" w:line="240" w:lineRule="auto"/>
              <w:jc w:val="center"/>
            </w:pPr>
            <w:r>
              <w:t>&lt;0.001</w:t>
            </w:r>
          </w:p>
        </w:tc>
        <w:tc>
          <w:tcPr>
            <w:tcW w:w="236" w:type="dxa"/>
          </w:tcPr>
          <w:p w14:paraId="5211E3F3" w14:textId="77777777" w:rsidR="006F1135" w:rsidRDefault="006F1135" w:rsidP="00F644EA">
            <w:pPr>
              <w:spacing w:after="0" w:line="240" w:lineRule="auto"/>
              <w:jc w:val="center"/>
            </w:pPr>
          </w:p>
        </w:tc>
        <w:tc>
          <w:tcPr>
            <w:tcW w:w="1704" w:type="dxa"/>
            <w:vAlign w:val="center"/>
          </w:tcPr>
          <w:p w14:paraId="1362D352" w14:textId="77777777" w:rsidR="006F1135" w:rsidRDefault="006F1135" w:rsidP="00F644EA">
            <w:pPr>
              <w:spacing w:after="0" w:line="240" w:lineRule="auto"/>
              <w:jc w:val="center"/>
            </w:pPr>
            <w:r>
              <w:t>-</w:t>
            </w:r>
          </w:p>
        </w:tc>
        <w:tc>
          <w:tcPr>
            <w:tcW w:w="1701" w:type="dxa"/>
            <w:vAlign w:val="center"/>
          </w:tcPr>
          <w:p w14:paraId="5151B5CC" w14:textId="77777777" w:rsidR="006F1135" w:rsidRDefault="006F1135" w:rsidP="00F644EA">
            <w:pPr>
              <w:spacing w:after="0" w:line="240" w:lineRule="auto"/>
              <w:jc w:val="center"/>
            </w:pPr>
            <w:r>
              <w:t>-</w:t>
            </w:r>
          </w:p>
        </w:tc>
      </w:tr>
      <w:tr w:rsidR="006F1135" w14:paraId="758931D1" w14:textId="77777777" w:rsidTr="00726BC2">
        <w:tc>
          <w:tcPr>
            <w:tcW w:w="280" w:type="dxa"/>
            <w:tcBorders>
              <w:top w:val="nil"/>
            </w:tcBorders>
          </w:tcPr>
          <w:p w14:paraId="244D84AF" w14:textId="77777777" w:rsidR="006F1135" w:rsidRDefault="006F1135" w:rsidP="00F644EA">
            <w:pPr>
              <w:spacing w:after="0" w:line="240" w:lineRule="auto"/>
            </w:pPr>
          </w:p>
        </w:tc>
        <w:tc>
          <w:tcPr>
            <w:tcW w:w="2490" w:type="dxa"/>
          </w:tcPr>
          <w:p w14:paraId="4CE7E060" w14:textId="77777777" w:rsidR="006F1135" w:rsidRDefault="006F1135" w:rsidP="00F644EA">
            <w:pPr>
              <w:spacing w:after="0" w:line="240" w:lineRule="auto"/>
            </w:pPr>
            <w:r>
              <w:t>RR</w:t>
            </w:r>
            <w:r w:rsidRPr="009A0497">
              <w:rPr>
                <w:vertAlign w:val="subscript"/>
              </w:rPr>
              <w:t>adj</w:t>
            </w:r>
            <w:r>
              <w:t xml:space="preserve"> [95% CI]</w:t>
            </w:r>
          </w:p>
          <w:p w14:paraId="7697A28E" w14:textId="77777777" w:rsidR="006F1135" w:rsidRPr="00E6027F" w:rsidRDefault="006F1135" w:rsidP="00F644EA">
            <w:pPr>
              <w:spacing w:after="0" w:line="240" w:lineRule="auto"/>
              <w:rPr>
                <w:i/>
              </w:rPr>
            </w:pPr>
            <w:r>
              <w:rPr>
                <w:i/>
              </w:rPr>
              <w:t>p</w:t>
            </w:r>
          </w:p>
        </w:tc>
        <w:tc>
          <w:tcPr>
            <w:tcW w:w="1483" w:type="dxa"/>
          </w:tcPr>
          <w:p w14:paraId="32442011" w14:textId="77777777" w:rsidR="006F1135" w:rsidRDefault="006F1135" w:rsidP="00F644EA">
            <w:pPr>
              <w:spacing w:after="0" w:line="240" w:lineRule="auto"/>
              <w:jc w:val="center"/>
            </w:pPr>
            <w:r>
              <w:t>1</w:t>
            </w:r>
          </w:p>
        </w:tc>
        <w:tc>
          <w:tcPr>
            <w:tcW w:w="1705" w:type="dxa"/>
          </w:tcPr>
          <w:p w14:paraId="7A8EF707" w14:textId="77777777" w:rsidR="006F1135" w:rsidRDefault="006F1135" w:rsidP="00F644EA">
            <w:pPr>
              <w:spacing w:after="0" w:line="240" w:lineRule="auto"/>
              <w:jc w:val="center"/>
            </w:pPr>
            <w:r>
              <w:t>1.13 [0.82-1.55]</w:t>
            </w:r>
          </w:p>
          <w:p w14:paraId="59A7B2FD" w14:textId="77777777" w:rsidR="006F1135" w:rsidRDefault="006F1135" w:rsidP="00F644EA">
            <w:pPr>
              <w:spacing w:after="0" w:line="240" w:lineRule="auto"/>
              <w:jc w:val="center"/>
            </w:pPr>
            <w:r>
              <w:t>0.454</w:t>
            </w:r>
          </w:p>
        </w:tc>
        <w:tc>
          <w:tcPr>
            <w:tcW w:w="1713" w:type="dxa"/>
          </w:tcPr>
          <w:p w14:paraId="118A8009" w14:textId="77777777" w:rsidR="006F1135" w:rsidRDefault="006F1135" w:rsidP="00F644EA">
            <w:pPr>
              <w:spacing w:after="0" w:line="240" w:lineRule="auto"/>
              <w:jc w:val="center"/>
            </w:pPr>
            <w:r>
              <w:t>1.93 [1.23-3.03]</w:t>
            </w:r>
          </w:p>
          <w:p w14:paraId="095E90DF" w14:textId="77777777" w:rsidR="006F1135" w:rsidRDefault="006F1135" w:rsidP="00F644EA">
            <w:pPr>
              <w:spacing w:after="0" w:line="240" w:lineRule="auto"/>
              <w:jc w:val="center"/>
            </w:pPr>
            <w:r>
              <w:t>0.004</w:t>
            </w:r>
          </w:p>
        </w:tc>
        <w:tc>
          <w:tcPr>
            <w:tcW w:w="238" w:type="dxa"/>
          </w:tcPr>
          <w:p w14:paraId="0BE865F3" w14:textId="77777777" w:rsidR="006F1135" w:rsidRDefault="006F1135" w:rsidP="00F644EA">
            <w:pPr>
              <w:spacing w:after="0" w:line="240" w:lineRule="auto"/>
              <w:jc w:val="center"/>
            </w:pPr>
          </w:p>
        </w:tc>
        <w:tc>
          <w:tcPr>
            <w:tcW w:w="1305" w:type="dxa"/>
          </w:tcPr>
          <w:p w14:paraId="6D9BD1D3" w14:textId="77777777" w:rsidR="006F1135" w:rsidRDefault="006F1135" w:rsidP="00F644EA">
            <w:pPr>
              <w:spacing w:after="0" w:line="240" w:lineRule="auto"/>
              <w:jc w:val="center"/>
            </w:pPr>
            <w:r>
              <w:t>1</w:t>
            </w:r>
          </w:p>
        </w:tc>
        <w:tc>
          <w:tcPr>
            <w:tcW w:w="1673" w:type="dxa"/>
          </w:tcPr>
          <w:p w14:paraId="0DCD6E7C" w14:textId="77777777" w:rsidR="006F1135" w:rsidRDefault="006F1135" w:rsidP="00F644EA">
            <w:pPr>
              <w:spacing w:after="0" w:line="240" w:lineRule="auto"/>
              <w:jc w:val="center"/>
            </w:pPr>
            <w:r>
              <w:t>1.19 [0.78-1.82]</w:t>
            </w:r>
          </w:p>
          <w:p w14:paraId="1D145501" w14:textId="77777777" w:rsidR="006F1135" w:rsidRDefault="006F1135" w:rsidP="00F644EA">
            <w:pPr>
              <w:spacing w:after="0" w:line="240" w:lineRule="auto"/>
              <w:jc w:val="center"/>
            </w:pPr>
            <w:r>
              <w:t>0.412</w:t>
            </w:r>
          </w:p>
        </w:tc>
        <w:tc>
          <w:tcPr>
            <w:tcW w:w="236" w:type="dxa"/>
          </w:tcPr>
          <w:p w14:paraId="300DC58E" w14:textId="77777777" w:rsidR="006F1135" w:rsidRDefault="006F1135" w:rsidP="00F644EA">
            <w:pPr>
              <w:spacing w:after="0" w:line="240" w:lineRule="auto"/>
              <w:jc w:val="center"/>
            </w:pPr>
          </w:p>
        </w:tc>
        <w:tc>
          <w:tcPr>
            <w:tcW w:w="1704" w:type="dxa"/>
            <w:vAlign w:val="center"/>
          </w:tcPr>
          <w:p w14:paraId="1B60A949" w14:textId="77777777" w:rsidR="006F1135" w:rsidRDefault="006F1135" w:rsidP="00F644EA">
            <w:pPr>
              <w:spacing w:after="0" w:line="240" w:lineRule="auto"/>
              <w:jc w:val="center"/>
            </w:pPr>
            <w:r>
              <w:t>1.19 [0.70-2.03]</w:t>
            </w:r>
          </w:p>
          <w:p w14:paraId="664B210C" w14:textId="77777777" w:rsidR="006F1135" w:rsidRDefault="006F1135" w:rsidP="00F644EA">
            <w:pPr>
              <w:spacing w:after="0" w:line="240" w:lineRule="auto"/>
              <w:jc w:val="center"/>
            </w:pPr>
            <w:r>
              <w:t>0.521</w:t>
            </w:r>
          </w:p>
        </w:tc>
        <w:tc>
          <w:tcPr>
            <w:tcW w:w="1701" w:type="dxa"/>
            <w:vAlign w:val="center"/>
          </w:tcPr>
          <w:p w14:paraId="6B3FA6CB" w14:textId="77777777" w:rsidR="006F1135" w:rsidRDefault="006F1135" w:rsidP="00F644EA">
            <w:pPr>
              <w:spacing w:after="0" w:line="240" w:lineRule="auto"/>
              <w:jc w:val="center"/>
            </w:pPr>
            <w:r>
              <w:t>1.15 [0.57-2.33]</w:t>
            </w:r>
          </w:p>
          <w:p w14:paraId="03EEA6FF" w14:textId="77777777" w:rsidR="006F1135" w:rsidRDefault="006F1135" w:rsidP="00F644EA">
            <w:pPr>
              <w:spacing w:after="0" w:line="240" w:lineRule="auto"/>
              <w:jc w:val="center"/>
            </w:pPr>
            <w:r>
              <w:t>0.704</w:t>
            </w:r>
          </w:p>
        </w:tc>
      </w:tr>
      <w:tr w:rsidR="006F1135" w14:paraId="676C9ABB" w14:textId="77777777" w:rsidTr="00726BC2">
        <w:tc>
          <w:tcPr>
            <w:tcW w:w="2770" w:type="dxa"/>
            <w:gridSpan w:val="2"/>
            <w:tcBorders>
              <w:bottom w:val="nil"/>
            </w:tcBorders>
          </w:tcPr>
          <w:p w14:paraId="2B490D12" w14:textId="77777777" w:rsidR="006F1135" w:rsidRDefault="006F1135" w:rsidP="00F644EA">
            <w:pPr>
              <w:spacing w:after="0" w:line="240" w:lineRule="auto"/>
            </w:pPr>
            <w:r>
              <w:t>Stroke</w:t>
            </w:r>
          </w:p>
        </w:tc>
        <w:tc>
          <w:tcPr>
            <w:tcW w:w="1483" w:type="dxa"/>
            <w:tcBorders>
              <w:bottom w:val="nil"/>
            </w:tcBorders>
          </w:tcPr>
          <w:p w14:paraId="2C8745FB" w14:textId="77777777" w:rsidR="006F1135" w:rsidRDefault="006F1135" w:rsidP="00F644EA">
            <w:pPr>
              <w:spacing w:after="0" w:line="240" w:lineRule="auto"/>
              <w:jc w:val="center"/>
            </w:pPr>
          </w:p>
        </w:tc>
        <w:tc>
          <w:tcPr>
            <w:tcW w:w="1705" w:type="dxa"/>
            <w:tcBorders>
              <w:bottom w:val="nil"/>
            </w:tcBorders>
          </w:tcPr>
          <w:p w14:paraId="5C946AE0" w14:textId="77777777" w:rsidR="006F1135" w:rsidRDefault="006F1135" w:rsidP="00F644EA">
            <w:pPr>
              <w:spacing w:after="0" w:line="240" w:lineRule="auto"/>
              <w:jc w:val="center"/>
            </w:pPr>
          </w:p>
        </w:tc>
        <w:tc>
          <w:tcPr>
            <w:tcW w:w="1713" w:type="dxa"/>
            <w:tcBorders>
              <w:bottom w:val="nil"/>
            </w:tcBorders>
          </w:tcPr>
          <w:p w14:paraId="44D4F229" w14:textId="77777777" w:rsidR="006F1135" w:rsidRDefault="006F1135" w:rsidP="00F644EA">
            <w:pPr>
              <w:spacing w:after="0" w:line="240" w:lineRule="auto"/>
              <w:jc w:val="center"/>
            </w:pPr>
          </w:p>
        </w:tc>
        <w:tc>
          <w:tcPr>
            <w:tcW w:w="238" w:type="dxa"/>
            <w:tcBorders>
              <w:bottom w:val="nil"/>
            </w:tcBorders>
          </w:tcPr>
          <w:p w14:paraId="385AE01E" w14:textId="77777777" w:rsidR="006F1135" w:rsidRDefault="006F1135" w:rsidP="00F644EA">
            <w:pPr>
              <w:spacing w:after="0" w:line="240" w:lineRule="auto"/>
              <w:jc w:val="center"/>
            </w:pPr>
          </w:p>
        </w:tc>
        <w:tc>
          <w:tcPr>
            <w:tcW w:w="1305" w:type="dxa"/>
            <w:tcBorders>
              <w:bottom w:val="nil"/>
            </w:tcBorders>
          </w:tcPr>
          <w:p w14:paraId="1154B4D8" w14:textId="77777777" w:rsidR="006F1135" w:rsidRDefault="006F1135" w:rsidP="00F644EA">
            <w:pPr>
              <w:spacing w:after="0" w:line="240" w:lineRule="auto"/>
              <w:jc w:val="center"/>
            </w:pPr>
          </w:p>
        </w:tc>
        <w:tc>
          <w:tcPr>
            <w:tcW w:w="1673" w:type="dxa"/>
            <w:tcBorders>
              <w:bottom w:val="nil"/>
            </w:tcBorders>
          </w:tcPr>
          <w:p w14:paraId="79AA830E" w14:textId="77777777" w:rsidR="006F1135" w:rsidRDefault="006F1135" w:rsidP="00F644EA">
            <w:pPr>
              <w:spacing w:after="0" w:line="240" w:lineRule="auto"/>
              <w:jc w:val="center"/>
            </w:pPr>
          </w:p>
        </w:tc>
        <w:tc>
          <w:tcPr>
            <w:tcW w:w="236" w:type="dxa"/>
            <w:tcBorders>
              <w:bottom w:val="nil"/>
            </w:tcBorders>
          </w:tcPr>
          <w:p w14:paraId="1D729FF5" w14:textId="77777777" w:rsidR="006F1135" w:rsidRDefault="006F1135" w:rsidP="00F644EA">
            <w:pPr>
              <w:spacing w:after="0" w:line="240" w:lineRule="auto"/>
              <w:jc w:val="center"/>
            </w:pPr>
          </w:p>
        </w:tc>
        <w:tc>
          <w:tcPr>
            <w:tcW w:w="1704" w:type="dxa"/>
            <w:tcBorders>
              <w:bottom w:val="nil"/>
            </w:tcBorders>
            <w:vAlign w:val="center"/>
          </w:tcPr>
          <w:p w14:paraId="516F34D2" w14:textId="77777777" w:rsidR="006F1135" w:rsidRDefault="006F1135" w:rsidP="00F644EA">
            <w:pPr>
              <w:spacing w:after="0" w:line="240" w:lineRule="auto"/>
              <w:jc w:val="center"/>
            </w:pPr>
          </w:p>
        </w:tc>
        <w:tc>
          <w:tcPr>
            <w:tcW w:w="1701" w:type="dxa"/>
            <w:tcBorders>
              <w:bottom w:val="nil"/>
            </w:tcBorders>
            <w:vAlign w:val="center"/>
          </w:tcPr>
          <w:p w14:paraId="324A4CAF" w14:textId="77777777" w:rsidR="006F1135" w:rsidRDefault="006F1135" w:rsidP="00F644EA">
            <w:pPr>
              <w:spacing w:after="0" w:line="240" w:lineRule="auto"/>
              <w:jc w:val="center"/>
            </w:pPr>
          </w:p>
        </w:tc>
      </w:tr>
      <w:tr w:rsidR="006F1135" w14:paraId="3D03A041" w14:textId="77777777" w:rsidTr="00726BC2">
        <w:tc>
          <w:tcPr>
            <w:tcW w:w="280" w:type="dxa"/>
            <w:tcBorders>
              <w:top w:val="nil"/>
              <w:bottom w:val="nil"/>
            </w:tcBorders>
          </w:tcPr>
          <w:p w14:paraId="4C78EAE0" w14:textId="77777777" w:rsidR="006F1135" w:rsidRDefault="006F1135" w:rsidP="00F644EA">
            <w:pPr>
              <w:spacing w:after="0" w:line="240" w:lineRule="auto"/>
            </w:pPr>
          </w:p>
        </w:tc>
        <w:tc>
          <w:tcPr>
            <w:tcW w:w="2490" w:type="dxa"/>
            <w:tcBorders>
              <w:top w:val="nil"/>
            </w:tcBorders>
          </w:tcPr>
          <w:p w14:paraId="55D75F47" w14:textId="77777777" w:rsidR="006F1135" w:rsidRDefault="006F1135" w:rsidP="00F644EA">
            <w:pPr>
              <w:spacing w:after="0" w:line="240" w:lineRule="auto"/>
            </w:pPr>
            <w:r>
              <w:t>% (</w:t>
            </w:r>
            <w:r w:rsidRPr="00DA1594">
              <w:rPr>
                <w:i/>
              </w:rPr>
              <w:t>n</w:t>
            </w:r>
            <w:r>
              <w:t>)</w:t>
            </w:r>
          </w:p>
        </w:tc>
        <w:tc>
          <w:tcPr>
            <w:tcW w:w="1483" w:type="dxa"/>
            <w:tcBorders>
              <w:top w:val="nil"/>
            </w:tcBorders>
          </w:tcPr>
          <w:p w14:paraId="426F00B5" w14:textId="2BFA6166" w:rsidR="006F1135" w:rsidRDefault="006F1135" w:rsidP="00F644EA">
            <w:pPr>
              <w:spacing w:after="0" w:line="240" w:lineRule="auto"/>
              <w:jc w:val="center"/>
            </w:pPr>
            <w:r>
              <w:t>8.2</w:t>
            </w:r>
            <w:r w:rsidR="00FE77D4">
              <w:t xml:space="preserve"> (113)</w:t>
            </w:r>
          </w:p>
        </w:tc>
        <w:tc>
          <w:tcPr>
            <w:tcW w:w="1705" w:type="dxa"/>
            <w:tcBorders>
              <w:top w:val="nil"/>
            </w:tcBorders>
          </w:tcPr>
          <w:p w14:paraId="377AF865" w14:textId="4593453F" w:rsidR="006F1135" w:rsidRDefault="006F1135" w:rsidP="00F644EA">
            <w:pPr>
              <w:spacing w:after="0" w:line="240" w:lineRule="auto"/>
              <w:jc w:val="center"/>
            </w:pPr>
            <w:r>
              <w:t>9.9</w:t>
            </w:r>
            <w:r w:rsidR="00FE77D4">
              <w:t xml:space="preserve"> (159)</w:t>
            </w:r>
          </w:p>
        </w:tc>
        <w:tc>
          <w:tcPr>
            <w:tcW w:w="1713" w:type="dxa"/>
            <w:tcBorders>
              <w:top w:val="nil"/>
            </w:tcBorders>
          </w:tcPr>
          <w:p w14:paraId="03980FF7" w14:textId="519E3528" w:rsidR="006F1135" w:rsidRDefault="006F1135" w:rsidP="00F644EA">
            <w:pPr>
              <w:spacing w:after="0" w:line="240" w:lineRule="auto"/>
              <w:jc w:val="center"/>
            </w:pPr>
            <w:r>
              <w:t>12.9</w:t>
            </w:r>
            <w:r w:rsidR="00FE77D4">
              <w:t xml:space="preserve"> (54)</w:t>
            </w:r>
          </w:p>
        </w:tc>
        <w:tc>
          <w:tcPr>
            <w:tcW w:w="238" w:type="dxa"/>
            <w:tcBorders>
              <w:top w:val="nil"/>
            </w:tcBorders>
          </w:tcPr>
          <w:p w14:paraId="7BA91EF7" w14:textId="77777777" w:rsidR="006F1135" w:rsidRDefault="006F1135" w:rsidP="00F644EA">
            <w:pPr>
              <w:spacing w:after="0" w:line="240" w:lineRule="auto"/>
              <w:jc w:val="center"/>
            </w:pPr>
          </w:p>
        </w:tc>
        <w:tc>
          <w:tcPr>
            <w:tcW w:w="1305" w:type="dxa"/>
            <w:tcBorders>
              <w:top w:val="nil"/>
            </w:tcBorders>
          </w:tcPr>
          <w:p w14:paraId="2215D854" w14:textId="3EC721B3" w:rsidR="006F1135" w:rsidRDefault="006F1135" w:rsidP="00F644EA">
            <w:pPr>
              <w:spacing w:after="0" w:line="240" w:lineRule="auto"/>
              <w:jc w:val="center"/>
            </w:pPr>
            <w:r>
              <w:t>8.1</w:t>
            </w:r>
            <w:r w:rsidR="00FE77D4">
              <w:t xml:space="preserve"> (196)</w:t>
            </w:r>
          </w:p>
        </w:tc>
        <w:tc>
          <w:tcPr>
            <w:tcW w:w="1673" w:type="dxa"/>
            <w:tcBorders>
              <w:top w:val="nil"/>
            </w:tcBorders>
          </w:tcPr>
          <w:p w14:paraId="3B18C5E3" w14:textId="069BEF5B" w:rsidR="006F1135" w:rsidRDefault="006F1135" w:rsidP="00F644EA">
            <w:pPr>
              <w:spacing w:after="0" w:line="240" w:lineRule="auto"/>
              <w:jc w:val="center"/>
            </w:pPr>
            <w:r>
              <w:t>13.3</w:t>
            </w:r>
            <w:r w:rsidR="00FE77D4">
              <w:t xml:space="preserve"> (130)</w:t>
            </w:r>
          </w:p>
        </w:tc>
        <w:tc>
          <w:tcPr>
            <w:tcW w:w="236" w:type="dxa"/>
            <w:tcBorders>
              <w:top w:val="nil"/>
            </w:tcBorders>
          </w:tcPr>
          <w:p w14:paraId="406C7838" w14:textId="77777777" w:rsidR="006F1135" w:rsidRDefault="006F1135" w:rsidP="00F644EA">
            <w:pPr>
              <w:spacing w:after="0" w:line="240" w:lineRule="auto"/>
              <w:jc w:val="center"/>
            </w:pPr>
          </w:p>
        </w:tc>
        <w:tc>
          <w:tcPr>
            <w:tcW w:w="1704" w:type="dxa"/>
            <w:tcBorders>
              <w:top w:val="nil"/>
            </w:tcBorders>
            <w:vAlign w:val="center"/>
          </w:tcPr>
          <w:p w14:paraId="1C4CE59F" w14:textId="77777777" w:rsidR="006F1135" w:rsidRDefault="006F1135" w:rsidP="00F644EA">
            <w:pPr>
              <w:spacing w:after="0" w:line="240" w:lineRule="auto"/>
              <w:jc w:val="center"/>
            </w:pPr>
            <w:r>
              <w:t>-</w:t>
            </w:r>
          </w:p>
        </w:tc>
        <w:tc>
          <w:tcPr>
            <w:tcW w:w="1701" w:type="dxa"/>
            <w:tcBorders>
              <w:top w:val="nil"/>
            </w:tcBorders>
            <w:vAlign w:val="center"/>
          </w:tcPr>
          <w:p w14:paraId="4D11C01B" w14:textId="77777777" w:rsidR="006F1135" w:rsidRDefault="006F1135" w:rsidP="00F644EA">
            <w:pPr>
              <w:spacing w:after="0" w:line="240" w:lineRule="auto"/>
              <w:jc w:val="center"/>
            </w:pPr>
            <w:r>
              <w:t>-</w:t>
            </w:r>
          </w:p>
        </w:tc>
      </w:tr>
      <w:tr w:rsidR="006F1135" w14:paraId="3537AF96" w14:textId="77777777" w:rsidTr="00726BC2">
        <w:tc>
          <w:tcPr>
            <w:tcW w:w="280" w:type="dxa"/>
            <w:tcBorders>
              <w:top w:val="nil"/>
              <w:bottom w:val="nil"/>
            </w:tcBorders>
          </w:tcPr>
          <w:p w14:paraId="4F27AC4A" w14:textId="77777777" w:rsidR="006F1135" w:rsidRDefault="006F1135" w:rsidP="00F644EA">
            <w:pPr>
              <w:spacing w:after="0" w:line="240" w:lineRule="auto"/>
            </w:pPr>
          </w:p>
        </w:tc>
        <w:tc>
          <w:tcPr>
            <w:tcW w:w="2490" w:type="dxa"/>
          </w:tcPr>
          <w:p w14:paraId="40096215" w14:textId="77777777" w:rsidR="006F1135" w:rsidRDefault="006F1135" w:rsidP="00F644EA">
            <w:pPr>
              <w:spacing w:after="0" w:line="240" w:lineRule="auto"/>
            </w:pPr>
            <w:r>
              <w:t>RR [95% CI]</w:t>
            </w:r>
          </w:p>
          <w:p w14:paraId="4304993E" w14:textId="77777777" w:rsidR="006F1135" w:rsidRPr="00E6027F" w:rsidRDefault="006F1135" w:rsidP="00F644EA">
            <w:pPr>
              <w:spacing w:after="0" w:line="240" w:lineRule="auto"/>
              <w:rPr>
                <w:i/>
              </w:rPr>
            </w:pPr>
            <w:r>
              <w:rPr>
                <w:i/>
              </w:rPr>
              <w:t>p</w:t>
            </w:r>
          </w:p>
        </w:tc>
        <w:tc>
          <w:tcPr>
            <w:tcW w:w="1483" w:type="dxa"/>
          </w:tcPr>
          <w:p w14:paraId="2277C2A8" w14:textId="77777777" w:rsidR="006F1135" w:rsidRDefault="006F1135" w:rsidP="00F644EA">
            <w:pPr>
              <w:spacing w:after="0" w:line="240" w:lineRule="auto"/>
              <w:jc w:val="center"/>
            </w:pPr>
            <w:r>
              <w:t>1</w:t>
            </w:r>
          </w:p>
        </w:tc>
        <w:tc>
          <w:tcPr>
            <w:tcW w:w="1705" w:type="dxa"/>
          </w:tcPr>
          <w:p w14:paraId="6773666B" w14:textId="77777777" w:rsidR="006F1135" w:rsidRDefault="006F1135" w:rsidP="00F644EA">
            <w:pPr>
              <w:spacing w:after="0" w:line="240" w:lineRule="auto"/>
              <w:jc w:val="center"/>
            </w:pPr>
            <w:r>
              <w:t>1.22 [0.95-1.56]</w:t>
            </w:r>
          </w:p>
          <w:p w14:paraId="512D0A56" w14:textId="77777777" w:rsidR="006F1135" w:rsidRDefault="006F1135" w:rsidP="00F644EA">
            <w:pPr>
              <w:spacing w:after="0" w:line="240" w:lineRule="auto"/>
              <w:jc w:val="center"/>
            </w:pPr>
            <w:r>
              <w:t>0.129</w:t>
            </w:r>
          </w:p>
        </w:tc>
        <w:tc>
          <w:tcPr>
            <w:tcW w:w="1713" w:type="dxa"/>
          </w:tcPr>
          <w:p w14:paraId="47F25B8F" w14:textId="77777777" w:rsidR="006F1135" w:rsidRDefault="006F1135" w:rsidP="00F644EA">
            <w:pPr>
              <w:spacing w:after="0" w:line="240" w:lineRule="auto"/>
              <w:jc w:val="center"/>
            </w:pPr>
            <w:r>
              <w:t>1.58 [1.12-2.22]</w:t>
            </w:r>
          </w:p>
          <w:p w14:paraId="37AF6061" w14:textId="77777777" w:rsidR="006F1135" w:rsidRDefault="006F1135" w:rsidP="00F644EA">
            <w:pPr>
              <w:spacing w:after="0" w:line="240" w:lineRule="auto"/>
              <w:jc w:val="center"/>
            </w:pPr>
            <w:r>
              <w:t>0.009</w:t>
            </w:r>
          </w:p>
        </w:tc>
        <w:tc>
          <w:tcPr>
            <w:tcW w:w="238" w:type="dxa"/>
          </w:tcPr>
          <w:p w14:paraId="5E114480" w14:textId="77777777" w:rsidR="006F1135" w:rsidRDefault="006F1135" w:rsidP="00F644EA">
            <w:pPr>
              <w:spacing w:after="0" w:line="240" w:lineRule="auto"/>
              <w:jc w:val="center"/>
            </w:pPr>
          </w:p>
        </w:tc>
        <w:tc>
          <w:tcPr>
            <w:tcW w:w="1305" w:type="dxa"/>
          </w:tcPr>
          <w:p w14:paraId="577DC57B" w14:textId="77777777" w:rsidR="006F1135" w:rsidRDefault="006F1135" w:rsidP="00F644EA">
            <w:pPr>
              <w:spacing w:after="0" w:line="240" w:lineRule="auto"/>
              <w:jc w:val="center"/>
            </w:pPr>
            <w:r>
              <w:t>1</w:t>
            </w:r>
          </w:p>
        </w:tc>
        <w:tc>
          <w:tcPr>
            <w:tcW w:w="1673" w:type="dxa"/>
          </w:tcPr>
          <w:p w14:paraId="0F0DD781" w14:textId="77777777" w:rsidR="006F1135" w:rsidRDefault="006F1135" w:rsidP="00F644EA">
            <w:pPr>
              <w:spacing w:after="0" w:line="240" w:lineRule="auto"/>
              <w:jc w:val="center"/>
            </w:pPr>
            <w:r>
              <w:t>1.64 [1.30-2.07]</w:t>
            </w:r>
          </w:p>
          <w:p w14:paraId="21111ED8" w14:textId="77777777" w:rsidR="006F1135" w:rsidRDefault="006F1135" w:rsidP="00F644EA">
            <w:pPr>
              <w:spacing w:after="0" w:line="240" w:lineRule="auto"/>
              <w:jc w:val="center"/>
            </w:pPr>
            <w:r>
              <w:t>&lt;0.001</w:t>
            </w:r>
          </w:p>
        </w:tc>
        <w:tc>
          <w:tcPr>
            <w:tcW w:w="236" w:type="dxa"/>
          </w:tcPr>
          <w:p w14:paraId="28D91A0A" w14:textId="77777777" w:rsidR="006F1135" w:rsidRDefault="006F1135" w:rsidP="00F644EA">
            <w:pPr>
              <w:spacing w:after="0" w:line="240" w:lineRule="auto"/>
              <w:jc w:val="center"/>
            </w:pPr>
          </w:p>
        </w:tc>
        <w:tc>
          <w:tcPr>
            <w:tcW w:w="1704" w:type="dxa"/>
            <w:vAlign w:val="center"/>
          </w:tcPr>
          <w:p w14:paraId="2BC8B5BF" w14:textId="77777777" w:rsidR="006F1135" w:rsidRDefault="006F1135" w:rsidP="00F644EA">
            <w:pPr>
              <w:spacing w:after="0" w:line="240" w:lineRule="auto"/>
              <w:jc w:val="center"/>
            </w:pPr>
            <w:r>
              <w:t>-</w:t>
            </w:r>
          </w:p>
        </w:tc>
        <w:tc>
          <w:tcPr>
            <w:tcW w:w="1701" w:type="dxa"/>
            <w:vAlign w:val="center"/>
          </w:tcPr>
          <w:p w14:paraId="4DF11822" w14:textId="77777777" w:rsidR="006F1135" w:rsidRDefault="006F1135" w:rsidP="00F644EA">
            <w:pPr>
              <w:spacing w:after="0" w:line="240" w:lineRule="auto"/>
              <w:jc w:val="center"/>
            </w:pPr>
            <w:r>
              <w:t>-</w:t>
            </w:r>
          </w:p>
        </w:tc>
      </w:tr>
      <w:tr w:rsidR="006F1135" w14:paraId="34CF99D1" w14:textId="77777777" w:rsidTr="00726BC2">
        <w:tc>
          <w:tcPr>
            <w:tcW w:w="280" w:type="dxa"/>
            <w:tcBorders>
              <w:top w:val="nil"/>
            </w:tcBorders>
          </w:tcPr>
          <w:p w14:paraId="3457E22A" w14:textId="77777777" w:rsidR="006F1135" w:rsidRDefault="006F1135" w:rsidP="00F644EA">
            <w:pPr>
              <w:spacing w:after="0" w:line="240" w:lineRule="auto"/>
            </w:pPr>
          </w:p>
        </w:tc>
        <w:tc>
          <w:tcPr>
            <w:tcW w:w="2490" w:type="dxa"/>
          </w:tcPr>
          <w:p w14:paraId="2A8C227A" w14:textId="77777777" w:rsidR="006F1135" w:rsidRDefault="006F1135" w:rsidP="00F644EA">
            <w:pPr>
              <w:spacing w:after="0" w:line="240" w:lineRule="auto"/>
            </w:pPr>
            <w:r>
              <w:t>RR</w:t>
            </w:r>
            <w:r w:rsidRPr="009A0497">
              <w:rPr>
                <w:vertAlign w:val="subscript"/>
              </w:rPr>
              <w:t>adj</w:t>
            </w:r>
            <w:r>
              <w:t xml:space="preserve"> [95% CI]</w:t>
            </w:r>
          </w:p>
          <w:p w14:paraId="5D136528" w14:textId="77777777" w:rsidR="006F1135" w:rsidRPr="00E6027F" w:rsidRDefault="006F1135" w:rsidP="00F644EA">
            <w:pPr>
              <w:spacing w:after="0" w:line="240" w:lineRule="auto"/>
              <w:rPr>
                <w:i/>
              </w:rPr>
            </w:pPr>
            <w:r>
              <w:rPr>
                <w:i/>
              </w:rPr>
              <w:t>p</w:t>
            </w:r>
          </w:p>
        </w:tc>
        <w:tc>
          <w:tcPr>
            <w:tcW w:w="1483" w:type="dxa"/>
          </w:tcPr>
          <w:p w14:paraId="4C1C8A45" w14:textId="77777777" w:rsidR="006F1135" w:rsidRDefault="006F1135" w:rsidP="00F644EA">
            <w:pPr>
              <w:spacing w:after="0" w:line="240" w:lineRule="auto"/>
              <w:jc w:val="center"/>
            </w:pPr>
            <w:r>
              <w:t>1</w:t>
            </w:r>
          </w:p>
        </w:tc>
        <w:tc>
          <w:tcPr>
            <w:tcW w:w="1705" w:type="dxa"/>
          </w:tcPr>
          <w:p w14:paraId="7DF151A1" w14:textId="77777777" w:rsidR="006F1135" w:rsidRDefault="006F1135" w:rsidP="00F644EA">
            <w:pPr>
              <w:spacing w:after="0" w:line="240" w:lineRule="auto"/>
              <w:jc w:val="center"/>
            </w:pPr>
            <w:r>
              <w:t>1.13 [0.81-1.57]</w:t>
            </w:r>
          </w:p>
          <w:p w14:paraId="2DD58227" w14:textId="77777777" w:rsidR="006F1135" w:rsidRDefault="006F1135" w:rsidP="00F644EA">
            <w:pPr>
              <w:spacing w:after="0" w:line="240" w:lineRule="auto"/>
              <w:jc w:val="center"/>
            </w:pPr>
            <w:r>
              <w:t>0.491</w:t>
            </w:r>
          </w:p>
        </w:tc>
        <w:tc>
          <w:tcPr>
            <w:tcW w:w="1713" w:type="dxa"/>
          </w:tcPr>
          <w:p w14:paraId="72EEE4F6" w14:textId="77777777" w:rsidR="006F1135" w:rsidRDefault="006F1135" w:rsidP="00F644EA">
            <w:pPr>
              <w:spacing w:after="0" w:line="240" w:lineRule="auto"/>
              <w:jc w:val="center"/>
            </w:pPr>
            <w:r>
              <w:t>1.74 [1.06-2.85]</w:t>
            </w:r>
          </w:p>
          <w:p w14:paraId="51D2A68E" w14:textId="77777777" w:rsidR="006F1135" w:rsidRDefault="006F1135" w:rsidP="00F644EA">
            <w:pPr>
              <w:spacing w:after="0" w:line="240" w:lineRule="auto"/>
              <w:jc w:val="center"/>
            </w:pPr>
            <w:r>
              <w:t>0.028</w:t>
            </w:r>
          </w:p>
        </w:tc>
        <w:tc>
          <w:tcPr>
            <w:tcW w:w="238" w:type="dxa"/>
          </w:tcPr>
          <w:p w14:paraId="194C72B9" w14:textId="77777777" w:rsidR="006F1135" w:rsidRDefault="006F1135" w:rsidP="00F644EA">
            <w:pPr>
              <w:spacing w:after="0" w:line="240" w:lineRule="auto"/>
              <w:jc w:val="center"/>
            </w:pPr>
          </w:p>
        </w:tc>
        <w:tc>
          <w:tcPr>
            <w:tcW w:w="1305" w:type="dxa"/>
          </w:tcPr>
          <w:p w14:paraId="24D9F495" w14:textId="77777777" w:rsidR="006F1135" w:rsidRDefault="006F1135" w:rsidP="00F644EA">
            <w:pPr>
              <w:spacing w:after="0" w:line="240" w:lineRule="auto"/>
              <w:jc w:val="center"/>
            </w:pPr>
            <w:r>
              <w:t>1</w:t>
            </w:r>
          </w:p>
        </w:tc>
        <w:tc>
          <w:tcPr>
            <w:tcW w:w="1673" w:type="dxa"/>
          </w:tcPr>
          <w:p w14:paraId="5888B5A5" w14:textId="77777777" w:rsidR="006F1135" w:rsidRDefault="006F1135" w:rsidP="00F644EA">
            <w:pPr>
              <w:spacing w:after="0" w:line="240" w:lineRule="auto"/>
              <w:jc w:val="center"/>
            </w:pPr>
            <w:r>
              <w:t>1.40 [0.92-2.12]</w:t>
            </w:r>
          </w:p>
          <w:p w14:paraId="0FAD59A7" w14:textId="77777777" w:rsidR="006F1135" w:rsidRDefault="006F1135" w:rsidP="00F644EA">
            <w:pPr>
              <w:spacing w:after="0" w:line="240" w:lineRule="auto"/>
              <w:jc w:val="center"/>
            </w:pPr>
            <w:r>
              <w:t>0.115</w:t>
            </w:r>
          </w:p>
        </w:tc>
        <w:tc>
          <w:tcPr>
            <w:tcW w:w="236" w:type="dxa"/>
          </w:tcPr>
          <w:p w14:paraId="085525ED" w14:textId="77777777" w:rsidR="006F1135" w:rsidRDefault="006F1135" w:rsidP="00F644EA">
            <w:pPr>
              <w:spacing w:after="0" w:line="240" w:lineRule="auto"/>
              <w:jc w:val="center"/>
            </w:pPr>
          </w:p>
        </w:tc>
        <w:tc>
          <w:tcPr>
            <w:tcW w:w="1704" w:type="dxa"/>
            <w:vAlign w:val="center"/>
          </w:tcPr>
          <w:p w14:paraId="459CA8CC" w14:textId="77777777" w:rsidR="006F1135" w:rsidRDefault="006F1135" w:rsidP="00F644EA">
            <w:pPr>
              <w:spacing w:after="0" w:line="240" w:lineRule="auto"/>
              <w:jc w:val="center"/>
            </w:pPr>
            <w:r>
              <w:t>0.81 [0.47-1.40]</w:t>
            </w:r>
          </w:p>
          <w:p w14:paraId="260480B0" w14:textId="77777777" w:rsidR="006F1135" w:rsidRDefault="006F1135" w:rsidP="00F644EA">
            <w:pPr>
              <w:spacing w:after="0" w:line="240" w:lineRule="auto"/>
              <w:jc w:val="center"/>
            </w:pPr>
            <w:r>
              <w:t>0.449</w:t>
            </w:r>
          </w:p>
        </w:tc>
        <w:tc>
          <w:tcPr>
            <w:tcW w:w="1701" w:type="dxa"/>
            <w:vAlign w:val="center"/>
          </w:tcPr>
          <w:p w14:paraId="15C9ACF7" w14:textId="77777777" w:rsidR="006F1135" w:rsidRDefault="006F1135" w:rsidP="00F644EA">
            <w:pPr>
              <w:spacing w:after="0" w:line="240" w:lineRule="auto"/>
              <w:jc w:val="center"/>
            </w:pPr>
            <w:r>
              <w:t>1.28 [0.63-2.64]</w:t>
            </w:r>
          </w:p>
          <w:p w14:paraId="74FD4F14" w14:textId="77777777" w:rsidR="006F1135" w:rsidRDefault="006F1135" w:rsidP="00F644EA">
            <w:pPr>
              <w:spacing w:after="0" w:line="240" w:lineRule="auto"/>
              <w:jc w:val="center"/>
            </w:pPr>
            <w:r>
              <w:t>0.496</w:t>
            </w:r>
          </w:p>
        </w:tc>
      </w:tr>
    </w:tbl>
    <w:p w14:paraId="1B4CC1F7" w14:textId="44E1A4D4" w:rsidR="006F1135" w:rsidRPr="00AE26E1" w:rsidRDefault="006F1135" w:rsidP="006F1135">
      <w:pPr>
        <w:spacing w:after="0" w:line="240" w:lineRule="auto"/>
      </w:pPr>
      <w:r>
        <w:t>CI = confidence interval; RR = relative risk from bivariate models; RR</w:t>
      </w:r>
      <w:r w:rsidRPr="001265B4">
        <w:rPr>
          <w:vertAlign w:val="subscript"/>
        </w:rPr>
        <w:t>adj</w:t>
      </w:r>
      <w:r>
        <w:t xml:space="preserve"> = relative risk adjusted for </w:t>
      </w:r>
      <w:r>
        <w:rPr>
          <w:shd w:val="clear" w:color="auto" w:fill="FFFFFF"/>
        </w:rPr>
        <w:t>age, sex, ethnicity, wealth, alcohol intake, body mass index, and physical activity (for smoking status) or smoking status (for physical activity).</w:t>
      </w:r>
      <w:r>
        <w:br/>
      </w:r>
      <w:r w:rsidRPr="00AE26E1">
        <w:rPr>
          <w:vertAlign w:val="superscript"/>
        </w:rPr>
        <w:t>1</w:t>
      </w:r>
      <w:r>
        <w:t xml:space="preserve"> </w:t>
      </w:r>
      <w:r w:rsidR="00F644EA">
        <w:t>M</w:t>
      </w:r>
      <w:r>
        <w:t>ultiplicative interaction between smoking status and physical activit</w:t>
      </w:r>
      <w:r w:rsidR="008A44BA">
        <w:t xml:space="preserve">y. Results can be interpreted as the difference in </w:t>
      </w:r>
      <w:r w:rsidR="00FA72B5">
        <w:t>RR</w:t>
      </w:r>
      <w:r w:rsidR="008A44BA">
        <w:t xml:space="preserve"> between high </w:t>
      </w:r>
      <w:r w:rsidR="00FA72B5">
        <w:t xml:space="preserve">active </w:t>
      </w:r>
      <w:r w:rsidR="008A44BA">
        <w:t xml:space="preserve">and low active </w:t>
      </w:r>
      <w:r w:rsidR="006E1F49">
        <w:t>former/current smokers</w:t>
      </w:r>
      <w:r w:rsidR="00FA72B5">
        <w:t>,</w:t>
      </w:r>
      <w:r w:rsidR="008A44BA">
        <w:t xml:space="preserve"> </w:t>
      </w:r>
      <w:r w:rsidR="006E1F49">
        <w:t>relative to</w:t>
      </w:r>
      <w:r w:rsidR="008A44BA">
        <w:t xml:space="preserve"> the difference </w:t>
      </w:r>
      <w:r w:rsidR="00FA72B5">
        <w:t xml:space="preserve">in RR </w:t>
      </w:r>
      <w:r w:rsidR="008A44BA">
        <w:t>between high and low active never smokers</w:t>
      </w:r>
      <w:r>
        <w:t>.</w:t>
      </w:r>
      <w:r w:rsidR="006E1F49">
        <w:t xml:space="preserve"> Thus, a</w:t>
      </w:r>
      <w:r w:rsidR="006C545B">
        <w:t>n</w:t>
      </w:r>
      <w:r w:rsidR="006E1F49">
        <w:t xml:space="preserve"> interaction term </w:t>
      </w:r>
      <w:r w:rsidR="006C545B">
        <w:t xml:space="preserve">above 1 </w:t>
      </w:r>
      <w:r w:rsidR="006E1F49">
        <w:t>indicates the disparity between high and low active groups was greater for former/current smokers than never smokers, and a</w:t>
      </w:r>
      <w:r w:rsidR="006C545B">
        <w:t xml:space="preserve">n </w:t>
      </w:r>
      <w:r w:rsidR="006E1F49">
        <w:t>interaction term</w:t>
      </w:r>
      <w:r w:rsidR="006C545B">
        <w:t xml:space="preserve"> below 1</w:t>
      </w:r>
      <w:r w:rsidR="006E1F49">
        <w:t xml:space="preserve"> indicates the disparity between high and low active groups was smaller for former/current smokers than never smokers.</w:t>
      </w:r>
    </w:p>
    <w:p w14:paraId="6AB9EECE" w14:textId="77777777" w:rsidR="006F1135" w:rsidRDefault="006F1135" w:rsidP="006F1135">
      <w:pPr>
        <w:spacing w:after="0" w:line="240" w:lineRule="auto"/>
      </w:pPr>
      <w:r>
        <w:lastRenderedPageBreak/>
        <w:t>Note: For each outcome, the sample is restricted to those who did not report the presence of the outcome at baseline. Results therefore indicate the prevalence and relative risk of new-onset health problems over the follow-up period.</w:t>
      </w:r>
    </w:p>
    <w:p w14:paraId="7A0B3903" w14:textId="77777777" w:rsidR="006F1135" w:rsidRDefault="006F1135" w:rsidP="006F1135">
      <w:pPr>
        <w:spacing w:after="0"/>
      </w:pPr>
    </w:p>
    <w:tbl>
      <w:tblPr>
        <w:tblStyle w:val="TableGrid"/>
        <w:tblW w:w="14660"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80"/>
        <w:gridCol w:w="2490"/>
        <w:gridCol w:w="1483"/>
        <w:gridCol w:w="1705"/>
        <w:gridCol w:w="1839"/>
        <w:gridCol w:w="238"/>
        <w:gridCol w:w="1305"/>
        <w:gridCol w:w="1673"/>
        <w:gridCol w:w="236"/>
        <w:gridCol w:w="1704"/>
        <w:gridCol w:w="1701"/>
        <w:gridCol w:w="6"/>
      </w:tblGrid>
      <w:tr w:rsidR="006F1135" w14:paraId="101A009F" w14:textId="77777777" w:rsidTr="00726BC2">
        <w:tc>
          <w:tcPr>
            <w:tcW w:w="14660" w:type="dxa"/>
            <w:gridSpan w:val="12"/>
            <w:tcBorders>
              <w:top w:val="nil"/>
              <w:bottom w:val="single" w:sz="4" w:space="0" w:color="auto"/>
            </w:tcBorders>
          </w:tcPr>
          <w:p w14:paraId="1B9722AD" w14:textId="77777777" w:rsidR="006F1135" w:rsidRPr="001A457F" w:rsidRDefault="006F1135" w:rsidP="00F644EA">
            <w:pPr>
              <w:spacing w:after="0" w:line="240" w:lineRule="auto"/>
              <w:rPr>
                <w:b/>
              </w:rPr>
            </w:pPr>
            <w:r w:rsidRPr="00AE1893">
              <w:rPr>
                <w:b/>
              </w:rPr>
              <w:t xml:space="preserve">Table </w:t>
            </w:r>
            <w:r>
              <w:rPr>
                <w:b/>
              </w:rPr>
              <w:t>2</w:t>
            </w:r>
            <w:r w:rsidRPr="00AE1893">
              <w:rPr>
                <w:b/>
              </w:rPr>
              <w:t>.</w:t>
            </w:r>
            <w:r w:rsidRPr="00AE1893">
              <w:t xml:space="preserve"> (continued)</w:t>
            </w:r>
          </w:p>
        </w:tc>
      </w:tr>
      <w:tr w:rsidR="006F1135" w14:paraId="45F610C1" w14:textId="77777777" w:rsidTr="00726BC2">
        <w:trPr>
          <w:gridAfter w:val="1"/>
          <w:wAfter w:w="6" w:type="dxa"/>
          <w:trHeight w:val="84"/>
        </w:trPr>
        <w:tc>
          <w:tcPr>
            <w:tcW w:w="2770" w:type="dxa"/>
            <w:gridSpan w:val="2"/>
            <w:tcBorders>
              <w:top w:val="nil"/>
              <w:bottom w:val="nil"/>
              <w:right w:val="nil"/>
            </w:tcBorders>
          </w:tcPr>
          <w:p w14:paraId="509688F6" w14:textId="77777777" w:rsidR="006F1135" w:rsidRDefault="006F1135" w:rsidP="00F644EA">
            <w:pPr>
              <w:spacing w:after="0" w:line="240" w:lineRule="auto"/>
            </w:pPr>
          </w:p>
        </w:tc>
        <w:tc>
          <w:tcPr>
            <w:tcW w:w="5027" w:type="dxa"/>
            <w:gridSpan w:val="3"/>
            <w:tcBorders>
              <w:top w:val="single" w:sz="4" w:space="0" w:color="auto"/>
              <w:left w:val="nil"/>
              <w:bottom w:val="single" w:sz="4" w:space="0" w:color="auto"/>
              <w:right w:val="nil"/>
            </w:tcBorders>
          </w:tcPr>
          <w:p w14:paraId="3A111DDC" w14:textId="77777777" w:rsidR="006F1135" w:rsidRDefault="006F1135" w:rsidP="00F644EA">
            <w:pPr>
              <w:spacing w:after="0" w:line="240" w:lineRule="auto"/>
              <w:jc w:val="center"/>
            </w:pPr>
            <w:r>
              <w:t>Smoking status</w:t>
            </w:r>
          </w:p>
        </w:tc>
        <w:tc>
          <w:tcPr>
            <w:tcW w:w="238" w:type="dxa"/>
            <w:tcBorders>
              <w:top w:val="nil"/>
              <w:left w:val="nil"/>
              <w:bottom w:val="nil"/>
              <w:right w:val="nil"/>
            </w:tcBorders>
          </w:tcPr>
          <w:p w14:paraId="3DB34841" w14:textId="77777777" w:rsidR="006F1135" w:rsidRDefault="006F1135" w:rsidP="00F644EA">
            <w:pPr>
              <w:spacing w:after="0" w:line="240" w:lineRule="auto"/>
              <w:jc w:val="center"/>
            </w:pPr>
          </w:p>
        </w:tc>
        <w:tc>
          <w:tcPr>
            <w:tcW w:w="2978" w:type="dxa"/>
            <w:gridSpan w:val="2"/>
            <w:tcBorders>
              <w:top w:val="single" w:sz="4" w:space="0" w:color="auto"/>
              <w:left w:val="nil"/>
              <w:bottom w:val="single" w:sz="4" w:space="0" w:color="auto"/>
              <w:right w:val="nil"/>
            </w:tcBorders>
          </w:tcPr>
          <w:p w14:paraId="21E7BC75" w14:textId="77777777" w:rsidR="006F1135" w:rsidRDefault="006F1135" w:rsidP="00F644EA">
            <w:pPr>
              <w:spacing w:after="0" w:line="240" w:lineRule="auto"/>
              <w:jc w:val="center"/>
            </w:pPr>
            <w:r>
              <w:t>Physical activity</w:t>
            </w:r>
          </w:p>
        </w:tc>
        <w:tc>
          <w:tcPr>
            <w:tcW w:w="236" w:type="dxa"/>
            <w:tcBorders>
              <w:top w:val="nil"/>
              <w:left w:val="nil"/>
              <w:bottom w:val="nil"/>
              <w:right w:val="nil"/>
            </w:tcBorders>
          </w:tcPr>
          <w:p w14:paraId="52359BFC" w14:textId="77777777" w:rsidR="006F1135" w:rsidRDefault="006F1135" w:rsidP="00F644EA">
            <w:pPr>
              <w:spacing w:after="0" w:line="240" w:lineRule="auto"/>
              <w:jc w:val="center"/>
              <w:rPr>
                <w:i/>
              </w:rPr>
            </w:pPr>
          </w:p>
        </w:tc>
        <w:tc>
          <w:tcPr>
            <w:tcW w:w="3405" w:type="dxa"/>
            <w:gridSpan w:val="2"/>
            <w:tcBorders>
              <w:top w:val="nil"/>
              <w:left w:val="nil"/>
              <w:bottom w:val="single" w:sz="4" w:space="0" w:color="auto"/>
              <w:right w:val="nil"/>
            </w:tcBorders>
          </w:tcPr>
          <w:p w14:paraId="6DADF753" w14:textId="07DE4FCB" w:rsidR="006F1135" w:rsidRPr="0031024E" w:rsidRDefault="006F1135" w:rsidP="00F644EA">
            <w:pPr>
              <w:spacing w:after="0" w:line="240" w:lineRule="auto"/>
              <w:jc w:val="center"/>
            </w:pPr>
            <w:r w:rsidRPr="0031024E">
              <w:t>Interaction</w:t>
            </w:r>
            <w:r w:rsidR="00FA3EE5" w:rsidRPr="00AE26E1">
              <w:rPr>
                <w:vertAlign w:val="superscript"/>
              </w:rPr>
              <w:t>1</w:t>
            </w:r>
          </w:p>
        </w:tc>
      </w:tr>
      <w:tr w:rsidR="006F1135" w14:paraId="1E9984D2" w14:textId="77777777" w:rsidTr="00726BC2">
        <w:trPr>
          <w:gridAfter w:val="1"/>
          <w:wAfter w:w="6" w:type="dxa"/>
        </w:trPr>
        <w:tc>
          <w:tcPr>
            <w:tcW w:w="2770" w:type="dxa"/>
            <w:gridSpan w:val="2"/>
            <w:tcBorders>
              <w:top w:val="nil"/>
              <w:bottom w:val="single" w:sz="4" w:space="0" w:color="auto"/>
              <w:right w:val="nil"/>
            </w:tcBorders>
            <w:vAlign w:val="center"/>
          </w:tcPr>
          <w:p w14:paraId="0BEDA1A5" w14:textId="77777777" w:rsidR="006F1135" w:rsidRDefault="006F1135" w:rsidP="00F644EA">
            <w:pPr>
              <w:spacing w:after="0" w:line="240" w:lineRule="auto"/>
              <w:jc w:val="center"/>
            </w:pPr>
          </w:p>
        </w:tc>
        <w:tc>
          <w:tcPr>
            <w:tcW w:w="1483" w:type="dxa"/>
            <w:tcBorders>
              <w:top w:val="single" w:sz="4" w:space="0" w:color="auto"/>
              <w:left w:val="nil"/>
              <w:bottom w:val="single" w:sz="4" w:space="0" w:color="auto"/>
              <w:right w:val="nil"/>
            </w:tcBorders>
            <w:vAlign w:val="center"/>
          </w:tcPr>
          <w:p w14:paraId="365EEF23" w14:textId="77777777" w:rsidR="006F1135" w:rsidRDefault="006F1135" w:rsidP="00F644EA">
            <w:pPr>
              <w:spacing w:after="0" w:line="240" w:lineRule="auto"/>
              <w:jc w:val="center"/>
            </w:pPr>
            <w:r>
              <w:t>Never smoker</w:t>
            </w:r>
          </w:p>
        </w:tc>
        <w:tc>
          <w:tcPr>
            <w:tcW w:w="1705" w:type="dxa"/>
            <w:tcBorders>
              <w:top w:val="single" w:sz="4" w:space="0" w:color="auto"/>
              <w:left w:val="nil"/>
              <w:bottom w:val="single" w:sz="4" w:space="0" w:color="auto"/>
              <w:right w:val="nil"/>
            </w:tcBorders>
            <w:vAlign w:val="center"/>
          </w:tcPr>
          <w:p w14:paraId="7308F465" w14:textId="77777777" w:rsidR="006F1135" w:rsidRDefault="006F1135" w:rsidP="00F644EA">
            <w:pPr>
              <w:spacing w:after="0" w:line="240" w:lineRule="auto"/>
              <w:jc w:val="center"/>
            </w:pPr>
            <w:r>
              <w:t>Former smoker</w:t>
            </w:r>
          </w:p>
        </w:tc>
        <w:tc>
          <w:tcPr>
            <w:tcW w:w="1839" w:type="dxa"/>
            <w:tcBorders>
              <w:top w:val="single" w:sz="4" w:space="0" w:color="auto"/>
              <w:left w:val="nil"/>
              <w:bottom w:val="single" w:sz="4" w:space="0" w:color="auto"/>
              <w:right w:val="nil"/>
            </w:tcBorders>
            <w:vAlign w:val="center"/>
          </w:tcPr>
          <w:p w14:paraId="3994A8FF" w14:textId="77777777" w:rsidR="006F1135" w:rsidRDefault="006F1135" w:rsidP="00F644EA">
            <w:pPr>
              <w:spacing w:after="0" w:line="240" w:lineRule="auto"/>
              <w:jc w:val="center"/>
            </w:pPr>
            <w:r>
              <w:t>Current smoker</w:t>
            </w:r>
          </w:p>
        </w:tc>
        <w:tc>
          <w:tcPr>
            <w:tcW w:w="238" w:type="dxa"/>
            <w:tcBorders>
              <w:top w:val="nil"/>
              <w:left w:val="nil"/>
              <w:bottom w:val="single" w:sz="4" w:space="0" w:color="auto"/>
              <w:right w:val="nil"/>
            </w:tcBorders>
            <w:vAlign w:val="center"/>
          </w:tcPr>
          <w:p w14:paraId="17242478" w14:textId="77777777" w:rsidR="006F1135" w:rsidRDefault="006F1135" w:rsidP="00F644EA">
            <w:pPr>
              <w:spacing w:after="0" w:line="240" w:lineRule="auto"/>
              <w:jc w:val="center"/>
            </w:pPr>
          </w:p>
        </w:tc>
        <w:tc>
          <w:tcPr>
            <w:tcW w:w="1305" w:type="dxa"/>
            <w:tcBorders>
              <w:top w:val="single" w:sz="4" w:space="0" w:color="auto"/>
              <w:left w:val="nil"/>
              <w:bottom w:val="single" w:sz="4" w:space="0" w:color="auto"/>
              <w:right w:val="nil"/>
            </w:tcBorders>
            <w:vAlign w:val="center"/>
          </w:tcPr>
          <w:p w14:paraId="6097BD4C" w14:textId="77777777" w:rsidR="006F1135" w:rsidRDefault="006F1135" w:rsidP="00F644EA">
            <w:pPr>
              <w:spacing w:after="0" w:line="240" w:lineRule="auto"/>
              <w:jc w:val="center"/>
            </w:pPr>
            <w:r>
              <w:t>High active</w:t>
            </w:r>
          </w:p>
        </w:tc>
        <w:tc>
          <w:tcPr>
            <w:tcW w:w="1673" w:type="dxa"/>
            <w:tcBorders>
              <w:top w:val="single" w:sz="4" w:space="0" w:color="auto"/>
              <w:left w:val="nil"/>
              <w:bottom w:val="single" w:sz="4" w:space="0" w:color="auto"/>
              <w:right w:val="nil"/>
            </w:tcBorders>
            <w:vAlign w:val="center"/>
          </w:tcPr>
          <w:p w14:paraId="3846052B" w14:textId="77777777" w:rsidR="006F1135" w:rsidRDefault="006F1135" w:rsidP="00F644EA">
            <w:pPr>
              <w:spacing w:after="0" w:line="240" w:lineRule="auto"/>
              <w:jc w:val="center"/>
            </w:pPr>
            <w:r>
              <w:t>Low active</w:t>
            </w:r>
          </w:p>
        </w:tc>
        <w:tc>
          <w:tcPr>
            <w:tcW w:w="236" w:type="dxa"/>
            <w:tcBorders>
              <w:top w:val="nil"/>
              <w:left w:val="nil"/>
              <w:bottom w:val="single" w:sz="4" w:space="0" w:color="auto"/>
              <w:right w:val="nil"/>
            </w:tcBorders>
            <w:vAlign w:val="center"/>
          </w:tcPr>
          <w:p w14:paraId="7141266C" w14:textId="77777777" w:rsidR="006F1135" w:rsidRDefault="006F1135" w:rsidP="00F644EA">
            <w:pPr>
              <w:spacing w:after="0" w:line="240" w:lineRule="auto"/>
              <w:jc w:val="center"/>
              <w:rPr>
                <w:i/>
              </w:rPr>
            </w:pPr>
          </w:p>
        </w:tc>
        <w:tc>
          <w:tcPr>
            <w:tcW w:w="1704" w:type="dxa"/>
            <w:tcBorders>
              <w:top w:val="single" w:sz="4" w:space="0" w:color="auto"/>
              <w:left w:val="nil"/>
              <w:bottom w:val="single" w:sz="4" w:space="0" w:color="auto"/>
              <w:right w:val="nil"/>
            </w:tcBorders>
            <w:vAlign w:val="center"/>
          </w:tcPr>
          <w:p w14:paraId="6B6BFB56" w14:textId="77777777" w:rsidR="006F1135" w:rsidRPr="00AE26E1" w:rsidRDefault="006F1135" w:rsidP="00F644EA">
            <w:pPr>
              <w:spacing w:after="0" w:line="240" w:lineRule="auto"/>
              <w:jc w:val="center"/>
              <w:rPr>
                <w:i/>
              </w:rPr>
            </w:pPr>
            <w:r>
              <w:t>Former smoker x low active</w:t>
            </w:r>
          </w:p>
        </w:tc>
        <w:tc>
          <w:tcPr>
            <w:tcW w:w="1701" w:type="dxa"/>
            <w:tcBorders>
              <w:top w:val="single" w:sz="4" w:space="0" w:color="auto"/>
              <w:left w:val="nil"/>
              <w:bottom w:val="single" w:sz="4" w:space="0" w:color="auto"/>
              <w:right w:val="nil"/>
            </w:tcBorders>
            <w:vAlign w:val="center"/>
          </w:tcPr>
          <w:p w14:paraId="2896070F" w14:textId="77777777" w:rsidR="006F1135" w:rsidRPr="00AE26E1" w:rsidRDefault="006F1135" w:rsidP="00F644EA">
            <w:pPr>
              <w:spacing w:after="0" w:line="240" w:lineRule="auto"/>
              <w:jc w:val="center"/>
              <w:rPr>
                <w:i/>
              </w:rPr>
            </w:pPr>
            <w:r>
              <w:t>Current smoker x low active</w:t>
            </w:r>
          </w:p>
        </w:tc>
      </w:tr>
      <w:tr w:rsidR="006F1135" w14:paraId="0E83E680" w14:textId="77777777" w:rsidTr="00726BC2">
        <w:trPr>
          <w:gridAfter w:val="1"/>
          <w:wAfter w:w="6" w:type="dxa"/>
        </w:trPr>
        <w:tc>
          <w:tcPr>
            <w:tcW w:w="2770" w:type="dxa"/>
            <w:gridSpan w:val="2"/>
            <w:tcBorders>
              <w:bottom w:val="nil"/>
            </w:tcBorders>
          </w:tcPr>
          <w:p w14:paraId="028932E0" w14:textId="77777777" w:rsidR="006F1135" w:rsidRDefault="006F1135" w:rsidP="00F644EA">
            <w:pPr>
              <w:spacing w:after="0" w:line="240" w:lineRule="auto"/>
            </w:pPr>
            <w:r>
              <w:t>Cancer</w:t>
            </w:r>
          </w:p>
        </w:tc>
        <w:tc>
          <w:tcPr>
            <w:tcW w:w="1483" w:type="dxa"/>
            <w:tcBorders>
              <w:bottom w:val="nil"/>
            </w:tcBorders>
          </w:tcPr>
          <w:p w14:paraId="647172E5" w14:textId="77777777" w:rsidR="006F1135" w:rsidRDefault="006F1135" w:rsidP="00F644EA">
            <w:pPr>
              <w:spacing w:after="0" w:line="240" w:lineRule="auto"/>
            </w:pPr>
          </w:p>
        </w:tc>
        <w:tc>
          <w:tcPr>
            <w:tcW w:w="1705" w:type="dxa"/>
            <w:tcBorders>
              <w:bottom w:val="nil"/>
            </w:tcBorders>
          </w:tcPr>
          <w:p w14:paraId="6F51ABE2" w14:textId="77777777" w:rsidR="006F1135" w:rsidRDefault="006F1135" w:rsidP="00F644EA">
            <w:pPr>
              <w:spacing w:after="0" w:line="240" w:lineRule="auto"/>
            </w:pPr>
          </w:p>
        </w:tc>
        <w:tc>
          <w:tcPr>
            <w:tcW w:w="1839" w:type="dxa"/>
            <w:tcBorders>
              <w:bottom w:val="nil"/>
            </w:tcBorders>
          </w:tcPr>
          <w:p w14:paraId="2B3BF523" w14:textId="77777777" w:rsidR="006F1135" w:rsidRDefault="006F1135" w:rsidP="00F644EA">
            <w:pPr>
              <w:spacing w:after="0" w:line="240" w:lineRule="auto"/>
            </w:pPr>
          </w:p>
        </w:tc>
        <w:tc>
          <w:tcPr>
            <w:tcW w:w="238" w:type="dxa"/>
            <w:tcBorders>
              <w:bottom w:val="nil"/>
            </w:tcBorders>
          </w:tcPr>
          <w:p w14:paraId="36381941" w14:textId="77777777" w:rsidR="006F1135" w:rsidRDefault="006F1135" w:rsidP="00F644EA">
            <w:pPr>
              <w:spacing w:after="0" w:line="240" w:lineRule="auto"/>
            </w:pPr>
          </w:p>
        </w:tc>
        <w:tc>
          <w:tcPr>
            <w:tcW w:w="1305" w:type="dxa"/>
            <w:tcBorders>
              <w:bottom w:val="nil"/>
            </w:tcBorders>
          </w:tcPr>
          <w:p w14:paraId="212DAEC7" w14:textId="77777777" w:rsidR="006F1135" w:rsidRDefault="006F1135" w:rsidP="00F644EA">
            <w:pPr>
              <w:spacing w:after="0" w:line="240" w:lineRule="auto"/>
            </w:pPr>
          </w:p>
        </w:tc>
        <w:tc>
          <w:tcPr>
            <w:tcW w:w="1673" w:type="dxa"/>
            <w:tcBorders>
              <w:bottom w:val="nil"/>
            </w:tcBorders>
          </w:tcPr>
          <w:p w14:paraId="7096CBCD" w14:textId="77777777" w:rsidR="006F1135" w:rsidRDefault="006F1135" w:rsidP="00F644EA">
            <w:pPr>
              <w:spacing w:after="0" w:line="240" w:lineRule="auto"/>
            </w:pPr>
          </w:p>
        </w:tc>
        <w:tc>
          <w:tcPr>
            <w:tcW w:w="236" w:type="dxa"/>
            <w:tcBorders>
              <w:bottom w:val="nil"/>
            </w:tcBorders>
          </w:tcPr>
          <w:p w14:paraId="64156A90" w14:textId="77777777" w:rsidR="006F1135" w:rsidRDefault="006F1135" w:rsidP="00F644EA">
            <w:pPr>
              <w:spacing w:after="0" w:line="240" w:lineRule="auto"/>
            </w:pPr>
          </w:p>
        </w:tc>
        <w:tc>
          <w:tcPr>
            <w:tcW w:w="1704" w:type="dxa"/>
            <w:tcBorders>
              <w:bottom w:val="nil"/>
            </w:tcBorders>
          </w:tcPr>
          <w:p w14:paraId="24A5F027" w14:textId="77777777" w:rsidR="006F1135" w:rsidRDefault="006F1135" w:rsidP="00F644EA">
            <w:pPr>
              <w:spacing w:after="0" w:line="240" w:lineRule="auto"/>
            </w:pPr>
          </w:p>
        </w:tc>
        <w:tc>
          <w:tcPr>
            <w:tcW w:w="1701" w:type="dxa"/>
            <w:tcBorders>
              <w:bottom w:val="nil"/>
            </w:tcBorders>
          </w:tcPr>
          <w:p w14:paraId="0CFAD9D8" w14:textId="77777777" w:rsidR="006F1135" w:rsidRDefault="006F1135" w:rsidP="00F644EA">
            <w:pPr>
              <w:spacing w:after="0" w:line="240" w:lineRule="auto"/>
            </w:pPr>
          </w:p>
        </w:tc>
      </w:tr>
      <w:tr w:rsidR="006F1135" w14:paraId="571E80F0" w14:textId="77777777" w:rsidTr="00726BC2">
        <w:trPr>
          <w:gridAfter w:val="1"/>
          <w:wAfter w:w="6" w:type="dxa"/>
        </w:trPr>
        <w:tc>
          <w:tcPr>
            <w:tcW w:w="280" w:type="dxa"/>
            <w:tcBorders>
              <w:top w:val="nil"/>
              <w:bottom w:val="nil"/>
            </w:tcBorders>
          </w:tcPr>
          <w:p w14:paraId="752E645C" w14:textId="77777777" w:rsidR="006F1135" w:rsidRDefault="006F1135" w:rsidP="00F644EA">
            <w:pPr>
              <w:spacing w:after="0" w:line="240" w:lineRule="auto"/>
            </w:pPr>
          </w:p>
        </w:tc>
        <w:tc>
          <w:tcPr>
            <w:tcW w:w="2490" w:type="dxa"/>
            <w:tcBorders>
              <w:top w:val="nil"/>
            </w:tcBorders>
          </w:tcPr>
          <w:p w14:paraId="0FCD0F8A" w14:textId="77777777" w:rsidR="006F1135" w:rsidRDefault="006F1135" w:rsidP="00F644EA">
            <w:pPr>
              <w:spacing w:after="0" w:line="240" w:lineRule="auto"/>
            </w:pPr>
            <w:r>
              <w:t>% (</w:t>
            </w:r>
            <w:r w:rsidRPr="00DA1594">
              <w:rPr>
                <w:i/>
              </w:rPr>
              <w:t>n</w:t>
            </w:r>
            <w:r>
              <w:t>)</w:t>
            </w:r>
          </w:p>
        </w:tc>
        <w:tc>
          <w:tcPr>
            <w:tcW w:w="1483" w:type="dxa"/>
            <w:tcBorders>
              <w:top w:val="nil"/>
            </w:tcBorders>
          </w:tcPr>
          <w:p w14:paraId="48D9ED2F" w14:textId="637963A0" w:rsidR="006F1135" w:rsidRDefault="006F1135" w:rsidP="00F644EA">
            <w:pPr>
              <w:spacing w:after="0" w:line="240" w:lineRule="auto"/>
              <w:jc w:val="center"/>
            </w:pPr>
            <w:r>
              <w:t>13.4</w:t>
            </w:r>
            <w:r w:rsidR="00CC4885">
              <w:t xml:space="preserve"> (178)</w:t>
            </w:r>
          </w:p>
        </w:tc>
        <w:tc>
          <w:tcPr>
            <w:tcW w:w="1705" w:type="dxa"/>
            <w:tcBorders>
              <w:top w:val="nil"/>
            </w:tcBorders>
          </w:tcPr>
          <w:p w14:paraId="6B6D0BEC" w14:textId="3266D993" w:rsidR="006F1135" w:rsidRDefault="006F1135" w:rsidP="00F644EA">
            <w:pPr>
              <w:spacing w:after="0" w:line="240" w:lineRule="auto"/>
              <w:jc w:val="center"/>
            </w:pPr>
            <w:r>
              <w:t>15.8</w:t>
            </w:r>
            <w:r w:rsidR="00CC4885">
              <w:t xml:space="preserve"> (247)</w:t>
            </w:r>
          </w:p>
        </w:tc>
        <w:tc>
          <w:tcPr>
            <w:tcW w:w="1839" w:type="dxa"/>
            <w:tcBorders>
              <w:top w:val="nil"/>
            </w:tcBorders>
          </w:tcPr>
          <w:p w14:paraId="516F537F" w14:textId="4D6D0D60" w:rsidR="006F1135" w:rsidRDefault="006F1135" w:rsidP="00F644EA">
            <w:pPr>
              <w:spacing w:after="0" w:line="240" w:lineRule="auto"/>
              <w:jc w:val="center"/>
            </w:pPr>
            <w:r>
              <w:t>17.1</w:t>
            </w:r>
            <w:r w:rsidR="00CC4885">
              <w:t xml:space="preserve"> (70)</w:t>
            </w:r>
          </w:p>
        </w:tc>
        <w:tc>
          <w:tcPr>
            <w:tcW w:w="238" w:type="dxa"/>
            <w:tcBorders>
              <w:top w:val="nil"/>
            </w:tcBorders>
          </w:tcPr>
          <w:p w14:paraId="36E3053B" w14:textId="77777777" w:rsidR="006F1135" w:rsidRDefault="006F1135" w:rsidP="00F644EA">
            <w:pPr>
              <w:spacing w:after="0" w:line="240" w:lineRule="auto"/>
              <w:jc w:val="center"/>
            </w:pPr>
          </w:p>
        </w:tc>
        <w:tc>
          <w:tcPr>
            <w:tcW w:w="1305" w:type="dxa"/>
            <w:tcBorders>
              <w:top w:val="nil"/>
            </w:tcBorders>
          </w:tcPr>
          <w:p w14:paraId="3E4C76F5" w14:textId="5EA1D6A9" w:rsidR="006F1135" w:rsidRDefault="006F1135" w:rsidP="00F644EA">
            <w:pPr>
              <w:spacing w:after="0" w:line="240" w:lineRule="auto"/>
              <w:jc w:val="center"/>
            </w:pPr>
            <w:r>
              <w:t>13.6</w:t>
            </w:r>
            <w:r w:rsidR="00CC4885">
              <w:t xml:space="preserve"> (</w:t>
            </w:r>
            <w:r w:rsidR="002A5072">
              <w:t>320)</w:t>
            </w:r>
          </w:p>
        </w:tc>
        <w:tc>
          <w:tcPr>
            <w:tcW w:w="1673" w:type="dxa"/>
            <w:tcBorders>
              <w:top w:val="nil"/>
            </w:tcBorders>
          </w:tcPr>
          <w:p w14:paraId="167C7CA2" w14:textId="107B5D9E" w:rsidR="006F1135" w:rsidRDefault="006F1135" w:rsidP="00F644EA">
            <w:pPr>
              <w:spacing w:after="0" w:line="240" w:lineRule="auto"/>
              <w:jc w:val="center"/>
            </w:pPr>
            <w:r>
              <w:t>18.5</w:t>
            </w:r>
            <w:r w:rsidR="002A5072">
              <w:t xml:space="preserve"> (175)</w:t>
            </w:r>
          </w:p>
        </w:tc>
        <w:tc>
          <w:tcPr>
            <w:tcW w:w="236" w:type="dxa"/>
            <w:tcBorders>
              <w:top w:val="nil"/>
            </w:tcBorders>
          </w:tcPr>
          <w:p w14:paraId="40C60E58" w14:textId="77777777" w:rsidR="006F1135" w:rsidRDefault="006F1135" w:rsidP="00F644EA">
            <w:pPr>
              <w:spacing w:after="0" w:line="240" w:lineRule="auto"/>
              <w:jc w:val="center"/>
            </w:pPr>
          </w:p>
        </w:tc>
        <w:tc>
          <w:tcPr>
            <w:tcW w:w="1704" w:type="dxa"/>
            <w:tcBorders>
              <w:top w:val="nil"/>
            </w:tcBorders>
            <w:vAlign w:val="center"/>
          </w:tcPr>
          <w:p w14:paraId="0921285A" w14:textId="77777777" w:rsidR="006F1135" w:rsidRDefault="006F1135" w:rsidP="00F644EA">
            <w:pPr>
              <w:spacing w:after="0" w:line="240" w:lineRule="auto"/>
              <w:jc w:val="center"/>
            </w:pPr>
            <w:r>
              <w:t>-</w:t>
            </w:r>
          </w:p>
        </w:tc>
        <w:tc>
          <w:tcPr>
            <w:tcW w:w="1701" w:type="dxa"/>
            <w:tcBorders>
              <w:top w:val="nil"/>
            </w:tcBorders>
            <w:vAlign w:val="center"/>
          </w:tcPr>
          <w:p w14:paraId="5815CB20" w14:textId="77777777" w:rsidR="006F1135" w:rsidRDefault="006F1135" w:rsidP="00F644EA">
            <w:pPr>
              <w:spacing w:after="0" w:line="240" w:lineRule="auto"/>
              <w:jc w:val="center"/>
            </w:pPr>
            <w:r>
              <w:t>-</w:t>
            </w:r>
          </w:p>
        </w:tc>
      </w:tr>
      <w:tr w:rsidR="006F1135" w14:paraId="793FCD2D" w14:textId="77777777" w:rsidTr="00726BC2">
        <w:trPr>
          <w:gridAfter w:val="1"/>
          <w:wAfter w:w="6" w:type="dxa"/>
        </w:trPr>
        <w:tc>
          <w:tcPr>
            <w:tcW w:w="280" w:type="dxa"/>
            <w:tcBorders>
              <w:top w:val="nil"/>
              <w:bottom w:val="nil"/>
            </w:tcBorders>
          </w:tcPr>
          <w:p w14:paraId="484549C2" w14:textId="77777777" w:rsidR="006F1135" w:rsidRDefault="006F1135" w:rsidP="00F644EA">
            <w:pPr>
              <w:spacing w:after="0" w:line="240" w:lineRule="auto"/>
            </w:pPr>
          </w:p>
        </w:tc>
        <w:tc>
          <w:tcPr>
            <w:tcW w:w="2490" w:type="dxa"/>
          </w:tcPr>
          <w:p w14:paraId="252B77C3" w14:textId="77777777" w:rsidR="006F1135" w:rsidRDefault="006F1135" w:rsidP="00F644EA">
            <w:pPr>
              <w:spacing w:after="0" w:line="240" w:lineRule="auto"/>
            </w:pPr>
            <w:r>
              <w:t>RR [95% CI]</w:t>
            </w:r>
          </w:p>
          <w:p w14:paraId="0F9E36FB" w14:textId="77777777" w:rsidR="006F1135" w:rsidRPr="00E6027F" w:rsidRDefault="006F1135" w:rsidP="00F644EA">
            <w:pPr>
              <w:spacing w:after="0" w:line="240" w:lineRule="auto"/>
              <w:rPr>
                <w:i/>
              </w:rPr>
            </w:pPr>
            <w:r>
              <w:rPr>
                <w:i/>
              </w:rPr>
              <w:t>p</w:t>
            </w:r>
          </w:p>
        </w:tc>
        <w:tc>
          <w:tcPr>
            <w:tcW w:w="1483" w:type="dxa"/>
          </w:tcPr>
          <w:p w14:paraId="43AFE512" w14:textId="77777777" w:rsidR="006F1135" w:rsidRDefault="006F1135" w:rsidP="00F644EA">
            <w:pPr>
              <w:spacing w:after="0" w:line="240" w:lineRule="auto"/>
              <w:jc w:val="center"/>
            </w:pPr>
            <w:r>
              <w:t>1</w:t>
            </w:r>
          </w:p>
        </w:tc>
        <w:tc>
          <w:tcPr>
            <w:tcW w:w="1705" w:type="dxa"/>
          </w:tcPr>
          <w:p w14:paraId="4DF3AB9F" w14:textId="77777777" w:rsidR="006F1135" w:rsidRDefault="006F1135" w:rsidP="00F644EA">
            <w:pPr>
              <w:spacing w:after="0" w:line="240" w:lineRule="auto"/>
              <w:jc w:val="center"/>
            </w:pPr>
            <w:r>
              <w:t>1.18 [0.96-1.45]</w:t>
            </w:r>
          </w:p>
          <w:p w14:paraId="180BC290" w14:textId="77777777" w:rsidR="006F1135" w:rsidRDefault="006F1135" w:rsidP="00F644EA">
            <w:pPr>
              <w:spacing w:after="0" w:line="240" w:lineRule="auto"/>
              <w:jc w:val="center"/>
            </w:pPr>
            <w:r>
              <w:t>0.112</w:t>
            </w:r>
          </w:p>
        </w:tc>
        <w:tc>
          <w:tcPr>
            <w:tcW w:w="1839" w:type="dxa"/>
          </w:tcPr>
          <w:p w14:paraId="1633D2F3" w14:textId="77777777" w:rsidR="006F1135" w:rsidRDefault="006F1135" w:rsidP="00F644EA">
            <w:pPr>
              <w:spacing w:after="0" w:line="240" w:lineRule="auto"/>
              <w:jc w:val="center"/>
            </w:pPr>
            <w:r>
              <w:t>1.28 [0.95-1.72]</w:t>
            </w:r>
          </w:p>
          <w:p w14:paraId="5D307670" w14:textId="77777777" w:rsidR="006F1135" w:rsidRDefault="006F1135" w:rsidP="00F644EA">
            <w:pPr>
              <w:spacing w:after="0" w:line="240" w:lineRule="auto"/>
              <w:jc w:val="center"/>
            </w:pPr>
            <w:r>
              <w:t>0.107</w:t>
            </w:r>
          </w:p>
        </w:tc>
        <w:tc>
          <w:tcPr>
            <w:tcW w:w="238" w:type="dxa"/>
          </w:tcPr>
          <w:p w14:paraId="273C8F70" w14:textId="77777777" w:rsidR="006F1135" w:rsidRDefault="006F1135" w:rsidP="00F644EA">
            <w:pPr>
              <w:spacing w:after="0" w:line="240" w:lineRule="auto"/>
              <w:jc w:val="center"/>
            </w:pPr>
          </w:p>
        </w:tc>
        <w:tc>
          <w:tcPr>
            <w:tcW w:w="1305" w:type="dxa"/>
          </w:tcPr>
          <w:p w14:paraId="595792FA" w14:textId="77777777" w:rsidR="006F1135" w:rsidRDefault="006F1135" w:rsidP="00F644EA">
            <w:pPr>
              <w:spacing w:after="0" w:line="240" w:lineRule="auto"/>
              <w:jc w:val="center"/>
            </w:pPr>
            <w:r>
              <w:t>1</w:t>
            </w:r>
          </w:p>
        </w:tc>
        <w:tc>
          <w:tcPr>
            <w:tcW w:w="1673" w:type="dxa"/>
          </w:tcPr>
          <w:p w14:paraId="0FAE721D" w14:textId="77777777" w:rsidR="006F1135" w:rsidRDefault="006F1135" w:rsidP="00F644EA">
            <w:pPr>
              <w:spacing w:after="0" w:line="240" w:lineRule="auto"/>
              <w:jc w:val="center"/>
            </w:pPr>
            <w:r>
              <w:t>1.36 [1.11-1.66]</w:t>
            </w:r>
          </w:p>
          <w:p w14:paraId="325C8E97" w14:textId="77777777" w:rsidR="006F1135" w:rsidRDefault="006F1135" w:rsidP="00F644EA">
            <w:pPr>
              <w:spacing w:after="0" w:line="240" w:lineRule="auto"/>
              <w:jc w:val="center"/>
            </w:pPr>
            <w:r>
              <w:t>0.002</w:t>
            </w:r>
          </w:p>
        </w:tc>
        <w:tc>
          <w:tcPr>
            <w:tcW w:w="236" w:type="dxa"/>
          </w:tcPr>
          <w:p w14:paraId="23D6F858" w14:textId="77777777" w:rsidR="006F1135" w:rsidRDefault="006F1135" w:rsidP="00F644EA">
            <w:pPr>
              <w:spacing w:after="0" w:line="240" w:lineRule="auto"/>
              <w:jc w:val="center"/>
            </w:pPr>
          </w:p>
        </w:tc>
        <w:tc>
          <w:tcPr>
            <w:tcW w:w="1704" w:type="dxa"/>
            <w:vAlign w:val="center"/>
          </w:tcPr>
          <w:p w14:paraId="0902185F" w14:textId="77777777" w:rsidR="006F1135" w:rsidRDefault="006F1135" w:rsidP="00F644EA">
            <w:pPr>
              <w:spacing w:after="0" w:line="240" w:lineRule="auto"/>
              <w:jc w:val="center"/>
            </w:pPr>
            <w:r>
              <w:t>-</w:t>
            </w:r>
          </w:p>
        </w:tc>
        <w:tc>
          <w:tcPr>
            <w:tcW w:w="1701" w:type="dxa"/>
            <w:vAlign w:val="center"/>
          </w:tcPr>
          <w:p w14:paraId="306DA42B" w14:textId="77777777" w:rsidR="006F1135" w:rsidRDefault="006F1135" w:rsidP="00F644EA">
            <w:pPr>
              <w:spacing w:after="0" w:line="240" w:lineRule="auto"/>
              <w:jc w:val="center"/>
            </w:pPr>
            <w:r>
              <w:t>-</w:t>
            </w:r>
          </w:p>
        </w:tc>
      </w:tr>
      <w:tr w:rsidR="006F1135" w14:paraId="71CFC62C" w14:textId="77777777" w:rsidTr="00726BC2">
        <w:trPr>
          <w:gridAfter w:val="1"/>
          <w:wAfter w:w="6" w:type="dxa"/>
        </w:trPr>
        <w:tc>
          <w:tcPr>
            <w:tcW w:w="280" w:type="dxa"/>
            <w:tcBorders>
              <w:top w:val="nil"/>
            </w:tcBorders>
          </w:tcPr>
          <w:p w14:paraId="1FAF2319" w14:textId="77777777" w:rsidR="006F1135" w:rsidRDefault="006F1135" w:rsidP="00F644EA">
            <w:pPr>
              <w:spacing w:after="0" w:line="240" w:lineRule="auto"/>
            </w:pPr>
          </w:p>
        </w:tc>
        <w:tc>
          <w:tcPr>
            <w:tcW w:w="2490" w:type="dxa"/>
          </w:tcPr>
          <w:p w14:paraId="1CE2315A" w14:textId="77777777" w:rsidR="006F1135" w:rsidRDefault="006F1135" w:rsidP="00F644EA">
            <w:pPr>
              <w:spacing w:after="0" w:line="240" w:lineRule="auto"/>
            </w:pPr>
            <w:r>
              <w:t>RR</w:t>
            </w:r>
            <w:r w:rsidRPr="009A0497">
              <w:rPr>
                <w:vertAlign w:val="subscript"/>
              </w:rPr>
              <w:t>adj</w:t>
            </w:r>
            <w:r>
              <w:t xml:space="preserve"> [95% CI]</w:t>
            </w:r>
          </w:p>
          <w:p w14:paraId="2C8C172C" w14:textId="77777777" w:rsidR="006F1135" w:rsidRPr="00E6027F" w:rsidRDefault="006F1135" w:rsidP="00F644EA">
            <w:pPr>
              <w:spacing w:after="0" w:line="240" w:lineRule="auto"/>
              <w:rPr>
                <w:i/>
              </w:rPr>
            </w:pPr>
            <w:r>
              <w:rPr>
                <w:i/>
              </w:rPr>
              <w:t>p</w:t>
            </w:r>
          </w:p>
        </w:tc>
        <w:tc>
          <w:tcPr>
            <w:tcW w:w="1483" w:type="dxa"/>
          </w:tcPr>
          <w:p w14:paraId="1561C5C8" w14:textId="77777777" w:rsidR="006F1135" w:rsidRDefault="006F1135" w:rsidP="00F644EA">
            <w:pPr>
              <w:spacing w:after="0" w:line="240" w:lineRule="auto"/>
              <w:jc w:val="center"/>
            </w:pPr>
            <w:r>
              <w:t>1</w:t>
            </w:r>
          </w:p>
        </w:tc>
        <w:tc>
          <w:tcPr>
            <w:tcW w:w="1705" w:type="dxa"/>
          </w:tcPr>
          <w:p w14:paraId="62ED587B" w14:textId="77777777" w:rsidR="006F1135" w:rsidRDefault="006F1135" w:rsidP="00F644EA">
            <w:pPr>
              <w:spacing w:after="0" w:line="240" w:lineRule="auto"/>
              <w:jc w:val="center"/>
            </w:pPr>
            <w:r>
              <w:t>1.11 [0.86-1.43]</w:t>
            </w:r>
          </w:p>
          <w:p w14:paraId="466843D2" w14:textId="77777777" w:rsidR="006F1135" w:rsidRDefault="006F1135" w:rsidP="00F644EA">
            <w:pPr>
              <w:spacing w:after="0" w:line="240" w:lineRule="auto"/>
              <w:jc w:val="center"/>
            </w:pPr>
            <w:r>
              <w:t>0.445</w:t>
            </w:r>
          </w:p>
        </w:tc>
        <w:tc>
          <w:tcPr>
            <w:tcW w:w="1839" w:type="dxa"/>
          </w:tcPr>
          <w:p w14:paraId="28FEA0AA" w14:textId="77777777" w:rsidR="006F1135" w:rsidRDefault="006F1135" w:rsidP="00F644EA">
            <w:pPr>
              <w:spacing w:after="0" w:line="240" w:lineRule="auto"/>
              <w:jc w:val="center"/>
            </w:pPr>
            <w:r>
              <w:t>1.44 [0.98-2.13]</w:t>
            </w:r>
          </w:p>
          <w:p w14:paraId="4B665746" w14:textId="77777777" w:rsidR="006F1135" w:rsidRDefault="006F1135" w:rsidP="00F644EA">
            <w:pPr>
              <w:spacing w:after="0" w:line="240" w:lineRule="auto"/>
              <w:jc w:val="center"/>
            </w:pPr>
            <w:r>
              <w:t>0.067</w:t>
            </w:r>
          </w:p>
        </w:tc>
        <w:tc>
          <w:tcPr>
            <w:tcW w:w="238" w:type="dxa"/>
          </w:tcPr>
          <w:p w14:paraId="302EF724" w14:textId="77777777" w:rsidR="006F1135" w:rsidRDefault="006F1135" w:rsidP="00F644EA">
            <w:pPr>
              <w:spacing w:after="0" w:line="240" w:lineRule="auto"/>
              <w:jc w:val="center"/>
            </w:pPr>
          </w:p>
        </w:tc>
        <w:tc>
          <w:tcPr>
            <w:tcW w:w="1305" w:type="dxa"/>
          </w:tcPr>
          <w:p w14:paraId="14CBEA56" w14:textId="77777777" w:rsidR="006F1135" w:rsidRDefault="006F1135" w:rsidP="00F644EA">
            <w:pPr>
              <w:spacing w:after="0" w:line="240" w:lineRule="auto"/>
              <w:jc w:val="center"/>
            </w:pPr>
            <w:r>
              <w:t>1</w:t>
            </w:r>
          </w:p>
        </w:tc>
        <w:tc>
          <w:tcPr>
            <w:tcW w:w="1673" w:type="dxa"/>
          </w:tcPr>
          <w:p w14:paraId="6DE998F1" w14:textId="77777777" w:rsidR="006F1135" w:rsidRDefault="006F1135" w:rsidP="00F644EA">
            <w:pPr>
              <w:spacing w:after="0" w:line="240" w:lineRule="auto"/>
              <w:jc w:val="center"/>
            </w:pPr>
            <w:r>
              <w:t>1.30 [0.92-1.83]</w:t>
            </w:r>
          </w:p>
          <w:p w14:paraId="359D3C21" w14:textId="77777777" w:rsidR="006F1135" w:rsidRDefault="006F1135" w:rsidP="00F644EA">
            <w:pPr>
              <w:spacing w:after="0" w:line="240" w:lineRule="auto"/>
              <w:jc w:val="center"/>
            </w:pPr>
            <w:r>
              <w:t>0.139</w:t>
            </w:r>
          </w:p>
        </w:tc>
        <w:tc>
          <w:tcPr>
            <w:tcW w:w="236" w:type="dxa"/>
          </w:tcPr>
          <w:p w14:paraId="6C188B16" w14:textId="77777777" w:rsidR="006F1135" w:rsidRDefault="006F1135" w:rsidP="00F644EA">
            <w:pPr>
              <w:spacing w:after="0" w:line="240" w:lineRule="auto"/>
              <w:jc w:val="center"/>
            </w:pPr>
          </w:p>
        </w:tc>
        <w:tc>
          <w:tcPr>
            <w:tcW w:w="1704" w:type="dxa"/>
            <w:vAlign w:val="center"/>
          </w:tcPr>
          <w:p w14:paraId="049CC7AD" w14:textId="77777777" w:rsidR="006F1135" w:rsidRDefault="006F1135" w:rsidP="00F644EA">
            <w:pPr>
              <w:spacing w:after="0" w:line="240" w:lineRule="auto"/>
              <w:jc w:val="center"/>
            </w:pPr>
            <w:r>
              <w:t>1.01 [0.65-1.57]</w:t>
            </w:r>
          </w:p>
          <w:p w14:paraId="0DA4F4EB" w14:textId="77777777" w:rsidR="006F1135" w:rsidRDefault="006F1135" w:rsidP="00F644EA">
            <w:pPr>
              <w:spacing w:after="0" w:line="240" w:lineRule="auto"/>
              <w:jc w:val="center"/>
            </w:pPr>
            <w:r>
              <w:t>0.970</w:t>
            </w:r>
          </w:p>
        </w:tc>
        <w:tc>
          <w:tcPr>
            <w:tcW w:w="1701" w:type="dxa"/>
            <w:vAlign w:val="center"/>
          </w:tcPr>
          <w:p w14:paraId="0C549046" w14:textId="77777777" w:rsidR="006F1135" w:rsidRDefault="006F1135" w:rsidP="00F644EA">
            <w:pPr>
              <w:spacing w:after="0" w:line="240" w:lineRule="auto"/>
              <w:jc w:val="center"/>
            </w:pPr>
            <w:r>
              <w:t>1.01 [0.54-1.88]</w:t>
            </w:r>
          </w:p>
          <w:p w14:paraId="232F8A0C" w14:textId="77777777" w:rsidR="006F1135" w:rsidRDefault="006F1135" w:rsidP="00F644EA">
            <w:pPr>
              <w:spacing w:after="0" w:line="240" w:lineRule="auto"/>
              <w:jc w:val="center"/>
            </w:pPr>
            <w:r>
              <w:t>0.977</w:t>
            </w:r>
          </w:p>
        </w:tc>
      </w:tr>
      <w:tr w:rsidR="006F1135" w14:paraId="3AE394C9" w14:textId="77777777" w:rsidTr="00726BC2">
        <w:trPr>
          <w:gridAfter w:val="1"/>
          <w:wAfter w:w="6" w:type="dxa"/>
        </w:trPr>
        <w:tc>
          <w:tcPr>
            <w:tcW w:w="2770" w:type="dxa"/>
            <w:gridSpan w:val="2"/>
            <w:tcBorders>
              <w:bottom w:val="nil"/>
            </w:tcBorders>
          </w:tcPr>
          <w:p w14:paraId="4AF281B1" w14:textId="77777777" w:rsidR="006F1135" w:rsidRDefault="006F1135" w:rsidP="00F644EA">
            <w:pPr>
              <w:spacing w:after="0" w:line="240" w:lineRule="auto"/>
            </w:pPr>
            <w:r>
              <w:t>Chronic lung disease</w:t>
            </w:r>
          </w:p>
        </w:tc>
        <w:tc>
          <w:tcPr>
            <w:tcW w:w="1483" w:type="dxa"/>
            <w:tcBorders>
              <w:bottom w:val="nil"/>
            </w:tcBorders>
          </w:tcPr>
          <w:p w14:paraId="546638F1" w14:textId="77777777" w:rsidR="006F1135" w:rsidRDefault="006F1135" w:rsidP="00F644EA">
            <w:pPr>
              <w:spacing w:after="0" w:line="240" w:lineRule="auto"/>
              <w:jc w:val="center"/>
            </w:pPr>
          </w:p>
        </w:tc>
        <w:tc>
          <w:tcPr>
            <w:tcW w:w="1705" w:type="dxa"/>
            <w:tcBorders>
              <w:bottom w:val="nil"/>
            </w:tcBorders>
          </w:tcPr>
          <w:p w14:paraId="70A366FD" w14:textId="77777777" w:rsidR="006F1135" w:rsidRDefault="006F1135" w:rsidP="00F644EA">
            <w:pPr>
              <w:spacing w:after="0" w:line="240" w:lineRule="auto"/>
              <w:jc w:val="center"/>
            </w:pPr>
          </w:p>
        </w:tc>
        <w:tc>
          <w:tcPr>
            <w:tcW w:w="1839" w:type="dxa"/>
            <w:tcBorders>
              <w:bottom w:val="nil"/>
            </w:tcBorders>
          </w:tcPr>
          <w:p w14:paraId="47B2F843" w14:textId="77777777" w:rsidR="006F1135" w:rsidRDefault="006F1135" w:rsidP="00F644EA">
            <w:pPr>
              <w:spacing w:after="0" w:line="240" w:lineRule="auto"/>
              <w:jc w:val="center"/>
            </w:pPr>
          </w:p>
        </w:tc>
        <w:tc>
          <w:tcPr>
            <w:tcW w:w="238" w:type="dxa"/>
            <w:tcBorders>
              <w:bottom w:val="nil"/>
            </w:tcBorders>
          </w:tcPr>
          <w:p w14:paraId="37EB0206" w14:textId="77777777" w:rsidR="006F1135" w:rsidRDefault="006F1135" w:rsidP="00F644EA">
            <w:pPr>
              <w:spacing w:after="0" w:line="240" w:lineRule="auto"/>
              <w:jc w:val="center"/>
            </w:pPr>
          </w:p>
        </w:tc>
        <w:tc>
          <w:tcPr>
            <w:tcW w:w="1305" w:type="dxa"/>
            <w:tcBorders>
              <w:bottom w:val="nil"/>
            </w:tcBorders>
          </w:tcPr>
          <w:p w14:paraId="4DB9784B" w14:textId="77777777" w:rsidR="006F1135" w:rsidRDefault="006F1135" w:rsidP="00F644EA">
            <w:pPr>
              <w:spacing w:after="0" w:line="240" w:lineRule="auto"/>
              <w:jc w:val="center"/>
            </w:pPr>
          </w:p>
        </w:tc>
        <w:tc>
          <w:tcPr>
            <w:tcW w:w="1673" w:type="dxa"/>
            <w:tcBorders>
              <w:bottom w:val="nil"/>
            </w:tcBorders>
          </w:tcPr>
          <w:p w14:paraId="5F48C676" w14:textId="77777777" w:rsidR="006F1135" w:rsidRDefault="006F1135" w:rsidP="00F644EA">
            <w:pPr>
              <w:spacing w:after="0" w:line="240" w:lineRule="auto"/>
              <w:jc w:val="center"/>
            </w:pPr>
          </w:p>
        </w:tc>
        <w:tc>
          <w:tcPr>
            <w:tcW w:w="236" w:type="dxa"/>
            <w:tcBorders>
              <w:bottom w:val="nil"/>
            </w:tcBorders>
          </w:tcPr>
          <w:p w14:paraId="05F28851" w14:textId="77777777" w:rsidR="006F1135" w:rsidRDefault="006F1135" w:rsidP="00F644EA">
            <w:pPr>
              <w:spacing w:after="0" w:line="240" w:lineRule="auto"/>
              <w:jc w:val="center"/>
            </w:pPr>
          </w:p>
        </w:tc>
        <w:tc>
          <w:tcPr>
            <w:tcW w:w="1704" w:type="dxa"/>
            <w:tcBorders>
              <w:bottom w:val="nil"/>
            </w:tcBorders>
            <w:vAlign w:val="center"/>
          </w:tcPr>
          <w:p w14:paraId="44645109" w14:textId="77777777" w:rsidR="006F1135" w:rsidRDefault="006F1135" w:rsidP="00F644EA">
            <w:pPr>
              <w:spacing w:after="0" w:line="240" w:lineRule="auto"/>
              <w:jc w:val="center"/>
            </w:pPr>
          </w:p>
        </w:tc>
        <w:tc>
          <w:tcPr>
            <w:tcW w:w="1701" w:type="dxa"/>
            <w:tcBorders>
              <w:bottom w:val="nil"/>
            </w:tcBorders>
            <w:vAlign w:val="center"/>
          </w:tcPr>
          <w:p w14:paraId="5785964B" w14:textId="77777777" w:rsidR="006F1135" w:rsidRDefault="006F1135" w:rsidP="00F644EA">
            <w:pPr>
              <w:spacing w:after="0" w:line="240" w:lineRule="auto"/>
              <w:jc w:val="center"/>
            </w:pPr>
          </w:p>
        </w:tc>
      </w:tr>
      <w:tr w:rsidR="006F1135" w14:paraId="07844BFD" w14:textId="77777777" w:rsidTr="00726BC2">
        <w:trPr>
          <w:gridAfter w:val="1"/>
          <w:wAfter w:w="6" w:type="dxa"/>
        </w:trPr>
        <w:tc>
          <w:tcPr>
            <w:tcW w:w="280" w:type="dxa"/>
            <w:tcBorders>
              <w:top w:val="nil"/>
              <w:bottom w:val="nil"/>
            </w:tcBorders>
          </w:tcPr>
          <w:p w14:paraId="47CFBF2E" w14:textId="77777777" w:rsidR="006F1135" w:rsidRDefault="006F1135" w:rsidP="00F644EA">
            <w:pPr>
              <w:spacing w:after="0" w:line="240" w:lineRule="auto"/>
            </w:pPr>
          </w:p>
        </w:tc>
        <w:tc>
          <w:tcPr>
            <w:tcW w:w="2490" w:type="dxa"/>
            <w:tcBorders>
              <w:top w:val="nil"/>
            </w:tcBorders>
          </w:tcPr>
          <w:p w14:paraId="07E63197" w14:textId="77777777" w:rsidR="006F1135" w:rsidRDefault="006F1135" w:rsidP="00F644EA">
            <w:pPr>
              <w:spacing w:after="0" w:line="240" w:lineRule="auto"/>
            </w:pPr>
            <w:r>
              <w:t>% (</w:t>
            </w:r>
            <w:r w:rsidRPr="00DA1594">
              <w:rPr>
                <w:i/>
              </w:rPr>
              <w:t>n</w:t>
            </w:r>
            <w:r>
              <w:t>)</w:t>
            </w:r>
          </w:p>
        </w:tc>
        <w:tc>
          <w:tcPr>
            <w:tcW w:w="1483" w:type="dxa"/>
            <w:tcBorders>
              <w:top w:val="nil"/>
            </w:tcBorders>
          </w:tcPr>
          <w:p w14:paraId="25091439" w14:textId="009E0C56" w:rsidR="006F1135" w:rsidRDefault="006F1135" w:rsidP="00F644EA">
            <w:pPr>
              <w:spacing w:after="0" w:line="240" w:lineRule="auto"/>
              <w:jc w:val="center"/>
            </w:pPr>
            <w:r>
              <w:t>3.3</w:t>
            </w:r>
            <w:r w:rsidR="00FF5333">
              <w:t xml:space="preserve"> (44)</w:t>
            </w:r>
          </w:p>
        </w:tc>
        <w:tc>
          <w:tcPr>
            <w:tcW w:w="1705" w:type="dxa"/>
            <w:tcBorders>
              <w:top w:val="nil"/>
            </w:tcBorders>
          </w:tcPr>
          <w:p w14:paraId="6859822E" w14:textId="72CDA9F8" w:rsidR="006F1135" w:rsidRDefault="006F1135" w:rsidP="00F644EA">
            <w:pPr>
              <w:spacing w:after="0" w:line="240" w:lineRule="auto"/>
              <w:jc w:val="center"/>
            </w:pPr>
            <w:r>
              <w:t>7.8</w:t>
            </w:r>
            <w:r w:rsidR="00FF5333">
              <w:t xml:space="preserve"> (120)</w:t>
            </w:r>
          </w:p>
        </w:tc>
        <w:tc>
          <w:tcPr>
            <w:tcW w:w="1839" w:type="dxa"/>
            <w:tcBorders>
              <w:top w:val="nil"/>
            </w:tcBorders>
          </w:tcPr>
          <w:p w14:paraId="4CE416BF" w14:textId="51DCDEAF" w:rsidR="006F1135" w:rsidRDefault="006F1135" w:rsidP="00F644EA">
            <w:pPr>
              <w:spacing w:after="0" w:line="240" w:lineRule="auto"/>
              <w:jc w:val="center"/>
            </w:pPr>
            <w:r>
              <w:t>20.9</w:t>
            </w:r>
            <w:r w:rsidR="00FF5333">
              <w:t xml:space="preserve"> (82)</w:t>
            </w:r>
          </w:p>
        </w:tc>
        <w:tc>
          <w:tcPr>
            <w:tcW w:w="238" w:type="dxa"/>
            <w:tcBorders>
              <w:top w:val="nil"/>
            </w:tcBorders>
          </w:tcPr>
          <w:p w14:paraId="654976C6" w14:textId="77777777" w:rsidR="006F1135" w:rsidRDefault="006F1135" w:rsidP="00F644EA">
            <w:pPr>
              <w:spacing w:after="0" w:line="240" w:lineRule="auto"/>
              <w:jc w:val="center"/>
            </w:pPr>
          </w:p>
        </w:tc>
        <w:tc>
          <w:tcPr>
            <w:tcW w:w="1305" w:type="dxa"/>
            <w:tcBorders>
              <w:top w:val="nil"/>
            </w:tcBorders>
          </w:tcPr>
          <w:p w14:paraId="4E5E7E84" w14:textId="08797351" w:rsidR="006F1135" w:rsidRDefault="006F1135" w:rsidP="00F644EA">
            <w:pPr>
              <w:spacing w:after="0" w:line="240" w:lineRule="auto"/>
              <w:jc w:val="center"/>
            </w:pPr>
            <w:r>
              <w:t>5.1</w:t>
            </w:r>
            <w:r w:rsidR="00FF5333">
              <w:t xml:space="preserve"> (119)</w:t>
            </w:r>
          </w:p>
        </w:tc>
        <w:tc>
          <w:tcPr>
            <w:tcW w:w="1673" w:type="dxa"/>
            <w:tcBorders>
              <w:top w:val="nil"/>
            </w:tcBorders>
          </w:tcPr>
          <w:p w14:paraId="1A288012" w14:textId="5AB05673" w:rsidR="006F1135" w:rsidRDefault="006F1135" w:rsidP="00F644EA">
            <w:pPr>
              <w:spacing w:after="0" w:line="240" w:lineRule="auto"/>
              <w:jc w:val="center"/>
            </w:pPr>
            <w:r>
              <w:t>13.7</w:t>
            </w:r>
            <w:r w:rsidR="00FF5333">
              <w:t xml:space="preserve"> (127)</w:t>
            </w:r>
          </w:p>
        </w:tc>
        <w:tc>
          <w:tcPr>
            <w:tcW w:w="236" w:type="dxa"/>
            <w:tcBorders>
              <w:top w:val="nil"/>
            </w:tcBorders>
          </w:tcPr>
          <w:p w14:paraId="1EC5FE85" w14:textId="77777777" w:rsidR="006F1135" w:rsidRDefault="006F1135" w:rsidP="00F644EA">
            <w:pPr>
              <w:spacing w:after="0" w:line="240" w:lineRule="auto"/>
              <w:jc w:val="center"/>
            </w:pPr>
          </w:p>
        </w:tc>
        <w:tc>
          <w:tcPr>
            <w:tcW w:w="1704" w:type="dxa"/>
            <w:tcBorders>
              <w:top w:val="nil"/>
            </w:tcBorders>
            <w:vAlign w:val="center"/>
          </w:tcPr>
          <w:p w14:paraId="2CC1EED6" w14:textId="77777777" w:rsidR="006F1135" w:rsidRDefault="006F1135" w:rsidP="00F644EA">
            <w:pPr>
              <w:spacing w:after="0" w:line="240" w:lineRule="auto"/>
              <w:jc w:val="center"/>
            </w:pPr>
            <w:r>
              <w:t>-</w:t>
            </w:r>
          </w:p>
        </w:tc>
        <w:tc>
          <w:tcPr>
            <w:tcW w:w="1701" w:type="dxa"/>
            <w:tcBorders>
              <w:top w:val="nil"/>
            </w:tcBorders>
            <w:vAlign w:val="center"/>
          </w:tcPr>
          <w:p w14:paraId="26F45C43" w14:textId="77777777" w:rsidR="006F1135" w:rsidRDefault="006F1135" w:rsidP="00F644EA">
            <w:pPr>
              <w:spacing w:after="0" w:line="240" w:lineRule="auto"/>
              <w:jc w:val="center"/>
            </w:pPr>
            <w:r>
              <w:t>-</w:t>
            </w:r>
          </w:p>
        </w:tc>
      </w:tr>
      <w:tr w:rsidR="006F1135" w14:paraId="22587F37" w14:textId="77777777" w:rsidTr="00726BC2">
        <w:trPr>
          <w:gridAfter w:val="1"/>
          <w:wAfter w:w="6" w:type="dxa"/>
        </w:trPr>
        <w:tc>
          <w:tcPr>
            <w:tcW w:w="280" w:type="dxa"/>
            <w:tcBorders>
              <w:top w:val="nil"/>
              <w:bottom w:val="nil"/>
            </w:tcBorders>
          </w:tcPr>
          <w:p w14:paraId="7963CD9F" w14:textId="77777777" w:rsidR="006F1135" w:rsidRDefault="006F1135" w:rsidP="00F644EA">
            <w:pPr>
              <w:spacing w:after="0" w:line="240" w:lineRule="auto"/>
            </w:pPr>
          </w:p>
        </w:tc>
        <w:tc>
          <w:tcPr>
            <w:tcW w:w="2490" w:type="dxa"/>
          </w:tcPr>
          <w:p w14:paraId="04D44D1E" w14:textId="77777777" w:rsidR="006F1135" w:rsidRDefault="006F1135" w:rsidP="00F644EA">
            <w:pPr>
              <w:spacing w:after="0" w:line="240" w:lineRule="auto"/>
            </w:pPr>
            <w:r>
              <w:t>RR [95% CI]</w:t>
            </w:r>
          </w:p>
          <w:p w14:paraId="5F9F3138" w14:textId="77777777" w:rsidR="006F1135" w:rsidRPr="00E6027F" w:rsidRDefault="006F1135" w:rsidP="00F644EA">
            <w:pPr>
              <w:spacing w:after="0" w:line="240" w:lineRule="auto"/>
              <w:rPr>
                <w:i/>
              </w:rPr>
            </w:pPr>
            <w:r>
              <w:rPr>
                <w:i/>
              </w:rPr>
              <w:t>p</w:t>
            </w:r>
          </w:p>
        </w:tc>
        <w:tc>
          <w:tcPr>
            <w:tcW w:w="1483" w:type="dxa"/>
          </w:tcPr>
          <w:p w14:paraId="79300975" w14:textId="77777777" w:rsidR="006F1135" w:rsidRDefault="006F1135" w:rsidP="00F644EA">
            <w:pPr>
              <w:spacing w:after="0" w:line="240" w:lineRule="auto"/>
              <w:jc w:val="center"/>
            </w:pPr>
            <w:r>
              <w:t>1</w:t>
            </w:r>
          </w:p>
        </w:tc>
        <w:tc>
          <w:tcPr>
            <w:tcW w:w="1705" w:type="dxa"/>
          </w:tcPr>
          <w:p w14:paraId="42E7BEB9" w14:textId="77777777" w:rsidR="006F1135" w:rsidRDefault="006F1135" w:rsidP="00F644EA">
            <w:pPr>
              <w:spacing w:after="0" w:line="240" w:lineRule="auto"/>
              <w:jc w:val="center"/>
            </w:pPr>
            <w:r>
              <w:t>2.34 [1.65-3.34]</w:t>
            </w:r>
          </w:p>
          <w:p w14:paraId="4F8C845D" w14:textId="77777777" w:rsidR="006F1135" w:rsidRDefault="006F1135" w:rsidP="00F644EA">
            <w:pPr>
              <w:spacing w:after="0" w:line="240" w:lineRule="auto"/>
              <w:jc w:val="center"/>
            </w:pPr>
            <w:r>
              <w:t>&lt;0.001</w:t>
            </w:r>
          </w:p>
        </w:tc>
        <w:tc>
          <w:tcPr>
            <w:tcW w:w="1839" w:type="dxa"/>
          </w:tcPr>
          <w:p w14:paraId="5CBED6B9" w14:textId="77777777" w:rsidR="006F1135" w:rsidRDefault="006F1135" w:rsidP="00F644EA">
            <w:pPr>
              <w:spacing w:after="0" w:line="240" w:lineRule="auto"/>
              <w:jc w:val="center"/>
            </w:pPr>
            <w:r>
              <w:t>6.28 [4.28-9.21]</w:t>
            </w:r>
          </w:p>
          <w:p w14:paraId="2040697A" w14:textId="77777777" w:rsidR="006F1135" w:rsidRDefault="006F1135" w:rsidP="00F644EA">
            <w:pPr>
              <w:spacing w:after="0" w:line="240" w:lineRule="auto"/>
              <w:jc w:val="center"/>
            </w:pPr>
            <w:r>
              <w:t>&lt;0.001</w:t>
            </w:r>
          </w:p>
        </w:tc>
        <w:tc>
          <w:tcPr>
            <w:tcW w:w="238" w:type="dxa"/>
          </w:tcPr>
          <w:p w14:paraId="621B20DF" w14:textId="77777777" w:rsidR="006F1135" w:rsidRDefault="006F1135" w:rsidP="00F644EA">
            <w:pPr>
              <w:spacing w:after="0" w:line="240" w:lineRule="auto"/>
              <w:jc w:val="center"/>
            </w:pPr>
          </w:p>
        </w:tc>
        <w:tc>
          <w:tcPr>
            <w:tcW w:w="1305" w:type="dxa"/>
          </w:tcPr>
          <w:p w14:paraId="45C8E3A7" w14:textId="77777777" w:rsidR="006F1135" w:rsidRDefault="006F1135" w:rsidP="00F644EA">
            <w:pPr>
              <w:spacing w:after="0" w:line="240" w:lineRule="auto"/>
              <w:jc w:val="center"/>
            </w:pPr>
            <w:r>
              <w:t>1</w:t>
            </w:r>
          </w:p>
        </w:tc>
        <w:tc>
          <w:tcPr>
            <w:tcW w:w="1673" w:type="dxa"/>
          </w:tcPr>
          <w:p w14:paraId="46D252F0" w14:textId="77777777" w:rsidR="006F1135" w:rsidRDefault="006F1135" w:rsidP="00F644EA">
            <w:pPr>
              <w:spacing w:after="0" w:line="240" w:lineRule="auto"/>
              <w:jc w:val="center"/>
            </w:pPr>
            <w:r>
              <w:t>2.67 [2.06-3.47]</w:t>
            </w:r>
          </w:p>
          <w:p w14:paraId="0DC48FCA" w14:textId="77777777" w:rsidR="006F1135" w:rsidRDefault="006F1135" w:rsidP="00F644EA">
            <w:pPr>
              <w:spacing w:after="0" w:line="240" w:lineRule="auto"/>
              <w:jc w:val="center"/>
            </w:pPr>
            <w:r>
              <w:t>&lt;0.001</w:t>
            </w:r>
          </w:p>
        </w:tc>
        <w:tc>
          <w:tcPr>
            <w:tcW w:w="236" w:type="dxa"/>
          </w:tcPr>
          <w:p w14:paraId="48CD009D" w14:textId="77777777" w:rsidR="006F1135" w:rsidRDefault="006F1135" w:rsidP="00F644EA">
            <w:pPr>
              <w:spacing w:after="0" w:line="240" w:lineRule="auto"/>
              <w:jc w:val="center"/>
            </w:pPr>
          </w:p>
        </w:tc>
        <w:tc>
          <w:tcPr>
            <w:tcW w:w="1704" w:type="dxa"/>
            <w:vAlign w:val="center"/>
          </w:tcPr>
          <w:p w14:paraId="7B9D64C4" w14:textId="77777777" w:rsidR="006F1135" w:rsidRDefault="006F1135" w:rsidP="00F644EA">
            <w:pPr>
              <w:spacing w:after="0" w:line="240" w:lineRule="auto"/>
              <w:jc w:val="center"/>
            </w:pPr>
            <w:r>
              <w:t>-</w:t>
            </w:r>
          </w:p>
        </w:tc>
        <w:tc>
          <w:tcPr>
            <w:tcW w:w="1701" w:type="dxa"/>
            <w:vAlign w:val="center"/>
          </w:tcPr>
          <w:p w14:paraId="602FBC52" w14:textId="77777777" w:rsidR="006F1135" w:rsidRDefault="006F1135" w:rsidP="00F644EA">
            <w:pPr>
              <w:spacing w:after="0" w:line="240" w:lineRule="auto"/>
              <w:jc w:val="center"/>
            </w:pPr>
            <w:r>
              <w:t>-</w:t>
            </w:r>
          </w:p>
        </w:tc>
      </w:tr>
      <w:tr w:rsidR="006F1135" w14:paraId="04E0F581" w14:textId="77777777" w:rsidTr="00726BC2">
        <w:trPr>
          <w:gridAfter w:val="1"/>
          <w:wAfter w:w="6" w:type="dxa"/>
        </w:trPr>
        <w:tc>
          <w:tcPr>
            <w:tcW w:w="280" w:type="dxa"/>
            <w:tcBorders>
              <w:top w:val="nil"/>
            </w:tcBorders>
          </w:tcPr>
          <w:p w14:paraId="38152A43" w14:textId="77777777" w:rsidR="006F1135" w:rsidRDefault="006F1135" w:rsidP="00F644EA">
            <w:pPr>
              <w:spacing w:after="0" w:line="240" w:lineRule="auto"/>
            </w:pPr>
          </w:p>
        </w:tc>
        <w:tc>
          <w:tcPr>
            <w:tcW w:w="2490" w:type="dxa"/>
          </w:tcPr>
          <w:p w14:paraId="1F03188B" w14:textId="77777777" w:rsidR="006F1135" w:rsidRDefault="006F1135" w:rsidP="00F644EA">
            <w:pPr>
              <w:spacing w:after="0" w:line="240" w:lineRule="auto"/>
            </w:pPr>
            <w:r>
              <w:t>RR</w:t>
            </w:r>
            <w:r w:rsidRPr="009A0497">
              <w:rPr>
                <w:vertAlign w:val="subscript"/>
              </w:rPr>
              <w:t>adj</w:t>
            </w:r>
            <w:r>
              <w:t xml:space="preserve"> [95% CI]</w:t>
            </w:r>
          </w:p>
          <w:p w14:paraId="54D15BEB" w14:textId="77777777" w:rsidR="006F1135" w:rsidRPr="00E6027F" w:rsidRDefault="006F1135" w:rsidP="00F644EA">
            <w:pPr>
              <w:spacing w:after="0" w:line="240" w:lineRule="auto"/>
              <w:rPr>
                <w:i/>
              </w:rPr>
            </w:pPr>
            <w:r>
              <w:rPr>
                <w:i/>
              </w:rPr>
              <w:t>p</w:t>
            </w:r>
          </w:p>
        </w:tc>
        <w:tc>
          <w:tcPr>
            <w:tcW w:w="1483" w:type="dxa"/>
          </w:tcPr>
          <w:p w14:paraId="7EC034E3" w14:textId="77777777" w:rsidR="006F1135" w:rsidRDefault="006F1135" w:rsidP="00F644EA">
            <w:pPr>
              <w:spacing w:after="0" w:line="240" w:lineRule="auto"/>
              <w:jc w:val="center"/>
            </w:pPr>
            <w:r>
              <w:t>1</w:t>
            </w:r>
          </w:p>
        </w:tc>
        <w:tc>
          <w:tcPr>
            <w:tcW w:w="1705" w:type="dxa"/>
          </w:tcPr>
          <w:p w14:paraId="2EB9E599" w14:textId="77777777" w:rsidR="006F1135" w:rsidRDefault="006F1135" w:rsidP="00F644EA">
            <w:pPr>
              <w:spacing w:after="0" w:line="240" w:lineRule="auto"/>
              <w:jc w:val="center"/>
            </w:pPr>
            <w:r>
              <w:t>2.77 [1.62-4.74]</w:t>
            </w:r>
          </w:p>
          <w:p w14:paraId="2CA9DF3F" w14:textId="77777777" w:rsidR="006F1135" w:rsidRDefault="006F1135" w:rsidP="00F644EA">
            <w:pPr>
              <w:spacing w:after="0" w:line="240" w:lineRule="auto"/>
              <w:jc w:val="center"/>
            </w:pPr>
            <w:r>
              <w:t>&lt;0.001</w:t>
            </w:r>
          </w:p>
        </w:tc>
        <w:tc>
          <w:tcPr>
            <w:tcW w:w="1839" w:type="dxa"/>
          </w:tcPr>
          <w:p w14:paraId="0BE6445D" w14:textId="77777777" w:rsidR="006F1135" w:rsidRDefault="006F1135" w:rsidP="00F644EA">
            <w:pPr>
              <w:spacing w:after="0" w:line="240" w:lineRule="auto"/>
              <w:jc w:val="center"/>
            </w:pPr>
            <w:r>
              <w:t>8.33 [4.62-15.00]</w:t>
            </w:r>
          </w:p>
          <w:p w14:paraId="1BD95A69" w14:textId="77777777" w:rsidR="006F1135" w:rsidRDefault="006F1135" w:rsidP="00F644EA">
            <w:pPr>
              <w:spacing w:after="0" w:line="240" w:lineRule="auto"/>
              <w:jc w:val="center"/>
            </w:pPr>
            <w:r>
              <w:t>&lt;0.001</w:t>
            </w:r>
          </w:p>
        </w:tc>
        <w:tc>
          <w:tcPr>
            <w:tcW w:w="238" w:type="dxa"/>
          </w:tcPr>
          <w:p w14:paraId="7C6E3194" w14:textId="77777777" w:rsidR="006F1135" w:rsidRDefault="006F1135" w:rsidP="00F644EA">
            <w:pPr>
              <w:spacing w:after="0" w:line="240" w:lineRule="auto"/>
            </w:pPr>
          </w:p>
        </w:tc>
        <w:tc>
          <w:tcPr>
            <w:tcW w:w="1305" w:type="dxa"/>
          </w:tcPr>
          <w:p w14:paraId="2A70E6E4" w14:textId="77777777" w:rsidR="006F1135" w:rsidRDefault="006F1135" w:rsidP="00F644EA">
            <w:pPr>
              <w:spacing w:after="0" w:line="240" w:lineRule="auto"/>
              <w:jc w:val="center"/>
            </w:pPr>
            <w:r>
              <w:t>1</w:t>
            </w:r>
          </w:p>
        </w:tc>
        <w:tc>
          <w:tcPr>
            <w:tcW w:w="1673" w:type="dxa"/>
          </w:tcPr>
          <w:p w14:paraId="48567080" w14:textId="77777777" w:rsidR="006F1135" w:rsidRDefault="006F1135" w:rsidP="00F644EA">
            <w:pPr>
              <w:spacing w:after="0" w:line="240" w:lineRule="auto"/>
              <w:jc w:val="center"/>
            </w:pPr>
            <w:r>
              <w:t>3.50 [1.88-6.52]</w:t>
            </w:r>
          </w:p>
          <w:p w14:paraId="3726B6C4" w14:textId="77777777" w:rsidR="006F1135" w:rsidRDefault="006F1135" w:rsidP="00F644EA">
            <w:pPr>
              <w:spacing w:after="0" w:line="240" w:lineRule="auto"/>
              <w:jc w:val="center"/>
            </w:pPr>
            <w:r>
              <w:t>&lt;0.001</w:t>
            </w:r>
          </w:p>
        </w:tc>
        <w:tc>
          <w:tcPr>
            <w:tcW w:w="236" w:type="dxa"/>
          </w:tcPr>
          <w:p w14:paraId="633E55FE" w14:textId="77777777" w:rsidR="006F1135" w:rsidRDefault="006F1135" w:rsidP="00F644EA">
            <w:pPr>
              <w:spacing w:after="0" w:line="240" w:lineRule="auto"/>
              <w:jc w:val="center"/>
            </w:pPr>
          </w:p>
        </w:tc>
        <w:tc>
          <w:tcPr>
            <w:tcW w:w="1704" w:type="dxa"/>
            <w:vAlign w:val="center"/>
          </w:tcPr>
          <w:p w14:paraId="6975D47A" w14:textId="77777777" w:rsidR="006F1135" w:rsidRDefault="006F1135" w:rsidP="00F644EA">
            <w:pPr>
              <w:spacing w:after="0" w:line="240" w:lineRule="auto"/>
              <w:jc w:val="center"/>
            </w:pPr>
            <w:r>
              <w:t>0.56 [0.27-1.16]</w:t>
            </w:r>
          </w:p>
          <w:p w14:paraId="6865390A" w14:textId="77777777" w:rsidR="006F1135" w:rsidRDefault="006F1135" w:rsidP="00F644EA">
            <w:pPr>
              <w:spacing w:after="0" w:line="240" w:lineRule="auto"/>
              <w:jc w:val="center"/>
            </w:pPr>
            <w:r>
              <w:t>0.116</w:t>
            </w:r>
          </w:p>
        </w:tc>
        <w:tc>
          <w:tcPr>
            <w:tcW w:w="1701" w:type="dxa"/>
            <w:vAlign w:val="center"/>
          </w:tcPr>
          <w:p w14:paraId="0E4A23FB" w14:textId="77777777" w:rsidR="006F1135" w:rsidRDefault="006F1135" w:rsidP="00F644EA">
            <w:pPr>
              <w:spacing w:after="0" w:line="240" w:lineRule="auto"/>
              <w:jc w:val="center"/>
            </w:pPr>
            <w:r>
              <w:t>0.48 [0.22-1.06]</w:t>
            </w:r>
          </w:p>
          <w:p w14:paraId="4D530483" w14:textId="77777777" w:rsidR="006F1135" w:rsidRDefault="006F1135" w:rsidP="00F644EA">
            <w:pPr>
              <w:spacing w:after="0" w:line="240" w:lineRule="auto"/>
              <w:jc w:val="center"/>
            </w:pPr>
            <w:r>
              <w:t>0.070</w:t>
            </w:r>
          </w:p>
        </w:tc>
      </w:tr>
      <w:tr w:rsidR="006F1135" w14:paraId="0762B2F4" w14:textId="77777777" w:rsidTr="00726BC2">
        <w:trPr>
          <w:gridAfter w:val="1"/>
          <w:wAfter w:w="6" w:type="dxa"/>
        </w:trPr>
        <w:tc>
          <w:tcPr>
            <w:tcW w:w="2770" w:type="dxa"/>
            <w:gridSpan w:val="2"/>
            <w:tcBorders>
              <w:bottom w:val="nil"/>
            </w:tcBorders>
          </w:tcPr>
          <w:p w14:paraId="4536F628" w14:textId="2DE44895" w:rsidR="006F1135" w:rsidRDefault="004638DF" w:rsidP="00F644EA">
            <w:pPr>
              <w:spacing w:after="0" w:line="240" w:lineRule="auto"/>
            </w:pPr>
            <w:r>
              <w:t>Clinically relevant depressive symptoms</w:t>
            </w:r>
          </w:p>
        </w:tc>
        <w:tc>
          <w:tcPr>
            <w:tcW w:w="1483" w:type="dxa"/>
            <w:tcBorders>
              <w:bottom w:val="nil"/>
            </w:tcBorders>
          </w:tcPr>
          <w:p w14:paraId="688E4162" w14:textId="77777777" w:rsidR="006F1135" w:rsidRDefault="006F1135" w:rsidP="00F644EA">
            <w:pPr>
              <w:spacing w:after="0" w:line="240" w:lineRule="auto"/>
              <w:jc w:val="center"/>
            </w:pPr>
          </w:p>
        </w:tc>
        <w:tc>
          <w:tcPr>
            <w:tcW w:w="1705" w:type="dxa"/>
            <w:tcBorders>
              <w:bottom w:val="nil"/>
            </w:tcBorders>
          </w:tcPr>
          <w:p w14:paraId="346F392C" w14:textId="77777777" w:rsidR="006F1135" w:rsidRDefault="006F1135" w:rsidP="00F644EA">
            <w:pPr>
              <w:spacing w:after="0" w:line="240" w:lineRule="auto"/>
              <w:jc w:val="center"/>
            </w:pPr>
          </w:p>
        </w:tc>
        <w:tc>
          <w:tcPr>
            <w:tcW w:w="1839" w:type="dxa"/>
            <w:tcBorders>
              <w:bottom w:val="nil"/>
            </w:tcBorders>
          </w:tcPr>
          <w:p w14:paraId="29F12E65" w14:textId="77777777" w:rsidR="006F1135" w:rsidRDefault="006F1135" w:rsidP="00F644EA">
            <w:pPr>
              <w:spacing w:after="0" w:line="240" w:lineRule="auto"/>
              <w:jc w:val="center"/>
            </w:pPr>
          </w:p>
        </w:tc>
        <w:tc>
          <w:tcPr>
            <w:tcW w:w="238" w:type="dxa"/>
            <w:tcBorders>
              <w:bottom w:val="nil"/>
            </w:tcBorders>
          </w:tcPr>
          <w:p w14:paraId="248D9144" w14:textId="77777777" w:rsidR="006F1135" w:rsidRDefault="006F1135" w:rsidP="00F644EA">
            <w:pPr>
              <w:spacing w:after="0" w:line="240" w:lineRule="auto"/>
              <w:jc w:val="center"/>
            </w:pPr>
          </w:p>
        </w:tc>
        <w:tc>
          <w:tcPr>
            <w:tcW w:w="1305" w:type="dxa"/>
            <w:tcBorders>
              <w:bottom w:val="nil"/>
            </w:tcBorders>
          </w:tcPr>
          <w:p w14:paraId="660A967F" w14:textId="77777777" w:rsidR="006F1135" w:rsidRDefault="006F1135" w:rsidP="00F644EA">
            <w:pPr>
              <w:spacing w:after="0" w:line="240" w:lineRule="auto"/>
              <w:jc w:val="center"/>
            </w:pPr>
          </w:p>
        </w:tc>
        <w:tc>
          <w:tcPr>
            <w:tcW w:w="1673" w:type="dxa"/>
            <w:tcBorders>
              <w:bottom w:val="nil"/>
            </w:tcBorders>
          </w:tcPr>
          <w:p w14:paraId="3F3C7A33" w14:textId="77777777" w:rsidR="006F1135" w:rsidRDefault="006F1135" w:rsidP="00F644EA">
            <w:pPr>
              <w:spacing w:after="0" w:line="240" w:lineRule="auto"/>
              <w:jc w:val="center"/>
            </w:pPr>
          </w:p>
        </w:tc>
        <w:tc>
          <w:tcPr>
            <w:tcW w:w="236" w:type="dxa"/>
            <w:tcBorders>
              <w:bottom w:val="nil"/>
            </w:tcBorders>
          </w:tcPr>
          <w:p w14:paraId="0E28DE3B" w14:textId="77777777" w:rsidR="006F1135" w:rsidRDefault="006F1135" w:rsidP="00F644EA">
            <w:pPr>
              <w:spacing w:after="0" w:line="240" w:lineRule="auto"/>
              <w:jc w:val="center"/>
            </w:pPr>
          </w:p>
        </w:tc>
        <w:tc>
          <w:tcPr>
            <w:tcW w:w="1704" w:type="dxa"/>
            <w:tcBorders>
              <w:bottom w:val="nil"/>
            </w:tcBorders>
            <w:vAlign w:val="center"/>
          </w:tcPr>
          <w:p w14:paraId="50E23FE5" w14:textId="77777777" w:rsidR="006F1135" w:rsidRDefault="006F1135" w:rsidP="00F644EA">
            <w:pPr>
              <w:spacing w:after="0" w:line="240" w:lineRule="auto"/>
              <w:jc w:val="center"/>
            </w:pPr>
          </w:p>
        </w:tc>
        <w:tc>
          <w:tcPr>
            <w:tcW w:w="1701" w:type="dxa"/>
            <w:tcBorders>
              <w:bottom w:val="nil"/>
            </w:tcBorders>
            <w:vAlign w:val="center"/>
          </w:tcPr>
          <w:p w14:paraId="12BA1274" w14:textId="77777777" w:rsidR="006F1135" w:rsidRDefault="006F1135" w:rsidP="00F644EA">
            <w:pPr>
              <w:spacing w:after="0" w:line="240" w:lineRule="auto"/>
              <w:jc w:val="center"/>
            </w:pPr>
          </w:p>
        </w:tc>
      </w:tr>
      <w:tr w:rsidR="006F1135" w14:paraId="6265C85F" w14:textId="77777777" w:rsidTr="00726BC2">
        <w:trPr>
          <w:gridAfter w:val="1"/>
          <w:wAfter w:w="6" w:type="dxa"/>
        </w:trPr>
        <w:tc>
          <w:tcPr>
            <w:tcW w:w="280" w:type="dxa"/>
            <w:tcBorders>
              <w:top w:val="nil"/>
              <w:bottom w:val="nil"/>
            </w:tcBorders>
          </w:tcPr>
          <w:p w14:paraId="7077E0B4" w14:textId="77777777" w:rsidR="006F1135" w:rsidRDefault="006F1135" w:rsidP="00F644EA">
            <w:pPr>
              <w:spacing w:after="0" w:line="240" w:lineRule="auto"/>
            </w:pPr>
          </w:p>
        </w:tc>
        <w:tc>
          <w:tcPr>
            <w:tcW w:w="2490" w:type="dxa"/>
            <w:tcBorders>
              <w:top w:val="nil"/>
            </w:tcBorders>
          </w:tcPr>
          <w:p w14:paraId="41F43DB8" w14:textId="77777777" w:rsidR="006F1135" w:rsidRDefault="006F1135" w:rsidP="00F644EA">
            <w:pPr>
              <w:spacing w:after="0" w:line="240" w:lineRule="auto"/>
            </w:pPr>
            <w:r>
              <w:t>% (</w:t>
            </w:r>
            <w:r w:rsidRPr="00DA1594">
              <w:rPr>
                <w:i/>
              </w:rPr>
              <w:t>n</w:t>
            </w:r>
            <w:r>
              <w:t>)</w:t>
            </w:r>
          </w:p>
        </w:tc>
        <w:tc>
          <w:tcPr>
            <w:tcW w:w="1483" w:type="dxa"/>
            <w:tcBorders>
              <w:top w:val="nil"/>
            </w:tcBorders>
          </w:tcPr>
          <w:p w14:paraId="51F09E13" w14:textId="39C89A96" w:rsidR="006F1135" w:rsidRDefault="006F1135" w:rsidP="00F644EA">
            <w:pPr>
              <w:spacing w:after="0" w:line="240" w:lineRule="auto"/>
              <w:jc w:val="center"/>
            </w:pPr>
            <w:r>
              <w:t>53.5</w:t>
            </w:r>
            <w:r w:rsidR="009762E1">
              <w:t xml:space="preserve"> (418)</w:t>
            </w:r>
          </w:p>
        </w:tc>
        <w:tc>
          <w:tcPr>
            <w:tcW w:w="1705" w:type="dxa"/>
            <w:tcBorders>
              <w:top w:val="nil"/>
            </w:tcBorders>
          </w:tcPr>
          <w:p w14:paraId="16ED1DC4" w14:textId="2D4EF122" w:rsidR="006F1135" w:rsidRDefault="006F1135" w:rsidP="00F644EA">
            <w:pPr>
              <w:spacing w:after="0" w:line="240" w:lineRule="auto"/>
              <w:jc w:val="center"/>
            </w:pPr>
            <w:r>
              <w:t>56.4</w:t>
            </w:r>
            <w:r w:rsidR="009762E1">
              <w:t xml:space="preserve"> (535)</w:t>
            </w:r>
          </w:p>
        </w:tc>
        <w:tc>
          <w:tcPr>
            <w:tcW w:w="1839" w:type="dxa"/>
            <w:tcBorders>
              <w:top w:val="nil"/>
            </w:tcBorders>
          </w:tcPr>
          <w:p w14:paraId="219B9A08" w14:textId="5CD886A5" w:rsidR="006F1135" w:rsidRDefault="006F1135" w:rsidP="00F644EA">
            <w:pPr>
              <w:spacing w:after="0" w:line="240" w:lineRule="auto"/>
              <w:jc w:val="center"/>
            </w:pPr>
            <w:r>
              <w:t>62.4</w:t>
            </w:r>
            <w:r w:rsidR="009762E1">
              <w:t xml:space="preserve"> (181)</w:t>
            </w:r>
          </w:p>
        </w:tc>
        <w:tc>
          <w:tcPr>
            <w:tcW w:w="238" w:type="dxa"/>
            <w:tcBorders>
              <w:top w:val="nil"/>
            </w:tcBorders>
          </w:tcPr>
          <w:p w14:paraId="6970F6BA" w14:textId="77777777" w:rsidR="006F1135" w:rsidRDefault="006F1135" w:rsidP="00F644EA">
            <w:pPr>
              <w:spacing w:after="0" w:line="240" w:lineRule="auto"/>
              <w:jc w:val="center"/>
            </w:pPr>
          </w:p>
        </w:tc>
        <w:tc>
          <w:tcPr>
            <w:tcW w:w="1305" w:type="dxa"/>
            <w:tcBorders>
              <w:top w:val="nil"/>
            </w:tcBorders>
          </w:tcPr>
          <w:p w14:paraId="2DB624E6" w14:textId="375CC5D1" w:rsidR="006F1135" w:rsidRDefault="006F1135" w:rsidP="00F644EA">
            <w:pPr>
              <w:spacing w:after="0" w:line="240" w:lineRule="auto"/>
              <w:jc w:val="center"/>
            </w:pPr>
            <w:r>
              <w:t>52.8</w:t>
            </w:r>
            <w:r w:rsidR="00902C62">
              <w:t xml:space="preserve"> (714)</w:t>
            </w:r>
          </w:p>
        </w:tc>
        <w:tc>
          <w:tcPr>
            <w:tcW w:w="1673" w:type="dxa"/>
            <w:tcBorders>
              <w:top w:val="nil"/>
            </w:tcBorders>
          </w:tcPr>
          <w:p w14:paraId="3FB2518A" w14:textId="282B6AC5" w:rsidR="006F1135" w:rsidRDefault="006F1135" w:rsidP="00F644EA">
            <w:pPr>
              <w:spacing w:after="0" w:line="240" w:lineRule="auto"/>
              <w:jc w:val="center"/>
            </w:pPr>
            <w:r>
              <w:t>62.9</w:t>
            </w:r>
            <w:r w:rsidR="00902C62">
              <w:t xml:space="preserve"> (420)</w:t>
            </w:r>
          </w:p>
        </w:tc>
        <w:tc>
          <w:tcPr>
            <w:tcW w:w="236" w:type="dxa"/>
            <w:tcBorders>
              <w:top w:val="nil"/>
            </w:tcBorders>
          </w:tcPr>
          <w:p w14:paraId="36EEE7A3" w14:textId="77777777" w:rsidR="006F1135" w:rsidRDefault="006F1135" w:rsidP="00F644EA">
            <w:pPr>
              <w:spacing w:after="0" w:line="240" w:lineRule="auto"/>
              <w:jc w:val="center"/>
            </w:pPr>
          </w:p>
        </w:tc>
        <w:tc>
          <w:tcPr>
            <w:tcW w:w="1704" w:type="dxa"/>
            <w:tcBorders>
              <w:top w:val="nil"/>
            </w:tcBorders>
            <w:vAlign w:val="center"/>
          </w:tcPr>
          <w:p w14:paraId="06391D27" w14:textId="77777777" w:rsidR="006F1135" w:rsidRDefault="006F1135" w:rsidP="00F644EA">
            <w:pPr>
              <w:spacing w:after="0" w:line="240" w:lineRule="auto"/>
              <w:jc w:val="center"/>
            </w:pPr>
            <w:r>
              <w:t>-</w:t>
            </w:r>
          </w:p>
        </w:tc>
        <w:tc>
          <w:tcPr>
            <w:tcW w:w="1701" w:type="dxa"/>
            <w:tcBorders>
              <w:top w:val="nil"/>
            </w:tcBorders>
            <w:vAlign w:val="center"/>
          </w:tcPr>
          <w:p w14:paraId="582018D7" w14:textId="77777777" w:rsidR="006F1135" w:rsidRDefault="006F1135" w:rsidP="00F644EA">
            <w:pPr>
              <w:spacing w:after="0" w:line="240" w:lineRule="auto"/>
              <w:jc w:val="center"/>
            </w:pPr>
            <w:r>
              <w:t>-</w:t>
            </w:r>
          </w:p>
        </w:tc>
      </w:tr>
      <w:tr w:rsidR="006F1135" w14:paraId="296BABB3" w14:textId="77777777" w:rsidTr="00726BC2">
        <w:trPr>
          <w:gridAfter w:val="1"/>
          <w:wAfter w:w="6" w:type="dxa"/>
        </w:trPr>
        <w:tc>
          <w:tcPr>
            <w:tcW w:w="280" w:type="dxa"/>
            <w:tcBorders>
              <w:top w:val="nil"/>
              <w:bottom w:val="nil"/>
            </w:tcBorders>
          </w:tcPr>
          <w:p w14:paraId="75C4BD4C" w14:textId="77777777" w:rsidR="006F1135" w:rsidRDefault="006F1135" w:rsidP="00F644EA">
            <w:pPr>
              <w:spacing w:after="0" w:line="240" w:lineRule="auto"/>
            </w:pPr>
          </w:p>
        </w:tc>
        <w:tc>
          <w:tcPr>
            <w:tcW w:w="2490" w:type="dxa"/>
          </w:tcPr>
          <w:p w14:paraId="179F162E" w14:textId="77777777" w:rsidR="006F1135" w:rsidRDefault="006F1135" w:rsidP="00F644EA">
            <w:pPr>
              <w:spacing w:after="0" w:line="240" w:lineRule="auto"/>
            </w:pPr>
            <w:r>
              <w:t>RR [95% CI]</w:t>
            </w:r>
          </w:p>
          <w:p w14:paraId="4D22A911" w14:textId="77777777" w:rsidR="006F1135" w:rsidRPr="00E6027F" w:rsidRDefault="006F1135" w:rsidP="00F644EA">
            <w:pPr>
              <w:spacing w:after="0" w:line="240" w:lineRule="auto"/>
              <w:rPr>
                <w:i/>
              </w:rPr>
            </w:pPr>
            <w:r>
              <w:rPr>
                <w:i/>
              </w:rPr>
              <w:t>p</w:t>
            </w:r>
          </w:p>
        </w:tc>
        <w:tc>
          <w:tcPr>
            <w:tcW w:w="1483" w:type="dxa"/>
          </w:tcPr>
          <w:p w14:paraId="45BCE085" w14:textId="77777777" w:rsidR="006F1135" w:rsidRDefault="006F1135" w:rsidP="00F644EA">
            <w:pPr>
              <w:spacing w:after="0" w:line="240" w:lineRule="auto"/>
              <w:jc w:val="center"/>
            </w:pPr>
            <w:r>
              <w:t>1</w:t>
            </w:r>
          </w:p>
        </w:tc>
        <w:tc>
          <w:tcPr>
            <w:tcW w:w="1705" w:type="dxa"/>
          </w:tcPr>
          <w:p w14:paraId="79FE2501" w14:textId="77777777" w:rsidR="006F1135" w:rsidRDefault="006F1135" w:rsidP="00F644EA">
            <w:pPr>
              <w:spacing w:after="0" w:line="240" w:lineRule="auto"/>
              <w:jc w:val="center"/>
            </w:pPr>
            <w:r>
              <w:t>1.06 [0.90-1.24]</w:t>
            </w:r>
          </w:p>
          <w:p w14:paraId="25DE9DA3" w14:textId="77777777" w:rsidR="006F1135" w:rsidRDefault="006F1135" w:rsidP="00F644EA">
            <w:pPr>
              <w:spacing w:after="0" w:line="240" w:lineRule="auto"/>
              <w:jc w:val="center"/>
            </w:pPr>
            <w:r>
              <w:t>0.512</w:t>
            </w:r>
          </w:p>
        </w:tc>
        <w:tc>
          <w:tcPr>
            <w:tcW w:w="1839" w:type="dxa"/>
          </w:tcPr>
          <w:p w14:paraId="68523CDF" w14:textId="77777777" w:rsidR="006F1135" w:rsidRDefault="006F1135" w:rsidP="00F644EA">
            <w:pPr>
              <w:spacing w:after="0" w:line="240" w:lineRule="auto"/>
              <w:jc w:val="center"/>
            </w:pPr>
            <w:r>
              <w:t>1.17 [0.94-1.46]</w:t>
            </w:r>
          </w:p>
          <w:p w14:paraId="35F61BDE" w14:textId="77777777" w:rsidR="006F1135" w:rsidRDefault="006F1135" w:rsidP="00F644EA">
            <w:pPr>
              <w:spacing w:after="0" w:line="240" w:lineRule="auto"/>
              <w:jc w:val="center"/>
            </w:pPr>
            <w:r>
              <w:t>0.168</w:t>
            </w:r>
          </w:p>
        </w:tc>
        <w:tc>
          <w:tcPr>
            <w:tcW w:w="238" w:type="dxa"/>
          </w:tcPr>
          <w:p w14:paraId="3D97D9DB" w14:textId="77777777" w:rsidR="006F1135" w:rsidRDefault="006F1135" w:rsidP="00F644EA">
            <w:pPr>
              <w:spacing w:after="0" w:line="240" w:lineRule="auto"/>
              <w:jc w:val="center"/>
            </w:pPr>
          </w:p>
        </w:tc>
        <w:tc>
          <w:tcPr>
            <w:tcW w:w="1305" w:type="dxa"/>
          </w:tcPr>
          <w:p w14:paraId="058D87F8" w14:textId="77777777" w:rsidR="006F1135" w:rsidRDefault="006F1135" w:rsidP="00F644EA">
            <w:pPr>
              <w:spacing w:after="0" w:line="240" w:lineRule="auto"/>
              <w:jc w:val="center"/>
            </w:pPr>
            <w:r>
              <w:t>1</w:t>
            </w:r>
          </w:p>
        </w:tc>
        <w:tc>
          <w:tcPr>
            <w:tcW w:w="1673" w:type="dxa"/>
          </w:tcPr>
          <w:p w14:paraId="21A5EDAB" w14:textId="77777777" w:rsidR="006F1135" w:rsidRDefault="006F1135" w:rsidP="00F644EA">
            <w:pPr>
              <w:spacing w:after="0" w:line="240" w:lineRule="auto"/>
              <w:jc w:val="center"/>
            </w:pPr>
            <w:r>
              <w:t>1.19 [1.02-1.39]</w:t>
            </w:r>
          </w:p>
          <w:p w14:paraId="759B71EA" w14:textId="77777777" w:rsidR="006F1135" w:rsidRDefault="006F1135" w:rsidP="00F644EA">
            <w:pPr>
              <w:spacing w:after="0" w:line="240" w:lineRule="auto"/>
              <w:jc w:val="center"/>
            </w:pPr>
            <w:r>
              <w:t>0.024</w:t>
            </w:r>
          </w:p>
        </w:tc>
        <w:tc>
          <w:tcPr>
            <w:tcW w:w="236" w:type="dxa"/>
          </w:tcPr>
          <w:p w14:paraId="676E1212" w14:textId="77777777" w:rsidR="006F1135" w:rsidRDefault="006F1135" w:rsidP="00F644EA">
            <w:pPr>
              <w:spacing w:after="0" w:line="240" w:lineRule="auto"/>
              <w:jc w:val="center"/>
            </w:pPr>
          </w:p>
        </w:tc>
        <w:tc>
          <w:tcPr>
            <w:tcW w:w="1704" w:type="dxa"/>
            <w:vAlign w:val="center"/>
          </w:tcPr>
          <w:p w14:paraId="04B82452" w14:textId="77777777" w:rsidR="006F1135" w:rsidRDefault="006F1135" w:rsidP="00F644EA">
            <w:pPr>
              <w:spacing w:after="0" w:line="240" w:lineRule="auto"/>
              <w:jc w:val="center"/>
            </w:pPr>
            <w:r>
              <w:t>-</w:t>
            </w:r>
          </w:p>
        </w:tc>
        <w:tc>
          <w:tcPr>
            <w:tcW w:w="1701" w:type="dxa"/>
            <w:vAlign w:val="center"/>
          </w:tcPr>
          <w:p w14:paraId="275600DB" w14:textId="77777777" w:rsidR="006F1135" w:rsidRDefault="006F1135" w:rsidP="00F644EA">
            <w:pPr>
              <w:spacing w:after="0" w:line="240" w:lineRule="auto"/>
              <w:jc w:val="center"/>
            </w:pPr>
            <w:r>
              <w:t>-</w:t>
            </w:r>
          </w:p>
        </w:tc>
      </w:tr>
      <w:tr w:rsidR="006F1135" w14:paraId="452AEDB0" w14:textId="77777777" w:rsidTr="00726BC2">
        <w:trPr>
          <w:gridAfter w:val="1"/>
          <w:wAfter w:w="6" w:type="dxa"/>
        </w:trPr>
        <w:tc>
          <w:tcPr>
            <w:tcW w:w="280" w:type="dxa"/>
            <w:tcBorders>
              <w:top w:val="nil"/>
            </w:tcBorders>
          </w:tcPr>
          <w:p w14:paraId="22A6B936" w14:textId="77777777" w:rsidR="006F1135" w:rsidRDefault="006F1135" w:rsidP="00F644EA">
            <w:pPr>
              <w:spacing w:after="0" w:line="240" w:lineRule="auto"/>
            </w:pPr>
          </w:p>
        </w:tc>
        <w:tc>
          <w:tcPr>
            <w:tcW w:w="2490" w:type="dxa"/>
          </w:tcPr>
          <w:p w14:paraId="711C1585" w14:textId="77777777" w:rsidR="006F1135" w:rsidRDefault="006F1135" w:rsidP="00F644EA">
            <w:pPr>
              <w:spacing w:after="0" w:line="240" w:lineRule="auto"/>
            </w:pPr>
            <w:r>
              <w:t>RR</w:t>
            </w:r>
            <w:r w:rsidRPr="009A0497">
              <w:rPr>
                <w:vertAlign w:val="subscript"/>
              </w:rPr>
              <w:t>adj</w:t>
            </w:r>
            <w:r>
              <w:t xml:space="preserve"> [95% CI]</w:t>
            </w:r>
          </w:p>
          <w:p w14:paraId="5D728567" w14:textId="77777777" w:rsidR="006F1135" w:rsidRPr="00E6027F" w:rsidRDefault="006F1135" w:rsidP="00F644EA">
            <w:pPr>
              <w:spacing w:after="0" w:line="240" w:lineRule="auto"/>
              <w:rPr>
                <w:i/>
              </w:rPr>
            </w:pPr>
            <w:r>
              <w:rPr>
                <w:i/>
              </w:rPr>
              <w:t>p</w:t>
            </w:r>
          </w:p>
        </w:tc>
        <w:tc>
          <w:tcPr>
            <w:tcW w:w="1483" w:type="dxa"/>
          </w:tcPr>
          <w:p w14:paraId="0D74A473" w14:textId="77777777" w:rsidR="006F1135" w:rsidRDefault="006F1135" w:rsidP="00F644EA">
            <w:pPr>
              <w:spacing w:after="0" w:line="240" w:lineRule="auto"/>
              <w:jc w:val="center"/>
            </w:pPr>
            <w:r>
              <w:t>1</w:t>
            </w:r>
          </w:p>
        </w:tc>
        <w:tc>
          <w:tcPr>
            <w:tcW w:w="1705" w:type="dxa"/>
          </w:tcPr>
          <w:p w14:paraId="4ED5960F" w14:textId="77777777" w:rsidR="006F1135" w:rsidRDefault="006F1135" w:rsidP="00F644EA">
            <w:pPr>
              <w:spacing w:after="0" w:line="240" w:lineRule="auto"/>
              <w:jc w:val="center"/>
            </w:pPr>
            <w:r>
              <w:t>1.09 [0.90-1.34]</w:t>
            </w:r>
          </w:p>
          <w:p w14:paraId="72EAA5D2" w14:textId="77777777" w:rsidR="006F1135" w:rsidRDefault="006F1135" w:rsidP="00F644EA">
            <w:pPr>
              <w:spacing w:after="0" w:line="240" w:lineRule="auto"/>
              <w:jc w:val="center"/>
            </w:pPr>
            <w:r>
              <w:t>0.381</w:t>
            </w:r>
          </w:p>
        </w:tc>
        <w:tc>
          <w:tcPr>
            <w:tcW w:w="1839" w:type="dxa"/>
          </w:tcPr>
          <w:p w14:paraId="2EE86A78" w14:textId="77777777" w:rsidR="006F1135" w:rsidRDefault="006F1135" w:rsidP="00F644EA">
            <w:pPr>
              <w:spacing w:after="0" w:line="240" w:lineRule="auto"/>
              <w:jc w:val="center"/>
            </w:pPr>
            <w:r>
              <w:t>1.16 [0.87-1.55]</w:t>
            </w:r>
          </w:p>
          <w:p w14:paraId="254936C4" w14:textId="77777777" w:rsidR="006F1135" w:rsidRDefault="006F1135" w:rsidP="00F644EA">
            <w:pPr>
              <w:spacing w:after="0" w:line="240" w:lineRule="auto"/>
              <w:jc w:val="center"/>
            </w:pPr>
            <w:r>
              <w:t>0.309</w:t>
            </w:r>
          </w:p>
        </w:tc>
        <w:tc>
          <w:tcPr>
            <w:tcW w:w="238" w:type="dxa"/>
          </w:tcPr>
          <w:p w14:paraId="04C6C763" w14:textId="77777777" w:rsidR="006F1135" w:rsidRDefault="006F1135" w:rsidP="00F644EA">
            <w:pPr>
              <w:spacing w:after="0" w:line="240" w:lineRule="auto"/>
              <w:jc w:val="center"/>
            </w:pPr>
          </w:p>
        </w:tc>
        <w:tc>
          <w:tcPr>
            <w:tcW w:w="1305" w:type="dxa"/>
          </w:tcPr>
          <w:p w14:paraId="58DBCDB2" w14:textId="77777777" w:rsidR="006F1135" w:rsidRDefault="006F1135" w:rsidP="00F644EA">
            <w:pPr>
              <w:spacing w:after="0" w:line="240" w:lineRule="auto"/>
              <w:jc w:val="center"/>
            </w:pPr>
            <w:r>
              <w:t>1</w:t>
            </w:r>
          </w:p>
        </w:tc>
        <w:tc>
          <w:tcPr>
            <w:tcW w:w="1673" w:type="dxa"/>
          </w:tcPr>
          <w:p w14:paraId="036F105E" w14:textId="77777777" w:rsidR="006F1135" w:rsidRDefault="006F1135" w:rsidP="00F644EA">
            <w:pPr>
              <w:spacing w:after="0" w:line="240" w:lineRule="auto"/>
              <w:jc w:val="center"/>
            </w:pPr>
            <w:r>
              <w:t>1.09 [0.84-1.41]</w:t>
            </w:r>
          </w:p>
          <w:p w14:paraId="56D38C70" w14:textId="77777777" w:rsidR="006F1135" w:rsidRDefault="006F1135" w:rsidP="00F644EA">
            <w:pPr>
              <w:spacing w:after="0" w:line="240" w:lineRule="auto"/>
              <w:jc w:val="center"/>
            </w:pPr>
            <w:r>
              <w:t>0.511</w:t>
            </w:r>
          </w:p>
        </w:tc>
        <w:tc>
          <w:tcPr>
            <w:tcW w:w="236" w:type="dxa"/>
          </w:tcPr>
          <w:p w14:paraId="0CBF7790" w14:textId="77777777" w:rsidR="006F1135" w:rsidRDefault="006F1135" w:rsidP="00F644EA">
            <w:pPr>
              <w:spacing w:after="0" w:line="240" w:lineRule="auto"/>
              <w:jc w:val="center"/>
            </w:pPr>
          </w:p>
        </w:tc>
        <w:tc>
          <w:tcPr>
            <w:tcW w:w="1704" w:type="dxa"/>
            <w:vAlign w:val="center"/>
          </w:tcPr>
          <w:p w14:paraId="285A7EBE" w14:textId="77777777" w:rsidR="006F1135" w:rsidRDefault="006F1135" w:rsidP="00F644EA">
            <w:pPr>
              <w:spacing w:after="0" w:line="240" w:lineRule="auto"/>
              <w:jc w:val="center"/>
            </w:pPr>
            <w:r>
              <w:t>0.95 [0.68-1.34]</w:t>
            </w:r>
          </w:p>
          <w:p w14:paraId="32BD180A" w14:textId="77777777" w:rsidR="006F1135" w:rsidRDefault="006F1135" w:rsidP="00F644EA">
            <w:pPr>
              <w:spacing w:after="0" w:line="240" w:lineRule="auto"/>
              <w:jc w:val="center"/>
            </w:pPr>
            <w:r>
              <w:t>0.782</w:t>
            </w:r>
          </w:p>
        </w:tc>
        <w:tc>
          <w:tcPr>
            <w:tcW w:w="1701" w:type="dxa"/>
            <w:vAlign w:val="center"/>
          </w:tcPr>
          <w:p w14:paraId="1B500962" w14:textId="77777777" w:rsidR="006F1135" w:rsidRDefault="006F1135" w:rsidP="00F644EA">
            <w:pPr>
              <w:spacing w:after="0" w:line="240" w:lineRule="auto"/>
              <w:jc w:val="center"/>
            </w:pPr>
            <w:r>
              <w:t>1.07 [0.68-1.69]</w:t>
            </w:r>
          </w:p>
          <w:p w14:paraId="6884AE98" w14:textId="77777777" w:rsidR="006F1135" w:rsidRDefault="006F1135" w:rsidP="00F644EA">
            <w:pPr>
              <w:spacing w:after="0" w:line="240" w:lineRule="auto"/>
              <w:jc w:val="center"/>
            </w:pPr>
            <w:r>
              <w:t>0.764</w:t>
            </w:r>
          </w:p>
        </w:tc>
      </w:tr>
    </w:tbl>
    <w:p w14:paraId="33C485B1" w14:textId="5F4497C8" w:rsidR="00FA3EE5" w:rsidRPr="00AE26E1" w:rsidRDefault="006F1135" w:rsidP="00FA3EE5">
      <w:pPr>
        <w:spacing w:after="0" w:line="240" w:lineRule="auto"/>
      </w:pPr>
      <w:r>
        <w:t>CI = confidence interval; RR = relative risk from bivariate models; RR</w:t>
      </w:r>
      <w:r w:rsidRPr="001265B4">
        <w:rPr>
          <w:vertAlign w:val="subscript"/>
        </w:rPr>
        <w:t>adj</w:t>
      </w:r>
      <w:r>
        <w:t xml:space="preserve"> = relative risk adjusted for </w:t>
      </w:r>
      <w:r>
        <w:rPr>
          <w:shd w:val="clear" w:color="auto" w:fill="FFFFFF"/>
        </w:rPr>
        <w:t>age, sex, ethnicity, wealth, alcohol intake, body mass index, and physical activity (for smoking status) or smoking status (for physical activity).</w:t>
      </w:r>
      <w:r>
        <w:br/>
      </w:r>
      <w:r w:rsidR="006C545B" w:rsidRPr="00AE26E1">
        <w:rPr>
          <w:vertAlign w:val="superscript"/>
        </w:rPr>
        <w:t>1</w:t>
      </w:r>
      <w:r w:rsidR="006C545B">
        <w:t xml:space="preserve"> Multiplicative interaction between smoking status and physical activity. Results can be interpreted as the difference in RR between high active and low active former/current smokers, relative to the difference in RR between high and low active never smokers. Thus, an interaction term above 1 indicates the disparity between high and low active groups was greater for former/current smokers than never smokers, and an interaction term below 1 indicates the disparity between high and low active groups was smaller for former/current smokers than never smokers.</w:t>
      </w:r>
    </w:p>
    <w:p w14:paraId="1549A24F" w14:textId="77777777" w:rsidR="00FA3EE5" w:rsidRDefault="00FA3EE5" w:rsidP="00FA3EE5">
      <w:pPr>
        <w:spacing w:after="0" w:line="240" w:lineRule="auto"/>
      </w:pPr>
      <w:r>
        <w:t>Note: For each outcome, the sample is restricted to those who did not report the presence of the outcome at baseline. Results therefore indicate the prevalence and relative risk of new-onset health problems over the follow-up period.</w:t>
      </w:r>
    </w:p>
    <w:p w14:paraId="5C552F0D" w14:textId="77F2FC61" w:rsidR="006F1135" w:rsidRDefault="006F1135">
      <w:pPr>
        <w:spacing w:after="200" w:line="276" w:lineRule="auto"/>
      </w:pPr>
      <w:r>
        <w:br w:type="page"/>
      </w:r>
    </w:p>
    <w:tbl>
      <w:tblPr>
        <w:tblStyle w:val="TableGrid"/>
        <w:tblW w:w="13470"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80"/>
        <w:gridCol w:w="2519"/>
        <w:gridCol w:w="1229"/>
        <w:gridCol w:w="1718"/>
        <w:gridCol w:w="238"/>
        <w:gridCol w:w="1726"/>
        <w:gridCol w:w="1683"/>
        <w:gridCol w:w="236"/>
        <w:gridCol w:w="1867"/>
        <w:gridCol w:w="6"/>
        <w:gridCol w:w="1962"/>
        <w:gridCol w:w="6"/>
      </w:tblGrid>
      <w:tr w:rsidR="00A90F02" w14:paraId="70A5120B" w14:textId="77777777" w:rsidTr="001071E1">
        <w:trPr>
          <w:gridAfter w:val="1"/>
          <w:wAfter w:w="6" w:type="dxa"/>
        </w:trPr>
        <w:tc>
          <w:tcPr>
            <w:tcW w:w="13464" w:type="dxa"/>
            <w:gridSpan w:val="11"/>
            <w:tcBorders>
              <w:top w:val="nil"/>
            </w:tcBorders>
          </w:tcPr>
          <w:bookmarkEnd w:id="2"/>
          <w:p w14:paraId="322FD903" w14:textId="4533F508" w:rsidR="00A90F02" w:rsidRPr="00AA3632" w:rsidRDefault="00A90F02" w:rsidP="002761E5">
            <w:pPr>
              <w:spacing w:after="0" w:line="240" w:lineRule="auto"/>
              <w:rPr>
                <w:b/>
              </w:rPr>
            </w:pPr>
            <w:r w:rsidRPr="00AA3632">
              <w:rPr>
                <w:b/>
              </w:rPr>
              <w:lastRenderedPageBreak/>
              <w:t xml:space="preserve">Table </w:t>
            </w:r>
            <w:r w:rsidR="00735F89" w:rsidRPr="00AA3632">
              <w:rPr>
                <w:b/>
              </w:rPr>
              <w:t>3</w:t>
            </w:r>
            <w:r w:rsidRPr="00AA3632">
              <w:rPr>
                <w:b/>
              </w:rPr>
              <w:t>.</w:t>
            </w:r>
            <w:r w:rsidRPr="00AA3632">
              <w:t xml:space="preserve"> Prevalence and unadjusted and adjusted relative risks of incident health problems over 12-year follow-up</w:t>
            </w:r>
            <w:r w:rsidR="00AA3632" w:rsidRPr="00AA3632">
              <w:t xml:space="preserve"> associated with each smoking/physical activity group</w:t>
            </w:r>
          </w:p>
        </w:tc>
      </w:tr>
      <w:tr w:rsidR="008744A5" w14:paraId="7314B83C" w14:textId="77777777" w:rsidTr="001071E1">
        <w:tc>
          <w:tcPr>
            <w:tcW w:w="2799" w:type="dxa"/>
            <w:gridSpan w:val="2"/>
            <w:tcBorders>
              <w:bottom w:val="nil"/>
            </w:tcBorders>
          </w:tcPr>
          <w:p w14:paraId="07B2148E" w14:textId="77777777" w:rsidR="008744A5" w:rsidRDefault="008744A5" w:rsidP="002761E5">
            <w:pPr>
              <w:spacing w:after="0" w:line="240" w:lineRule="auto"/>
            </w:pPr>
          </w:p>
        </w:tc>
        <w:tc>
          <w:tcPr>
            <w:tcW w:w="2947" w:type="dxa"/>
            <w:gridSpan w:val="2"/>
          </w:tcPr>
          <w:p w14:paraId="55CB3612" w14:textId="77777777" w:rsidR="008744A5" w:rsidRDefault="008744A5" w:rsidP="002761E5">
            <w:pPr>
              <w:spacing w:after="0" w:line="240" w:lineRule="auto"/>
              <w:jc w:val="center"/>
            </w:pPr>
            <w:r>
              <w:t>Never smoker</w:t>
            </w:r>
          </w:p>
        </w:tc>
        <w:tc>
          <w:tcPr>
            <w:tcW w:w="238" w:type="dxa"/>
            <w:tcBorders>
              <w:bottom w:val="nil"/>
            </w:tcBorders>
          </w:tcPr>
          <w:p w14:paraId="6FE62A00" w14:textId="77777777" w:rsidR="008744A5" w:rsidRDefault="008744A5" w:rsidP="002761E5">
            <w:pPr>
              <w:spacing w:after="0" w:line="240" w:lineRule="auto"/>
              <w:jc w:val="center"/>
            </w:pPr>
          </w:p>
        </w:tc>
        <w:tc>
          <w:tcPr>
            <w:tcW w:w="3409" w:type="dxa"/>
            <w:gridSpan w:val="2"/>
          </w:tcPr>
          <w:p w14:paraId="6BE63D8E" w14:textId="77777777" w:rsidR="008744A5" w:rsidRDefault="008744A5" w:rsidP="002761E5">
            <w:pPr>
              <w:spacing w:after="0" w:line="240" w:lineRule="auto"/>
              <w:jc w:val="center"/>
            </w:pPr>
            <w:r>
              <w:t>Former smoker</w:t>
            </w:r>
          </w:p>
        </w:tc>
        <w:tc>
          <w:tcPr>
            <w:tcW w:w="236" w:type="dxa"/>
            <w:tcBorders>
              <w:bottom w:val="nil"/>
            </w:tcBorders>
          </w:tcPr>
          <w:p w14:paraId="7AD45EA7" w14:textId="77777777" w:rsidR="008744A5" w:rsidRDefault="008744A5" w:rsidP="002761E5">
            <w:pPr>
              <w:spacing w:after="0" w:line="240" w:lineRule="auto"/>
              <w:jc w:val="center"/>
            </w:pPr>
          </w:p>
        </w:tc>
        <w:tc>
          <w:tcPr>
            <w:tcW w:w="3841" w:type="dxa"/>
            <w:gridSpan w:val="4"/>
          </w:tcPr>
          <w:p w14:paraId="4040266D" w14:textId="77777777" w:rsidR="008744A5" w:rsidRDefault="008744A5" w:rsidP="002761E5">
            <w:pPr>
              <w:spacing w:after="0" w:line="240" w:lineRule="auto"/>
              <w:jc w:val="center"/>
            </w:pPr>
            <w:r>
              <w:t>Current smoker</w:t>
            </w:r>
          </w:p>
        </w:tc>
      </w:tr>
      <w:tr w:rsidR="008744A5" w14:paraId="63DB853A" w14:textId="77777777" w:rsidTr="001071E1">
        <w:tc>
          <w:tcPr>
            <w:tcW w:w="2799" w:type="dxa"/>
            <w:gridSpan w:val="2"/>
            <w:tcBorders>
              <w:top w:val="nil"/>
              <w:bottom w:val="single" w:sz="4" w:space="0" w:color="auto"/>
            </w:tcBorders>
          </w:tcPr>
          <w:p w14:paraId="7CECCC68" w14:textId="77777777" w:rsidR="008744A5" w:rsidRDefault="008744A5" w:rsidP="002761E5">
            <w:pPr>
              <w:spacing w:after="0" w:line="240" w:lineRule="auto"/>
            </w:pPr>
          </w:p>
        </w:tc>
        <w:tc>
          <w:tcPr>
            <w:tcW w:w="1229" w:type="dxa"/>
            <w:tcBorders>
              <w:top w:val="nil"/>
              <w:bottom w:val="single" w:sz="4" w:space="0" w:color="auto"/>
            </w:tcBorders>
          </w:tcPr>
          <w:p w14:paraId="236AA04D" w14:textId="77777777" w:rsidR="008744A5" w:rsidRDefault="008744A5" w:rsidP="002761E5">
            <w:pPr>
              <w:spacing w:after="0" w:line="240" w:lineRule="auto"/>
              <w:jc w:val="center"/>
            </w:pPr>
            <w:r>
              <w:t>High active</w:t>
            </w:r>
          </w:p>
        </w:tc>
        <w:tc>
          <w:tcPr>
            <w:tcW w:w="1718" w:type="dxa"/>
            <w:tcBorders>
              <w:top w:val="nil"/>
              <w:bottom w:val="single" w:sz="4" w:space="0" w:color="auto"/>
            </w:tcBorders>
          </w:tcPr>
          <w:p w14:paraId="4C9480D0" w14:textId="77777777" w:rsidR="008744A5" w:rsidRDefault="008744A5" w:rsidP="002761E5">
            <w:pPr>
              <w:spacing w:after="0" w:line="240" w:lineRule="auto"/>
              <w:jc w:val="center"/>
            </w:pPr>
            <w:r>
              <w:t>Low active</w:t>
            </w:r>
          </w:p>
        </w:tc>
        <w:tc>
          <w:tcPr>
            <w:tcW w:w="238" w:type="dxa"/>
            <w:tcBorders>
              <w:top w:val="nil"/>
              <w:bottom w:val="single" w:sz="4" w:space="0" w:color="auto"/>
            </w:tcBorders>
          </w:tcPr>
          <w:p w14:paraId="781E9967" w14:textId="77777777" w:rsidR="008744A5" w:rsidRDefault="008744A5" w:rsidP="002761E5">
            <w:pPr>
              <w:spacing w:after="0" w:line="240" w:lineRule="auto"/>
              <w:jc w:val="center"/>
            </w:pPr>
          </w:p>
        </w:tc>
        <w:tc>
          <w:tcPr>
            <w:tcW w:w="1726" w:type="dxa"/>
            <w:tcBorders>
              <w:top w:val="nil"/>
              <w:bottom w:val="single" w:sz="4" w:space="0" w:color="auto"/>
            </w:tcBorders>
          </w:tcPr>
          <w:p w14:paraId="48F00F8F" w14:textId="77777777" w:rsidR="008744A5" w:rsidRDefault="008744A5" w:rsidP="002761E5">
            <w:pPr>
              <w:spacing w:after="0" w:line="240" w:lineRule="auto"/>
              <w:jc w:val="center"/>
            </w:pPr>
            <w:r>
              <w:t>High active</w:t>
            </w:r>
          </w:p>
        </w:tc>
        <w:tc>
          <w:tcPr>
            <w:tcW w:w="1683" w:type="dxa"/>
            <w:tcBorders>
              <w:top w:val="nil"/>
              <w:bottom w:val="single" w:sz="4" w:space="0" w:color="auto"/>
            </w:tcBorders>
          </w:tcPr>
          <w:p w14:paraId="3C91C6A1" w14:textId="77777777" w:rsidR="008744A5" w:rsidRDefault="008744A5" w:rsidP="002761E5">
            <w:pPr>
              <w:spacing w:after="0" w:line="240" w:lineRule="auto"/>
              <w:jc w:val="center"/>
            </w:pPr>
            <w:r>
              <w:t>Low active</w:t>
            </w:r>
          </w:p>
        </w:tc>
        <w:tc>
          <w:tcPr>
            <w:tcW w:w="236" w:type="dxa"/>
            <w:tcBorders>
              <w:top w:val="nil"/>
              <w:bottom w:val="single" w:sz="4" w:space="0" w:color="auto"/>
            </w:tcBorders>
          </w:tcPr>
          <w:p w14:paraId="3F7DD49F" w14:textId="77777777" w:rsidR="008744A5" w:rsidRDefault="008744A5" w:rsidP="002761E5">
            <w:pPr>
              <w:spacing w:after="0" w:line="240" w:lineRule="auto"/>
              <w:jc w:val="center"/>
            </w:pPr>
          </w:p>
        </w:tc>
        <w:tc>
          <w:tcPr>
            <w:tcW w:w="1873" w:type="dxa"/>
            <w:gridSpan w:val="2"/>
            <w:tcBorders>
              <w:top w:val="nil"/>
              <w:bottom w:val="single" w:sz="4" w:space="0" w:color="auto"/>
            </w:tcBorders>
          </w:tcPr>
          <w:p w14:paraId="5952B233" w14:textId="77777777" w:rsidR="008744A5" w:rsidRDefault="008744A5" w:rsidP="002761E5">
            <w:pPr>
              <w:spacing w:after="0" w:line="240" w:lineRule="auto"/>
              <w:jc w:val="center"/>
            </w:pPr>
            <w:r>
              <w:t>High active</w:t>
            </w:r>
          </w:p>
        </w:tc>
        <w:tc>
          <w:tcPr>
            <w:tcW w:w="1968" w:type="dxa"/>
            <w:gridSpan w:val="2"/>
            <w:tcBorders>
              <w:top w:val="nil"/>
              <w:bottom w:val="single" w:sz="4" w:space="0" w:color="auto"/>
            </w:tcBorders>
          </w:tcPr>
          <w:p w14:paraId="548B3195" w14:textId="77777777" w:rsidR="008744A5" w:rsidRDefault="008744A5" w:rsidP="002761E5">
            <w:pPr>
              <w:spacing w:after="0" w:line="240" w:lineRule="auto"/>
              <w:jc w:val="center"/>
            </w:pPr>
            <w:r>
              <w:t>Low active</w:t>
            </w:r>
          </w:p>
        </w:tc>
      </w:tr>
      <w:tr w:rsidR="008744A5" w14:paraId="79FF2969" w14:textId="77777777" w:rsidTr="001071E1">
        <w:tc>
          <w:tcPr>
            <w:tcW w:w="2799" w:type="dxa"/>
            <w:gridSpan w:val="2"/>
            <w:tcBorders>
              <w:bottom w:val="nil"/>
            </w:tcBorders>
          </w:tcPr>
          <w:p w14:paraId="7792FE60" w14:textId="77777777" w:rsidR="008744A5" w:rsidRDefault="008744A5" w:rsidP="002761E5">
            <w:pPr>
              <w:spacing w:after="0" w:line="240" w:lineRule="auto"/>
            </w:pPr>
            <w:r>
              <w:t>Fair/poor self-rated health</w:t>
            </w:r>
          </w:p>
        </w:tc>
        <w:tc>
          <w:tcPr>
            <w:tcW w:w="1229" w:type="dxa"/>
            <w:tcBorders>
              <w:bottom w:val="nil"/>
            </w:tcBorders>
          </w:tcPr>
          <w:p w14:paraId="5D358FD3" w14:textId="77777777" w:rsidR="008744A5" w:rsidRDefault="008744A5" w:rsidP="002761E5">
            <w:pPr>
              <w:spacing w:after="0" w:line="240" w:lineRule="auto"/>
            </w:pPr>
          </w:p>
        </w:tc>
        <w:tc>
          <w:tcPr>
            <w:tcW w:w="1718" w:type="dxa"/>
            <w:tcBorders>
              <w:bottom w:val="nil"/>
            </w:tcBorders>
          </w:tcPr>
          <w:p w14:paraId="6ADB81AB" w14:textId="77777777" w:rsidR="008744A5" w:rsidRDefault="008744A5" w:rsidP="002761E5">
            <w:pPr>
              <w:spacing w:after="0" w:line="240" w:lineRule="auto"/>
            </w:pPr>
          </w:p>
        </w:tc>
        <w:tc>
          <w:tcPr>
            <w:tcW w:w="238" w:type="dxa"/>
            <w:tcBorders>
              <w:bottom w:val="nil"/>
            </w:tcBorders>
          </w:tcPr>
          <w:p w14:paraId="020A6C2B" w14:textId="77777777" w:rsidR="008744A5" w:rsidRDefault="008744A5" w:rsidP="002761E5">
            <w:pPr>
              <w:spacing w:after="0" w:line="240" w:lineRule="auto"/>
            </w:pPr>
          </w:p>
        </w:tc>
        <w:tc>
          <w:tcPr>
            <w:tcW w:w="1726" w:type="dxa"/>
            <w:tcBorders>
              <w:bottom w:val="nil"/>
            </w:tcBorders>
          </w:tcPr>
          <w:p w14:paraId="64E46896" w14:textId="77777777" w:rsidR="008744A5" w:rsidRDefault="008744A5" w:rsidP="002761E5">
            <w:pPr>
              <w:spacing w:after="0" w:line="240" w:lineRule="auto"/>
            </w:pPr>
          </w:p>
        </w:tc>
        <w:tc>
          <w:tcPr>
            <w:tcW w:w="1683" w:type="dxa"/>
            <w:tcBorders>
              <w:bottom w:val="nil"/>
            </w:tcBorders>
          </w:tcPr>
          <w:p w14:paraId="298D40D3" w14:textId="77777777" w:rsidR="008744A5" w:rsidRDefault="008744A5" w:rsidP="002761E5">
            <w:pPr>
              <w:spacing w:after="0" w:line="240" w:lineRule="auto"/>
            </w:pPr>
          </w:p>
        </w:tc>
        <w:tc>
          <w:tcPr>
            <w:tcW w:w="236" w:type="dxa"/>
            <w:tcBorders>
              <w:bottom w:val="nil"/>
            </w:tcBorders>
          </w:tcPr>
          <w:p w14:paraId="2AFCB293" w14:textId="77777777" w:rsidR="008744A5" w:rsidRDefault="008744A5" w:rsidP="002761E5">
            <w:pPr>
              <w:spacing w:after="0" w:line="240" w:lineRule="auto"/>
            </w:pPr>
          </w:p>
        </w:tc>
        <w:tc>
          <w:tcPr>
            <w:tcW w:w="1873" w:type="dxa"/>
            <w:gridSpan w:val="2"/>
            <w:tcBorders>
              <w:bottom w:val="nil"/>
            </w:tcBorders>
          </w:tcPr>
          <w:p w14:paraId="3B5B75AA" w14:textId="77777777" w:rsidR="008744A5" w:rsidRDefault="008744A5" w:rsidP="002761E5">
            <w:pPr>
              <w:spacing w:after="0" w:line="240" w:lineRule="auto"/>
            </w:pPr>
          </w:p>
        </w:tc>
        <w:tc>
          <w:tcPr>
            <w:tcW w:w="1968" w:type="dxa"/>
            <w:gridSpan w:val="2"/>
            <w:tcBorders>
              <w:bottom w:val="nil"/>
            </w:tcBorders>
          </w:tcPr>
          <w:p w14:paraId="3EBDC071" w14:textId="752199CC" w:rsidR="008744A5" w:rsidRDefault="00E63D36" w:rsidP="002761E5">
            <w:pPr>
              <w:spacing w:after="0" w:line="240" w:lineRule="auto"/>
            </w:pPr>
            <w:r>
              <w:t xml:space="preserve"> </w:t>
            </w:r>
          </w:p>
        </w:tc>
      </w:tr>
      <w:tr w:rsidR="008744A5" w14:paraId="5E7AE763" w14:textId="77777777" w:rsidTr="001071E1">
        <w:trPr>
          <w:gridAfter w:val="1"/>
          <w:wAfter w:w="6" w:type="dxa"/>
        </w:trPr>
        <w:tc>
          <w:tcPr>
            <w:tcW w:w="280" w:type="dxa"/>
            <w:tcBorders>
              <w:top w:val="nil"/>
              <w:bottom w:val="nil"/>
            </w:tcBorders>
          </w:tcPr>
          <w:p w14:paraId="4CE4A40B" w14:textId="77777777" w:rsidR="008744A5" w:rsidRDefault="008744A5" w:rsidP="002761E5">
            <w:pPr>
              <w:spacing w:after="0" w:line="240" w:lineRule="auto"/>
            </w:pPr>
          </w:p>
        </w:tc>
        <w:tc>
          <w:tcPr>
            <w:tcW w:w="2519" w:type="dxa"/>
            <w:tcBorders>
              <w:top w:val="nil"/>
            </w:tcBorders>
          </w:tcPr>
          <w:p w14:paraId="7A76206B" w14:textId="77777777" w:rsidR="008744A5" w:rsidRDefault="008744A5" w:rsidP="002761E5">
            <w:pPr>
              <w:spacing w:after="0" w:line="240" w:lineRule="auto"/>
            </w:pPr>
            <w:r>
              <w:t>% (</w:t>
            </w:r>
            <w:r w:rsidRPr="00DA1594">
              <w:rPr>
                <w:i/>
              </w:rPr>
              <w:t>n</w:t>
            </w:r>
            <w:r>
              <w:t>)</w:t>
            </w:r>
          </w:p>
        </w:tc>
        <w:tc>
          <w:tcPr>
            <w:tcW w:w="1229" w:type="dxa"/>
            <w:tcBorders>
              <w:top w:val="nil"/>
            </w:tcBorders>
          </w:tcPr>
          <w:p w14:paraId="20C6B4B1" w14:textId="77777777" w:rsidR="008744A5" w:rsidRDefault="008744A5" w:rsidP="002761E5">
            <w:pPr>
              <w:spacing w:after="0" w:line="240" w:lineRule="auto"/>
              <w:jc w:val="center"/>
            </w:pPr>
            <w:r>
              <w:t>37.0 (354)</w:t>
            </w:r>
          </w:p>
        </w:tc>
        <w:tc>
          <w:tcPr>
            <w:tcW w:w="1718" w:type="dxa"/>
            <w:tcBorders>
              <w:top w:val="nil"/>
            </w:tcBorders>
          </w:tcPr>
          <w:p w14:paraId="020E9BAF" w14:textId="77777777" w:rsidR="008744A5" w:rsidRDefault="008744A5" w:rsidP="002761E5">
            <w:pPr>
              <w:spacing w:after="0" w:line="240" w:lineRule="auto"/>
              <w:jc w:val="center"/>
            </w:pPr>
            <w:r>
              <w:t>51.9 (48.1)</w:t>
            </w:r>
          </w:p>
        </w:tc>
        <w:tc>
          <w:tcPr>
            <w:tcW w:w="238" w:type="dxa"/>
            <w:tcBorders>
              <w:top w:val="nil"/>
            </w:tcBorders>
          </w:tcPr>
          <w:p w14:paraId="05773097" w14:textId="77777777" w:rsidR="008744A5" w:rsidRDefault="008744A5" w:rsidP="002761E5">
            <w:pPr>
              <w:spacing w:after="0" w:line="240" w:lineRule="auto"/>
              <w:jc w:val="center"/>
            </w:pPr>
          </w:p>
        </w:tc>
        <w:tc>
          <w:tcPr>
            <w:tcW w:w="1726" w:type="dxa"/>
            <w:tcBorders>
              <w:top w:val="nil"/>
            </w:tcBorders>
          </w:tcPr>
          <w:p w14:paraId="488FC42F" w14:textId="77777777" w:rsidR="008744A5" w:rsidRDefault="008744A5" w:rsidP="002761E5">
            <w:pPr>
              <w:spacing w:after="0" w:line="240" w:lineRule="auto"/>
              <w:jc w:val="center"/>
            </w:pPr>
            <w:r>
              <w:t>44.4 (504)</w:t>
            </w:r>
          </w:p>
        </w:tc>
        <w:tc>
          <w:tcPr>
            <w:tcW w:w="1683" w:type="dxa"/>
            <w:tcBorders>
              <w:top w:val="nil"/>
            </w:tcBorders>
          </w:tcPr>
          <w:p w14:paraId="4E6619CD" w14:textId="77777777" w:rsidR="008744A5" w:rsidRDefault="008744A5" w:rsidP="002761E5">
            <w:pPr>
              <w:spacing w:after="0" w:line="240" w:lineRule="auto"/>
              <w:jc w:val="center"/>
            </w:pPr>
            <w:r>
              <w:t>62.8 (240)</w:t>
            </w:r>
          </w:p>
        </w:tc>
        <w:tc>
          <w:tcPr>
            <w:tcW w:w="236" w:type="dxa"/>
            <w:tcBorders>
              <w:top w:val="nil"/>
            </w:tcBorders>
          </w:tcPr>
          <w:p w14:paraId="3DF8BD1E" w14:textId="77777777" w:rsidR="008744A5" w:rsidRDefault="008744A5" w:rsidP="002761E5">
            <w:pPr>
              <w:spacing w:after="0" w:line="240" w:lineRule="auto"/>
              <w:jc w:val="center"/>
            </w:pPr>
          </w:p>
        </w:tc>
        <w:tc>
          <w:tcPr>
            <w:tcW w:w="1867" w:type="dxa"/>
            <w:tcBorders>
              <w:top w:val="nil"/>
            </w:tcBorders>
          </w:tcPr>
          <w:p w14:paraId="0A7BF41B" w14:textId="77777777" w:rsidR="008744A5" w:rsidRDefault="008744A5" w:rsidP="002761E5">
            <w:pPr>
              <w:spacing w:after="0" w:line="240" w:lineRule="auto"/>
              <w:jc w:val="center"/>
            </w:pPr>
            <w:r>
              <w:t>52.8 (141)</w:t>
            </w:r>
          </w:p>
        </w:tc>
        <w:tc>
          <w:tcPr>
            <w:tcW w:w="1968" w:type="dxa"/>
            <w:gridSpan w:val="2"/>
            <w:tcBorders>
              <w:top w:val="nil"/>
            </w:tcBorders>
          </w:tcPr>
          <w:p w14:paraId="505058DE" w14:textId="77777777" w:rsidR="008744A5" w:rsidRDefault="008744A5" w:rsidP="002761E5">
            <w:pPr>
              <w:spacing w:after="0" w:line="240" w:lineRule="auto"/>
              <w:jc w:val="center"/>
            </w:pPr>
            <w:r>
              <w:t>74.3 (84)</w:t>
            </w:r>
          </w:p>
        </w:tc>
      </w:tr>
      <w:tr w:rsidR="008744A5" w14:paraId="70FE409C" w14:textId="77777777" w:rsidTr="001071E1">
        <w:trPr>
          <w:gridAfter w:val="1"/>
          <w:wAfter w:w="6" w:type="dxa"/>
        </w:trPr>
        <w:tc>
          <w:tcPr>
            <w:tcW w:w="280" w:type="dxa"/>
            <w:tcBorders>
              <w:top w:val="nil"/>
              <w:bottom w:val="nil"/>
            </w:tcBorders>
          </w:tcPr>
          <w:p w14:paraId="2C0BA7D8" w14:textId="77777777" w:rsidR="008744A5" w:rsidRDefault="008744A5" w:rsidP="002761E5">
            <w:pPr>
              <w:spacing w:after="0" w:line="240" w:lineRule="auto"/>
            </w:pPr>
          </w:p>
        </w:tc>
        <w:tc>
          <w:tcPr>
            <w:tcW w:w="2519" w:type="dxa"/>
          </w:tcPr>
          <w:p w14:paraId="5632CC01" w14:textId="77777777" w:rsidR="008744A5" w:rsidRDefault="008744A5" w:rsidP="002761E5">
            <w:pPr>
              <w:spacing w:after="0" w:line="240" w:lineRule="auto"/>
            </w:pPr>
            <w:r>
              <w:t>RR [95% CI]</w:t>
            </w:r>
          </w:p>
          <w:p w14:paraId="75C92797" w14:textId="77777777" w:rsidR="008744A5" w:rsidRPr="00E6027F" w:rsidRDefault="008744A5" w:rsidP="002761E5">
            <w:pPr>
              <w:spacing w:after="0" w:line="240" w:lineRule="auto"/>
              <w:rPr>
                <w:i/>
              </w:rPr>
            </w:pPr>
            <w:r>
              <w:rPr>
                <w:i/>
              </w:rPr>
              <w:t>p</w:t>
            </w:r>
          </w:p>
        </w:tc>
        <w:tc>
          <w:tcPr>
            <w:tcW w:w="1229" w:type="dxa"/>
          </w:tcPr>
          <w:p w14:paraId="4100B4E8" w14:textId="77777777" w:rsidR="008744A5" w:rsidRDefault="008744A5" w:rsidP="002761E5">
            <w:pPr>
              <w:spacing w:after="0" w:line="240" w:lineRule="auto"/>
              <w:jc w:val="center"/>
            </w:pPr>
            <w:r>
              <w:t>1</w:t>
            </w:r>
          </w:p>
          <w:p w14:paraId="5328F53B" w14:textId="77777777" w:rsidR="008744A5" w:rsidRDefault="008744A5" w:rsidP="002761E5">
            <w:pPr>
              <w:spacing w:after="0" w:line="240" w:lineRule="auto"/>
              <w:jc w:val="center"/>
            </w:pPr>
          </w:p>
        </w:tc>
        <w:tc>
          <w:tcPr>
            <w:tcW w:w="1718" w:type="dxa"/>
          </w:tcPr>
          <w:p w14:paraId="6554C72D" w14:textId="77777777" w:rsidR="008744A5" w:rsidRDefault="008744A5" w:rsidP="002761E5">
            <w:pPr>
              <w:spacing w:after="0" w:line="240" w:lineRule="auto"/>
              <w:jc w:val="center"/>
            </w:pPr>
            <w:r>
              <w:t>1.40 [1.13-1.75]</w:t>
            </w:r>
          </w:p>
          <w:p w14:paraId="0069F506" w14:textId="77777777" w:rsidR="008744A5" w:rsidRDefault="008744A5" w:rsidP="002761E5">
            <w:pPr>
              <w:spacing w:after="0" w:line="240" w:lineRule="auto"/>
              <w:jc w:val="center"/>
            </w:pPr>
            <w:r>
              <w:t>0.002</w:t>
            </w:r>
          </w:p>
        </w:tc>
        <w:tc>
          <w:tcPr>
            <w:tcW w:w="238" w:type="dxa"/>
          </w:tcPr>
          <w:p w14:paraId="7BE99B54" w14:textId="77777777" w:rsidR="008744A5" w:rsidRDefault="008744A5" w:rsidP="002761E5">
            <w:pPr>
              <w:spacing w:after="0" w:line="240" w:lineRule="auto"/>
              <w:jc w:val="center"/>
            </w:pPr>
          </w:p>
        </w:tc>
        <w:tc>
          <w:tcPr>
            <w:tcW w:w="1726" w:type="dxa"/>
          </w:tcPr>
          <w:p w14:paraId="4BF8CF8A" w14:textId="77777777" w:rsidR="008744A5" w:rsidRDefault="008744A5" w:rsidP="002761E5">
            <w:pPr>
              <w:spacing w:after="0" w:line="240" w:lineRule="auto"/>
              <w:jc w:val="center"/>
            </w:pPr>
            <w:r>
              <w:t>1.20 [1.02-1.41]</w:t>
            </w:r>
          </w:p>
          <w:p w14:paraId="233ECA42" w14:textId="77777777" w:rsidR="008744A5" w:rsidRDefault="008744A5" w:rsidP="002761E5">
            <w:pPr>
              <w:spacing w:after="0" w:line="240" w:lineRule="auto"/>
              <w:jc w:val="center"/>
            </w:pPr>
            <w:r>
              <w:t>0.027</w:t>
            </w:r>
          </w:p>
        </w:tc>
        <w:tc>
          <w:tcPr>
            <w:tcW w:w="1683" w:type="dxa"/>
          </w:tcPr>
          <w:p w14:paraId="3AE219BF" w14:textId="77777777" w:rsidR="008744A5" w:rsidRDefault="008744A5" w:rsidP="002761E5">
            <w:pPr>
              <w:spacing w:after="0" w:line="240" w:lineRule="auto"/>
              <w:jc w:val="center"/>
            </w:pPr>
            <w:r>
              <w:t>1.70 [1.39-2.08]</w:t>
            </w:r>
          </w:p>
          <w:p w14:paraId="0F029114" w14:textId="77777777" w:rsidR="008744A5" w:rsidRDefault="008744A5" w:rsidP="002761E5">
            <w:pPr>
              <w:spacing w:after="0" w:line="240" w:lineRule="auto"/>
              <w:jc w:val="center"/>
            </w:pPr>
            <w:r>
              <w:t>&lt;0.001</w:t>
            </w:r>
          </w:p>
        </w:tc>
        <w:tc>
          <w:tcPr>
            <w:tcW w:w="236" w:type="dxa"/>
          </w:tcPr>
          <w:p w14:paraId="708453D3" w14:textId="77777777" w:rsidR="008744A5" w:rsidRDefault="008744A5" w:rsidP="002761E5">
            <w:pPr>
              <w:spacing w:after="0" w:line="240" w:lineRule="auto"/>
              <w:jc w:val="center"/>
            </w:pPr>
          </w:p>
        </w:tc>
        <w:tc>
          <w:tcPr>
            <w:tcW w:w="1867" w:type="dxa"/>
          </w:tcPr>
          <w:p w14:paraId="1F90C243" w14:textId="77777777" w:rsidR="008744A5" w:rsidRDefault="008744A5" w:rsidP="002761E5">
            <w:pPr>
              <w:spacing w:after="0" w:line="240" w:lineRule="auto"/>
              <w:jc w:val="center"/>
            </w:pPr>
            <w:r>
              <w:t>1.43 [1.13-1.81]</w:t>
            </w:r>
          </w:p>
          <w:p w14:paraId="0F793A84" w14:textId="77777777" w:rsidR="008744A5" w:rsidRDefault="008744A5" w:rsidP="002761E5">
            <w:pPr>
              <w:spacing w:after="0" w:line="240" w:lineRule="auto"/>
              <w:jc w:val="center"/>
            </w:pPr>
            <w:r>
              <w:t>0.003</w:t>
            </w:r>
          </w:p>
        </w:tc>
        <w:tc>
          <w:tcPr>
            <w:tcW w:w="1968" w:type="dxa"/>
            <w:gridSpan w:val="2"/>
          </w:tcPr>
          <w:p w14:paraId="38C699F1" w14:textId="77777777" w:rsidR="008744A5" w:rsidRDefault="008744A5" w:rsidP="002761E5">
            <w:pPr>
              <w:spacing w:after="0" w:line="240" w:lineRule="auto"/>
              <w:jc w:val="center"/>
            </w:pPr>
            <w:r>
              <w:t>2.01 [1.48-2.73]</w:t>
            </w:r>
          </w:p>
          <w:p w14:paraId="360C9109" w14:textId="77777777" w:rsidR="008744A5" w:rsidRDefault="008744A5" w:rsidP="002761E5">
            <w:pPr>
              <w:spacing w:after="0" w:line="240" w:lineRule="auto"/>
              <w:jc w:val="center"/>
            </w:pPr>
            <w:r>
              <w:t>&lt;0.001</w:t>
            </w:r>
          </w:p>
        </w:tc>
      </w:tr>
      <w:tr w:rsidR="008744A5" w14:paraId="6BFE14A8" w14:textId="77777777" w:rsidTr="001071E1">
        <w:trPr>
          <w:gridAfter w:val="1"/>
          <w:wAfter w:w="6" w:type="dxa"/>
        </w:trPr>
        <w:tc>
          <w:tcPr>
            <w:tcW w:w="280" w:type="dxa"/>
            <w:tcBorders>
              <w:top w:val="nil"/>
            </w:tcBorders>
          </w:tcPr>
          <w:p w14:paraId="6501861F" w14:textId="77777777" w:rsidR="008744A5" w:rsidRDefault="008744A5" w:rsidP="002761E5">
            <w:pPr>
              <w:spacing w:after="0" w:line="240" w:lineRule="auto"/>
            </w:pPr>
          </w:p>
        </w:tc>
        <w:tc>
          <w:tcPr>
            <w:tcW w:w="2519" w:type="dxa"/>
          </w:tcPr>
          <w:p w14:paraId="0683515F" w14:textId="77777777" w:rsidR="008744A5" w:rsidRDefault="008744A5" w:rsidP="002761E5">
            <w:pPr>
              <w:spacing w:after="0" w:line="240" w:lineRule="auto"/>
            </w:pPr>
            <w:r>
              <w:t>RR</w:t>
            </w:r>
            <w:r w:rsidRPr="009A0497">
              <w:rPr>
                <w:vertAlign w:val="subscript"/>
              </w:rPr>
              <w:t>adj</w:t>
            </w:r>
            <w:r>
              <w:t xml:space="preserve"> [95% CI]</w:t>
            </w:r>
          </w:p>
          <w:p w14:paraId="76D55185" w14:textId="77777777" w:rsidR="008744A5" w:rsidRPr="00E6027F" w:rsidRDefault="008744A5" w:rsidP="002761E5">
            <w:pPr>
              <w:spacing w:after="0" w:line="240" w:lineRule="auto"/>
              <w:rPr>
                <w:i/>
              </w:rPr>
            </w:pPr>
            <w:r>
              <w:rPr>
                <w:i/>
              </w:rPr>
              <w:t>p</w:t>
            </w:r>
          </w:p>
        </w:tc>
        <w:tc>
          <w:tcPr>
            <w:tcW w:w="1229" w:type="dxa"/>
          </w:tcPr>
          <w:p w14:paraId="70A55B5E" w14:textId="77777777" w:rsidR="008744A5" w:rsidRDefault="008744A5" w:rsidP="002761E5">
            <w:pPr>
              <w:spacing w:after="0" w:line="240" w:lineRule="auto"/>
              <w:jc w:val="center"/>
            </w:pPr>
            <w:r>
              <w:t>1</w:t>
            </w:r>
          </w:p>
        </w:tc>
        <w:tc>
          <w:tcPr>
            <w:tcW w:w="1718" w:type="dxa"/>
          </w:tcPr>
          <w:p w14:paraId="12AF0F53" w14:textId="77777777" w:rsidR="008744A5" w:rsidRDefault="008744A5" w:rsidP="002761E5">
            <w:pPr>
              <w:spacing w:after="0" w:line="240" w:lineRule="auto"/>
              <w:jc w:val="center"/>
            </w:pPr>
            <w:r>
              <w:t>1.19 [0.95-1.49]</w:t>
            </w:r>
          </w:p>
          <w:p w14:paraId="60EBA576" w14:textId="77777777" w:rsidR="008744A5" w:rsidRDefault="008744A5" w:rsidP="002761E5">
            <w:pPr>
              <w:spacing w:after="0" w:line="240" w:lineRule="auto"/>
              <w:jc w:val="center"/>
            </w:pPr>
            <w:r>
              <w:t>0.141</w:t>
            </w:r>
          </w:p>
        </w:tc>
        <w:tc>
          <w:tcPr>
            <w:tcW w:w="238" w:type="dxa"/>
          </w:tcPr>
          <w:p w14:paraId="4B37968E" w14:textId="77777777" w:rsidR="008744A5" w:rsidRDefault="008744A5" w:rsidP="002761E5">
            <w:pPr>
              <w:spacing w:after="0" w:line="240" w:lineRule="auto"/>
              <w:jc w:val="center"/>
            </w:pPr>
          </w:p>
        </w:tc>
        <w:tc>
          <w:tcPr>
            <w:tcW w:w="1726" w:type="dxa"/>
          </w:tcPr>
          <w:p w14:paraId="2E9794A3" w14:textId="77777777" w:rsidR="008744A5" w:rsidRDefault="008744A5" w:rsidP="002761E5">
            <w:pPr>
              <w:spacing w:after="0" w:line="240" w:lineRule="auto"/>
              <w:jc w:val="center"/>
            </w:pPr>
            <w:r>
              <w:t>1.14 [0.97-1.35]</w:t>
            </w:r>
          </w:p>
          <w:p w14:paraId="082DFCE5" w14:textId="77777777" w:rsidR="008744A5" w:rsidRDefault="008744A5" w:rsidP="002761E5">
            <w:pPr>
              <w:spacing w:after="0" w:line="240" w:lineRule="auto"/>
              <w:jc w:val="center"/>
            </w:pPr>
            <w:r>
              <w:t>0.112</w:t>
            </w:r>
          </w:p>
        </w:tc>
        <w:tc>
          <w:tcPr>
            <w:tcW w:w="1683" w:type="dxa"/>
          </w:tcPr>
          <w:p w14:paraId="674BA233" w14:textId="77777777" w:rsidR="008744A5" w:rsidRDefault="008744A5" w:rsidP="002761E5">
            <w:pPr>
              <w:spacing w:after="0" w:line="240" w:lineRule="auto"/>
              <w:jc w:val="center"/>
            </w:pPr>
            <w:r>
              <w:t>1.35 [1.09-1.66]</w:t>
            </w:r>
          </w:p>
          <w:p w14:paraId="5B9A6388" w14:textId="77777777" w:rsidR="008744A5" w:rsidRDefault="008744A5" w:rsidP="002761E5">
            <w:pPr>
              <w:spacing w:after="0" w:line="240" w:lineRule="auto"/>
              <w:jc w:val="center"/>
            </w:pPr>
            <w:r>
              <w:t>0.006</w:t>
            </w:r>
          </w:p>
        </w:tc>
        <w:tc>
          <w:tcPr>
            <w:tcW w:w="236" w:type="dxa"/>
          </w:tcPr>
          <w:p w14:paraId="4CE92C8D" w14:textId="77777777" w:rsidR="008744A5" w:rsidRDefault="008744A5" w:rsidP="002761E5">
            <w:pPr>
              <w:spacing w:after="0" w:line="240" w:lineRule="auto"/>
              <w:jc w:val="center"/>
            </w:pPr>
          </w:p>
        </w:tc>
        <w:tc>
          <w:tcPr>
            <w:tcW w:w="1867" w:type="dxa"/>
          </w:tcPr>
          <w:p w14:paraId="285EF664" w14:textId="77777777" w:rsidR="008744A5" w:rsidRDefault="008744A5" w:rsidP="002761E5">
            <w:pPr>
              <w:spacing w:after="0" w:line="240" w:lineRule="auto"/>
              <w:jc w:val="center"/>
            </w:pPr>
            <w:r>
              <w:t>1.55 [1.22-1.99]</w:t>
            </w:r>
          </w:p>
          <w:p w14:paraId="5E1F13A6" w14:textId="77777777" w:rsidR="008744A5" w:rsidRDefault="008744A5" w:rsidP="002761E5">
            <w:pPr>
              <w:spacing w:after="0" w:line="240" w:lineRule="auto"/>
              <w:jc w:val="center"/>
            </w:pPr>
            <w:r>
              <w:t>&lt;0.001</w:t>
            </w:r>
          </w:p>
        </w:tc>
        <w:tc>
          <w:tcPr>
            <w:tcW w:w="1968" w:type="dxa"/>
            <w:gridSpan w:val="2"/>
          </w:tcPr>
          <w:p w14:paraId="69419F6B" w14:textId="77777777" w:rsidR="008744A5" w:rsidRDefault="008744A5" w:rsidP="002761E5">
            <w:pPr>
              <w:spacing w:after="0" w:line="240" w:lineRule="auto"/>
              <w:jc w:val="center"/>
            </w:pPr>
            <w:r>
              <w:t>1.92 [1.40-2.65]</w:t>
            </w:r>
          </w:p>
          <w:p w14:paraId="158DBD17" w14:textId="77777777" w:rsidR="008744A5" w:rsidRDefault="008744A5" w:rsidP="002761E5">
            <w:pPr>
              <w:spacing w:after="0" w:line="240" w:lineRule="auto"/>
              <w:jc w:val="center"/>
            </w:pPr>
            <w:r>
              <w:t>&lt;0.001</w:t>
            </w:r>
          </w:p>
        </w:tc>
      </w:tr>
      <w:tr w:rsidR="008744A5" w14:paraId="4665CFF0" w14:textId="77777777" w:rsidTr="001071E1">
        <w:tc>
          <w:tcPr>
            <w:tcW w:w="2799" w:type="dxa"/>
            <w:gridSpan w:val="2"/>
            <w:tcBorders>
              <w:bottom w:val="nil"/>
            </w:tcBorders>
          </w:tcPr>
          <w:p w14:paraId="0D6B677F" w14:textId="77777777" w:rsidR="008744A5" w:rsidRDefault="008744A5" w:rsidP="002761E5">
            <w:pPr>
              <w:spacing w:after="0" w:line="240" w:lineRule="auto"/>
            </w:pPr>
            <w:r>
              <w:t>Limiting long-standing illness</w:t>
            </w:r>
          </w:p>
        </w:tc>
        <w:tc>
          <w:tcPr>
            <w:tcW w:w="1229" w:type="dxa"/>
            <w:tcBorders>
              <w:bottom w:val="nil"/>
            </w:tcBorders>
          </w:tcPr>
          <w:p w14:paraId="6C6E2D5B" w14:textId="77777777" w:rsidR="008744A5" w:rsidRDefault="008744A5" w:rsidP="002761E5">
            <w:pPr>
              <w:spacing w:after="0" w:line="240" w:lineRule="auto"/>
              <w:jc w:val="center"/>
            </w:pPr>
          </w:p>
        </w:tc>
        <w:tc>
          <w:tcPr>
            <w:tcW w:w="1718" w:type="dxa"/>
            <w:tcBorders>
              <w:bottom w:val="nil"/>
            </w:tcBorders>
          </w:tcPr>
          <w:p w14:paraId="59CEDB11" w14:textId="77777777" w:rsidR="008744A5" w:rsidRDefault="008744A5" w:rsidP="002761E5">
            <w:pPr>
              <w:spacing w:after="0" w:line="240" w:lineRule="auto"/>
              <w:jc w:val="center"/>
            </w:pPr>
          </w:p>
        </w:tc>
        <w:tc>
          <w:tcPr>
            <w:tcW w:w="238" w:type="dxa"/>
            <w:tcBorders>
              <w:bottom w:val="nil"/>
            </w:tcBorders>
          </w:tcPr>
          <w:p w14:paraId="6FB7014D" w14:textId="77777777" w:rsidR="008744A5" w:rsidRDefault="008744A5" w:rsidP="002761E5">
            <w:pPr>
              <w:spacing w:after="0" w:line="240" w:lineRule="auto"/>
              <w:jc w:val="center"/>
            </w:pPr>
          </w:p>
        </w:tc>
        <w:tc>
          <w:tcPr>
            <w:tcW w:w="1726" w:type="dxa"/>
            <w:tcBorders>
              <w:bottom w:val="nil"/>
            </w:tcBorders>
          </w:tcPr>
          <w:p w14:paraId="5AB9D6EA" w14:textId="77777777" w:rsidR="008744A5" w:rsidRDefault="008744A5" w:rsidP="002761E5">
            <w:pPr>
              <w:spacing w:after="0" w:line="240" w:lineRule="auto"/>
              <w:jc w:val="center"/>
            </w:pPr>
          </w:p>
        </w:tc>
        <w:tc>
          <w:tcPr>
            <w:tcW w:w="1683" w:type="dxa"/>
            <w:tcBorders>
              <w:bottom w:val="nil"/>
            </w:tcBorders>
          </w:tcPr>
          <w:p w14:paraId="2676B73C" w14:textId="77777777" w:rsidR="008744A5" w:rsidRDefault="008744A5" w:rsidP="002761E5">
            <w:pPr>
              <w:spacing w:after="0" w:line="240" w:lineRule="auto"/>
              <w:jc w:val="center"/>
            </w:pPr>
          </w:p>
        </w:tc>
        <w:tc>
          <w:tcPr>
            <w:tcW w:w="236" w:type="dxa"/>
            <w:tcBorders>
              <w:bottom w:val="nil"/>
            </w:tcBorders>
          </w:tcPr>
          <w:p w14:paraId="336045AD" w14:textId="77777777" w:rsidR="008744A5" w:rsidRDefault="008744A5" w:rsidP="002761E5">
            <w:pPr>
              <w:spacing w:after="0" w:line="240" w:lineRule="auto"/>
              <w:jc w:val="center"/>
            </w:pPr>
          </w:p>
        </w:tc>
        <w:tc>
          <w:tcPr>
            <w:tcW w:w="1873" w:type="dxa"/>
            <w:gridSpan w:val="2"/>
            <w:tcBorders>
              <w:bottom w:val="nil"/>
            </w:tcBorders>
          </w:tcPr>
          <w:p w14:paraId="0F5DBF43" w14:textId="77777777" w:rsidR="008744A5" w:rsidRDefault="008744A5" w:rsidP="002761E5">
            <w:pPr>
              <w:spacing w:after="0" w:line="240" w:lineRule="auto"/>
              <w:jc w:val="center"/>
            </w:pPr>
          </w:p>
        </w:tc>
        <w:tc>
          <w:tcPr>
            <w:tcW w:w="1968" w:type="dxa"/>
            <w:gridSpan w:val="2"/>
            <w:tcBorders>
              <w:bottom w:val="nil"/>
            </w:tcBorders>
            <w:vAlign w:val="bottom"/>
          </w:tcPr>
          <w:p w14:paraId="1A7F36C6" w14:textId="77777777" w:rsidR="008744A5" w:rsidRDefault="008744A5" w:rsidP="002761E5">
            <w:pPr>
              <w:spacing w:after="0" w:line="240" w:lineRule="auto"/>
              <w:jc w:val="center"/>
            </w:pPr>
          </w:p>
        </w:tc>
      </w:tr>
      <w:tr w:rsidR="008744A5" w14:paraId="3FEE64E1" w14:textId="77777777" w:rsidTr="001071E1">
        <w:trPr>
          <w:gridAfter w:val="1"/>
          <w:wAfter w:w="6" w:type="dxa"/>
        </w:trPr>
        <w:tc>
          <w:tcPr>
            <w:tcW w:w="280" w:type="dxa"/>
            <w:tcBorders>
              <w:top w:val="nil"/>
              <w:bottom w:val="nil"/>
            </w:tcBorders>
          </w:tcPr>
          <w:p w14:paraId="4AE6F318" w14:textId="77777777" w:rsidR="008744A5" w:rsidRDefault="008744A5" w:rsidP="002761E5">
            <w:pPr>
              <w:spacing w:after="0" w:line="240" w:lineRule="auto"/>
            </w:pPr>
          </w:p>
        </w:tc>
        <w:tc>
          <w:tcPr>
            <w:tcW w:w="2519" w:type="dxa"/>
            <w:tcBorders>
              <w:top w:val="nil"/>
            </w:tcBorders>
          </w:tcPr>
          <w:p w14:paraId="1908AF72" w14:textId="77777777" w:rsidR="008744A5" w:rsidRDefault="008744A5" w:rsidP="002761E5">
            <w:pPr>
              <w:spacing w:after="0" w:line="240" w:lineRule="auto"/>
            </w:pPr>
            <w:r>
              <w:t>% (</w:t>
            </w:r>
            <w:r w:rsidRPr="00DA1594">
              <w:rPr>
                <w:i/>
              </w:rPr>
              <w:t>n</w:t>
            </w:r>
            <w:r>
              <w:t>)</w:t>
            </w:r>
          </w:p>
        </w:tc>
        <w:tc>
          <w:tcPr>
            <w:tcW w:w="1229" w:type="dxa"/>
            <w:tcBorders>
              <w:top w:val="nil"/>
            </w:tcBorders>
          </w:tcPr>
          <w:p w14:paraId="7D3F6614" w14:textId="77777777" w:rsidR="008744A5" w:rsidRDefault="008744A5" w:rsidP="002761E5">
            <w:pPr>
              <w:spacing w:after="0" w:line="240" w:lineRule="auto"/>
              <w:jc w:val="center"/>
            </w:pPr>
            <w:r>
              <w:t>54.5 (516)</w:t>
            </w:r>
          </w:p>
        </w:tc>
        <w:tc>
          <w:tcPr>
            <w:tcW w:w="1718" w:type="dxa"/>
            <w:tcBorders>
              <w:top w:val="nil"/>
            </w:tcBorders>
          </w:tcPr>
          <w:p w14:paraId="043BF9EA" w14:textId="77777777" w:rsidR="008744A5" w:rsidRDefault="008744A5" w:rsidP="002761E5">
            <w:pPr>
              <w:spacing w:after="0" w:line="240" w:lineRule="auto"/>
              <w:jc w:val="center"/>
            </w:pPr>
            <w:r>
              <w:t>65.2 (204)</w:t>
            </w:r>
          </w:p>
        </w:tc>
        <w:tc>
          <w:tcPr>
            <w:tcW w:w="238" w:type="dxa"/>
            <w:tcBorders>
              <w:top w:val="nil"/>
            </w:tcBorders>
          </w:tcPr>
          <w:p w14:paraId="0BEF482C" w14:textId="77777777" w:rsidR="008744A5" w:rsidRDefault="008744A5" w:rsidP="002761E5">
            <w:pPr>
              <w:spacing w:after="0" w:line="240" w:lineRule="auto"/>
              <w:jc w:val="center"/>
            </w:pPr>
          </w:p>
        </w:tc>
        <w:tc>
          <w:tcPr>
            <w:tcW w:w="1726" w:type="dxa"/>
            <w:tcBorders>
              <w:top w:val="nil"/>
            </w:tcBorders>
          </w:tcPr>
          <w:p w14:paraId="75B0825E" w14:textId="77777777" w:rsidR="008744A5" w:rsidRDefault="008744A5" w:rsidP="002761E5">
            <w:pPr>
              <w:spacing w:after="0" w:line="240" w:lineRule="auto"/>
              <w:jc w:val="center"/>
            </w:pPr>
            <w:r>
              <w:t>60.0 (662)</w:t>
            </w:r>
          </w:p>
        </w:tc>
        <w:tc>
          <w:tcPr>
            <w:tcW w:w="1683" w:type="dxa"/>
            <w:tcBorders>
              <w:top w:val="nil"/>
            </w:tcBorders>
          </w:tcPr>
          <w:p w14:paraId="0F864DCE" w14:textId="77777777" w:rsidR="008744A5" w:rsidRDefault="008744A5" w:rsidP="002761E5">
            <w:pPr>
              <w:spacing w:after="0" w:line="240" w:lineRule="auto"/>
              <w:jc w:val="center"/>
            </w:pPr>
            <w:r>
              <w:t>71.3 (243)</w:t>
            </w:r>
          </w:p>
        </w:tc>
        <w:tc>
          <w:tcPr>
            <w:tcW w:w="236" w:type="dxa"/>
            <w:tcBorders>
              <w:top w:val="nil"/>
            </w:tcBorders>
          </w:tcPr>
          <w:p w14:paraId="2E63A2D7" w14:textId="77777777" w:rsidR="008744A5" w:rsidRDefault="008744A5" w:rsidP="002761E5">
            <w:pPr>
              <w:spacing w:after="0" w:line="240" w:lineRule="auto"/>
              <w:jc w:val="center"/>
            </w:pPr>
          </w:p>
        </w:tc>
        <w:tc>
          <w:tcPr>
            <w:tcW w:w="1867" w:type="dxa"/>
            <w:tcBorders>
              <w:top w:val="nil"/>
            </w:tcBorders>
          </w:tcPr>
          <w:p w14:paraId="3F6AE520" w14:textId="77777777" w:rsidR="008744A5" w:rsidRDefault="008744A5" w:rsidP="002761E5">
            <w:pPr>
              <w:spacing w:after="0" w:line="240" w:lineRule="auto"/>
              <w:jc w:val="center"/>
            </w:pPr>
            <w:r>
              <w:t>60.1 (167)</w:t>
            </w:r>
          </w:p>
        </w:tc>
        <w:tc>
          <w:tcPr>
            <w:tcW w:w="1968" w:type="dxa"/>
            <w:gridSpan w:val="2"/>
            <w:tcBorders>
              <w:top w:val="nil"/>
            </w:tcBorders>
          </w:tcPr>
          <w:p w14:paraId="02E4E05C" w14:textId="77777777" w:rsidR="008744A5" w:rsidRDefault="008744A5" w:rsidP="002761E5">
            <w:pPr>
              <w:spacing w:after="0" w:line="240" w:lineRule="auto"/>
              <w:jc w:val="center"/>
            </w:pPr>
            <w:r>
              <w:t>75.3 (73)</w:t>
            </w:r>
          </w:p>
        </w:tc>
      </w:tr>
      <w:tr w:rsidR="008744A5" w14:paraId="3B785FE2" w14:textId="77777777" w:rsidTr="001071E1">
        <w:trPr>
          <w:gridAfter w:val="1"/>
          <w:wAfter w:w="6" w:type="dxa"/>
        </w:trPr>
        <w:tc>
          <w:tcPr>
            <w:tcW w:w="280" w:type="dxa"/>
            <w:tcBorders>
              <w:top w:val="nil"/>
              <w:bottom w:val="nil"/>
            </w:tcBorders>
          </w:tcPr>
          <w:p w14:paraId="37A0D5B1" w14:textId="77777777" w:rsidR="008744A5" w:rsidRDefault="008744A5" w:rsidP="002761E5">
            <w:pPr>
              <w:spacing w:after="0" w:line="240" w:lineRule="auto"/>
            </w:pPr>
          </w:p>
        </w:tc>
        <w:tc>
          <w:tcPr>
            <w:tcW w:w="2519" w:type="dxa"/>
          </w:tcPr>
          <w:p w14:paraId="3032CBDB" w14:textId="77777777" w:rsidR="008744A5" w:rsidRDefault="008744A5" w:rsidP="002761E5">
            <w:pPr>
              <w:spacing w:after="0" w:line="240" w:lineRule="auto"/>
            </w:pPr>
            <w:r>
              <w:t>RR [95% CI]</w:t>
            </w:r>
          </w:p>
          <w:p w14:paraId="27C36142" w14:textId="77777777" w:rsidR="008744A5" w:rsidRPr="00E6027F" w:rsidRDefault="008744A5" w:rsidP="002761E5">
            <w:pPr>
              <w:spacing w:after="0" w:line="240" w:lineRule="auto"/>
              <w:rPr>
                <w:i/>
              </w:rPr>
            </w:pPr>
            <w:r>
              <w:rPr>
                <w:i/>
              </w:rPr>
              <w:t>p</w:t>
            </w:r>
          </w:p>
        </w:tc>
        <w:tc>
          <w:tcPr>
            <w:tcW w:w="1229" w:type="dxa"/>
          </w:tcPr>
          <w:p w14:paraId="0D76EC82" w14:textId="77777777" w:rsidR="008744A5" w:rsidRDefault="008744A5" w:rsidP="002761E5">
            <w:pPr>
              <w:spacing w:after="0" w:line="240" w:lineRule="auto"/>
              <w:jc w:val="center"/>
            </w:pPr>
            <w:r>
              <w:t>1</w:t>
            </w:r>
          </w:p>
        </w:tc>
        <w:tc>
          <w:tcPr>
            <w:tcW w:w="1718" w:type="dxa"/>
          </w:tcPr>
          <w:p w14:paraId="265BEE4D" w14:textId="77777777" w:rsidR="008744A5" w:rsidRDefault="008744A5" w:rsidP="002761E5">
            <w:pPr>
              <w:spacing w:after="0" w:line="240" w:lineRule="auto"/>
              <w:jc w:val="center"/>
            </w:pPr>
            <w:r>
              <w:t>1.20 [0.97-1.47]</w:t>
            </w:r>
          </w:p>
          <w:p w14:paraId="2FD1C6DB" w14:textId="77777777" w:rsidR="008744A5" w:rsidRDefault="008744A5" w:rsidP="002761E5">
            <w:pPr>
              <w:spacing w:after="0" w:line="240" w:lineRule="auto"/>
              <w:jc w:val="center"/>
            </w:pPr>
            <w:r>
              <w:t>0.089</w:t>
            </w:r>
          </w:p>
        </w:tc>
        <w:tc>
          <w:tcPr>
            <w:tcW w:w="238" w:type="dxa"/>
          </w:tcPr>
          <w:p w14:paraId="1DC692F5" w14:textId="77777777" w:rsidR="008744A5" w:rsidRDefault="008744A5" w:rsidP="002761E5">
            <w:pPr>
              <w:spacing w:after="0" w:line="240" w:lineRule="auto"/>
              <w:jc w:val="center"/>
            </w:pPr>
          </w:p>
        </w:tc>
        <w:tc>
          <w:tcPr>
            <w:tcW w:w="1726" w:type="dxa"/>
          </w:tcPr>
          <w:p w14:paraId="66007AD9" w14:textId="77777777" w:rsidR="008744A5" w:rsidRDefault="008744A5" w:rsidP="002761E5">
            <w:pPr>
              <w:spacing w:after="0" w:line="240" w:lineRule="auto"/>
              <w:jc w:val="center"/>
            </w:pPr>
            <w:r>
              <w:t>1.10 [0.95-1.27]</w:t>
            </w:r>
          </w:p>
          <w:p w14:paraId="3B75B95D" w14:textId="77777777" w:rsidR="008744A5" w:rsidRDefault="008744A5" w:rsidP="002761E5">
            <w:pPr>
              <w:spacing w:after="0" w:line="240" w:lineRule="auto"/>
              <w:jc w:val="center"/>
            </w:pPr>
            <w:r>
              <w:t>0.189</w:t>
            </w:r>
          </w:p>
        </w:tc>
        <w:tc>
          <w:tcPr>
            <w:tcW w:w="1683" w:type="dxa"/>
          </w:tcPr>
          <w:p w14:paraId="2E54F928" w14:textId="77777777" w:rsidR="008744A5" w:rsidRDefault="008744A5" w:rsidP="002761E5">
            <w:pPr>
              <w:spacing w:after="0" w:line="240" w:lineRule="auto"/>
              <w:jc w:val="center"/>
            </w:pPr>
            <w:r>
              <w:t>1.31 [1.08-1.59]</w:t>
            </w:r>
          </w:p>
          <w:p w14:paraId="0CE73B3E" w14:textId="77777777" w:rsidR="008744A5" w:rsidRDefault="008744A5" w:rsidP="002761E5">
            <w:pPr>
              <w:spacing w:after="0" w:line="240" w:lineRule="auto"/>
              <w:jc w:val="center"/>
            </w:pPr>
            <w:r>
              <w:t>0.007</w:t>
            </w:r>
          </w:p>
        </w:tc>
        <w:tc>
          <w:tcPr>
            <w:tcW w:w="236" w:type="dxa"/>
          </w:tcPr>
          <w:p w14:paraId="1DD8667C" w14:textId="77777777" w:rsidR="008744A5" w:rsidRDefault="008744A5" w:rsidP="002761E5">
            <w:pPr>
              <w:spacing w:after="0" w:line="240" w:lineRule="auto"/>
              <w:jc w:val="center"/>
            </w:pPr>
          </w:p>
        </w:tc>
        <w:tc>
          <w:tcPr>
            <w:tcW w:w="1867" w:type="dxa"/>
          </w:tcPr>
          <w:p w14:paraId="11E055ED" w14:textId="77777777" w:rsidR="008744A5" w:rsidRDefault="008744A5" w:rsidP="002761E5">
            <w:pPr>
              <w:spacing w:after="0" w:line="240" w:lineRule="auto"/>
              <w:jc w:val="center"/>
            </w:pPr>
            <w:r>
              <w:t>1.10 [0.89-1.37]</w:t>
            </w:r>
          </w:p>
          <w:p w14:paraId="664D2562" w14:textId="77777777" w:rsidR="008744A5" w:rsidRDefault="008744A5" w:rsidP="002761E5">
            <w:pPr>
              <w:spacing w:after="0" w:line="240" w:lineRule="auto"/>
              <w:jc w:val="center"/>
            </w:pPr>
            <w:r>
              <w:t>0.384</w:t>
            </w:r>
          </w:p>
        </w:tc>
        <w:tc>
          <w:tcPr>
            <w:tcW w:w="1968" w:type="dxa"/>
            <w:gridSpan w:val="2"/>
          </w:tcPr>
          <w:p w14:paraId="38A01AF6" w14:textId="77777777" w:rsidR="008744A5" w:rsidRDefault="008744A5" w:rsidP="002761E5">
            <w:pPr>
              <w:spacing w:after="0" w:line="240" w:lineRule="auto"/>
              <w:jc w:val="center"/>
            </w:pPr>
            <w:r>
              <w:t>1.38 [1.00-1.91]</w:t>
            </w:r>
          </w:p>
          <w:p w14:paraId="71371A98" w14:textId="77777777" w:rsidR="008744A5" w:rsidRDefault="008744A5" w:rsidP="002761E5">
            <w:pPr>
              <w:spacing w:after="0" w:line="240" w:lineRule="auto"/>
              <w:jc w:val="center"/>
            </w:pPr>
            <w:r>
              <w:t>0.049</w:t>
            </w:r>
          </w:p>
        </w:tc>
      </w:tr>
      <w:tr w:rsidR="008744A5" w14:paraId="6B591718" w14:textId="77777777" w:rsidTr="001071E1">
        <w:trPr>
          <w:gridAfter w:val="1"/>
          <w:wAfter w:w="6" w:type="dxa"/>
        </w:trPr>
        <w:tc>
          <w:tcPr>
            <w:tcW w:w="280" w:type="dxa"/>
            <w:tcBorders>
              <w:top w:val="nil"/>
            </w:tcBorders>
          </w:tcPr>
          <w:p w14:paraId="140339F8" w14:textId="77777777" w:rsidR="008744A5" w:rsidRDefault="008744A5" w:rsidP="002761E5">
            <w:pPr>
              <w:spacing w:after="0" w:line="240" w:lineRule="auto"/>
            </w:pPr>
          </w:p>
        </w:tc>
        <w:tc>
          <w:tcPr>
            <w:tcW w:w="2519" w:type="dxa"/>
          </w:tcPr>
          <w:p w14:paraId="5AD3A2E7" w14:textId="77777777" w:rsidR="008744A5" w:rsidRDefault="008744A5" w:rsidP="002761E5">
            <w:pPr>
              <w:spacing w:after="0" w:line="240" w:lineRule="auto"/>
            </w:pPr>
            <w:r>
              <w:t>RR</w:t>
            </w:r>
            <w:r w:rsidRPr="009A0497">
              <w:rPr>
                <w:vertAlign w:val="subscript"/>
              </w:rPr>
              <w:t>adj</w:t>
            </w:r>
            <w:r>
              <w:t xml:space="preserve"> [95% CI]</w:t>
            </w:r>
          </w:p>
          <w:p w14:paraId="041D6086" w14:textId="77777777" w:rsidR="008744A5" w:rsidRPr="00E6027F" w:rsidRDefault="008744A5" w:rsidP="002761E5">
            <w:pPr>
              <w:spacing w:after="0" w:line="240" w:lineRule="auto"/>
              <w:rPr>
                <w:i/>
              </w:rPr>
            </w:pPr>
            <w:r>
              <w:rPr>
                <w:i/>
              </w:rPr>
              <w:t>p</w:t>
            </w:r>
          </w:p>
        </w:tc>
        <w:tc>
          <w:tcPr>
            <w:tcW w:w="1229" w:type="dxa"/>
          </w:tcPr>
          <w:p w14:paraId="760C97AB" w14:textId="77777777" w:rsidR="008744A5" w:rsidRDefault="008744A5" w:rsidP="002761E5">
            <w:pPr>
              <w:spacing w:after="0" w:line="240" w:lineRule="auto"/>
              <w:jc w:val="center"/>
            </w:pPr>
            <w:r>
              <w:t>1</w:t>
            </w:r>
          </w:p>
        </w:tc>
        <w:tc>
          <w:tcPr>
            <w:tcW w:w="1718" w:type="dxa"/>
          </w:tcPr>
          <w:p w14:paraId="5C2374A7" w14:textId="77777777" w:rsidR="008744A5" w:rsidRDefault="008744A5" w:rsidP="002761E5">
            <w:pPr>
              <w:spacing w:after="0" w:line="240" w:lineRule="auto"/>
              <w:jc w:val="center"/>
            </w:pPr>
            <w:r>
              <w:t>1.06 [0.86-1.31]</w:t>
            </w:r>
          </w:p>
          <w:p w14:paraId="573F1C7C" w14:textId="77777777" w:rsidR="008744A5" w:rsidRDefault="008744A5" w:rsidP="002761E5">
            <w:pPr>
              <w:spacing w:after="0" w:line="240" w:lineRule="auto"/>
              <w:jc w:val="center"/>
            </w:pPr>
            <w:r>
              <w:t>0.564</w:t>
            </w:r>
          </w:p>
        </w:tc>
        <w:tc>
          <w:tcPr>
            <w:tcW w:w="238" w:type="dxa"/>
          </w:tcPr>
          <w:p w14:paraId="2B349784" w14:textId="77777777" w:rsidR="008744A5" w:rsidRDefault="008744A5" w:rsidP="002761E5">
            <w:pPr>
              <w:spacing w:after="0" w:line="240" w:lineRule="auto"/>
            </w:pPr>
          </w:p>
        </w:tc>
        <w:tc>
          <w:tcPr>
            <w:tcW w:w="1726" w:type="dxa"/>
          </w:tcPr>
          <w:p w14:paraId="1BA56DF5" w14:textId="77777777" w:rsidR="008744A5" w:rsidRDefault="008744A5" w:rsidP="002761E5">
            <w:pPr>
              <w:spacing w:after="0" w:line="240" w:lineRule="auto"/>
              <w:jc w:val="center"/>
            </w:pPr>
            <w:r>
              <w:t>1.07 [0.93-1.24]</w:t>
            </w:r>
          </w:p>
          <w:p w14:paraId="34782307" w14:textId="77777777" w:rsidR="008744A5" w:rsidRDefault="008744A5" w:rsidP="002761E5">
            <w:pPr>
              <w:spacing w:after="0" w:line="240" w:lineRule="auto"/>
              <w:jc w:val="center"/>
            </w:pPr>
            <w:r>
              <w:t>0.359</w:t>
            </w:r>
          </w:p>
        </w:tc>
        <w:tc>
          <w:tcPr>
            <w:tcW w:w="1683" w:type="dxa"/>
          </w:tcPr>
          <w:p w14:paraId="7FE480E8" w14:textId="77777777" w:rsidR="008744A5" w:rsidRDefault="008744A5" w:rsidP="002761E5">
            <w:pPr>
              <w:spacing w:after="0" w:line="240" w:lineRule="auto"/>
              <w:jc w:val="center"/>
            </w:pPr>
            <w:r>
              <w:t>1.11 [0.91-1.36]</w:t>
            </w:r>
          </w:p>
          <w:p w14:paraId="7C323B6A" w14:textId="77777777" w:rsidR="008744A5" w:rsidRDefault="008744A5" w:rsidP="002761E5">
            <w:pPr>
              <w:spacing w:after="0" w:line="240" w:lineRule="auto"/>
              <w:jc w:val="center"/>
            </w:pPr>
            <w:r>
              <w:t>0.321</w:t>
            </w:r>
          </w:p>
        </w:tc>
        <w:tc>
          <w:tcPr>
            <w:tcW w:w="236" w:type="dxa"/>
          </w:tcPr>
          <w:p w14:paraId="2E1E4A85" w14:textId="77777777" w:rsidR="008744A5" w:rsidRDefault="008744A5" w:rsidP="002761E5">
            <w:pPr>
              <w:spacing w:after="0" w:line="240" w:lineRule="auto"/>
              <w:jc w:val="center"/>
            </w:pPr>
          </w:p>
        </w:tc>
        <w:tc>
          <w:tcPr>
            <w:tcW w:w="1867" w:type="dxa"/>
          </w:tcPr>
          <w:p w14:paraId="5B1D9147" w14:textId="77777777" w:rsidR="008744A5" w:rsidRDefault="008744A5" w:rsidP="002761E5">
            <w:pPr>
              <w:spacing w:after="0" w:line="240" w:lineRule="auto"/>
              <w:jc w:val="center"/>
            </w:pPr>
            <w:r>
              <w:t>1.16 [0.92-1.45]</w:t>
            </w:r>
          </w:p>
          <w:p w14:paraId="185B3D24" w14:textId="77777777" w:rsidR="008744A5" w:rsidRDefault="008744A5" w:rsidP="002761E5">
            <w:pPr>
              <w:spacing w:after="0" w:line="240" w:lineRule="auto"/>
              <w:jc w:val="center"/>
            </w:pPr>
            <w:r>
              <w:t>0.205</w:t>
            </w:r>
          </w:p>
        </w:tc>
        <w:tc>
          <w:tcPr>
            <w:tcW w:w="1968" w:type="dxa"/>
            <w:gridSpan w:val="2"/>
          </w:tcPr>
          <w:p w14:paraId="7F455A94" w14:textId="77777777" w:rsidR="008744A5" w:rsidRDefault="008744A5" w:rsidP="002761E5">
            <w:pPr>
              <w:spacing w:after="0" w:line="240" w:lineRule="auto"/>
              <w:jc w:val="center"/>
            </w:pPr>
            <w:r>
              <w:t>1.33 [0.96-1.85]</w:t>
            </w:r>
          </w:p>
          <w:p w14:paraId="22B0CB11" w14:textId="77777777" w:rsidR="008744A5" w:rsidRDefault="008744A5" w:rsidP="002761E5">
            <w:pPr>
              <w:spacing w:after="0" w:line="240" w:lineRule="auto"/>
              <w:jc w:val="center"/>
            </w:pPr>
            <w:r>
              <w:t>0.091</w:t>
            </w:r>
          </w:p>
        </w:tc>
      </w:tr>
      <w:tr w:rsidR="008744A5" w14:paraId="18EB9B72" w14:textId="77777777" w:rsidTr="001071E1">
        <w:tc>
          <w:tcPr>
            <w:tcW w:w="2799" w:type="dxa"/>
            <w:gridSpan w:val="2"/>
            <w:tcBorders>
              <w:bottom w:val="nil"/>
            </w:tcBorders>
          </w:tcPr>
          <w:p w14:paraId="53D7F305" w14:textId="77777777" w:rsidR="008744A5" w:rsidRDefault="008744A5" w:rsidP="002761E5">
            <w:pPr>
              <w:spacing w:after="0" w:line="240" w:lineRule="auto"/>
            </w:pPr>
            <w:r>
              <w:t>Coronary heart disease</w:t>
            </w:r>
          </w:p>
        </w:tc>
        <w:tc>
          <w:tcPr>
            <w:tcW w:w="1229" w:type="dxa"/>
            <w:tcBorders>
              <w:bottom w:val="nil"/>
            </w:tcBorders>
          </w:tcPr>
          <w:p w14:paraId="1E92F809" w14:textId="77777777" w:rsidR="008744A5" w:rsidRDefault="008744A5" w:rsidP="002761E5">
            <w:pPr>
              <w:spacing w:after="0" w:line="240" w:lineRule="auto"/>
              <w:jc w:val="center"/>
            </w:pPr>
          </w:p>
        </w:tc>
        <w:tc>
          <w:tcPr>
            <w:tcW w:w="1718" w:type="dxa"/>
            <w:tcBorders>
              <w:bottom w:val="nil"/>
            </w:tcBorders>
          </w:tcPr>
          <w:p w14:paraId="0742365B" w14:textId="77777777" w:rsidR="008744A5" w:rsidRDefault="008744A5" w:rsidP="002761E5">
            <w:pPr>
              <w:spacing w:after="0" w:line="240" w:lineRule="auto"/>
              <w:jc w:val="center"/>
            </w:pPr>
          </w:p>
        </w:tc>
        <w:tc>
          <w:tcPr>
            <w:tcW w:w="238" w:type="dxa"/>
            <w:tcBorders>
              <w:bottom w:val="nil"/>
            </w:tcBorders>
          </w:tcPr>
          <w:p w14:paraId="122C06AC" w14:textId="77777777" w:rsidR="008744A5" w:rsidRDefault="008744A5" w:rsidP="002761E5">
            <w:pPr>
              <w:spacing w:after="0" w:line="240" w:lineRule="auto"/>
              <w:jc w:val="center"/>
            </w:pPr>
          </w:p>
        </w:tc>
        <w:tc>
          <w:tcPr>
            <w:tcW w:w="1726" w:type="dxa"/>
            <w:tcBorders>
              <w:bottom w:val="nil"/>
            </w:tcBorders>
          </w:tcPr>
          <w:p w14:paraId="3E089E25" w14:textId="77777777" w:rsidR="008744A5" w:rsidRDefault="008744A5" w:rsidP="002761E5">
            <w:pPr>
              <w:spacing w:after="0" w:line="240" w:lineRule="auto"/>
              <w:jc w:val="center"/>
            </w:pPr>
          </w:p>
        </w:tc>
        <w:tc>
          <w:tcPr>
            <w:tcW w:w="1683" w:type="dxa"/>
            <w:tcBorders>
              <w:bottom w:val="nil"/>
            </w:tcBorders>
          </w:tcPr>
          <w:p w14:paraId="6BA7CAFA" w14:textId="77777777" w:rsidR="008744A5" w:rsidRDefault="008744A5" w:rsidP="002761E5">
            <w:pPr>
              <w:spacing w:after="0" w:line="240" w:lineRule="auto"/>
              <w:jc w:val="center"/>
            </w:pPr>
          </w:p>
        </w:tc>
        <w:tc>
          <w:tcPr>
            <w:tcW w:w="236" w:type="dxa"/>
            <w:tcBorders>
              <w:bottom w:val="nil"/>
            </w:tcBorders>
          </w:tcPr>
          <w:p w14:paraId="1F22DB59" w14:textId="77777777" w:rsidR="008744A5" w:rsidRDefault="008744A5" w:rsidP="002761E5">
            <w:pPr>
              <w:spacing w:after="0" w:line="240" w:lineRule="auto"/>
              <w:jc w:val="center"/>
            </w:pPr>
          </w:p>
        </w:tc>
        <w:tc>
          <w:tcPr>
            <w:tcW w:w="1873" w:type="dxa"/>
            <w:gridSpan w:val="2"/>
            <w:tcBorders>
              <w:bottom w:val="nil"/>
            </w:tcBorders>
          </w:tcPr>
          <w:p w14:paraId="1745A8FF" w14:textId="77777777" w:rsidR="008744A5" w:rsidRDefault="008744A5" w:rsidP="002761E5">
            <w:pPr>
              <w:spacing w:after="0" w:line="240" w:lineRule="auto"/>
              <w:jc w:val="center"/>
            </w:pPr>
          </w:p>
        </w:tc>
        <w:tc>
          <w:tcPr>
            <w:tcW w:w="1968" w:type="dxa"/>
            <w:gridSpan w:val="2"/>
            <w:tcBorders>
              <w:bottom w:val="nil"/>
            </w:tcBorders>
            <w:vAlign w:val="bottom"/>
          </w:tcPr>
          <w:p w14:paraId="6670F2EF" w14:textId="77777777" w:rsidR="008744A5" w:rsidRDefault="008744A5" w:rsidP="002761E5">
            <w:pPr>
              <w:spacing w:after="0" w:line="240" w:lineRule="auto"/>
              <w:jc w:val="center"/>
            </w:pPr>
          </w:p>
        </w:tc>
      </w:tr>
      <w:tr w:rsidR="008744A5" w14:paraId="32342F94" w14:textId="77777777" w:rsidTr="001071E1">
        <w:trPr>
          <w:gridAfter w:val="1"/>
          <w:wAfter w:w="6" w:type="dxa"/>
        </w:trPr>
        <w:tc>
          <w:tcPr>
            <w:tcW w:w="280" w:type="dxa"/>
            <w:tcBorders>
              <w:top w:val="nil"/>
              <w:bottom w:val="nil"/>
            </w:tcBorders>
          </w:tcPr>
          <w:p w14:paraId="21B71066" w14:textId="77777777" w:rsidR="008744A5" w:rsidRDefault="008744A5" w:rsidP="002761E5">
            <w:pPr>
              <w:spacing w:after="0" w:line="240" w:lineRule="auto"/>
            </w:pPr>
          </w:p>
        </w:tc>
        <w:tc>
          <w:tcPr>
            <w:tcW w:w="2519" w:type="dxa"/>
            <w:tcBorders>
              <w:top w:val="nil"/>
            </w:tcBorders>
          </w:tcPr>
          <w:p w14:paraId="06FCE470" w14:textId="77777777" w:rsidR="008744A5" w:rsidRDefault="008744A5" w:rsidP="002761E5">
            <w:pPr>
              <w:spacing w:after="0" w:line="240" w:lineRule="auto"/>
            </w:pPr>
            <w:r>
              <w:t>% (</w:t>
            </w:r>
            <w:r w:rsidRPr="00DA1594">
              <w:rPr>
                <w:i/>
              </w:rPr>
              <w:t>n</w:t>
            </w:r>
            <w:r>
              <w:t>)</w:t>
            </w:r>
          </w:p>
        </w:tc>
        <w:tc>
          <w:tcPr>
            <w:tcW w:w="1229" w:type="dxa"/>
            <w:tcBorders>
              <w:top w:val="nil"/>
            </w:tcBorders>
          </w:tcPr>
          <w:p w14:paraId="2ED445D3" w14:textId="77777777" w:rsidR="008744A5" w:rsidRDefault="008744A5" w:rsidP="002761E5">
            <w:pPr>
              <w:spacing w:after="0" w:line="240" w:lineRule="auto"/>
              <w:jc w:val="center"/>
            </w:pPr>
            <w:r>
              <w:t>8.0 (78)</w:t>
            </w:r>
          </w:p>
        </w:tc>
        <w:tc>
          <w:tcPr>
            <w:tcW w:w="1718" w:type="dxa"/>
            <w:tcBorders>
              <w:top w:val="nil"/>
            </w:tcBorders>
          </w:tcPr>
          <w:p w14:paraId="20877EC7" w14:textId="77777777" w:rsidR="008744A5" w:rsidRDefault="008744A5" w:rsidP="002761E5">
            <w:pPr>
              <w:spacing w:after="0" w:line="240" w:lineRule="auto"/>
              <w:jc w:val="center"/>
            </w:pPr>
            <w:r>
              <w:t>11.0 (39)</w:t>
            </w:r>
          </w:p>
        </w:tc>
        <w:tc>
          <w:tcPr>
            <w:tcW w:w="238" w:type="dxa"/>
            <w:tcBorders>
              <w:top w:val="nil"/>
            </w:tcBorders>
          </w:tcPr>
          <w:p w14:paraId="09176AF1" w14:textId="77777777" w:rsidR="008744A5" w:rsidRDefault="008744A5" w:rsidP="002761E5">
            <w:pPr>
              <w:spacing w:after="0" w:line="240" w:lineRule="auto"/>
              <w:jc w:val="center"/>
            </w:pPr>
          </w:p>
        </w:tc>
        <w:tc>
          <w:tcPr>
            <w:tcW w:w="1726" w:type="dxa"/>
            <w:tcBorders>
              <w:top w:val="nil"/>
            </w:tcBorders>
          </w:tcPr>
          <w:p w14:paraId="626E6070" w14:textId="77777777" w:rsidR="008744A5" w:rsidRDefault="008744A5" w:rsidP="002761E5">
            <w:pPr>
              <w:spacing w:after="0" w:line="240" w:lineRule="auto"/>
              <w:jc w:val="center"/>
            </w:pPr>
            <w:r>
              <w:t>9.5 (104)</w:t>
            </w:r>
          </w:p>
        </w:tc>
        <w:tc>
          <w:tcPr>
            <w:tcW w:w="1683" w:type="dxa"/>
            <w:tcBorders>
              <w:top w:val="nil"/>
            </w:tcBorders>
          </w:tcPr>
          <w:p w14:paraId="3F768E11" w14:textId="77777777" w:rsidR="008744A5" w:rsidRDefault="008744A5" w:rsidP="002761E5">
            <w:pPr>
              <w:spacing w:after="0" w:line="240" w:lineRule="auto"/>
              <w:jc w:val="center"/>
            </w:pPr>
            <w:r>
              <w:t>17.3 (72)</w:t>
            </w:r>
          </w:p>
        </w:tc>
        <w:tc>
          <w:tcPr>
            <w:tcW w:w="236" w:type="dxa"/>
            <w:tcBorders>
              <w:top w:val="nil"/>
            </w:tcBorders>
          </w:tcPr>
          <w:p w14:paraId="4234F2CC" w14:textId="77777777" w:rsidR="008744A5" w:rsidRDefault="008744A5" w:rsidP="002761E5">
            <w:pPr>
              <w:spacing w:after="0" w:line="240" w:lineRule="auto"/>
            </w:pPr>
          </w:p>
        </w:tc>
        <w:tc>
          <w:tcPr>
            <w:tcW w:w="1867" w:type="dxa"/>
            <w:tcBorders>
              <w:top w:val="nil"/>
            </w:tcBorders>
          </w:tcPr>
          <w:p w14:paraId="04536709" w14:textId="77777777" w:rsidR="008744A5" w:rsidRDefault="008744A5" w:rsidP="002761E5">
            <w:pPr>
              <w:spacing w:after="0" w:line="240" w:lineRule="auto"/>
              <w:jc w:val="center"/>
            </w:pPr>
            <w:r>
              <w:t>12.3 (32)</w:t>
            </w:r>
          </w:p>
        </w:tc>
        <w:tc>
          <w:tcPr>
            <w:tcW w:w="1968" w:type="dxa"/>
            <w:gridSpan w:val="2"/>
            <w:tcBorders>
              <w:top w:val="nil"/>
            </w:tcBorders>
          </w:tcPr>
          <w:p w14:paraId="0EA47F77" w14:textId="77777777" w:rsidR="008744A5" w:rsidRDefault="008744A5" w:rsidP="002761E5">
            <w:pPr>
              <w:spacing w:after="0" w:line="240" w:lineRule="auto"/>
              <w:jc w:val="center"/>
            </w:pPr>
            <w:r>
              <w:t>19.9 (27)</w:t>
            </w:r>
          </w:p>
        </w:tc>
      </w:tr>
      <w:tr w:rsidR="008744A5" w14:paraId="48182305" w14:textId="77777777" w:rsidTr="001071E1">
        <w:trPr>
          <w:gridAfter w:val="1"/>
          <w:wAfter w:w="6" w:type="dxa"/>
        </w:trPr>
        <w:tc>
          <w:tcPr>
            <w:tcW w:w="280" w:type="dxa"/>
            <w:tcBorders>
              <w:top w:val="nil"/>
              <w:bottom w:val="nil"/>
            </w:tcBorders>
          </w:tcPr>
          <w:p w14:paraId="17120F38" w14:textId="77777777" w:rsidR="008744A5" w:rsidRDefault="008744A5" w:rsidP="002761E5">
            <w:pPr>
              <w:spacing w:after="0" w:line="240" w:lineRule="auto"/>
            </w:pPr>
          </w:p>
        </w:tc>
        <w:tc>
          <w:tcPr>
            <w:tcW w:w="2519" w:type="dxa"/>
          </w:tcPr>
          <w:p w14:paraId="2ADE91A4" w14:textId="77777777" w:rsidR="008744A5" w:rsidRDefault="008744A5" w:rsidP="002761E5">
            <w:pPr>
              <w:spacing w:after="0" w:line="240" w:lineRule="auto"/>
            </w:pPr>
            <w:r>
              <w:t>RR [95% CI]</w:t>
            </w:r>
          </w:p>
          <w:p w14:paraId="37860031" w14:textId="77777777" w:rsidR="008744A5" w:rsidRPr="00E6027F" w:rsidRDefault="008744A5" w:rsidP="002761E5">
            <w:pPr>
              <w:spacing w:after="0" w:line="240" w:lineRule="auto"/>
              <w:rPr>
                <w:i/>
              </w:rPr>
            </w:pPr>
            <w:r>
              <w:rPr>
                <w:i/>
              </w:rPr>
              <w:t>p</w:t>
            </w:r>
          </w:p>
        </w:tc>
        <w:tc>
          <w:tcPr>
            <w:tcW w:w="1229" w:type="dxa"/>
          </w:tcPr>
          <w:p w14:paraId="2AC239CF" w14:textId="77777777" w:rsidR="008744A5" w:rsidRDefault="008744A5" w:rsidP="002761E5">
            <w:pPr>
              <w:spacing w:after="0" w:line="240" w:lineRule="auto"/>
              <w:jc w:val="center"/>
            </w:pPr>
            <w:r>
              <w:t>1</w:t>
            </w:r>
          </w:p>
        </w:tc>
        <w:tc>
          <w:tcPr>
            <w:tcW w:w="1718" w:type="dxa"/>
          </w:tcPr>
          <w:p w14:paraId="78308426" w14:textId="77777777" w:rsidR="008744A5" w:rsidRDefault="008744A5" w:rsidP="002761E5">
            <w:pPr>
              <w:spacing w:after="0" w:line="240" w:lineRule="auto"/>
              <w:jc w:val="center"/>
            </w:pPr>
            <w:r>
              <w:t>1.38 [0.92-2.06]</w:t>
            </w:r>
          </w:p>
          <w:p w14:paraId="784AB0B8" w14:textId="77777777" w:rsidR="008744A5" w:rsidRDefault="008744A5" w:rsidP="002761E5">
            <w:pPr>
              <w:spacing w:after="0" w:line="240" w:lineRule="auto"/>
              <w:jc w:val="center"/>
            </w:pPr>
            <w:r>
              <w:t>0.119</w:t>
            </w:r>
          </w:p>
        </w:tc>
        <w:tc>
          <w:tcPr>
            <w:tcW w:w="238" w:type="dxa"/>
          </w:tcPr>
          <w:p w14:paraId="646A7A0E" w14:textId="77777777" w:rsidR="008744A5" w:rsidRDefault="008744A5" w:rsidP="002761E5">
            <w:pPr>
              <w:spacing w:after="0" w:line="240" w:lineRule="auto"/>
              <w:jc w:val="center"/>
            </w:pPr>
          </w:p>
        </w:tc>
        <w:tc>
          <w:tcPr>
            <w:tcW w:w="1726" w:type="dxa"/>
          </w:tcPr>
          <w:p w14:paraId="63D944A0" w14:textId="77777777" w:rsidR="008744A5" w:rsidRDefault="008744A5" w:rsidP="002761E5">
            <w:pPr>
              <w:spacing w:after="0" w:line="240" w:lineRule="auto"/>
              <w:jc w:val="center"/>
            </w:pPr>
            <w:r>
              <w:t>1.19 [0.88-1.62]</w:t>
            </w:r>
          </w:p>
          <w:p w14:paraId="212A8A4A" w14:textId="77777777" w:rsidR="008744A5" w:rsidRDefault="008744A5" w:rsidP="002761E5">
            <w:pPr>
              <w:spacing w:after="0" w:line="240" w:lineRule="auto"/>
              <w:jc w:val="center"/>
            </w:pPr>
            <w:r>
              <w:t>0.259</w:t>
            </w:r>
          </w:p>
        </w:tc>
        <w:tc>
          <w:tcPr>
            <w:tcW w:w="1683" w:type="dxa"/>
          </w:tcPr>
          <w:p w14:paraId="7807FC64" w14:textId="77777777" w:rsidR="008744A5" w:rsidRDefault="008744A5" w:rsidP="002761E5">
            <w:pPr>
              <w:spacing w:after="0" w:line="240" w:lineRule="auto"/>
              <w:jc w:val="center"/>
            </w:pPr>
            <w:r>
              <w:t>2.17 [1.55-3.05]</w:t>
            </w:r>
          </w:p>
          <w:p w14:paraId="656A7B6B" w14:textId="77777777" w:rsidR="008744A5" w:rsidRDefault="008744A5" w:rsidP="002761E5">
            <w:pPr>
              <w:spacing w:after="0" w:line="240" w:lineRule="auto"/>
              <w:jc w:val="center"/>
            </w:pPr>
            <w:r>
              <w:t>&lt;0.001</w:t>
            </w:r>
          </w:p>
        </w:tc>
        <w:tc>
          <w:tcPr>
            <w:tcW w:w="236" w:type="dxa"/>
          </w:tcPr>
          <w:p w14:paraId="410D91B6" w14:textId="77777777" w:rsidR="008744A5" w:rsidRDefault="008744A5" w:rsidP="002761E5">
            <w:pPr>
              <w:spacing w:after="0" w:line="240" w:lineRule="auto"/>
              <w:jc w:val="center"/>
            </w:pPr>
          </w:p>
        </w:tc>
        <w:tc>
          <w:tcPr>
            <w:tcW w:w="1867" w:type="dxa"/>
          </w:tcPr>
          <w:p w14:paraId="409BC4CA" w14:textId="77777777" w:rsidR="008744A5" w:rsidRDefault="008744A5" w:rsidP="002761E5">
            <w:pPr>
              <w:spacing w:after="0" w:line="240" w:lineRule="auto"/>
              <w:jc w:val="center"/>
            </w:pPr>
            <w:r>
              <w:t>1.53 [0.99-2.37]</w:t>
            </w:r>
          </w:p>
          <w:p w14:paraId="32D952C6" w14:textId="77777777" w:rsidR="008744A5" w:rsidRDefault="008744A5" w:rsidP="002761E5">
            <w:pPr>
              <w:spacing w:after="0" w:line="240" w:lineRule="auto"/>
              <w:jc w:val="center"/>
            </w:pPr>
            <w:r>
              <w:t>0.053</w:t>
            </w:r>
          </w:p>
        </w:tc>
        <w:tc>
          <w:tcPr>
            <w:tcW w:w="1968" w:type="dxa"/>
            <w:gridSpan w:val="2"/>
          </w:tcPr>
          <w:p w14:paraId="56494427" w14:textId="77777777" w:rsidR="008744A5" w:rsidRDefault="008744A5" w:rsidP="002761E5">
            <w:pPr>
              <w:spacing w:after="0" w:line="240" w:lineRule="auto"/>
              <w:jc w:val="center"/>
            </w:pPr>
            <w:r>
              <w:t>2.48 [1.55-3.99]</w:t>
            </w:r>
          </w:p>
          <w:p w14:paraId="53C87E48" w14:textId="77777777" w:rsidR="008744A5" w:rsidRDefault="008744A5" w:rsidP="002761E5">
            <w:pPr>
              <w:spacing w:after="0" w:line="240" w:lineRule="auto"/>
              <w:jc w:val="center"/>
            </w:pPr>
            <w:r>
              <w:t>&lt;0.001</w:t>
            </w:r>
          </w:p>
        </w:tc>
      </w:tr>
      <w:tr w:rsidR="008744A5" w14:paraId="2C970316" w14:textId="77777777" w:rsidTr="001071E1">
        <w:trPr>
          <w:gridAfter w:val="1"/>
          <w:wAfter w:w="6" w:type="dxa"/>
        </w:trPr>
        <w:tc>
          <w:tcPr>
            <w:tcW w:w="280" w:type="dxa"/>
            <w:tcBorders>
              <w:top w:val="nil"/>
            </w:tcBorders>
          </w:tcPr>
          <w:p w14:paraId="61044B55" w14:textId="77777777" w:rsidR="008744A5" w:rsidRDefault="008744A5" w:rsidP="002761E5">
            <w:pPr>
              <w:spacing w:after="0" w:line="240" w:lineRule="auto"/>
            </w:pPr>
          </w:p>
        </w:tc>
        <w:tc>
          <w:tcPr>
            <w:tcW w:w="2519" w:type="dxa"/>
          </w:tcPr>
          <w:p w14:paraId="7CCAF7E2" w14:textId="77777777" w:rsidR="008744A5" w:rsidRDefault="008744A5" w:rsidP="002761E5">
            <w:pPr>
              <w:spacing w:after="0" w:line="240" w:lineRule="auto"/>
            </w:pPr>
            <w:r>
              <w:t>RR</w:t>
            </w:r>
            <w:r w:rsidRPr="009A0497">
              <w:rPr>
                <w:vertAlign w:val="subscript"/>
              </w:rPr>
              <w:t>adj</w:t>
            </w:r>
            <w:r>
              <w:t xml:space="preserve"> [95% CI]</w:t>
            </w:r>
          </w:p>
          <w:p w14:paraId="11948A8C" w14:textId="77777777" w:rsidR="008744A5" w:rsidRPr="00E6027F" w:rsidRDefault="008744A5" w:rsidP="002761E5">
            <w:pPr>
              <w:spacing w:after="0" w:line="240" w:lineRule="auto"/>
              <w:rPr>
                <w:i/>
              </w:rPr>
            </w:pPr>
            <w:r>
              <w:rPr>
                <w:i/>
              </w:rPr>
              <w:t>p</w:t>
            </w:r>
          </w:p>
        </w:tc>
        <w:tc>
          <w:tcPr>
            <w:tcW w:w="1229" w:type="dxa"/>
          </w:tcPr>
          <w:p w14:paraId="0A93D0A3" w14:textId="77777777" w:rsidR="008744A5" w:rsidRDefault="008744A5" w:rsidP="002761E5">
            <w:pPr>
              <w:spacing w:after="0" w:line="240" w:lineRule="auto"/>
              <w:jc w:val="center"/>
            </w:pPr>
            <w:r>
              <w:t>1</w:t>
            </w:r>
          </w:p>
        </w:tc>
        <w:tc>
          <w:tcPr>
            <w:tcW w:w="1718" w:type="dxa"/>
          </w:tcPr>
          <w:p w14:paraId="63B7C465" w14:textId="77777777" w:rsidR="008744A5" w:rsidRDefault="008744A5" w:rsidP="002761E5">
            <w:pPr>
              <w:spacing w:after="0" w:line="240" w:lineRule="auto"/>
              <w:jc w:val="center"/>
            </w:pPr>
            <w:r>
              <w:t>1.19 [0.78-1.82]</w:t>
            </w:r>
          </w:p>
          <w:p w14:paraId="1BF645F6" w14:textId="77777777" w:rsidR="008744A5" w:rsidRDefault="008744A5" w:rsidP="002761E5">
            <w:pPr>
              <w:spacing w:after="0" w:line="240" w:lineRule="auto"/>
              <w:jc w:val="center"/>
            </w:pPr>
            <w:r>
              <w:t>0.412</w:t>
            </w:r>
          </w:p>
        </w:tc>
        <w:tc>
          <w:tcPr>
            <w:tcW w:w="238" w:type="dxa"/>
          </w:tcPr>
          <w:p w14:paraId="51E6BE17" w14:textId="77777777" w:rsidR="008744A5" w:rsidRDefault="008744A5" w:rsidP="002761E5">
            <w:pPr>
              <w:spacing w:after="0" w:line="240" w:lineRule="auto"/>
              <w:jc w:val="center"/>
            </w:pPr>
          </w:p>
        </w:tc>
        <w:tc>
          <w:tcPr>
            <w:tcW w:w="1726" w:type="dxa"/>
          </w:tcPr>
          <w:p w14:paraId="1C175C63" w14:textId="77777777" w:rsidR="008744A5" w:rsidRDefault="008744A5" w:rsidP="002761E5">
            <w:pPr>
              <w:spacing w:after="0" w:line="240" w:lineRule="auto"/>
              <w:jc w:val="center"/>
            </w:pPr>
            <w:r>
              <w:t>1.13 [0.82-1.55]</w:t>
            </w:r>
          </w:p>
          <w:p w14:paraId="4740083F" w14:textId="77777777" w:rsidR="008744A5" w:rsidRDefault="008744A5" w:rsidP="002761E5">
            <w:pPr>
              <w:spacing w:after="0" w:line="240" w:lineRule="auto"/>
              <w:jc w:val="center"/>
            </w:pPr>
            <w:r>
              <w:t>0.454</w:t>
            </w:r>
          </w:p>
        </w:tc>
        <w:tc>
          <w:tcPr>
            <w:tcW w:w="1683" w:type="dxa"/>
          </w:tcPr>
          <w:p w14:paraId="7E894142" w14:textId="77777777" w:rsidR="008744A5" w:rsidRDefault="008744A5" w:rsidP="002761E5">
            <w:pPr>
              <w:spacing w:after="0" w:line="240" w:lineRule="auto"/>
              <w:jc w:val="center"/>
            </w:pPr>
            <w:r>
              <w:t>1.60 [1.12-2.30]</w:t>
            </w:r>
          </w:p>
          <w:p w14:paraId="72998226" w14:textId="77777777" w:rsidR="008744A5" w:rsidRDefault="008744A5" w:rsidP="002761E5">
            <w:pPr>
              <w:spacing w:after="0" w:line="240" w:lineRule="auto"/>
              <w:jc w:val="center"/>
            </w:pPr>
            <w:r>
              <w:t>0.011</w:t>
            </w:r>
          </w:p>
        </w:tc>
        <w:tc>
          <w:tcPr>
            <w:tcW w:w="236" w:type="dxa"/>
          </w:tcPr>
          <w:p w14:paraId="0622F1B5" w14:textId="77777777" w:rsidR="008744A5" w:rsidRDefault="008744A5" w:rsidP="002761E5">
            <w:pPr>
              <w:spacing w:after="0" w:line="240" w:lineRule="auto"/>
              <w:jc w:val="center"/>
            </w:pPr>
          </w:p>
        </w:tc>
        <w:tc>
          <w:tcPr>
            <w:tcW w:w="1867" w:type="dxa"/>
          </w:tcPr>
          <w:p w14:paraId="059F50A6" w14:textId="77777777" w:rsidR="008744A5" w:rsidRDefault="008744A5" w:rsidP="002761E5">
            <w:pPr>
              <w:spacing w:after="0" w:line="240" w:lineRule="auto"/>
              <w:jc w:val="center"/>
            </w:pPr>
            <w:r>
              <w:t>1.93 [1.23-3.03]</w:t>
            </w:r>
          </w:p>
          <w:p w14:paraId="4BE5A401" w14:textId="77777777" w:rsidR="008744A5" w:rsidRDefault="008744A5" w:rsidP="002761E5">
            <w:pPr>
              <w:spacing w:after="0" w:line="240" w:lineRule="auto"/>
              <w:jc w:val="center"/>
            </w:pPr>
            <w:r>
              <w:t>0.004</w:t>
            </w:r>
          </w:p>
        </w:tc>
        <w:tc>
          <w:tcPr>
            <w:tcW w:w="1968" w:type="dxa"/>
            <w:gridSpan w:val="2"/>
          </w:tcPr>
          <w:p w14:paraId="43D1A0F1" w14:textId="77777777" w:rsidR="008744A5" w:rsidRDefault="008744A5" w:rsidP="002761E5">
            <w:pPr>
              <w:spacing w:after="0" w:line="240" w:lineRule="auto"/>
              <w:jc w:val="center"/>
            </w:pPr>
            <w:r>
              <w:t>2.64 [1.59-4.37]</w:t>
            </w:r>
          </w:p>
          <w:p w14:paraId="5C180A93" w14:textId="77777777" w:rsidR="008744A5" w:rsidRDefault="008744A5" w:rsidP="002761E5">
            <w:pPr>
              <w:spacing w:after="0" w:line="240" w:lineRule="auto"/>
              <w:jc w:val="center"/>
            </w:pPr>
            <w:r>
              <w:t>&lt;0.001</w:t>
            </w:r>
          </w:p>
        </w:tc>
      </w:tr>
      <w:tr w:rsidR="008744A5" w14:paraId="754F4B48" w14:textId="77777777" w:rsidTr="001071E1">
        <w:tc>
          <w:tcPr>
            <w:tcW w:w="2799" w:type="dxa"/>
            <w:gridSpan w:val="2"/>
            <w:tcBorders>
              <w:bottom w:val="nil"/>
            </w:tcBorders>
          </w:tcPr>
          <w:p w14:paraId="385E3DE2" w14:textId="77777777" w:rsidR="008744A5" w:rsidRDefault="008744A5" w:rsidP="002761E5">
            <w:pPr>
              <w:spacing w:after="0" w:line="240" w:lineRule="auto"/>
            </w:pPr>
            <w:r>
              <w:t>Stroke</w:t>
            </w:r>
          </w:p>
        </w:tc>
        <w:tc>
          <w:tcPr>
            <w:tcW w:w="1229" w:type="dxa"/>
            <w:tcBorders>
              <w:bottom w:val="nil"/>
            </w:tcBorders>
          </w:tcPr>
          <w:p w14:paraId="1278C73E" w14:textId="77777777" w:rsidR="008744A5" w:rsidRDefault="008744A5" w:rsidP="002761E5">
            <w:pPr>
              <w:spacing w:after="0" w:line="240" w:lineRule="auto"/>
              <w:jc w:val="center"/>
            </w:pPr>
          </w:p>
        </w:tc>
        <w:tc>
          <w:tcPr>
            <w:tcW w:w="1718" w:type="dxa"/>
            <w:tcBorders>
              <w:bottom w:val="nil"/>
            </w:tcBorders>
          </w:tcPr>
          <w:p w14:paraId="3E805B95" w14:textId="77777777" w:rsidR="008744A5" w:rsidRDefault="008744A5" w:rsidP="002761E5">
            <w:pPr>
              <w:spacing w:after="0" w:line="240" w:lineRule="auto"/>
              <w:jc w:val="center"/>
            </w:pPr>
          </w:p>
        </w:tc>
        <w:tc>
          <w:tcPr>
            <w:tcW w:w="238" w:type="dxa"/>
            <w:tcBorders>
              <w:bottom w:val="nil"/>
            </w:tcBorders>
          </w:tcPr>
          <w:p w14:paraId="5D463699" w14:textId="77777777" w:rsidR="008744A5" w:rsidRDefault="008744A5" w:rsidP="002761E5">
            <w:pPr>
              <w:spacing w:after="0" w:line="240" w:lineRule="auto"/>
              <w:jc w:val="center"/>
            </w:pPr>
          </w:p>
        </w:tc>
        <w:tc>
          <w:tcPr>
            <w:tcW w:w="1726" w:type="dxa"/>
            <w:tcBorders>
              <w:bottom w:val="nil"/>
            </w:tcBorders>
          </w:tcPr>
          <w:p w14:paraId="69A972C2" w14:textId="77777777" w:rsidR="008744A5" w:rsidRDefault="008744A5" w:rsidP="002761E5">
            <w:pPr>
              <w:spacing w:after="0" w:line="240" w:lineRule="auto"/>
              <w:jc w:val="center"/>
            </w:pPr>
          </w:p>
        </w:tc>
        <w:tc>
          <w:tcPr>
            <w:tcW w:w="1683" w:type="dxa"/>
            <w:tcBorders>
              <w:bottom w:val="nil"/>
            </w:tcBorders>
          </w:tcPr>
          <w:p w14:paraId="24A45AE3" w14:textId="77777777" w:rsidR="008744A5" w:rsidRDefault="008744A5" w:rsidP="002761E5">
            <w:pPr>
              <w:spacing w:after="0" w:line="240" w:lineRule="auto"/>
              <w:jc w:val="center"/>
            </w:pPr>
          </w:p>
        </w:tc>
        <w:tc>
          <w:tcPr>
            <w:tcW w:w="236" w:type="dxa"/>
            <w:tcBorders>
              <w:bottom w:val="nil"/>
            </w:tcBorders>
          </w:tcPr>
          <w:p w14:paraId="503F8B35" w14:textId="77777777" w:rsidR="008744A5" w:rsidRDefault="008744A5" w:rsidP="002761E5">
            <w:pPr>
              <w:spacing w:after="0" w:line="240" w:lineRule="auto"/>
              <w:jc w:val="center"/>
            </w:pPr>
          </w:p>
        </w:tc>
        <w:tc>
          <w:tcPr>
            <w:tcW w:w="1873" w:type="dxa"/>
            <w:gridSpan w:val="2"/>
            <w:tcBorders>
              <w:bottom w:val="nil"/>
            </w:tcBorders>
          </w:tcPr>
          <w:p w14:paraId="30CC5ACE" w14:textId="77777777" w:rsidR="008744A5" w:rsidRDefault="008744A5" w:rsidP="002761E5">
            <w:pPr>
              <w:spacing w:after="0" w:line="240" w:lineRule="auto"/>
              <w:jc w:val="center"/>
            </w:pPr>
          </w:p>
        </w:tc>
        <w:tc>
          <w:tcPr>
            <w:tcW w:w="1968" w:type="dxa"/>
            <w:gridSpan w:val="2"/>
            <w:tcBorders>
              <w:bottom w:val="nil"/>
            </w:tcBorders>
            <w:vAlign w:val="bottom"/>
          </w:tcPr>
          <w:p w14:paraId="2AC44F8D" w14:textId="77777777" w:rsidR="008744A5" w:rsidRDefault="008744A5" w:rsidP="002761E5">
            <w:pPr>
              <w:spacing w:after="0" w:line="240" w:lineRule="auto"/>
              <w:jc w:val="center"/>
            </w:pPr>
          </w:p>
        </w:tc>
      </w:tr>
      <w:tr w:rsidR="008744A5" w14:paraId="06D0DD79" w14:textId="77777777" w:rsidTr="001071E1">
        <w:trPr>
          <w:gridAfter w:val="1"/>
          <w:wAfter w:w="6" w:type="dxa"/>
        </w:trPr>
        <w:tc>
          <w:tcPr>
            <w:tcW w:w="280" w:type="dxa"/>
            <w:tcBorders>
              <w:top w:val="nil"/>
              <w:bottom w:val="nil"/>
            </w:tcBorders>
          </w:tcPr>
          <w:p w14:paraId="7E080F93" w14:textId="77777777" w:rsidR="008744A5" w:rsidRDefault="008744A5" w:rsidP="002761E5">
            <w:pPr>
              <w:spacing w:after="0" w:line="240" w:lineRule="auto"/>
            </w:pPr>
          </w:p>
        </w:tc>
        <w:tc>
          <w:tcPr>
            <w:tcW w:w="2519" w:type="dxa"/>
            <w:tcBorders>
              <w:top w:val="nil"/>
            </w:tcBorders>
          </w:tcPr>
          <w:p w14:paraId="164A7583" w14:textId="77777777" w:rsidR="008744A5" w:rsidRDefault="008744A5" w:rsidP="002761E5">
            <w:pPr>
              <w:spacing w:after="0" w:line="240" w:lineRule="auto"/>
            </w:pPr>
            <w:r>
              <w:t>% (</w:t>
            </w:r>
            <w:r w:rsidRPr="00DA1594">
              <w:rPr>
                <w:i/>
              </w:rPr>
              <w:t>n</w:t>
            </w:r>
            <w:r>
              <w:t>)</w:t>
            </w:r>
          </w:p>
        </w:tc>
        <w:tc>
          <w:tcPr>
            <w:tcW w:w="1229" w:type="dxa"/>
            <w:tcBorders>
              <w:top w:val="nil"/>
            </w:tcBorders>
          </w:tcPr>
          <w:p w14:paraId="418AE6DA" w14:textId="77777777" w:rsidR="008744A5" w:rsidRDefault="008744A5" w:rsidP="002761E5">
            <w:pPr>
              <w:spacing w:after="0" w:line="240" w:lineRule="auto"/>
              <w:jc w:val="center"/>
            </w:pPr>
            <w:r>
              <w:t>6.7 (67)</w:t>
            </w:r>
          </w:p>
        </w:tc>
        <w:tc>
          <w:tcPr>
            <w:tcW w:w="1718" w:type="dxa"/>
            <w:tcBorders>
              <w:top w:val="nil"/>
            </w:tcBorders>
          </w:tcPr>
          <w:p w14:paraId="08C6FEE2" w14:textId="77777777" w:rsidR="008744A5" w:rsidRDefault="008744A5" w:rsidP="002761E5">
            <w:pPr>
              <w:spacing w:after="0" w:line="240" w:lineRule="auto"/>
              <w:jc w:val="center"/>
            </w:pPr>
            <w:r>
              <w:t>12.0 (46)</w:t>
            </w:r>
          </w:p>
        </w:tc>
        <w:tc>
          <w:tcPr>
            <w:tcW w:w="238" w:type="dxa"/>
            <w:tcBorders>
              <w:top w:val="nil"/>
            </w:tcBorders>
          </w:tcPr>
          <w:p w14:paraId="552CD4BB" w14:textId="77777777" w:rsidR="008744A5" w:rsidRDefault="008744A5" w:rsidP="002761E5">
            <w:pPr>
              <w:spacing w:after="0" w:line="240" w:lineRule="auto"/>
              <w:jc w:val="center"/>
            </w:pPr>
          </w:p>
        </w:tc>
        <w:tc>
          <w:tcPr>
            <w:tcW w:w="1726" w:type="dxa"/>
            <w:tcBorders>
              <w:top w:val="nil"/>
            </w:tcBorders>
          </w:tcPr>
          <w:p w14:paraId="33E9DF5A" w14:textId="77777777" w:rsidR="008744A5" w:rsidRDefault="008744A5" w:rsidP="002761E5">
            <w:pPr>
              <w:spacing w:after="0" w:line="240" w:lineRule="auto"/>
              <w:jc w:val="center"/>
            </w:pPr>
            <w:r>
              <w:t>8.9 (103)</w:t>
            </w:r>
          </w:p>
        </w:tc>
        <w:tc>
          <w:tcPr>
            <w:tcW w:w="1683" w:type="dxa"/>
            <w:tcBorders>
              <w:top w:val="nil"/>
            </w:tcBorders>
          </w:tcPr>
          <w:p w14:paraId="2E2A5C3C" w14:textId="77777777" w:rsidR="008744A5" w:rsidRDefault="008744A5" w:rsidP="002761E5">
            <w:pPr>
              <w:spacing w:after="0" w:line="240" w:lineRule="auto"/>
              <w:jc w:val="center"/>
            </w:pPr>
            <w:r>
              <w:t>12.6 (56)</w:t>
            </w:r>
          </w:p>
        </w:tc>
        <w:tc>
          <w:tcPr>
            <w:tcW w:w="236" w:type="dxa"/>
            <w:tcBorders>
              <w:top w:val="nil"/>
            </w:tcBorders>
          </w:tcPr>
          <w:p w14:paraId="2A2129CA" w14:textId="77777777" w:rsidR="008744A5" w:rsidRDefault="008744A5" w:rsidP="002761E5">
            <w:pPr>
              <w:spacing w:after="0" w:line="240" w:lineRule="auto"/>
              <w:jc w:val="center"/>
            </w:pPr>
          </w:p>
        </w:tc>
        <w:tc>
          <w:tcPr>
            <w:tcW w:w="1867" w:type="dxa"/>
            <w:tcBorders>
              <w:top w:val="nil"/>
            </w:tcBorders>
          </w:tcPr>
          <w:p w14:paraId="554CE281" w14:textId="77777777" w:rsidR="008744A5" w:rsidRDefault="008744A5" w:rsidP="002761E5">
            <w:pPr>
              <w:spacing w:after="0" w:line="240" w:lineRule="auto"/>
              <w:jc w:val="center"/>
            </w:pPr>
            <w:r>
              <w:t>9.7 (26)</w:t>
            </w:r>
          </w:p>
        </w:tc>
        <w:tc>
          <w:tcPr>
            <w:tcW w:w="1968" w:type="dxa"/>
            <w:gridSpan w:val="2"/>
            <w:tcBorders>
              <w:top w:val="nil"/>
            </w:tcBorders>
          </w:tcPr>
          <w:p w14:paraId="019A4A94" w14:textId="77777777" w:rsidR="008744A5" w:rsidRDefault="008744A5" w:rsidP="002761E5">
            <w:pPr>
              <w:spacing w:after="0" w:line="240" w:lineRule="auto"/>
              <w:jc w:val="center"/>
            </w:pPr>
            <w:r>
              <w:t>18.5 (28)</w:t>
            </w:r>
          </w:p>
        </w:tc>
      </w:tr>
      <w:tr w:rsidR="008744A5" w14:paraId="1EE57081" w14:textId="77777777" w:rsidTr="001071E1">
        <w:trPr>
          <w:gridAfter w:val="1"/>
          <w:wAfter w:w="6" w:type="dxa"/>
        </w:trPr>
        <w:tc>
          <w:tcPr>
            <w:tcW w:w="280" w:type="dxa"/>
            <w:tcBorders>
              <w:top w:val="nil"/>
              <w:bottom w:val="nil"/>
            </w:tcBorders>
          </w:tcPr>
          <w:p w14:paraId="15CD27B0" w14:textId="77777777" w:rsidR="008744A5" w:rsidRDefault="008744A5" w:rsidP="002761E5">
            <w:pPr>
              <w:spacing w:after="0" w:line="240" w:lineRule="auto"/>
            </w:pPr>
          </w:p>
        </w:tc>
        <w:tc>
          <w:tcPr>
            <w:tcW w:w="2519" w:type="dxa"/>
          </w:tcPr>
          <w:p w14:paraId="7A785A05" w14:textId="77777777" w:rsidR="008744A5" w:rsidRDefault="008744A5" w:rsidP="002761E5">
            <w:pPr>
              <w:spacing w:after="0" w:line="240" w:lineRule="auto"/>
            </w:pPr>
            <w:r>
              <w:t>RR [95% CI]</w:t>
            </w:r>
          </w:p>
          <w:p w14:paraId="76227A85" w14:textId="77777777" w:rsidR="008744A5" w:rsidRPr="00E6027F" w:rsidRDefault="008744A5" w:rsidP="002761E5">
            <w:pPr>
              <w:spacing w:after="0" w:line="240" w:lineRule="auto"/>
              <w:rPr>
                <w:i/>
              </w:rPr>
            </w:pPr>
            <w:r>
              <w:rPr>
                <w:i/>
              </w:rPr>
              <w:t>p</w:t>
            </w:r>
          </w:p>
        </w:tc>
        <w:tc>
          <w:tcPr>
            <w:tcW w:w="1229" w:type="dxa"/>
          </w:tcPr>
          <w:p w14:paraId="23C33CED" w14:textId="77777777" w:rsidR="008744A5" w:rsidRDefault="008744A5" w:rsidP="002761E5">
            <w:pPr>
              <w:spacing w:after="0" w:line="240" w:lineRule="auto"/>
              <w:jc w:val="center"/>
            </w:pPr>
            <w:r>
              <w:t>1</w:t>
            </w:r>
          </w:p>
        </w:tc>
        <w:tc>
          <w:tcPr>
            <w:tcW w:w="1718" w:type="dxa"/>
          </w:tcPr>
          <w:p w14:paraId="14050646" w14:textId="77777777" w:rsidR="008744A5" w:rsidRDefault="008744A5" w:rsidP="002761E5">
            <w:pPr>
              <w:spacing w:after="0" w:line="240" w:lineRule="auto"/>
              <w:jc w:val="center"/>
            </w:pPr>
            <w:r>
              <w:t>1.78 [1.20-2.64]</w:t>
            </w:r>
          </w:p>
          <w:p w14:paraId="1FCE6B6C" w14:textId="77777777" w:rsidR="008744A5" w:rsidRDefault="008744A5" w:rsidP="002761E5">
            <w:pPr>
              <w:spacing w:after="0" w:line="240" w:lineRule="auto"/>
              <w:jc w:val="center"/>
            </w:pPr>
            <w:r>
              <w:t>0.004</w:t>
            </w:r>
          </w:p>
        </w:tc>
        <w:tc>
          <w:tcPr>
            <w:tcW w:w="238" w:type="dxa"/>
          </w:tcPr>
          <w:p w14:paraId="4CFBC65B" w14:textId="77777777" w:rsidR="008744A5" w:rsidRDefault="008744A5" w:rsidP="002761E5">
            <w:pPr>
              <w:spacing w:after="0" w:line="240" w:lineRule="auto"/>
              <w:jc w:val="center"/>
            </w:pPr>
          </w:p>
        </w:tc>
        <w:tc>
          <w:tcPr>
            <w:tcW w:w="1726" w:type="dxa"/>
          </w:tcPr>
          <w:p w14:paraId="71F56CC5" w14:textId="77777777" w:rsidR="008744A5" w:rsidRDefault="008744A5" w:rsidP="002761E5">
            <w:pPr>
              <w:spacing w:after="0" w:line="240" w:lineRule="auto"/>
              <w:jc w:val="center"/>
            </w:pPr>
            <w:r>
              <w:t>1.33 [0.96-1.82]</w:t>
            </w:r>
          </w:p>
          <w:p w14:paraId="6F5AA7FE" w14:textId="77777777" w:rsidR="008744A5" w:rsidRDefault="008744A5" w:rsidP="002761E5">
            <w:pPr>
              <w:spacing w:after="0" w:line="240" w:lineRule="auto"/>
              <w:jc w:val="center"/>
            </w:pPr>
            <w:r>
              <w:t>0.083</w:t>
            </w:r>
          </w:p>
        </w:tc>
        <w:tc>
          <w:tcPr>
            <w:tcW w:w="1683" w:type="dxa"/>
          </w:tcPr>
          <w:p w14:paraId="03EBA0CE" w14:textId="77777777" w:rsidR="008744A5" w:rsidRDefault="008744A5" w:rsidP="002761E5">
            <w:pPr>
              <w:spacing w:after="0" w:line="240" w:lineRule="auto"/>
              <w:jc w:val="center"/>
            </w:pPr>
            <w:r>
              <w:t>1.88 [1.30-2.73]</w:t>
            </w:r>
          </w:p>
          <w:p w14:paraId="0184B71C" w14:textId="77777777" w:rsidR="008744A5" w:rsidRDefault="008744A5" w:rsidP="002761E5">
            <w:pPr>
              <w:spacing w:after="0" w:line="240" w:lineRule="auto"/>
              <w:jc w:val="center"/>
            </w:pPr>
            <w:r>
              <w:t>0.001</w:t>
            </w:r>
          </w:p>
        </w:tc>
        <w:tc>
          <w:tcPr>
            <w:tcW w:w="236" w:type="dxa"/>
          </w:tcPr>
          <w:p w14:paraId="5B717075" w14:textId="77777777" w:rsidR="008744A5" w:rsidRDefault="008744A5" w:rsidP="002761E5">
            <w:pPr>
              <w:spacing w:after="0" w:line="240" w:lineRule="auto"/>
              <w:jc w:val="center"/>
            </w:pPr>
          </w:p>
        </w:tc>
        <w:tc>
          <w:tcPr>
            <w:tcW w:w="1867" w:type="dxa"/>
          </w:tcPr>
          <w:p w14:paraId="29F416B1" w14:textId="77777777" w:rsidR="008744A5" w:rsidRDefault="008744A5" w:rsidP="002761E5">
            <w:pPr>
              <w:spacing w:after="0" w:line="240" w:lineRule="auto"/>
              <w:jc w:val="center"/>
            </w:pPr>
            <w:r>
              <w:t>1.44 [0.90-2.32]</w:t>
            </w:r>
          </w:p>
          <w:p w14:paraId="14174F9B" w14:textId="77777777" w:rsidR="008744A5" w:rsidRDefault="008744A5" w:rsidP="002761E5">
            <w:pPr>
              <w:spacing w:after="0" w:line="240" w:lineRule="auto"/>
              <w:jc w:val="center"/>
            </w:pPr>
            <w:r>
              <w:t>0.128</w:t>
            </w:r>
          </w:p>
        </w:tc>
        <w:tc>
          <w:tcPr>
            <w:tcW w:w="1968" w:type="dxa"/>
            <w:gridSpan w:val="2"/>
          </w:tcPr>
          <w:p w14:paraId="5D55B5D6" w14:textId="77777777" w:rsidR="008744A5" w:rsidRDefault="008744A5" w:rsidP="002761E5">
            <w:pPr>
              <w:spacing w:after="0" w:line="240" w:lineRule="auto"/>
              <w:jc w:val="center"/>
            </w:pPr>
            <w:r>
              <w:t>2.76 [1.72-4.43]</w:t>
            </w:r>
          </w:p>
          <w:p w14:paraId="3C2DCC5A" w14:textId="77777777" w:rsidR="008744A5" w:rsidRDefault="008744A5" w:rsidP="002761E5">
            <w:pPr>
              <w:spacing w:after="0" w:line="240" w:lineRule="auto"/>
              <w:jc w:val="center"/>
            </w:pPr>
            <w:r>
              <w:t>&lt;0.001</w:t>
            </w:r>
          </w:p>
        </w:tc>
      </w:tr>
      <w:tr w:rsidR="008744A5" w14:paraId="390C1658" w14:textId="77777777" w:rsidTr="001071E1">
        <w:trPr>
          <w:gridAfter w:val="1"/>
          <w:wAfter w:w="6" w:type="dxa"/>
        </w:trPr>
        <w:tc>
          <w:tcPr>
            <w:tcW w:w="280" w:type="dxa"/>
            <w:tcBorders>
              <w:top w:val="nil"/>
            </w:tcBorders>
          </w:tcPr>
          <w:p w14:paraId="6319D87B" w14:textId="77777777" w:rsidR="008744A5" w:rsidRDefault="008744A5" w:rsidP="002761E5">
            <w:pPr>
              <w:spacing w:after="0" w:line="240" w:lineRule="auto"/>
            </w:pPr>
          </w:p>
        </w:tc>
        <w:tc>
          <w:tcPr>
            <w:tcW w:w="2519" w:type="dxa"/>
          </w:tcPr>
          <w:p w14:paraId="7192DBCB" w14:textId="77777777" w:rsidR="008744A5" w:rsidRDefault="008744A5" w:rsidP="002761E5">
            <w:pPr>
              <w:spacing w:after="0" w:line="240" w:lineRule="auto"/>
            </w:pPr>
            <w:r>
              <w:t>RR</w:t>
            </w:r>
            <w:r w:rsidRPr="009A0497">
              <w:rPr>
                <w:vertAlign w:val="subscript"/>
              </w:rPr>
              <w:t>adj</w:t>
            </w:r>
            <w:r>
              <w:t xml:space="preserve"> [95% CI]</w:t>
            </w:r>
          </w:p>
          <w:p w14:paraId="2A06F747" w14:textId="77777777" w:rsidR="008744A5" w:rsidRPr="00E6027F" w:rsidRDefault="008744A5" w:rsidP="002761E5">
            <w:pPr>
              <w:spacing w:after="0" w:line="240" w:lineRule="auto"/>
              <w:rPr>
                <w:i/>
              </w:rPr>
            </w:pPr>
            <w:r>
              <w:rPr>
                <w:i/>
              </w:rPr>
              <w:t>p</w:t>
            </w:r>
          </w:p>
        </w:tc>
        <w:tc>
          <w:tcPr>
            <w:tcW w:w="1229" w:type="dxa"/>
          </w:tcPr>
          <w:p w14:paraId="6849346F" w14:textId="77777777" w:rsidR="008744A5" w:rsidRDefault="008744A5" w:rsidP="002761E5">
            <w:pPr>
              <w:spacing w:after="0" w:line="240" w:lineRule="auto"/>
              <w:jc w:val="center"/>
            </w:pPr>
            <w:r>
              <w:t>1</w:t>
            </w:r>
          </w:p>
        </w:tc>
        <w:tc>
          <w:tcPr>
            <w:tcW w:w="1718" w:type="dxa"/>
          </w:tcPr>
          <w:p w14:paraId="5B6D77C4" w14:textId="77777777" w:rsidR="008744A5" w:rsidRDefault="008744A5" w:rsidP="002761E5">
            <w:pPr>
              <w:spacing w:after="0" w:line="240" w:lineRule="auto"/>
              <w:jc w:val="center"/>
            </w:pPr>
            <w:r>
              <w:t>1.40 [0.92-2.12]</w:t>
            </w:r>
          </w:p>
          <w:p w14:paraId="11987432" w14:textId="77777777" w:rsidR="008744A5" w:rsidRDefault="008744A5" w:rsidP="002761E5">
            <w:pPr>
              <w:spacing w:after="0" w:line="240" w:lineRule="auto"/>
              <w:jc w:val="center"/>
            </w:pPr>
            <w:r>
              <w:t>0.115</w:t>
            </w:r>
          </w:p>
        </w:tc>
        <w:tc>
          <w:tcPr>
            <w:tcW w:w="238" w:type="dxa"/>
          </w:tcPr>
          <w:p w14:paraId="20AE5B69" w14:textId="77777777" w:rsidR="008744A5" w:rsidRDefault="008744A5" w:rsidP="002761E5">
            <w:pPr>
              <w:spacing w:after="0" w:line="240" w:lineRule="auto"/>
              <w:jc w:val="center"/>
            </w:pPr>
          </w:p>
        </w:tc>
        <w:tc>
          <w:tcPr>
            <w:tcW w:w="1726" w:type="dxa"/>
          </w:tcPr>
          <w:p w14:paraId="5BF59C4A" w14:textId="1D1C4AC7" w:rsidR="008744A5" w:rsidRDefault="008744A5" w:rsidP="002761E5">
            <w:pPr>
              <w:spacing w:after="0" w:line="240" w:lineRule="auto"/>
              <w:jc w:val="center"/>
            </w:pPr>
            <w:r>
              <w:t>1.13 [</w:t>
            </w:r>
            <w:r w:rsidRPr="00E20B3C">
              <w:t>0.8</w:t>
            </w:r>
            <w:r w:rsidR="00E20B3C">
              <w:t>1</w:t>
            </w:r>
            <w:r>
              <w:t>-1.57]</w:t>
            </w:r>
          </w:p>
          <w:p w14:paraId="7879B838" w14:textId="77777777" w:rsidR="008744A5" w:rsidRDefault="008744A5" w:rsidP="002761E5">
            <w:pPr>
              <w:spacing w:after="0" w:line="240" w:lineRule="auto"/>
              <w:jc w:val="center"/>
            </w:pPr>
            <w:r>
              <w:t>0.491</w:t>
            </w:r>
          </w:p>
        </w:tc>
        <w:tc>
          <w:tcPr>
            <w:tcW w:w="1683" w:type="dxa"/>
          </w:tcPr>
          <w:p w14:paraId="709D276A" w14:textId="77777777" w:rsidR="008744A5" w:rsidRDefault="008744A5" w:rsidP="002761E5">
            <w:pPr>
              <w:spacing w:after="0" w:line="240" w:lineRule="auto"/>
              <w:jc w:val="center"/>
            </w:pPr>
            <w:r>
              <w:t>1.27 [0.86-1.89]</w:t>
            </w:r>
          </w:p>
          <w:p w14:paraId="57FDFD13" w14:textId="77777777" w:rsidR="008744A5" w:rsidRDefault="008744A5" w:rsidP="002761E5">
            <w:pPr>
              <w:spacing w:after="0" w:line="240" w:lineRule="auto"/>
              <w:jc w:val="center"/>
            </w:pPr>
            <w:r>
              <w:t>0.232</w:t>
            </w:r>
          </w:p>
        </w:tc>
        <w:tc>
          <w:tcPr>
            <w:tcW w:w="236" w:type="dxa"/>
          </w:tcPr>
          <w:p w14:paraId="45E2AD93" w14:textId="77777777" w:rsidR="008744A5" w:rsidRDefault="008744A5" w:rsidP="002761E5">
            <w:pPr>
              <w:spacing w:after="0" w:line="240" w:lineRule="auto"/>
              <w:jc w:val="center"/>
            </w:pPr>
          </w:p>
        </w:tc>
        <w:tc>
          <w:tcPr>
            <w:tcW w:w="1867" w:type="dxa"/>
          </w:tcPr>
          <w:p w14:paraId="2429BAEB" w14:textId="77777777" w:rsidR="008744A5" w:rsidRDefault="008744A5" w:rsidP="002761E5">
            <w:pPr>
              <w:spacing w:after="0" w:line="240" w:lineRule="auto"/>
              <w:jc w:val="center"/>
            </w:pPr>
            <w:r>
              <w:t>1.74 [1.06-2.85]</w:t>
            </w:r>
          </w:p>
          <w:p w14:paraId="6FF48D07" w14:textId="77777777" w:rsidR="008744A5" w:rsidRDefault="008744A5" w:rsidP="002761E5">
            <w:pPr>
              <w:spacing w:after="0" w:line="240" w:lineRule="auto"/>
              <w:jc w:val="center"/>
            </w:pPr>
            <w:r>
              <w:t>0.028</w:t>
            </w:r>
          </w:p>
        </w:tc>
        <w:tc>
          <w:tcPr>
            <w:tcW w:w="1968" w:type="dxa"/>
            <w:gridSpan w:val="2"/>
          </w:tcPr>
          <w:p w14:paraId="13D34693" w14:textId="77777777" w:rsidR="008744A5" w:rsidRDefault="008744A5" w:rsidP="002761E5">
            <w:pPr>
              <w:spacing w:after="0" w:line="240" w:lineRule="auto"/>
              <w:jc w:val="center"/>
            </w:pPr>
            <w:r>
              <w:t>3.12 [1.88-5.18</w:t>
            </w:r>
          </w:p>
          <w:p w14:paraId="2B4720CA" w14:textId="77777777" w:rsidR="008744A5" w:rsidRDefault="008744A5" w:rsidP="002761E5">
            <w:pPr>
              <w:spacing w:after="0" w:line="240" w:lineRule="auto"/>
              <w:jc w:val="center"/>
            </w:pPr>
            <w:r>
              <w:t>&lt;0.001</w:t>
            </w:r>
          </w:p>
        </w:tc>
      </w:tr>
    </w:tbl>
    <w:p w14:paraId="24CF6B87" w14:textId="657FB164" w:rsidR="001265B4" w:rsidRPr="00AE26E1" w:rsidRDefault="001265B4" w:rsidP="001265B4">
      <w:pPr>
        <w:spacing w:after="0" w:line="240" w:lineRule="auto"/>
      </w:pPr>
      <w:r>
        <w:t>CI = confidence interval; RR = relative risk; RR</w:t>
      </w:r>
      <w:r w:rsidRPr="001265B4">
        <w:rPr>
          <w:vertAlign w:val="subscript"/>
        </w:rPr>
        <w:t>adj</w:t>
      </w:r>
      <w:r>
        <w:t xml:space="preserve"> = relative risk adjusted for </w:t>
      </w:r>
      <w:r>
        <w:rPr>
          <w:shd w:val="clear" w:color="auto" w:fill="FFFFFF"/>
        </w:rPr>
        <w:t>age, sex, ethnicity, wealth, alcohol intake, and body mass index.</w:t>
      </w:r>
    </w:p>
    <w:p w14:paraId="6FA45989" w14:textId="77777777" w:rsidR="00A90F02" w:rsidRDefault="00A90F02" w:rsidP="00A90F02">
      <w:pPr>
        <w:spacing w:after="0" w:line="240" w:lineRule="auto"/>
      </w:pPr>
      <w:r>
        <w:t>Note: For each outcome, the sample is restricted to those who did not report the presence of the outcome at baseline. Results therefore indicate the prevalence and relative risk of new-onset health problems over the follow-up period.</w:t>
      </w:r>
    </w:p>
    <w:p w14:paraId="0F0BCF6A" w14:textId="77777777" w:rsidR="00A90F02" w:rsidRDefault="00A90F02" w:rsidP="00A90F02">
      <w:pPr>
        <w:spacing w:after="200" w:line="276" w:lineRule="auto"/>
      </w:pPr>
      <w:r>
        <w:br w:type="page"/>
      </w:r>
    </w:p>
    <w:p w14:paraId="5320C5B0" w14:textId="77777777" w:rsidR="00A90F02" w:rsidRDefault="00A90F02" w:rsidP="00A90F02">
      <w:pPr>
        <w:spacing w:after="0" w:line="240" w:lineRule="auto"/>
      </w:pPr>
    </w:p>
    <w:tbl>
      <w:tblPr>
        <w:tblStyle w:val="TableGrid"/>
        <w:tblW w:w="13575"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80"/>
        <w:gridCol w:w="2519"/>
        <w:gridCol w:w="1229"/>
        <w:gridCol w:w="1718"/>
        <w:gridCol w:w="238"/>
        <w:gridCol w:w="1726"/>
        <w:gridCol w:w="1788"/>
        <w:gridCol w:w="236"/>
        <w:gridCol w:w="1867"/>
        <w:gridCol w:w="6"/>
        <w:gridCol w:w="1962"/>
        <w:gridCol w:w="6"/>
      </w:tblGrid>
      <w:tr w:rsidR="008744A5" w14:paraId="796C3F99" w14:textId="77777777" w:rsidTr="001071E1">
        <w:tc>
          <w:tcPr>
            <w:tcW w:w="13575" w:type="dxa"/>
            <w:gridSpan w:val="12"/>
            <w:tcBorders>
              <w:top w:val="nil"/>
            </w:tcBorders>
          </w:tcPr>
          <w:p w14:paraId="3ADE338B" w14:textId="232CE1A0" w:rsidR="008744A5" w:rsidRDefault="008744A5" w:rsidP="002761E5">
            <w:pPr>
              <w:spacing w:after="0" w:line="240" w:lineRule="auto"/>
              <w:rPr>
                <w:b/>
              </w:rPr>
            </w:pPr>
            <w:r>
              <w:rPr>
                <w:b/>
              </w:rPr>
              <w:t xml:space="preserve">Table </w:t>
            </w:r>
            <w:r w:rsidR="00735F89">
              <w:rPr>
                <w:b/>
              </w:rPr>
              <w:t>3</w:t>
            </w:r>
            <w:r>
              <w:rPr>
                <w:b/>
              </w:rPr>
              <w:t>.</w:t>
            </w:r>
            <w:r>
              <w:t xml:space="preserve"> (continued)</w:t>
            </w:r>
          </w:p>
        </w:tc>
      </w:tr>
      <w:tr w:rsidR="008744A5" w14:paraId="3103182F" w14:textId="77777777" w:rsidTr="001071E1">
        <w:tc>
          <w:tcPr>
            <w:tcW w:w="2799" w:type="dxa"/>
            <w:gridSpan w:val="2"/>
            <w:tcBorders>
              <w:bottom w:val="nil"/>
            </w:tcBorders>
          </w:tcPr>
          <w:p w14:paraId="48D0C432" w14:textId="77777777" w:rsidR="008744A5" w:rsidRDefault="008744A5" w:rsidP="002761E5">
            <w:pPr>
              <w:spacing w:after="0" w:line="240" w:lineRule="auto"/>
            </w:pPr>
          </w:p>
        </w:tc>
        <w:tc>
          <w:tcPr>
            <w:tcW w:w="2947" w:type="dxa"/>
            <w:gridSpan w:val="2"/>
          </w:tcPr>
          <w:p w14:paraId="0C03967F" w14:textId="77777777" w:rsidR="008744A5" w:rsidRDefault="008744A5" w:rsidP="002761E5">
            <w:pPr>
              <w:spacing w:after="0" w:line="240" w:lineRule="auto"/>
              <w:jc w:val="center"/>
            </w:pPr>
            <w:r>
              <w:t>Never smoker</w:t>
            </w:r>
          </w:p>
        </w:tc>
        <w:tc>
          <w:tcPr>
            <w:tcW w:w="238" w:type="dxa"/>
            <w:tcBorders>
              <w:bottom w:val="nil"/>
            </w:tcBorders>
          </w:tcPr>
          <w:p w14:paraId="00B141EF" w14:textId="77777777" w:rsidR="008744A5" w:rsidRDefault="008744A5" w:rsidP="002761E5">
            <w:pPr>
              <w:spacing w:after="0" w:line="240" w:lineRule="auto"/>
              <w:jc w:val="center"/>
            </w:pPr>
          </w:p>
        </w:tc>
        <w:tc>
          <w:tcPr>
            <w:tcW w:w="3514" w:type="dxa"/>
            <w:gridSpan w:val="2"/>
          </w:tcPr>
          <w:p w14:paraId="2B3B1F5A" w14:textId="77777777" w:rsidR="008744A5" w:rsidRDefault="008744A5" w:rsidP="002761E5">
            <w:pPr>
              <w:spacing w:after="0" w:line="240" w:lineRule="auto"/>
              <w:jc w:val="center"/>
            </w:pPr>
            <w:r>
              <w:t>Former smoker</w:t>
            </w:r>
          </w:p>
        </w:tc>
        <w:tc>
          <w:tcPr>
            <w:tcW w:w="236" w:type="dxa"/>
            <w:tcBorders>
              <w:bottom w:val="nil"/>
            </w:tcBorders>
          </w:tcPr>
          <w:p w14:paraId="162E9C03" w14:textId="77777777" w:rsidR="008744A5" w:rsidRDefault="008744A5" w:rsidP="002761E5">
            <w:pPr>
              <w:spacing w:after="0" w:line="240" w:lineRule="auto"/>
              <w:jc w:val="center"/>
            </w:pPr>
          </w:p>
        </w:tc>
        <w:tc>
          <w:tcPr>
            <w:tcW w:w="3841" w:type="dxa"/>
            <w:gridSpan w:val="4"/>
          </w:tcPr>
          <w:p w14:paraId="1523D5AE" w14:textId="77777777" w:rsidR="008744A5" w:rsidRDefault="008744A5" w:rsidP="002761E5">
            <w:pPr>
              <w:spacing w:after="0" w:line="240" w:lineRule="auto"/>
              <w:jc w:val="center"/>
            </w:pPr>
            <w:r>
              <w:t>Current smoker</w:t>
            </w:r>
          </w:p>
        </w:tc>
      </w:tr>
      <w:tr w:rsidR="008744A5" w14:paraId="768F98F0" w14:textId="77777777" w:rsidTr="001071E1">
        <w:tc>
          <w:tcPr>
            <w:tcW w:w="2799" w:type="dxa"/>
            <w:gridSpan w:val="2"/>
            <w:tcBorders>
              <w:top w:val="nil"/>
              <w:bottom w:val="single" w:sz="4" w:space="0" w:color="auto"/>
            </w:tcBorders>
          </w:tcPr>
          <w:p w14:paraId="5EC3A0D8" w14:textId="77777777" w:rsidR="008744A5" w:rsidRDefault="008744A5" w:rsidP="002761E5">
            <w:pPr>
              <w:spacing w:after="0" w:line="240" w:lineRule="auto"/>
            </w:pPr>
          </w:p>
        </w:tc>
        <w:tc>
          <w:tcPr>
            <w:tcW w:w="1229" w:type="dxa"/>
            <w:tcBorders>
              <w:top w:val="nil"/>
              <w:bottom w:val="single" w:sz="4" w:space="0" w:color="auto"/>
            </w:tcBorders>
          </w:tcPr>
          <w:p w14:paraId="11FE77E5" w14:textId="77777777" w:rsidR="008744A5" w:rsidRDefault="008744A5" w:rsidP="002761E5">
            <w:pPr>
              <w:spacing w:after="0" w:line="240" w:lineRule="auto"/>
              <w:jc w:val="center"/>
            </w:pPr>
            <w:r>
              <w:t>High active</w:t>
            </w:r>
          </w:p>
        </w:tc>
        <w:tc>
          <w:tcPr>
            <w:tcW w:w="1718" w:type="dxa"/>
            <w:tcBorders>
              <w:top w:val="nil"/>
              <w:bottom w:val="single" w:sz="4" w:space="0" w:color="auto"/>
            </w:tcBorders>
          </w:tcPr>
          <w:p w14:paraId="6A4A39E5" w14:textId="77777777" w:rsidR="008744A5" w:rsidRDefault="008744A5" w:rsidP="002761E5">
            <w:pPr>
              <w:spacing w:after="0" w:line="240" w:lineRule="auto"/>
              <w:jc w:val="center"/>
            </w:pPr>
            <w:r>
              <w:t>Low active</w:t>
            </w:r>
          </w:p>
        </w:tc>
        <w:tc>
          <w:tcPr>
            <w:tcW w:w="238" w:type="dxa"/>
            <w:tcBorders>
              <w:top w:val="nil"/>
              <w:bottom w:val="single" w:sz="4" w:space="0" w:color="auto"/>
            </w:tcBorders>
          </w:tcPr>
          <w:p w14:paraId="3C9BFEC0" w14:textId="77777777" w:rsidR="008744A5" w:rsidRDefault="008744A5" w:rsidP="002761E5">
            <w:pPr>
              <w:spacing w:after="0" w:line="240" w:lineRule="auto"/>
              <w:jc w:val="center"/>
            </w:pPr>
          </w:p>
        </w:tc>
        <w:tc>
          <w:tcPr>
            <w:tcW w:w="1726" w:type="dxa"/>
            <w:tcBorders>
              <w:top w:val="nil"/>
              <w:bottom w:val="single" w:sz="4" w:space="0" w:color="auto"/>
            </w:tcBorders>
          </w:tcPr>
          <w:p w14:paraId="4788EF8E" w14:textId="77777777" w:rsidR="008744A5" w:rsidRDefault="008744A5" w:rsidP="002761E5">
            <w:pPr>
              <w:spacing w:after="0" w:line="240" w:lineRule="auto"/>
              <w:jc w:val="center"/>
            </w:pPr>
            <w:r>
              <w:t>High active</w:t>
            </w:r>
          </w:p>
        </w:tc>
        <w:tc>
          <w:tcPr>
            <w:tcW w:w="1788" w:type="dxa"/>
            <w:tcBorders>
              <w:top w:val="nil"/>
              <w:bottom w:val="single" w:sz="4" w:space="0" w:color="auto"/>
            </w:tcBorders>
          </w:tcPr>
          <w:p w14:paraId="6B5AF253" w14:textId="77777777" w:rsidR="008744A5" w:rsidRDefault="008744A5" w:rsidP="002761E5">
            <w:pPr>
              <w:spacing w:after="0" w:line="240" w:lineRule="auto"/>
              <w:jc w:val="center"/>
            </w:pPr>
            <w:r>
              <w:t>Low active</w:t>
            </w:r>
          </w:p>
        </w:tc>
        <w:tc>
          <w:tcPr>
            <w:tcW w:w="236" w:type="dxa"/>
            <w:tcBorders>
              <w:top w:val="nil"/>
              <w:bottom w:val="single" w:sz="4" w:space="0" w:color="auto"/>
            </w:tcBorders>
          </w:tcPr>
          <w:p w14:paraId="1B0F4EE5" w14:textId="77777777" w:rsidR="008744A5" w:rsidRDefault="008744A5" w:rsidP="002761E5">
            <w:pPr>
              <w:spacing w:after="0" w:line="240" w:lineRule="auto"/>
              <w:jc w:val="center"/>
            </w:pPr>
          </w:p>
        </w:tc>
        <w:tc>
          <w:tcPr>
            <w:tcW w:w="1873" w:type="dxa"/>
            <w:gridSpan w:val="2"/>
            <w:tcBorders>
              <w:top w:val="nil"/>
              <w:bottom w:val="single" w:sz="4" w:space="0" w:color="auto"/>
            </w:tcBorders>
          </w:tcPr>
          <w:p w14:paraId="35525AAB" w14:textId="77777777" w:rsidR="008744A5" w:rsidRDefault="008744A5" w:rsidP="002761E5">
            <w:pPr>
              <w:spacing w:after="0" w:line="240" w:lineRule="auto"/>
              <w:jc w:val="center"/>
            </w:pPr>
            <w:r>
              <w:t>High active</w:t>
            </w:r>
          </w:p>
        </w:tc>
        <w:tc>
          <w:tcPr>
            <w:tcW w:w="1968" w:type="dxa"/>
            <w:gridSpan w:val="2"/>
            <w:tcBorders>
              <w:top w:val="nil"/>
              <w:bottom w:val="single" w:sz="4" w:space="0" w:color="auto"/>
            </w:tcBorders>
          </w:tcPr>
          <w:p w14:paraId="336D23CB" w14:textId="77777777" w:rsidR="008744A5" w:rsidRDefault="008744A5" w:rsidP="002761E5">
            <w:pPr>
              <w:spacing w:after="0" w:line="240" w:lineRule="auto"/>
              <w:jc w:val="center"/>
            </w:pPr>
            <w:r>
              <w:t>Low active</w:t>
            </w:r>
          </w:p>
        </w:tc>
      </w:tr>
      <w:tr w:rsidR="008744A5" w14:paraId="51F8FBF8" w14:textId="77777777" w:rsidTr="001071E1">
        <w:tc>
          <w:tcPr>
            <w:tcW w:w="2799" w:type="dxa"/>
            <w:gridSpan w:val="2"/>
            <w:tcBorders>
              <w:bottom w:val="nil"/>
            </w:tcBorders>
          </w:tcPr>
          <w:p w14:paraId="7DEB214D" w14:textId="77777777" w:rsidR="008744A5" w:rsidRDefault="008744A5" w:rsidP="002761E5">
            <w:pPr>
              <w:spacing w:after="0" w:line="240" w:lineRule="auto"/>
            </w:pPr>
            <w:r>
              <w:t>Cancer</w:t>
            </w:r>
          </w:p>
        </w:tc>
        <w:tc>
          <w:tcPr>
            <w:tcW w:w="1229" w:type="dxa"/>
            <w:tcBorders>
              <w:bottom w:val="nil"/>
            </w:tcBorders>
          </w:tcPr>
          <w:p w14:paraId="40697963" w14:textId="77777777" w:rsidR="008744A5" w:rsidRDefault="008744A5" w:rsidP="002761E5">
            <w:pPr>
              <w:spacing w:after="0" w:line="240" w:lineRule="auto"/>
              <w:jc w:val="center"/>
            </w:pPr>
          </w:p>
        </w:tc>
        <w:tc>
          <w:tcPr>
            <w:tcW w:w="1718" w:type="dxa"/>
            <w:tcBorders>
              <w:bottom w:val="nil"/>
            </w:tcBorders>
          </w:tcPr>
          <w:p w14:paraId="2962B2E4" w14:textId="77777777" w:rsidR="008744A5" w:rsidRDefault="008744A5" w:rsidP="002761E5">
            <w:pPr>
              <w:spacing w:after="0" w:line="240" w:lineRule="auto"/>
              <w:jc w:val="center"/>
            </w:pPr>
          </w:p>
        </w:tc>
        <w:tc>
          <w:tcPr>
            <w:tcW w:w="238" w:type="dxa"/>
            <w:tcBorders>
              <w:bottom w:val="nil"/>
            </w:tcBorders>
          </w:tcPr>
          <w:p w14:paraId="4A75AC32" w14:textId="77777777" w:rsidR="008744A5" w:rsidRDefault="008744A5" w:rsidP="002761E5">
            <w:pPr>
              <w:spacing w:after="0" w:line="240" w:lineRule="auto"/>
              <w:jc w:val="center"/>
            </w:pPr>
          </w:p>
        </w:tc>
        <w:tc>
          <w:tcPr>
            <w:tcW w:w="1726" w:type="dxa"/>
            <w:tcBorders>
              <w:bottom w:val="nil"/>
            </w:tcBorders>
          </w:tcPr>
          <w:p w14:paraId="1F5BCC10" w14:textId="77777777" w:rsidR="008744A5" w:rsidRDefault="008744A5" w:rsidP="002761E5">
            <w:pPr>
              <w:spacing w:after="0" w:line="240" w:lineRule="auto"/>
              <w:jc w:val="center"/>
            </w:pPr>
          </w:p>
        </w:tc>
        <w:tc>
          <w:tcPr>
            <w:tcW w:w="1788" w:type="dxa"/>
            <w:tcBorders>
              <w:bottom w:val="nil"/>
            </w:tcBorders>
          </w:tcPr>
          <w:p w14:paraId="1FB049BF" w14:textId="77777777" w:rsidR="008744A5" w:rsidRDefault="008744A5" w:rsidP="002761E5">
            <w:pPr>
              <w:spacing w:after="0" w:line="240" w:lineRule="auto"/>
              <w:jc w:val="center"/>
            </w:pPr>
          </w:p>
        </w:tc>
        <w:tc>
          <w:tcPr>
            <w:tcW w:w="236" w:type="dxa"/>
            <w:tcBorders>
              <w:bottom w:val="nil"/>
            </w:tcBorders>
          </w:tcPr>
          <w:p w14:paraId="4909E640" w14:textId="77777777" w:rsidR="008744A5" w:rsidRDefault="008744A5" w:rsidP="002761E5">
            <w:pPr>
              <w:spacing w:after="0" w:line="240" w:lineRule="auto"/>
              <w:jc w:val="center"/>
            </w:pPr>
          </w:p>
        </w:tc>
        <w:tc>
          <w:tcPr>
            <w:tcW w:w="1873" w:type="dxa"/>
            <w:gridSpan w:val="2"/>
            <w:tcBorders>
              <w:bottom w:val="nil"/>
            </w:tcBorders>
          </w:tcPr>
          <w:p w14:paraId="1BD2F221" w14:textId="77777777" w:rsidR="008744A5" w:rsidRDefault="008744A5" w:rsidP="002761E5">
            <w:pPr>
              <w:spacing w:after="0" w:line="240" w:lineRule="auto"/>
              <w:jc w:val="center"/>
            </w:pPr>
          </w:p>
        </w:tc>
        <w:tc>
          <w:tcPr>
            <w:tcW w:w="1968" w:type="dxa"/>
            <w:gridSpan w:val="2"/>
            <w:tcBorders>
              <w:bottom w:val="nil"/>
            </w:tcBorders>
            <w:vAlign w:val="bottom"/>
          </w:tcPr>
          <w:p w14:paraId="069F9D68" w14:textId="77777777" w:rsidR="008744A5" w:rsidRDefault="008744A5" w:rsidP="002761E5">
            <w:pPr>
              <w:spacing w:after="0" w:line="240" w:lineRule="auto"/>
              <w:jc w:val="center"/>
            </w:pPr>
          </w:p>
        </w:tc>
      </w:tr>
      <w:tr w:rsidR="008744A5" w14:paraId="1C184530" w14:textId="77777777" w:rsidTr="001071E1">
        <w:trPr>
          <w:gridAfter w:val="1"/>
          <w:wAfter w:w="6" w:type="dxa"/>
        </w:trPr>
        <w:tc>
          <w:tcPr>
            <w:tcW w:w="280" w:type="dxa"/>
            <w:tcBorders>
              <w:top w:val="nil"/>
              <w:bottom w:val="nil"/>
            </w:tcBorders>
          </w:tcPr>
          <w:p w14:paraId="57E746A3" w14:textId="77777777" w:rsidR="008744A5" w:rsidRDefault="008744A5" w:rsidP="002761E5">
            <w:pPr>
              <w:spacing w:after="0" w:line="240" w:lineRule="auto"/>
            </w:pPr>
          </w:p>
        </w:tc>
        <w:tc>
          <w:tcPr>
            <w:tcW w:w="2519" w:type="dxa"/>
            <w:tcBorders>
              <w:top w:val="nil"/>
            </w:tcBorders>
          </w:tcPr>
          <w:p w14:paraId="5E8DCA7B" w14:textId="77777777" w:rsidR="008744A5" w:rsidRDefault="008744A5" w:rsidP="002761E5">
            <w:pPr>
              <w:spacing w:after="0" w:line="240" w:lineRule="auto"/>
            </w:pPr>
            <w:r>
              <w:t>% (</w:t>
            </w:r>
            <w:r w:rsidRPr="00DA1594">
              <w:rPr>
                <w:i/>
              </w:rPr>
              <w:t>n</w:t>
            </w:r>
            <w:r>
              <w:t>)</w:t>
            </w:r>
          </w:p>
        </w:tc>
        <w:tc>
          <w:tcPr>
            <w:tcW w:w="1229" w:type="dxa"/>
            <w:tcBorders>
              <w:top w:val="nil"/>
            </w:tcBorders>
          </w:tcPr>
          <w:p w14:paraId="009DC6C6" w14:textId="77777777" w:rsidR="008744A5" w:rsidRDefault="008744A5" w:rsidP="002761E5">
            <w:pPr>
              <w:spacing w:after="0" w:line="240" w:lineRule="auto"/>
              <w:jc w:val="center"/>
            </w:pPr>
            <w:r>
              <w:t>12.4 (120)</w:t>
            </w:r>
          </w:p>
        </w:tc>
        <w:tc>
          <w:tcPr>
            <w:tcW w:w="1718" w:type="dxa"/>
            <w:tcBorders>
              <w:top w:val="nil"/>
            </w:tcBorders>
          </w:tcPr>
          <w:p w14:paraId="3FDF5799" w14:textId="77777777" w:rsidR="008744A5" w:rsidRDefault="008744A5" w:rsidP="002761E5">
            <w:pPr>
              <w:spacing w:after="0" w:line="240" w:lineRule="auto"/>
              <w:jc w:val="center"/>
            </w:pPr>
            <w:r>
              <w:t>16.0 (58)</w:t>
            </w:r>
          </w:p>
        </w:tc>
        <w:tc>
          <w:tcPr>
            <w:tcW w:w="238" w:type="dxa"/>
            <w:tcBorders>
              <w:top w:val="nil"/>
            </w:tcBorders>
          </w:tcPr>
          <w:p w14:paraId="76304EDD" w14:textId="77777777" w:rsidR="008744A5" w:rsidRDefault="008744A5" w:rsidP="002761E5">
            <w:pPr>
              <w:spacing w:after="0" w:line="240" w:lineRule="auto"/>
              <w:jc w:val="center"/>
            </w:pPr>
          </w:p>
        </w:tc>
        <w:tc>
          <w:tcPr>
            <w:tcW w:w="1726" w:type="dxa"/>
            <w:tcBorders>
              <w:top w:val="nil"/>
            </w:tcBorders>
          </w:tcPr>
          <w:p w14:paraId="364E6820" w14:textId="77777777" w:rsidR="008744A5" w:rsidRDefault="008744A5" w:rsidP="002761E5">
            <w:pPr>
              <w:spacing w:after="0" w:line="240" w:lineRule="auto"/>
              <w:jc w:val="center"/>
            </w:pPr>
            <w:r>
              <w:t>14.3 (160)</w:t>
            </w:r>
          </w:p>
        </w:tc>
        <w:tc>
          <w:tcPr>
            <w:tcW w:w="1788" w:type="dxa"/>
            <w:tcBorders>
              <w:top w:val="nil"/>
            </w:tcBorders>
          </w:tcPr>
          <w:p w14:paraId="78FD6691" w14:textId="77777777" w:rsidR="008744A5" w:rsidRDefault="008744A5" w:rsidP="002761E5">
            <w:pPr>
              <w:spacing w:after="0" w:line="240" w:lineRule="auto"/>
              <w:jc w:val="center"/>
            </w:pPr>
            <w:r>
              <w:t>19.8 (87)</w:t>
            </w:r>
          </w:p>
        </w:tc>
        <w:tc>
          <w:tcPr>
            <w:tcW w:w="236" w:type="dxa"/>
            <w:tcBorders>
              <w:top w:val="nil"/>
            </w:tcBorders>
          </w:tcPr>
          <w:p w14:paraId="2C54CBCD" w14:textId="77777777" w:rsidR="008744A5" w:rsidRDefault="008744A5" w:rsidP="002761E5">
            <w:pPr>
              <w:spacing w:after="0" w:line="240" w:lineRule="auto"/>
              <w:jc w:val="center"/>
            </w:pPr>
          </w:p>
        </w:tc>
        <w:tc>
          <w:tcPr>
            <w:tcW w:w="1867" w:type="dxa"/>
            <w:tcBorders>
              <w:top w:val="nil"/>
            </w:tcBorders>
          </w:tcPr>
          <w:p w14:paraId="4C1B4C84" w14:textId="77777777" w:rsidR="008744A5" w:rsidRDefault="008744A5" w:rsidP="002761E5">
            <w:pPr>
              <w:spacing w:after="0" w:line="240" w:lineRule="auto"/>
              <w:jc w:val="center"/>
            </w:pPr>
            <w:r>
              <w:t>15.2 (40)</w:t>
            </w:r>
          </w:p>
        </w:tc>
        <w:tc>
          <w:tcPr>
            <w:tcW w:w="1968" w:type="dxa"/>
            <w:gridSpan w:val="2"/>
            <w:tcBorders>
              <w:top w:val="nil"/>
            </w:tcBorders>
          </w:tcPr>
          <w:p w14:paraId="4E534403" w14:textId="77777777" w:rsidR="008744A5" w:rsidRDefault="008744A5" w:rsidP="002761E5">
            <w:pPr>
              <w:spacing w:after="0" w:line="240" w:lineRule="auto"/>
              <w:jc w:val="center"/>
            </w:pPr>
            <w:r>
              <w:t>20.7 (30)</w:t>
            </w:r>
          </w:p>
        </w:tc>
      </w:tr>
      <w:tr w:rsidR="008744A5" w14:paraId="62F73024" w14:textId="77777777" w:rsidTr="001071E1">
        <w:trPr>
          <w:gridAfter w:val="1"/>
          <w:wAfter w:w="6" w:type="dxa"/>
        </w:trPr>
        <w:tc>
          <w:tcPr>
            <w:tcW w:w="280" w:type="dxa"/>
            <w:tcBorders>
              <w:top w:val="nil"/>
              <w:bottom w:val="nil"/>
            </w:tcBorders>
          </w:tcPr>
          <w:p w14:paraId="6A230964" w14:textId="77777777" w:rsidR="008744A5" w:rsidRDefault="008744A5" w:rsidP="002761E5">
            <w:pPr>
              <w:spacing w:after="0" w:line="240" w:lineRule="auto"/>
            </w:pPr>
          </w:p>
        </w:tc>
        <w:tc>
          <w:tcPr>
            <w:tcW w:w="2519" w:type="dxa"/>
          </w:tcPr>
          <w:p w14:paraId="5D2C420E" w14:textId="77777777" w:rsidR="008744A5" w:rsidRDefault="008744A5" w:rsidP="002761E5">
            <w:pPr>
              <w:spacing w:after="0" w:line="240" w:lineRule="auto"/>
            </w:pPr>
            <w:r>
              <w:t>RR [95% CI]</w:t>
            </w:r>
          </w:p>
          <w:p w14:paraId="05EEEF2D" w14:textId="77777777" w:rsidR="008744A5" w:rsidRPr="00E6027F" w:rsidRDefault="008744A5" w:rsidP="002761E5">
            <w:pPr>
              <w:spacing w:after="0" w:line="240" w:lineRule="auto"/>
              <w:rPr>
                <w:i/>
              </w:rPr>
            </w:pPr>
            <w:r>
              <w:rPr>
                <w:i/>
              </w:rPr>
              <w:t>p</w:t>
            </w:r>
          </w:p>
        </w:tc>
        <w:tc>
          <w:tcPr>
            <w:tcW w:w="1229" w:type="dxa"/>
          </w:tcPr>
          <w:p w14:paraId="3A5A4DE4" w14:textId="77777777" w:rsidR="008744A5" w:rsidRDefault="008744A5" w:rsidP="002761E5">
            <w:pPr>
              <w:spacing w:after="0" w:line="240" w:lineRule="auto"/>
              <w:jc w:val="center"/>
            </w:pPr>
            <w:r>
              <w:t>1</w:t>
            </w:r>
          </w:p>
        </w:tc>
        <w:tc>
          <w:tcPr>
            <w:tcW w:w="1718" w:type="dxa"/>
          </w:tcPr>
          <w:p w14:paraId="356AF4AD" w14:textId="77777777" w:rsidR="008744A5" w:rsidRDefault="008744A5" w:rsidP="002761E5">
            <w:pPr>
              <w:spacing w:after="0" w:line="240" w:lineRule="auto"/>
              <w:jc w:val="center"/>
            </w:pPr>
            <w:r>
              <w:t>1.29 [0.92-1.81]</w:t>
            </w:r>
          </w:p>
          <w:p w14:paraId="63396A4F" w14:textId="77777777" w:rsidR="008744A5" w:rsidRDefault="008744A5" w:rsidP="002761E5">
            <w:pPr>
              <w:spacing w:after="0" w:line="240" w:lineRule="auto"/>
              <w:jc w:val="center"/>
            </w:pPr>
            <w:r>
              <w:t>0.136</w:t>
            </w:r>
          </w:p>
        </w:tc>
        <w:tc>
          <w:tcPr>
            <w:tcW w:w="238" w:type="dxa"/>
          </w:tcPr>
          <w:p w14:paraId="2CB05442" w14:textId="77777777" w:rsidR="008744A5" w:rsidRDefault="008744A5" w:rsidP="002761E5">
            <w:pPr>
              <w:spacing w:after="0" w:line="240" w:lineRule="auto"/>
              <w:jc w:val="center"/>
            </w:pPr>
          </w:p>
        </w:tc>
        <w:tc>
          <w:tcPr>
            <w:tcW w:w="1726" w:type="dxa"/>
          </w:tcPr>
          <w:p w14:paraId="039D2F9D" w14:textId="77777777" w:rsidR="008744A5" w:rsidRDefault="008744A5" w:rsidP="002761E5">
            <w:pPr>
              <w:spacing w:after="0" w:line="240" w:lineRule="auto"/>
              <w:jc w:val="center"/>
            </w:pPr>
            <w:r>
              <w:t>1.15 [0.89-1.48]</w:t>
            </w:r>
          </w:p>
          <w:p w14:paraId="40384006" w14:textId="77777777" w:rsidR="008744A5" w:rsidRDefault="008744A5" w:rsidP="002761E5">
            <w:pPr>
              <w:spacing w:after="0" w:line="240" w:lineRule="auto"/>
              <w:jc w:val="center"/>
            </w:pPr>
            <w:r>
              <w:t>0.276</w:t>
            </w:r>
          </w:p>
        </w:tc>
        <w:tc>
          <w:tcPr>
            <w:tcW w:w="1788" w:type="dxa"/>
          </w:tcPr>
          <w:p w14:paraId="48FD038A" w14:textId="77777777" w:rsidR="008744A5" w:rsidRDefault="008744A5" w:rsidP="002761E5">
            <w:pPr>
              <w:spacing w:after="0" w:line="240" w:lineRule="auto"/>
              <w:jc w:val="center"/>
            </w:pPr>
            <w:r>
              <w:t>1.60 [1.19-2.15]</w:t>
            </w:r>
          </w:p>
          <w:p w14:paraId="2D7DAB69" w14:textId="77777777" w:rsidR="008744A5" w:rsidRDefault="008744A5" w:rsidP="002761E5">
            <w:pPr>
              <w:spacing w:after="0" w:line="240" w:lineRule="auto"/>
              <w:jc w:val="center"/>
            </w:pPr>
            <w:r>
              <w:t>0.002</w:t>
            </w:r>
          </w:p>
        </w:tc>
        <w:tc>
          <w:tcPr>
            <w:tcW w:w="236" w:type="dxa"/>
          </w:tcPr>
          <w:p w14:paraId="4925B2A9" w14:textId="77777777" w:rsidR="008744A5" w:rsidRDefault="008744A5" w:rsidP="002761E5">
            <w:pPr>
              <w:spacing w:after="0" w:line="240" w:lineRule="auto"/>
              <w:jc w:val="center"/>
            </w:pPr>
          </w:p>
        </w:tc>
        <w:tc>
          <w:tcPr>
            <w:tcW w:w="1867" w:type="dxa"/>
          </w:tcPr>
          <w:p w14:paraId="4643DD3A" w14:textId="77777777" w:rsidR="008744A5" w:rsidRDefault="008744A5" w:rsidP="002761E5">
            <w:pPr>
              <w:spacing w:after="0" w:line="240" w:lineRule="auto"/>
              <w:jc w:val="center"/>
            </w:pPr>
            <w:r>
              <w:t>1.22 [0.83-1.79]</w:t>
            </w:r>
          </w:p>
          <w:p w14:paraId="348AE020" w14:textId="77777777" w:rsidR="008744A5" w:rsidRDefault="008744A5" w:rsidP="002761E5">
            <w:pPr>
              <w:spacing w:after="0" w:line="240" w:lineRule="auto"/>
              <w:jc w:val="center"/>
            </w:pPr>
            <w:r>
              <w:t>0.307</w:t>
            </w:r>
          </w:p>
        </w:tc>
        <w:tc>
          <w:tcPr>
            <w:tcW w:w="1968" w:type="dxa"/>
            <w:gridSpan w:val="2"/>
          </w:tcPr>
          <w:p w14:paraId="4EC4EE3C" w14:textId="77777777" w:rsidR="008744A5" w:rsidRDefault="008744A5" w:rsidP="002761E5">
            <w:pPr>
              <w:spacing w:after="0" w:line="240" w:lineRule="auto"/>
              <w:jc w:val="center"/>
            </w:pPr>
            <w:r>
              <w:t>1.67 [1.08-2.58]</w:t>
            </w:r>
          </w:p>
          <w:p w14:paraId="73F45FFE" w14:textId="77777777" w:rsidR="008744A5" w:rsidRDefault="008744A5" w:rsidP="002761E5">
            <w:pPr>
              <w:spacing w:after="0" w:line="240" w:lineRule="auto"/>
              <w:jc w:val="center"/>
            </w:pPr>
            <w:r>
              <w:t>0.022</w:t>
            </w:r>
          </w:p>
        </w:tc>
      </w:tr>
      <w:tr w:rsidR="008744A5" w14:paraId="365FC564" w14:textId="77777777" w:rsidTr="001071E1">
        <w:trPr>
          <w:gridAfter w:val="1"/>
          <w:wAfter w:w="6" w:type="dxa"/>
        </w:trPr>
        <w:tc>
          <w:tcPr>
            <w:tcW w:w="280" w:type="dxa"/>
            <w:tcBorders>
              <w:top w:val="nil"/>
            </w:tcBorders>
          </w:tcPr>
          <w:p w14:paraId="3FFEB955" w14:textId="77777777" w:rsidR="008744A5" w:rsidRDefault="008744A5" w:rsidP="002761E5">
            <w:pPr>
              <w:spacing w:after="0" w:line="240" w:lineRule="auto"/>
            </w:pPr>
          </w:p>
        </w:tc>
        <w:tc>
          <w:tcPr>
            <w:tcW w:w="2519" w:type="dxa"/>
          </w:tcPr>
          <w:p w14:paraId="2A18D888" w14:textId="77777777" w:rsidR="008744A5" w:rsidRDefault="008744A5" w:rsidP="002761E5">
            <w:pPr>
              <w:spacing w:after="0" w:line="240" w:lineRule="auto"/>
            </w:pPr>
            <w:r>
              <w:t>RR</w:t>
            </w:r>
            <w:r w:rsidRPr="009A0497">
              <w:rPr>
                <w:vertAlign w:val="subscript"/>
              </w:rPr>
              <w:t>adj</w:t>
            </w:r>
            <w:r>
              <w:t xml:space="preserve"> [95% CI]</w:t>
            </w:r>
          </w:p>
          <w:p w14:paraId="1637AD67" w14:textId="77777777" w:rsidR="008744A5" w:rsidRPr="00E6027F" w:rsidRDefault="008744A5" w:rsidP="002761E5">
            <w:pPr>
              <w:spacing w:after="0" w:line="240" w:lineRule="auto"/>
              <w:rPr>
                <w:i/>
              </w:rPr>
            </w:pPr>
            <w:r>
              <w:rPr>
                <w:i/>
              </w:rPr>
              <w:t>p</w:t>
            </w:r>
          </w:p>
        </w:tc>
        <w:tc>
          <w:tcPr>
            <w:tcW w:w="1229" w:type="dxa"/>
          </w:tcPr>
          <w:p w14:paraId="710413A5" w14:textId="77777777" w:rsidR="008744A5" w:rsidRDefault="008744A5" w:rsidP="002761E5">
            <w:pPr>
              <w:spacing w:after="0" w:line="240" w:lineRule="auto"/>
              <w:jc w:val="center"/>
            </w:pPr>
            <w:r>
              <w:t>1</w:t>
            </w:r>
          </w:p>
        </w:tc>
        <w:tc>
          <w:tcPr>
            <w:tcW w:w="1718" w:type="dxa"/>
          </w:tcPr>
          <w:p w14:paraId="447288DE" w14:textId="77777777" w:rsidR="008744A5" w:rsidRDefault="008744A5" w:rsidP="002761E5">
            <w:pPr>
              <w:spacing w:after="0" w:line="240" w:lineRule="auto"/>
              <w:jc w:val="center"/>
            </w:pPr>
            <w:r>
              <w:t>1.30 [0.92-1.83]</w:t>
            </w:r>
          </w:p>
          <w:p w14:paraId="78F98416" w14:textId="77777777" w:rsidR="008744A5" w:rsidRDefault="008744A5" w:rsidP="002761E5">
            <w:pPr>
              <w:spacing w:after="0" w:line="240" w:lineRule="auto"/>
              <w:jc w:val="center"/>
            </w:pPr>
            <w:r>
              <w:t>0.139</w:t>
            </w:r>
          </w:p>
        </w:tc>
        <w:tc>
          <w:tcPr>
            <w:tcW w:w="238" w:type="dxa"/>
          </w:tcPr>
          <w:p w14:paraId="174D3F39" w14:textId="77777777" w:rsidR="008744A5" w:rsidRDefault="008744A5" w:rsidP="002761E5">
            <w:pPr>
              <w:spacing w:after="0" w:line="240" w:lineRule="auto"/>
              <w:jc w:val="center"/>
            </w:pPr>
          </w:p>
        </w:tc>
        <w:tc>
          <w:tcPr>
            <w:tcW w:w="1726" w:type="dxa"/>
          </w:tcPr>
          <w:p w14:paraId="097F31AC" w14:textId="77777777" w:rsidR="008744A5" w:rsidRDefault="008744A5" w:rsidP="002761E5">
            <w:pPr>
              <w:spacing w:after="0" w:line="240" w:lineRule="auto"/>
              <w:jc w:val="center"/>
            </w:pPr>
            <w:r>
              <w:t>1.11 [0.86-1.43]</w:t>
            </w:r>
          </w:p>
          <w:p w14:paraId="6FA13D4B" w14:textId="77777777" w:rsidR="008744A5" w:rsidRDefault="008744A5" w:rsidP="002761E5">
            <w:pPr>
              <w:spacing w:after="0" w:line="240" w:lineRule="auto"/>
              <w:jc w:val="center"/>
            </w:pPr>
            <w:r>
              <w:t>0.445</w:t>
            </w:r>
          </w:p>
        </w:tc>
        <w:tc>
          <w:tcPr>
            <w:tcW w:w="1788" w:type="dxa"/>
          </w:tcPr>
          <w:p w14:paraId="17B94DBA" w14:textId="77777777" w:rsidR="008744A5" w:rsidRDefault="008744A5" w:rsidP="002761E5">
            <w:pPr>
              <w:spacing w:after="0" w:line="240" w:lineRule="auto"/>
              <w:jc w:val="center"/>
            </w:pPr>
            <w:r>
              <w:t>1.45 [1.06-1.97]</w:t>
            </w:r>
          </w:p>
          <w:p w14:paraId="3AE78634" w14:textId="77777777" w:rsidR="008744A5" w:rsidRDefault="008744A5" w:rsidP="002761E5">
            <w:pPr>
              <w:spacing w:after="0" w:line="240" w:lineRule="auto"/>
              <w:jc w:val="center"/>
            </w:pPr>
            <w:r>
              <w:t>0.019</w:t>
            </w:r>
          </w:p>
        </w:tc>
        <w:tc>
          <w:tcPr>
            <w:tcW w:w="236" w:type="dxa"/>
          </w:tcPr>
          <w:p w14:paraId="5F14441E" w14:textId="77777777" w:rsidR="008744A5" w:rsidRDefault="008744A5" w:rsidP="002761E5">
            <w:pPr>
              <w:spacing w:after="0" w:line="240" w:lineRule="auto"/>
              <w:jc w:val="center"/>
            </w:pPr>
          </w:p>
        </w:tc>
        <w:tc>
          <w:tcPr>
            <w:tcW w:w="1867" w:type="dxa"/>
          </w:tcPr>
          <w:p w14:paraId="27861AD3" w14:textId="77777777" w:rsidR="008744A5" w:rsidRDefault="008744A5" w:rsidP="002761E5">
            <w:pPr>
              <w:spacing w:after="0" w:line="240" w:lineRule="auto"/>
              <w:jc w:val="center"/>
            </w:pPr>
            <w:r>
              <w:t>1.44 [0.98-2.13]</w:t>
            </w:r>
          </w:p>
          <w:p w14:paraId="5EBFE804" w14:textId="77777777" w:rsidR="008744A5" w:rsidRDefault="008744A5" w:rsidP="002761E5">
            <w:pPr>
              <w:spacing w:after="0" w:line="240" w:lineRule="auto"/>
              <w:jc w:val="center"/>
            </w:pPr>
            <w:r>
              <w:t>0.067</w:t>
            </w:r>
          </w:p>
        </w:tc>
        <w:tc>
          <w:tcPr>
            <w:tcW w:w="1968" w:type="dxa"/>
            <w:gridSpan w:val="2"/>
          </w:tcPr>
          <w:p w14:paraId="0334D9B8" w14:textId="77777777" w:rsidR="008744A5" w:rsidRDefault="008744A5" w:rsidP="002761E5">
            <w:pPr>
              <w:spacing w:after="0" w:line="240" w:lineRule="auto"/>
              <w:jc w:val="center"/>
            </w:pPr>
            <w:r>
              <w:t>1.89 [1.20-2.98]</w:t>
            </w:r>
          </w:p>
          <w:p w14:paraId="1D91096A" w14:textId="77777777" w:rsidR="008744A5" w:rsidRDefault="008744A5" w:rsidP="002761E5">
            <w:pPr>
              <w:spacing w:after="0" w:line="240" w:lineRule="auto"/>
              <w:jc w:val="center"/>
            </w:pPr>
            <w:r>
              <w:t>0.006</w:t>
            </w:r>
          </w:p>
        </w:tc>
      </w:tr>
      <w:tr w:rsidR="008744A5" w14:paraId="4D305FB8" w14:textId="77777777" w:rsidTr="001071E1">
        <w:tc>
          <w:tcPr>
            <w:tcW w:w="2799" w:type="dxa"/>
            <w:gridSpan w:val="2"/>
            <w:tcBorders>
              <w:bottom w:val="nil"/>
            </w:tcBorders>
          </w:tcPr>
          <w:p w14:paraId="13246C0A" w14:textId="77777777" w:rsidR="008744A5" w:rsidRDefault="008744A5" w:rsidP="002761E5">
            <w:pPr>
              <w:spacing w:after="0" w:line="240" w:lineRule="auto"/>
            </w:pPr>
            <w:r>
              <w:t>Chronic lung disease</w:t>
            </w:r>
          </w:p>
        </w:tc>
        <w:tc>
          <w:tcPr>
            <w:tcW w:w="1229" w:type="dxa"/>
            <w:tcBorders>
              <w:bottom w:val="nil"/>
            </w:tcBorders>
          </w:tcPr>
          <w:p w14:paraId="775185E2" w14:textId="77777777" w:rsidR="008744A5" w:rsidRDefault="008744A5" w:rsidP="002761E5">
            <w:pPr>
              <w:spacing w:after="0" w:line="240" w:lineRule="auto"/>
              <w:jc w:val="center"/>
            </w:pPr>
          </w:p>
        </w:tc>
        <w:tc>
          <w:tcPr>
            <w:tcW w:w="1718" w:type="dxa"/>
            <w:tcBorders>
              <w:bottom w:val="nil"/>
            </w:tcBorders>
          </w:tcPr>
          <w:p w14:paraId="0D8A2F88" w14:textId="77777777" w:rsidR="008744A5" w:rsidRDefault="008744A5" w:rsidP="002761E5">
            <w:pPr>
              <w:spacing w:after="0" w:line="240" w:lineRule="auto"/>
              <w:jc w:val="center"/>
            </w:pPr>
          </w:p>
        </w:tc>
        <w:tc>
          <w:tcPr>
            <w:tcW w:w="238" w:type="dxa"/>
            <w:tcBorders>
              <w:bottom w:val="nil"/>
            </w:tcBorders>
          </w:tcPr>
          <w:p w14:paraId="094E34C6" w14:textId="77777777" w:rsidR="008744A5" w:rsidRDefault="008744A5" w:rsidP="002761E5">
            <w:pPr>
              <w:spacing w:after="0" w:line="240" w:lineRule="auto"/>
              <w:jc w:val="center"/>
            </w:pPr>
          </w:p>
        </w:tc>
        <w:tc>
          <w:tcPr>
            <w:tcW w:w="1726" w:type="dxa"/>
            <w:tcBorders>
              <w:bottom w:val="nil"/>
            </w:tcBorders>
          </w:tcPr>
          <w:p w14:paraId="184B4488" w14:textId="77777777" w:rsidR="008744A5" w:rsidRDefault="008744A5" w:rsidP="002761E5">
            <w:pPr>
              <w:spacing w:after="0" w:line="240" w:lineRule="auto"/>
              <w:jc w:val="center"/>
            </w:pPr>
          </w:p>
        </w:tc>
        <w:tc>
          <w:tcPr>
            <w:tcW w:w="1788" w:type="dxa"/>
            <w:tcBorders>
              <w:bottom w:val="nil"/>
            </w:tcBorders>
          </w:tcPr>
          <w:p w14:paraId="1A90DC84" w14:textId="77777777" w:rsidR="008744A5" w:rsidRDefault="008744A5" w:rsidP="002761E5">
            <w:pPr>
              <w:spacing w:after="0" w:line="240" w:lineRule="auto"/>
              <w:jc w:val="center"/>
            </w:pPr>
          </w:p>
        </w:tc>
        <w:tc>
          <w:tcPr>
            <w:tcW w:w="236" w:type="dxa"/>
            <w:tcBorders>
              <w:bottom w:val="nil"/>
            </w:tcBorders>
          </w:tcPr>
          <w:p w14:paraId="426875E4" w14:textId="77777777" w:rsidR="008744A5" w:rsidRDefault="008744A5" w:rsidP="002761E5">
            <w:pPr>
              <w:spacing w:after="0" w:line="240" w:lineRule="auto"/>
              <w:jc w:val="center"/>
            </w:pPr>
          </w:p>
        </w:tc>
        <w:tc>
          <w:tcPr>
            <w:tcW w:w="1873" w:type="dxa"/>
            <w:gridSpan w:val="2"/>
            <w:tcBorders>
              <w:bottom w:val="nil"/>
            </w:tcBorders>
          </w:tcPr>
          <w:p w14:paraId="3C7F7FAC" w14:textId="77777777" w:rsidR="008744A5" w:rsidRDefault="008744A5" w:rsidP="002761E5">
            <w:pPr>
              <w:spacing w:after="0" w:line="240" w:lineRule="auto"/>
              <w:jc w:val="center"/>
            </w:pPr>
          </w:p>
        </w:tc>
        <w:tc>
          <w:tcPr>
            <w:tcW w:w="1968" w:type="dxa"/>
            <w:gridSpan w:val="2"/>
            <w:tcBorders>
              <w:bottom w:val="nil"/>
            </w:tcBorders>
            <w:vAlign w:val="bottom"/>
          </w:tcPr>
          <w:p w14:paraId="0251CD25" w14:textId="77777777" w:rsidR="008744A5" w:rsidRDefault="008744A5" w:rsidP="002761E5">
            <w:pPr>
              <w:spacing w:after="0" w:line="240" w:lineRule="auto"/>
              <w:jc w:val="center"/>
            </w:pPr>
          </w:p>
        </w:tc>
      </w:tr>
      <w:tr w:rsidR="008744A5" w14:paraId="0110F93E" w14:textId="77777777" w:rsidTr="001071E1">
        <w:trPr>
          <w:gridAfter w:val="1"/>
          <w:wAfter w:w="6" w:type="dxa"/>
        </w:trPr>
        <w:tc>
          <w:tcPr>
            <w:tcW w:w="280" w:type="dxa"/>
            <w:tcBorders>
              <w:top w:val="nil"/>
              <w:bottom w:val="nil"/>
            </w:tcBorders>
          </w:tcPr>
          <w:p w14:paraId="53D505C9" w14:textId="77777777" w:rsidR="008744A5" w:rsidRDefault="008744A5" w:rsidP="002761E5">
            <w:pPr>
              <w:spacing w:after="0" w:line="240" w:lineRule="auto"/>
            </w:pPr>
          </w:p>
        </w:tc>
        <w:tc>
          <w:tcPr>
            <w:tcW w:w="2519" w:type="dxa"/>
            <w:tcBorders>
              <w:top w:val="nil"/>
            </w:tcBorders>
          </w:tcPr>
          <w:p w14:paraId="2E4BD819" w14:textId="77777777" w:rsidR="008744A5" w:rsidRDefault="008744A5" w:rsidP="002761E5">
            <w:pPr>
              <w:spacing w:after="0" w:line="240" w:lineRule="auto"/>
            </w:pPr>
            <w:r>
              <w:t>% (</w:t>
            </w:r>
            <w:r w:rsidRPr="00DA1594">
              <w:rPr>
                <w:i/>
              </w:rPr>
              <w:t>n</w:t>
            </w:r>
            <w:r>
              <w:t>)</w:t>
            </w:r>
          </w:p>
        </w:tc>
        <w:tc>
          <w:tcPr>
            <w:tcW w:w="1229" w:type="dxa"/>
            <w:tcBorders>
              <w:top w:val="nil"/>
            </w:tcBorders>
          </w:tcPr>
          <w:p w14:paraId="2EADF606" w14:textId="77777777" w:rsidR="008744A5" w:rsidRDefault="008744A5" w:rsidP="002761E5">
            <w:pPr>
              <w:spacing w:after="0" w:line="240" w:lineRule="auto"/>
              <w:jc w:val="center"/>
            </w:pPr>
            <w:r>
              <w:t>1.9 (18)</w:t>
            </w:r>
          </w:p>
        </w:tc>
        <w:tc>
          <w:tcPr>
            <w:tcW w:w="1718" w:type="dxa"/>
            <w:tcBorders>
              <w:top w:val="nil"/>
            </w:tcBorders>
          </w:tcPr>
          <w:p w14:paraId="62C40DD5" w14:textId="77777777" w:rsidR="008744A5" w:rsidRDefault="008744A5" w:rsidP="002761E5">
            <w:pPr>
              <w:spacing w:after="0" w:line="240" w:lineRule="auto"/>
              <w:jc w:val="center"/>
            </w:pPr>
            <w:r>
              <w:t>7.4 (26)</w:t>
            </w:r>
          </w:p>
        </w:tc>
        <w:tc>
          <w:tcPr>
            <w:tcW w:w="238" w:type="dxa"/>
            <w:tcBorders>
              <w:top w:val="nil"/>
            </w:tcBorders>
          </w:tcPr>
          <w:p w14:paraId="1653936D" w14:textId="77777777" w:rsidR="008744A5" w:rsidRDefault="008744A5" w:rsidP="002761E5">
            <w:pPr>
              <w:spacing w:after="0" w:line="240" w:lineRule="auto"/>
              <w:jc w:val="center"/>
            </w:pPr>
          </w:p>
        </w:tc>
        <w:tc>
          <w:tcPr>
            <w:tcW w:w="1726" w:type="dxa"/>
            <w:tcBorders>
              <w:top w:val="nil"/>
            </w:tcBorders>
          </w:tcPr>
          <w:p w14:paraId="1F4B776B" w14:textId="77777777" w:rsidR="008744A5" w:rsidRDefault="008744A5" w:rsidP="002761E5">
            <w:pPr>
              <w:spacing w:after="0" w:line="240" w:lineRule="auto"/>
              <w:jc w:val="center"/>
            </w:pPr>
            <w:r>
              <w:t>5.7 (63)</w:t>
            </w:r>
          </w:p>
        </w:tc>
        <w:tc>
          <w:tcPr>
            <w:tcW w:w="1788" w:type="dxa"/>
            <w:tcBorders>
              <w:top w:val="nil"/>
            </w:tcBorders>
          </w:tcPr>
          <w:p w14:paraId="2D310DE7" w14:textId="77777777" w:rsidR="008744A5" w:rsidRDefault="008744A5" w:rsidP="002761E5">
            <w:pPr>
              <w:spacing w:after="0" w:line="240" w:lineRule="auto"/>
              <w:jc w:val="center"/>
            </w:pPr>
            <w:r>
              <w:t>13.2 (57)</w:t>
            </w:r>
          </w:p>
        </w:tc>
        <w:tc>
          <w:tcPr>
            <w:tcW w:w="236" w:type="dxa"/>
            <w:tcBorders>
              <w:top w:val="nil"/>
            </w:tcBorders>
          </w:tcPr>
          <w:p w14:paraId="4DEF1C14" w14:textId="77777777" w:rsidR="008744A5" w:rsidRDefault="008744A5" w:rsidP="002761E5">
            <w:pPr>
              <w:spacing w:after="0" w:line="240" w:lineRule="auto"/>
              <w:jc w:val="center"/>
            </w:pPr>
          </w:p>
        </w:tc>
        <w:tc>
          <w:tcPr>
            <w:tcW w:w="1867" w:type="dxa"/>
            <w:tcBorders>
              <w:top w:val="nil"/>
            </w:tcBorders>
          </w:tcPr>
          <w:p w14:paraId="6914F7D7" w14:textId="77777777" w:rsidR="008744A5" w:rsidRDefault="008744A5" w:rsidP="002761E5">
            <w:pPr>
              <w:spacing w:after="0" w:line="240" w:lineRule="auto"/>
              <w:jc w:val="center"/>
            </w:pPr>
            <w:r>
              <w:t>15.1 (38)</w:t>
            </w:r>
          </w:p>
        </w:tc>
        <w:tc>
          <w:tcPr>
            <w:tcW w:w="1968" w:type="dxa"/>
            <w:gridSpan w:val="2"/>
            <w:tcBorders>
              <w:top w:val="nil"/>
            </w:tcBorders>
          </w:tcPr>
          <w:p w14:paraId="6474E55F" w14:textId="77777777" w:rsidR="008744A5" w:rsidRDefault="008744A5" w:rsidP="002761E5">
            <w:pPr>
              <w:spacing w:after="0" w:line="240" w:lineRule="auto"/>
              <w:jc w:val="center"/>
            </w:pPr>
            <w:r>
              <w:t>31.2 (44)</w:t>
            </w:r>
          </w:p>
        </w:tc>
      </w:tr>
      <w:tr w:rsidR="008744A5" w14:paraId="722F25A9" w14:textId="77777777" w:rsidTr="001071E1">
        <w:trPr>
          <w:gridAfter w:val="1"/>
          <w:wAfter w:w="6" w:type="dxa"/>
        </w:trPr>
        <w:tc>
          <w:tcPr>
            <w:tcW w:w="280" w:type="dxa"/>
            <w:tcBorders>
              <w:top w:val="nil"/>
              <w:bottom w:val="nil"/>
            </w:tcBorders>
          </w:tcPr>
          <w:p w14:paraId="03366E82" w14:textId="77777777" w:rsidR="008744A5" w:rsidRDefault="008744A5" w:rsidP="002761E5">
            <w:pPr>
              <w:spacing w:after="0" w:line="240" w:lineRule="auto"/>
            </w:pPr>
          </w:p>
        </w:tc>
        <w:tc>
          <w:tcPr>
            <w:tcW w:w="2519" w:type="dxa"/>
          </w:tcPr>
          <w:p w14:paraId="5A3A206E" w14:textId="77777777" w:rsidR="008744A5" w:rsidRDefault="008744A5" w:rsidP="002761E5">
            <w:pPr>
              <w:spacing w:after="0" w:line="240" w:lineRule="auto"/>
            </w:pPr>
            <w:r>
              <w:t>RR [95% CI]</w:t>
            </w:r>
          </w:p>
          <w:p w14:paraId="02FB11F0" w14:textId="77777777" w:rsidR="008744A5" w:rsidRPr="00E6027F" w:rsidRDefault="008744A5" w:rsidP="002761E5">
            <w:pPr>
              <w:spacing w:after="0" w:line="240" w:lineRule="auto"/>
              <w:rPr>
                <w:i/>
              </w:rPr>
            </w:pPr>
            <w:r>
              <w:rPr>
                <w:i/>
              </w:rPr>
              <w:t>p</w:t>
            </w:r>
          </w:p>
        </w:tc>
        <w:tc>
          <w:tcPr>
            <w:tcW w:w="1229" w:type="dxa"/>
          </w:tcPr>
          <w:p w14:paraId="74EBD39D" w14:textId="77777777" w:rsidR="008744A5" w:rsidRDefault="008744A5" w:rsidP="002761E5">
            <w:pPr>
              <w:spacing w:after="0" w:line="240" w:lineRule="auto"/>
              <w:jc w:val="center"/>
            </w:pPr>
            <w:r>
              <w:t>1</w:t>
            </w:r>
          </w:p>
        </w:tc>
        <w:tc>
          <w:tcPr>
            <w:tcW w:w="1718" w:type="dxa"/>
          </w:tcPr>
          <w:p w14:paraId="16222D6B" w14:textId="77777777" w:rsidR="008744A5" w:rsidRDefault="008744A5" w:rsidP="002761E5">
            <w:pPr>
              <w:spacing w:after="0" w:line="240" w:lineRule="auto"/>
              <w:jc w:val="center"/>
            </w:pPr>
            <w:r>
              <w:t>3.96 [2.14-7.31]</w:t>
            </w:r>
          </w:p>
          <w:p w14:paraId="38352455" w14:textId="77777777" w:rsidR="008744A5" w:rsidRDefault="008744A5" w:rsidP="002761E5">
            <w:pPr>
              <w:spacing w:after="0" w:line="240" w:lineRule="auto"/>
              <w:jc w:val="center"/>
            </w:pPr>
            <w:r>
              <w:t>&lt;0.001</w:t>
            </w:r>
          </w:p>
        </w:tc>
        <w:tc>
          <w:tcPr>
            <w:tcW w:w="238" w:type="dxa"/>
          </w:tcPr>
          <w:p w14:paraId="69BFAF23" w14:textId="77777777" w:rsidR="008744A5" w:rsidRDefault="008744A5" w:rsidP="002761E5">
            <w:pPr>
              <w:spacing w:after="0" w:line="240" w:lineRule="auto"/>
              <w:jc w:val="center"/>
            </w:pPr>
          </w:p>
        </w:tc>
        <w:tc>
          <w:tcPr>
            <w:tcW w:w="1726" w:type="dxa"/>
          </w:tcPr>
          <w:p w14:paraId="79AEBEE2" w14:textId="77777777" w:rsidR="008744A5" w:rsidRDefault="008744A5" w:rsidP="002761E5">
            <w:pPr>
              <w:spacing w:after="0" w:line="240" w:lineRule="auto"/>
              <w:jc w:val="center"/>
            </w:pPr>
            <w:r>
              <w:t xml:space="preserve">3.07 [1.80-5.22] </w:t>
            </w:r>
          </w:p>
          <w:p w14:paraId="3FDDD6E4" w14:textId="77777777" w:rsidR="008744A5" w:rsidRDefault="008744A5" w:rsidP="002761E5">
            <w:pPr>
              <w:spacing w:after="0" w:line="240" w:lineRule="auto"/>
              <w:jc w:val="center"/>
            </w:pPr>
            <w:r>
              <w:t>&lt;0.001</w:t>
            </w:r>
          </w:p>
        </w:tc>
        <w:tc>
          <w:tcPr>
            <w:tcW w:w="1788" w:type="dxa"/>
          </w:tcPr>
          <w:p w14:paraId="3C89CD28" w14:textId="77777777" w:rsidR="008744A5" w:rsidRDefault="008744A5" w:rsidP="002761E5">
            <w:pPr>
              <w:spacing w:after="0" w:line="240" w:lineRule="auto"/>
              <w:jc w:val="center"/>
            </w:pPr>
            <w:r>
              <w:t xml:space="preserve">7.07 [4.11-12.16] </w:t>
            </w:r>
          </w:p>
          <w:p w14:paraId="0D9059B1" w14:textId="77777777" w:rsidR="008744A5" w:rsidRDefault="008744A5" w:rsidP="002761E5">
            <w:pPr>
              <w:spacing w:after="0" w:line="240" w:lineRule="auto"/>
              <w:jc w:val="center"/>
            </w:pPr>
            <w:r>
              <w:t>&lt;0.001</w:t>
            </w:r>
          </w:p>
        </w:tc>
        <w:tc>
          <w:tcPr>
            <w:tcW w:w="236" w:type="dxa"/>
          </w:tcPr>
          <w:p w14:paraId="75CD8CD3" w14:textId="77777777" w:rsidR="008744A5" w:rsidRDefault="008744A5" w:rsidP="002761E5">
            <w:pPr>
              <w:spacing w:after="0" w:line="240" w:lineRule="auto"/>
              <w:jc w:val="center"/>
            </w:pPr>
          </w:p>
        </w:tc>
        <w:tc>
          <w:tcPr>
            <w:tcW w:w="1867" w:type="dxa"/>
          </w:tcPr>
          <w:p w14:paraId="69A07D53" w14:textId="77777777" w:rsidR="008744A5" w:rsidRDefault="008744A5" w:rsidP="002761E5">
            <w:pPr>
              <w:spacing w:after="0" w:line="240" w:lineRule="auto"/>
              <w:jc w:val="center"/>
            </w:pPr>
            <w:r>
              <w:t xml:space="preserve">8.13 [4.56-14.49] </w:t>
            </w:r>
          </w:p>
          <w:p w14:paraId="4CF4D0F6" w14:textId="77777777" w:rsidR="008744A5" w:rsidRDefault="008744A5" w:rsidP="002761E5">
            <w:pPr>
              <w:spacing w:after="0" w:line="240" w:lineRule="auto"/>
              <w:jc w:val="center"/>
            </w:pPr>
            <w:r>
              <w:t>&lt;0.001</w:t>
            </w:r>
          </w:p>
        </w:tc>
        <w:tc>
          <w:tcPr>
            <w:tcW w:w="1968" w:type="dxa"/>
            <w:gridSpan w:val="2"/>
          </w:tcPr>
          <w:p w14:paraId="67015836" w14:textId="77777777" w:rsidR="008744A5" w:rsidRDefault="008744A5" w:rsidP="002761E5">
            <w:pPr>
              <w:spacing w:after="0" w:line="240" w:lineRule="auto"/>
              <w:jc w:val="center"/>
            </w:pPr>
            <w:r>
              <w:t xml:space="preserve">16.76 [9.42-29.83] </w:t>
            </w:r>
          </w:p>
          <w:p w14:paraId="39A21092" w14:textId="77777777" w:rsidR="008744A5" w:rsidRDefault="008744A5" w:rsidP="002761E5">
            <w:pPr>
              <w:spacing w:after="0" w:line="240" w:lineRule="auto"/>
              <w:jc w:val="center"/>
            </w:pPr>
            <w:r>
              <w:t>&lt;0.001</w:t>
            </w:r>
          </w:p>
        </w:tc>
      </w:tr>
      <w:tr w:rsidR="008744A5" w14:paraId="29398C68" w14:textId="77777777" w:rsidTr="001071E1">
        <w:trPr>
          <w:gridAfter w:val="1"/>
          <w:wAfter w:w="6" w:type="dxa"/>
        </w:trPr>
        <w:tc>
          <w:tcPr>
            <w:tcW w:w="280" w:type="dxa"/>
            <w:tcBorders>
              <w:top w:val="nil"/>
            </w:tcBorders>
          </w:tcPr>
          <w:p w14:paraId="15C4BCBB" w14:textId="77777777" w:rsidR="008744A5" w:rsidRDefault="008744A5" w:rsidP="002761E5">
            <w:pPr>
              <w:spacing w:after="0" w:line="240" w:lineRule="auto"/>
            </w:pPr>
          </w:p>
        </w:tc>
        <w:tc>
          <w:tcPr>
            <w:tcW w:w="2519" w:type="dxa"/>
          </w:tcPr>
          <w:p w14:paraId="378920FC" w14:textId="77777777" w:rsidR="008744A5" w:rsidRDefault="008744A5" w:rsidP="002761E5">
            <w:pPr>
              <w:spacing w:after="0" w:line="240" w:lineRule="auto"/>
            </w:pPr>
            <w:r>
              <w:t>RR</w:t>
            </w:r>
            <w:r w:rsidRPr="009A0497">
              <w:rPr>
                <w:vertAlign w:val="subscript"/>
              </w:rPr>
              <w:t>adj</w:t>
            </w:r>
            <w:r>
              <w:t xml:space="preserve"> [95% CI]</w:t>
            </w:r>
          </w:p>
          <w:p w14:paraId="22C32F3A" w14:textId="77777777" w:rsidR="008744A5" w:rsidRPr="00E6027F" w:rsidRDefault="008744A5" w:rsidP="002761E5">
            <w:pPr>
              <w:spacing w:after="0" w:line="240" w:lineRule="auto"/>
              <w:rPr>
                <w:i/>
              </w:rPr>
            </w:pPr>
            <w:r>
              <w:rPr>
                <w:i/>
              </w:rPr>
              <w:t>p</w:t>
            </w:r>
          </w:p>
        </w:tc>
        <w:tc>
          <w:tcPr>
            <w:tcW w:w="1229" w:type="dxa"/>
          </w:tcPr>
          <w:p w14:paraId="34F78915" w14:textId="77777777" w:rsidR="008744A5" w:rsidRDefault="008744A5" w:rsidP="002761E5">
            <w:pPr>
              <w:spacing w:after="0" w:line="240" w:lineRule="auto"/>
              <w:jc w:val="center"/>
            </w:pPr>
            <w:r>
              <w:t>1</w:t>
            </w:r>
          </w:p>
        </w:tc>
        <w:tc>
          <w:tcPr>
            <w:tcW w:w="1718" w:type="dxa"/>
          </w:tcPr>
          <w:p w14:paraId="1752A946" w14:textId="77777777" w:rsidR="008744A5" w:rsidRDefault="008744A5" w:rsidP="002761E5">
            <w:pPr>
              <w:spacing w:after="0" w:line="240" w:lineRule="auto"/>
              <w:jc w:val="center"/>
            </w:pPr>
            <w:r>
              <w:t xml:space="preserve">3.50 [1.88-6.52] </w:t>
            </w:r>
          </w:p>
          <w:p w14:paraId="59349036" w14:textId="77777777" w:rsidR="008744A5" w:rsidRDefault="008744A5" w:rsidP="002761E5">
            <w:pPr>
              <w:spacing w:after="0" w:line="240" w:lineRule="auto"/>
              <w:jc w:val="center"/>
            </w:pPr>
            <w:r>
              <w:t>&lt;0.001</w:t>
            </w:r>
          </w:p>
        </w:tc>
        <w:tc>
          <w:tcPr>
            <w:tcW w:w="238" w:type="dxa"/>
          </w:tcPr>
          <w:p w14:paraId="508D40C8" w14:textId="77777777" w:rsidR="008744A5" w:rsidRDefault="008744A5" w:rsidP="002761E5">
            <w:pPr>
              <w:spacing w:after="0" w:line="240" w:lineRule="auto"/>
              <w:jc w:val="center"/>
            </w:pPr>
          </w:p>
        </w:tc>
        <w:tc>
          <w:tcPr>
            <w:tcW w:w="1726" w:type="dxa"/>
          </w:tcPr>
          <w:p w14:paraId="55FB1857" w14:textId="77777777" w:rsidR="008744A5" w:rsidRDefault="008744A5" w:rsidP="002761E5">
            <w:pPr>
              <w:spacing w:after="0" w:line="240" w:lineRule="auto"/>
              <w:jc w:val="center"/>
            </w:pPr>
            <w:r>
              <w:t xml:space="preserve">2.77 [1.62-4.74] </w:t>
            </w:r>
          </w:p>
          <w:p w14:paraId="1CE199B9" w14:textId="77777777" w:rsidR="008744A5" w:rsidRDefault="008744A5" w:rsidP="002761E5">
            <w:pPr>
              <w:spacing w:after="0" w:line="240" w:lineRule="auto"/>
              <w:jc w:val="center"/>
            </w:pPr>
            <w:r>
              <w:t>&lt;0.001</w:t>
            </w:r>
          </w:p>
        </w:tc>
        <w:tc>
          <w:tcPr>
            <w:tcW w:w="1788" w:type="dxa"/>
          </w:tcPr>
          <w:p w14:paraId="15D31910" w14:textId="77777777" w:rsidR="008744A5" w:rsidRDefault="008744A5" w:rsidP="002761E5">
            <w:pPr>
              <w:spacing w:after="0" w:line="240" w:lineRule="auto"/>
              <w:jc w:val="center"/>
            </w:pPr>
            <w:r>
              <w:t xml:space="preserve">5.42 [3.11-9.44] </w:t>
            </w:r>
          </w:p>
          <w:p w14:paraId="5E753FE5" w14:textId="77777777" w:rsidR="008744A5" w:rsidRDefault="008744A5" w:rsidP="002761E5">
            <w:pPr>
              <w:spacing w:after="0" w:line="240" w:lineRule="auto"/>
              <w:jc w:val="center"/>
            </w:pPr>
            <w:r>
              <w:t>&lt;0.001</w:t>
            </w:r>
          </w:p>
        </w:tc>
        <w:tc>
          <w:tcPr>
            <w:tcW w:w="236" w:type="dxa"/>
          </w:tcPr>
          <w:p w14:paraId="5321202A" w14:textId="77777777" w:rsidR="008744A5" w:rsidRDefault="008744A5" w:rsidP="002761E5">
            <w:pPr>
              <w:spacing w:after="0" w:line="240" w:lineRule="auto"/>
              <w:jc w:val="center"/>
            </w:pPr>
          </w:p>
        </w:tc>
        <w:tc>
          <w:tcPr>
            <w:tcW w:w="1867" w:type="dxa"/>
          </w:tcPr>
          <w:p w14:paraId="38DBBB48" w14:textId="77777777" w:rsidR="008744A5" w:rsidRDefault="008744A5" w:rsidP="002761E5">
            <w:pPr>
              <w:spacing w:after="0" w:line="240" w:lineRule="auto"/>
              <w:jc w:val="center"/>
            </w:pPr>
            <w:r>
              <w:t xml:space="preserve">8.33 [4.62-15.00] </w:t>
            </w:r>
          </w:p>
          <w:p w14:paraId="60AC92B2" w14:textId="77777777" w:rsidR="008744A5" w:rsidRDefault="008744A5" w:rsidP="002761E5">
            <w:pPr>
              <w:spacing w:after="0" w:line="240" w:lineRule="auto"/>
              <w:jc w:val="center"/>
            </w:pPr>
            <w:r>
              <w:t>&lt;0.001</w:t>
            </w:r>
          </w:p>
        </w:tc>
        <w:tc>
          <w:tcPr>
            <w:tcW w:w="1968" w:type="dxa"/>
            <w:gridSpan w:val="2"/>
          </w:tcPr>
          <w:p w14:paraId="578492D3" w14:textId="77777777" w:rsidR="008744A5" w:rsidRDefault="008744A5" w:rsidP="002761E5">
            <w:pPr>
              <w:spacing w:after="0" w:line="240" w:lineRule="auto"/>
              <w:jc w:val="center"/>
            </w:pPr>
            <w:r>
              <w:t xml:space="preserve">14.00 [7.68-25.53] </w:t>
            </w:r>
          </w:p>
          <w:p w14:paraId="14019287" w14:textId="77777777" w:rsidR="008744A5" w:rsidRDefault="008744A5" w:rsidP="002761E5">
            <w:pPr>
              <w:spacing w:after="0" w:line="240" w:lineRule="auto"/>
              <w:jc w:val="center"/>
            </w:pPr>
            <w:r>
              <w:t>&lt;0.001</w:t>
            </w:r>
          </w:p>
        </w:tc>
      </w:tr>
      <w:tr w:rsidR="008744A5" w14:paraId="428DDC45" w14:textId="77777777" w:rsidTr="001071E1">
        <w:tc>
          <w:tcPr>
            <w:tcW w:w="2799" w:type="dxa"/>
            <w:gridSpan w:val="2"/>
            <w:tcBorders>
              <w:bottom w:val="nil"/>
            </w:tcBorders>
          </w:tcPr>
          <w:p w14:paraId="1FCC4375" w14:textId="3C64EE3D" w:rsidR="008744A5" w:rsidRDefault="004638DF" w:rsidP="002761E5">
            <w:pPr>
              <w:spacing w:after="0" w:line="240" w:lineRule="auto"/>
            </w:pPr>
            <w:r>
              <w:t>Clinically relevant depressive symptoms</w:t>
            </w:r>
          </w:p>
        </w:tc>
        <w:tc>
          <w:tcPr>
            <w:tcW w:w="1229" w:type="dxa"/>
            <w:tcBorders>
              <w:bottom w:val="nil"/>
            </w:tcBorders>
          </w:tcPr>
          <w:p w14:paraId="7A449287" w14:textId="77777777" w:rsidR="008744A5" w:rsidRDefault="008744A5" w:rsidP="002761E5">
            <w:pPr>
              <w:spacing w:after="0" w:line="240" w:lineRule="auto"/>
              <w:jc w:val="center"/>
            </w:pPr>
          </w:p>
        </w:tc>
        <w:tc>
          <w:tcPr>
            <w:tcW w:w="1718" w:type="dxa"/>
            <w:tcBorders>
              <w:bottom w:val="nil"/>
            </w:tcBorders>
          </w:tcPr>
          <w:p w14:paraId="33B639A2" w14:textId="77777777" w:rsidR="008744A5" w:rsidRDefault="008744A5" w:rsidP="002761E5">
            <w:pPr>
              <w:spacing w:after="0" w:line="240" w:lineRule="auto"/>
              <w:jc w:val="center"/>
            </w:pPr>
          </w:p>
        </w:tc>
        <w:tc>
          <w:tcPr>
            <w:tcW w:w="238" w:type="dxa"/>
            <w:tcBorders>
              <w:bottom w:val="nil"/>
            </w:tcBorders>
          </w:tcPr>
          <w:p w14:paraId="70CDC79A" w14:textId="77777777" w:rsidR="008744A5" w:rsidRDefault="008744A5" w:rsidP="002761E5">
            <w:pPr>
              <w:spacing w:after="0" w:line="240" w:lineRule="auto"/>
              <w:jc w:val="center"/>
            </w:pPr>
          </w:p>
        </w:tc>
        <w:tc>
          <w:tcPr>
            <w:tcW w:w="1726" w:type="dxa"/>
            <w:tcBorders>
              <w:bottom w:val="nil"/>
            </w:tcBorders>
          </w:tcPr>
          <w:p w14:paraId="216F514A" w14:textId="77777777" w:rsidR="008744A5" w:rsidRDefault="008744A5" w:rsidP="002761E5">
            <w:pPr>
              <w:spacing w:after="0" w:line="240" w:lineRule="auto"/>
              <w:jc w:val="center"/>
            </w:pPr>
          </w:p>
        </w:tc>
        <w:tc>
          <w:tcPr>
            <w:tcW w:w="1788" w:type="dxa"/>
            <w:tcBorders>
              <w:bottom w:val="nil"/>
            </w:tcBorders>
          </w:tcPr>
          <w:p w14:paraId="468E3E8D" w14:textId="77777777" w:rsidR="008744A5" w:rsidRDefault="008744A5" w:rsidP="002761E5">
            <w:pPr>
              <w:spacing w:after="0" w:line="240" w:lineRule="auto"/>
              <w:jc w:val="center"/>
            </w:pPr>
          </w:p>
        </w:tc>
        <w:tc>
          <w:tcPr>
            <w:tcW w:w="236" w:type="dxa"/>
            <w:tcBorders>
              <w:bottom w:val="nil"/>
            </w:tcBorders>
          </w:tcPr>
          <w:p w14:paraId="5A0289AD" w14:textId="77777777" w:rsidR="008744A5" w:rsidRDefault="008744A5" w:rsidP="002761E5">
            <w:pPr>
              <w:spacing w:after="0" w:line="240" w:lineRule="auto"/>
              <w:jc w:val="center"/>
            </w:pPr>
          </w:p>
        </w:tc>
        <w:tc>
          <w:tcPr>
            <w:tcW w:w="1873" w:type="dxa"/>
            <w:gridSpan w:val="2"/>
            <w:tcBorders>
              <w:bottom w:val="nil"/>
            </w:tcBorders>
          </w:tcPr>
          <w:p w14:paraId="2E68A59D" w14:textId="77777777" w:rsidR="008744A5" w:rsidRDefault="008744A5" w:rsidP="002761E5">
            <w:pPr>
              <w:spacing w:after="0" w:line="240" w:lineRule="auto"/>
              <w:jc w:val="center"/>
            </w:pPr>
          </w:p>
        </w:tc>
        <w:tc>
          <w:tcPr>
            <w:tcW w:w="1968" w:type="dxa"/>
            <w:gridSpan w:val="2"/>
            <w:tcBorders>
              <w:bottom w:val="nil"/>
            </w:tcBorders>
            <w:vAlign w:val="bottom"/>
          </w:tcPr>
          <w:p w14:paraId="7FA643DC" w14:textId="77777777" w:rsidR="008744A5" w:rsidRDefault="008744A5" w:rsidP="002761E5">
            <w:pPr>
              <w:spacing w:after="0" w:line="240" w:lineRule="auto"/>
              <w:jc w:val="center"/>
            </w:pPr>
          </w:p>
        </w:tc>
      </w:tr>
      <w:tr w:rsidR="008744A5" w14:paraId="40158CC2" w14:textId="77777777" w:rsidTr="001071E1">
        <w:trPr>
          <w:gridAfter w:val="1"/>
          <w:wAfter w:w="6" w:type="dxa"/>
        </w:trPr>
        <w:tc>
          <w:tcPr>
            <w:tcW w:w="280" w:type="dxa"/>
            <w:tcBorders>
              <w:top w:val="nil"/>
              <w:bottom w:val="nil"/>
            </w:tcBorders>
          </w:tcPr>
          <w:p w14:paraId="57481EED" w14:textId="77777777" w:rsidR="008744A5" w:rsidRDefault="008744A5" w:rsidP="002761E5">
            <w:pPr>
              <w:spacing w:after="0" w:line="240" w:lineRule="auto"/>
            </w:pPr>
          </w:p>
        </w:tc>
        <w:tc>
          <w:tcPr>
            <w:tcW w:w="2519" w:type="dxa"/>
            <w:tcBorders>
              <w:top w:val="nil"/>
            </w:tcBorders>
          </w:tcPr>
          <w:p w14:paraId="04D75E77" w14:textId="77777777" w:rsidR="008744A5" w:rsidRDefault="008744A5" w:rsidP="002761E5">
            <w:pPr>
              <w:spacing w:after="0" w:line="240" w:lineRule="auto"/>
            </w:pPr>
            <w:r>
              <w:t>% (</w:t>
            </w:r>
            <w:r w:rsidRPr="00DA1594">
              <w:rPr>
                <w:i/>
              </w:rPr>
              <w:t>n</w:t>
            </w:r>
            <w:r>
              <w:t>)</w:t>
            </w:r>
          </w:p>
        </w:tc>
        <w:tc>
          <w:tcPr>
            <w:tcW w:w="1229" w:type="dxa"/>
            <w:tcBorders>
              <w:top w:val="nil"/>
            </w:tcBorders>
          </w:tcPr>
          <w:p w14:paraId="554FB214" w14:textId="77777777" w:rsidR="008744A5" w:rsidRDefault="008744A5" w:rsidP="002761E5">
            <w:pPr>
              <w:spacing w:after="0" w:line="240" w:lineRule="auto"/>
              <w:jc w:val="center"/>
            </w:pPr>
            <w:r>
              <w:t>50.0 (269)</w:t>
            </w:r>
          </w:p>
        </w:tc>
        <w:tc>
          <w:tcPr>
            <w:tcW w:w="1718" w:type="dxa"/>
            <w:tcBorders>
              <w:top w:val="nil"/>
            </w:tcBorders>
          </w:tcPr>
          <w:p w14:paraId="6D6F819B" w14:textId="77777777" w:rsidR="008744A5" w:rsidRDefault="008744A5" w:rsidP="002761E5">
            <w:pPr>
              <w:spacing w:after="0" w:line="240" w:lineRule="auto"/>
              <w:jc w:val="center"/>
            </w:pPr>
            <w:r>
              <w:t>61.1 (149)</w:t>
            </w:r>
          </w:p>
        </w:tc>
        <w:tc>
          <w:tcPr>
            <w:tcW w:w="238" w:type="dxa"/>
            <w:tcBorders>
              <w:top w:val="nil"/>
            </w:tcBorders>
          </w:tcPr>
          <w:p w14:paraId="69CBF711" w14:textId="77777777" w:rsidR="008744A5" w:rsidRDefault="008744A5" w:rsidP="002761E5">
            <w:pPr>
              <w:spacing w:after="0" w:line="240" w:lineRule="auto"/>
              <w:jc w:val="center"/>
            </w:pPr>
          </w:p>
        </w:tc>
        <w:tc>
          <w:tcPr>
            <w:tcW w:w="1726" w:type="dxa"/>
            <w:tcBorders>
              <w:top w:val="nil"/>
            </w:tcBorders>
          </w:tcPr>
          <w:p w14:paraId="50D22669" w14:textId="77777777" w:rsidR="008744A5" w:rsidRDefault="008744A5" w:rsidP="002761E5">
            <w:pPr>
              <w:spacing w:after="0" w:line="240" w:lineRule="auto"/>
              <w:jc w:val="center"/>
            </w:pPr>
            <w:r>
              <w:t>53.8 (343)</w:t>
            </w:r>
          </w:p>
        </w:tc>
        <w:tc>
          <w:tcPr>
            <w:tcW w:w="1788" w:type="dxa"/>
            <w:tcBorders>
              <w:top w:val="nil"/>
            </w:tcBorders>
          </w:tcPr>
          <w:p w14:paraId="29185ED1" w14:textId="77777777" w:rsidR="008744A5" w:rsidRDefault="008744A5" w:rsidP="002761E5">
            <w:pPr>
              <w:spacing w:after="0" w:line="240" w:lineRule="auto"/>
              <w:jc w:val="center"/>
            </w:pPr>
            <w:r>
              <w:t>61.7 (192)</w:t>
            </w:r>
          </w:p>
        </w:tc>
        <w:tc>
          <w:tcPr>
            <w:tcW w:w="236" w:type="dxa"/>
            <w:tcBorders>
              <w:top w:val="nil"/>
            </w:tcBorders>
          </w:tcPr>
          <w:p w14:paraId="26FA3525" w14:textId="77777777" w:rsidR="008744A5" w:rsidRDefault="008744A5" w:rsidP="002761E5">
            <w:pPr>
              <w:spacing w:after="0" w:line="240" w:lineRule="auto"/>
              <w:jc w:val="center"/>
            </w:pPr>
          </w:p>
        </w:tc>
        <w:tc>
          <w:tcPr>
            <w:tcW w:w="1867" w:type="dxa"/>
            <w:tcBorders>
              <w:top w:val="nil"/>
            </w:tcBorders>
          </w:tcPr>
          <w:p w14:paraId="67D58F46" w14:textId="77777777" w:rsidR="008744A5" w:rsidRDefault="008744A5" w:rsidP="002761E5">
            <w:pPr>
              <w:spacing w:after="0" w:line="240" w:lineRule="auto"/>
              <w:jc w:val="center"/>
            </w:pPr>
            <w:r>
              <w:t>57.6 (102)</w:t>
            </w:r>
          </w:p>
        </w:tc>
        <w:tc>
          <w:tcPr>
            <w:tcW w:w="1968" w:type="dxa"/>
            <w:gridSpan w:val="2"/>
            <w:tcBorders>
              <w:top w:val="nil"/>
            </w:tcBorders>
          </w:tcPr>
          <w:p w14:paraId="06E67189" w14:textId="77777777" w:rsidR="008744A5" w:rsidRDefault="008744A5" w:rsidP="002761E5">
            <w:pPr>
              <w:spacing w:after="0" w:line="240" w:lineRule="auto"/>
              <w:jc w:val="center"/>
            </w:pPr>
            <w:r>
              <w:t>69.9 (79)</w:t>
            </w:r>
          </w:p>
        </w:tc>
      </w:tr>
      <w:tr w:rsidR="008744A5" w14:paraId="7FA74F6F" w14:textId="77777777" w:rsidTr="001071E1">
        <w:trPr>
          <w:gridAfter w:val="1"/>
          <w:wAfter w:w="6" w:type="dxa"/>
        </w:trPr>
        <w:tc>
          <w:tcPr>
            <w:tcW w:w="280" w:type="dxa"/>
            <w:tcBorders>
              <w:top w:val="nil"/>
              <w:bottom w:val="nil"/>
            </w:tcBorders>
          </w:tcPr>
          <w:p w14:paraId="15C5C133" w14:textId="77777777" w:rsidR="008744A5" w:rsidRDefault="008744A5" w:rsidP="002761E5">
            <w:pPr>
              <w:spacing w:after="0" w:line="240" w:lineRule="auto"/>
            </w:pPr>
          </w:p>
        </w:tc>
        <w:tc>
          <w:tcPr>
            <w:tcW w:w="2519" w:type="dxa"/>
          </w:tcPr>
          <w:p w14:paraId="5E918962" w14:textId="77777777" w:rsidR="008744A5" w:rsidRDefault="008744A5" w:rsidP="002761E5">
            <w:pPr>
              <w:spacing w:after="0" w:line="240" w:lineRule="auto"/>
            </w:pPr>
            <w:r>
              <w:t>RR [95% CI]</w:t>
            </w:r>
          </w:p>
          <w:p w14:paraId="105055DD" w14:textId="77777777" w:rsidR="008744A5" w:rsidRPr="00E6027F" w:rsidRDefault="008744A5" w:rsidP="002761E5">
            <w:pPr>
              <w:spacing w:after="0" w:line="240" w:lineRule="auto"/>
              <w:rPr>
                <w:i/>
              </w:rPr>
            </w:pPr>
            <w:r>
              <w:rPr>
                <w:i/>
              </w:rPr>
              <w:t>p</w:t>
            </w:r>
          </w:p>
        </w:tc>
        <w:tc>
          <w:tcPr>
            <w:tcW w:w="1229" w:type="dxa"/>
          </w:tcPr>
          <w:p w14:paraId="74FAA9EB" w14:textId="77777777" w:rsidR="008744A5" w:rsidRDefault="008744A5" w:rsidP="002761E5">
            <w:pPr>
              <w:spacing w:after="0" w:line="240" w:lineRule="auto"/>
              <w:jc w:val="center"/>
            </w:pPr>
            <w:r>
              <w:t>1</w:t>
            </w:r>
          </w:p>
        </w:tc>
        <w:tc>
          <w:tcPr>
            <w:tcW w:w="1718" w:type="dxa"/>
          </w:tcPr>
          <w:p w14:paraId="4F5583C6" w14:textId="77777777" w:rsidR="008744A5" w:rsidRDefault="008744A5" w:rsidP="002761E5">
            <w:pPr>
              <w:spacing w:after="0" w:line="240" w:lineRule="auto"/>
              <w:jc w:val="center"/>
            </w:pPr>
            <w:r>
              <w:t>1.22 [0.95-1.57]</w:t>
            </w:r>
          </w:p>
          <w:p w14:paraId="1EAD0FE2" w14:textId="77777777" w:rsidR="008744A5" w:rsidRDefault="008744A5" w:rsidP="002761E5">
            <w:pPr>
              <w:spacing w:after="0" w:line="240" w:lineRule="auto"/>
              <w:jc w:val="center"/>
            </w:pPr>
            <w:r>
              <w:t>0.118</w:t>
            </w:r>
          </w:p>
        </w:tc>
        <w:tc>
          <w:tcPr>
            <w:tcW w:w="238" w:type="dxa"/>
          </w:tcPr>
          <w:p w14:paraId="7047197B" w14:textId="77777777" w:rsidR="008744A5" w:rsidRDefault="008744A5" w:rsidP="002761E5">
            <w:pPr>
              <w:spacing w:after="0" w:line="240" w:lineRule="auto"/>
              <w:jc w:val="center"/>
            </w:pPr>
          </w:p>
        </w:tc>
        <w:tc>
          <w:tcPr>
            <w:tcW w:w="1726" w:type="dxa"/>
          </w:tcPr>
          <w:p w14:paraId="72A96F5A" w14:textId="77777777" w:rsidR="008744A5" w:rsidRDefault="008744A5" w:rsidP="002761E5">
            <w:pPr>
              <w:spacing w:after="0" w:line="240" w:lineRule="auto"/>
              <w:jc w:val="center"/>
            </w:pPr>
            <w:r>
              <w:t>1.08 [0.88-1.31]</w:t>
            </w:r>
          </w:p>
          <w:p w14:paraId="6921D0A5" w14:textId="77777777" w:rsidR="008744A5" w:rsidRDefault="008744A5" w:rsidP="002761E5">
            <w:pPr>
              <w:spacing w:after="0" w:line="240" w:lineRule="auto"/>
              <w:jc w:val="center"/>
            </w:pPr>
            <w:r>
              <w:t>0.470</w:t>
            </w:r>
          </w:p>
        </w:tc>
        <w:tc>
          <w:tcPr>
            <w:tcW w:w="1788" w:type="dxa"/>
          </w:tcPr>
          <w:p w14:paraId="514E3B02" w14:textId="77777777" w:rsidR="008744A5" w:rsidRDefault="008744A5" w:rsidP="002761E5">
            <w:pPr>
              <w:spacing w:after="0" w:line="240" w:lineRule="auto"/>
              <w:jc w:val="center"/>
            </w:pPr>
            <w:r>
              <w:t>1.24 [0.98-1.56]</w:t>
            </w:r>
          </w:p>
          <w:p w14:paraId="413A993D" w14:textId="77777777" w:rsidR="008744A5" w:rsidRDefault="008744A5" w:rsidP="002761E5">
            <w:pPr>
              <w:spacing w:after="0" w:line="240" w:lineRule="auto"/>
              <w:jc w:val="center"/>
            </w:pPr>
            <w:r>
              <w:t>0.075</w:t>
            </w:r>
          </w:p>
        </w:tc>
        <w:tc>
          <w:tcPr>
            <w:tcW w:w="236" w:type="dxa"/>
          </w:tcPr>
          <w:p w14:paraId="00158704" w14:textId="77777777" w:rsidR="008744A5" w:rsidRDefault="008744A5" w:rsidP="002761E5">
            <w:pPr>
              <w:spacing w:after="0" w:line="240" w:lineRule="auto"/>
              <w:jc w:val="center"/>
            </w:pPr>
          </w:p>
        </w:tc>
        <w:tc>
          <w:tcPr>
            <w:tcW w:w="1867" w:type="dxa"/>
          </w:tcPr>
          <w:p w14:paraId="54E94D5D" w14:textId="77777777" w:rsidR="008744A5" w:rsidRDefault="008744A5" w:rsidP="002761E5">
            <w:pPr>
              <w:spacing w:after="0" w:line="240" w:lineRule="auto"/>
              <w:jc w:val="center"/>
            </w:pPr>
            <w:r>
              <w:t>1.15 [0.87-1.53]</w:t>
            </w:r>
          </w:p>
          <w:p w14:paraId="1549C95F" w14:textId="77777777" w:rsidR="008744A5" w:rsidRDefault="008744A5" w:rsidP="002761E5">
            <w:pPr>
              <w:spacing w:after="0" w:line="240" w:lineRule="auto"/>
              <w:jc w:val="center"/>
            </w:pPr>
            <w:r>
              <w:t>0.328</w:t>
            </w:r>
          </w:p>
        </w:tc>
        <w:tc>
          <w:tcPr>
            <w:tcW w:w="1968" w:type="dxa"/>
            <w:gridSpan w:val="2"/>
          </w:tcPr>
          <w:p w14:paraId="4ABF07CB" w14:textId="77777777" w:rsidR="008744A5" w:rsidRDefault="008744A5" w:rsidP="002761E5">
            <w:pPr>
              <w:spacing w:after="0" w:line="240" w:lineRule="auto"/>
              <w:jc w:val="center"/>
            </w:pPr>
            <w:r>
              <w:t>1.40 [1.01-1.93]</w:t>
            </w:r>
          </w:p>
          <w:p w14:paraId="1D9ADF20" w14:textId="77777777" w:rsidR="008744A5" w:rsidRDefault="008744A5" w:rsidP="002761E5">
            <w:pPr>
              <w:spacing w:after="0" w:line="240" w:lineRule="auto"/>
              <w:jc w:val="center"/>
            </w:pPr>
            <w:r>
              <w:t>0.042</w:t>
            </w:r>
          </w:p>
        </w:tc>
      </w:tr>
      <w:tr w:rsidR="008744A5" w14:paraId="66438787" w14:textId="77777777" w:rsidTr="001071E1">
        <w:trPr>
          <w:gridAfter w:val="1"/>
          <w:wAfter w:w="6" w:type="dxa"/>
        </w:trPr>
        <w:tc>
          <w:tcPr>
            <w:tcW w:w="280" w:type="dxa"/>
            <w:tcBorders>
              <w:top w:val="nil"/>
            </w:tcBorders>
          </w:tcPr>
          <w:p w14:paraId="509F45DE" w14:textId="77777777" w:rsidR="008744A5" w:rsidRDefault="008744A5" w:rsidP="002761E5">
            <w:pPr>
              <w:spacing w:after="0" w:line="240" w:lineRule="auto"/>
            </w:pPr>
          </w:p>
        </w:tc>
        <w:tc>
          <w:tcPr>
            <w:tcW w:w="2519" w:type="dxa"/>
          </w:tcPr>
          <w:p w14:paraId="094828E6" w14:textId="77777777" w:rsidR="008744A5" w:rsidRDefault="008744A5" w:rsidP="002761E5">
            <w:pPr>
              <w:spacing w:after="0" w:line="240" w:lineRule="auto"/>
            </w:pPr>
            <w:r>
              <w:t>RR</w:t>
            </w:r>
            <w:r w:rsidRPr="009A0497">
              <w:rPr>
                <w:vertAlign w:val="subscript"/>
              </w:rPr>
              <w:t>adj</w:t>
            </w:r>
            <w:r>
              <w:t xml:space="preserve"> [95% CI]</w:t>
            </w:r>
          </w:p>
          <w:p w14:paraId="3055AB77" w14:textId="77777777" w:rsidR="008744A5" w:rsidRPr="00E6027F" w:rsidRDefault="008744A5" w:rsidP="002761E5">
            <w:pPr>
              <w:spacing w:after="0" w:line="240" w:lineRule="auto"/>
              <w:rPr>
                <w:i/>
              </w:rPr>
            </w:pPr>
            <w:r>
              <w:rPr>
                <w:i/>
              </w:rPr>
              <w:t>p</w:t>
            </w:r>
          </w:p>
        </w:tc>
        <w:tc>
          <w:tcPr>
            <w:tcW w:w="1229" w:type="dxa"/>
          </w:tcPr>
          <w:p w14:paraId="619FB8A3" w14:textId="77777777" w:rsidR="008744A5" w:rsidRDefault="008744A5" w:rsidP="002761E5">
            <w:pPr>
              <w:spacing w:after="0" w:line="240" w:lineRule="auto"/>
              <w:jc w:val="center"/>
            </w:pPr>
            <w:r>
              <w:t>1</w:t>
            </w:r>
          </w:p>
        </w:tc>
        <w:tc>
          <w:tcPr>
            <w:tcW w:w="1718" w:type="dxa"/>
          </w:tcPr>
          <w:p w14:paraId="477B3F33" w14:textId="77777777" w:rsidR="008744A5" w:rsidRDefault="008744A5" w:rsidP="002761E5">
            <w:pPr>
              <w:spacing w:after="0" w:line="240" w:lineRule="auto"/>
              <w:jc w:val="center"/>
            </w:pPr>
            <w:r>
              <w:t>1.09 [0.84-1.41]</w:t>
            </w:r>
          </w:p>
          <w:p w14:paraId="5E345647" w14:textId="77777777" w:rsidR="008744A5" w:rsidRDefault="008744A5" w:rsidP="002761E5">
            <w:pPr>
              <w:spacing w:after="0" w:line="240" w:lineRule="auto"/>
              <w:jc w:val="center"/>
            </w:pPr>
            <w:r>
              <w:t>0.511</w:t>
            </w:r>
          </w:p>
        </w:tc>
        <w:tc>
          <w:tcPr>
            <w:tcW w:w="238" w:type="dxa"/>
          </w:tcPr>
          <w:p w14:paraId="18DEB7F7" w14:textId="77777777" w:rsidR="008744A5" w:rsidRDefault="008744A5" w:rsidP="002761E5">
            <w:pPr>
              <w:spacing w:after="0" w:line="240" w:lineRule="auto"/>
              <w:jc w:val="center"/>
            </w:pPr>
          </w:p>
        </w:tc>
        <w:tc>
          <w:tcPr>
            <w:tcW w:w="1726" w:type="dxa"/>
          </w:tcPr>
          <w:p w14:paraId="33442DDD" w14:textId="77777777" w:rsidR="008744A5" w:rsidRDefault="008744A5" w:rsidP="002761E5">
            <w:pPr>
              <w:spacing w:after="0" w:line="240" w:lineRule="auto"/>
              <w:jc w:val="center"/>
            </w:pPr>
            <w:r>
              <w:t>1.09 [0.90-1.34]</w:t>
            </w:r>
          </w:p>
          <w:p w14:paraId="59A0346D" w14:textId="77777777" w:rsidR="008744A5" w:rsidRDefault="008744A5" w:rsidP="002761E5">
            <w:pPr>
              <w:spacing w:after="0" w:line="240" w:lineRule="auto"/>
              <w:jc w:val="center"/>
            </w:pPr>
            <w:r>
              <w:t>0.381</w:t>
            </w:r>
          </w:p>
        </w:tc>
        <w:tc>
          <w:tcPr>
            <w:tcW w:w="1788" w:type="dxa"/>
          </w:tcPr>
          <w:p w14:paraId="72081BD3" w14:textId="77777777" w:rsidR="008744A5" w:rsidRDefault="008744A5" w:rsidP="002761E5">
            <w:pPr>
              <w:spacing w:after="0" w:line="240" w:lineRule="auto"/>
              <w:jc w:val="center"/>
            </w:pPr>
            <w:r>
              <w:t>1.14 [0.89-1.45]</w:t>
            </w:r>
          </w:p>
          <w:p w14:paraId="3C2072E0" w14:textId="77777777" w:rsidR="008744A5" w:rsidRDefault="008744A5" w:rsidP="002761E5">
            <w:pPr>
              <w:spacing w:after="0" w:line="240" w:lineRule="auto"/>
              <w:jc w:val="center"/>
            </w:pPr>
            <w:r>
              <w:t>0.297</w:t>
            </w:r>
          </w:p>
        </w:tc>
        <w:tc>
          <w:tcPr>
            <w:tcW w:w="236" w:type="dxa"/>
          </w:tcPr>
          <w:p w14:paraId="43E3D3B7" w14:textId="77777777" w:rsidR="008744A5" w:rsidRDefault="008744A5" w:rsidP="002761E5">
            <w:pPr>
              <w:spacing w:after="0" w:line="240" w:lineRule="auto"/>
              <w:jc w:val="center"/>
            </w:pPr>
          </w:p>
        </w:tc>
        <w:tc>
          <w:tcPr>
            <w:tcW w:w="1867" w:type="dxa"/>
          </w:tcPr>
          <w:p w14:paraId="163DF33E" w14:textId="77777777" w:rsidR="008744A5" w:rsidRDefault="008744A5" w:rsidP="002761E5">
            <w:pPr>
              <w:spacing w:after="0" w:line="240" w:lineRule="auto"/>
              <w:jc w:val="center"/>
            </w:pPr>
            <w:r>
              <w:t>1.16 [0.87-1.55]</w:t>
            </w:r>
          </w:p>
          <w:p w14:paraId="61A94A3E" w14:textId="77777777" w:rsidR="008744A5" w:rsidRDefault="008744A5" w:rsidP="002761E5">
            <w:pPr>
              <w:spacing w:after="0" w:line="240" w:lineRule="auto"/>
              <w:jc w:val="center"/>
            </w:pPr>
            <w:r>
              <w:t>0.309</w:t>
            </w:r>
          </w:p>
        </w:tc>
        <w:tc>
          <w:tcPr>
            <w:tcW w:w="1968" w:type="dxa"/>
            <w:gridSpan w:val="2"/>
          </w:tcPr>
          <w:p w14:paraId="3692199F" w14:textId="77777777" w:rsidR="008744A5" w:rsidRDefault="008744A5" w:rsidP="002761E5">
            <w:pPr>
              <w:spacing w:after="0" w:line="240" w:lineRule="auto"/>
              <w:jc w:val="center"/>
            </w:pPr>
            <w:r>
              <w:t>1.36 [0.97-1.89]</w:t>
            </w:r>
          </w:p>
          <w:p w14:paraId="1DEDAE39" w14:textId="77777777" w:rsidR="008744A5" w:rsidRDefault="008744A5" w:rsidP="002761E5">
            <w:pPr>
              <w:spacing w:after="0" w:line="240" w:lineRule="auto"/>
              <w:jc w:val="center"/>
            </w:pPr>
            <w:r>
              <w:t>0.071</w:t>
            </w:r>
          </w:p>
        </w:tc>
      </w:tr>
    </w:tbl>
    <w:p w14:paraId="445CD9F5" w14:textId="6EC52C15" w:rsidR="001265B4" w:rsidRPr="00AE26E1" w:rsidRDefault="001265B4" w:rsidP="001265B4">
      <w:pPr>
        <w:spacing w:after="0" w:line="240" w:lineRule="auto"/>
      </w:pPr>
      <w:r>
        <w:t>CI = confidence interval; RR = relative risk; RR</w:t>
      </w:r>
      <w:r w:rsidRPr="001265B4">
        <w:rPr>
          <w:vertAlign w:val="subscript"/>
        </w:rPr>
        <w:t>adj</w:t>
      </w:r>
      <w:r>
        <w:t xml:space="preserve"> = relative risk adjusted for </w:t>
      </w:r>
      <w:r>
        <w:rPr>
          <w:shd w:val="clear" w:color="auto" w:fill="FFFFFF"/>
        </w:rPr>
        <w:t>age, sex, ethnicity, wealth, alcohol intake, and body mass index.</w:t>
      </w:r>
    </w:p>
    <w:p w14:paraId="3E17500F" w14:textId="77777777" w:rsidR="00A90F02" w:rsidRDefault="00A90F02" w:rsidP="00A90F02">
      <w:pPr>
        <w:spacing w:after="0" w:line="240" w:lineRule="auto"/>
      </w:pPr>
      <w:r>
        <w:t>Note: For each outcome, the sample is restricted to those who did not report the presence of the outcome at baseline. Results therefore indicate the prevalence and relative risk of new-onset health problems over the follow-up period.</w:t>
      </w:r>
    </w:p>
    <w:p w14:paraId="06EEFCBA" w14:textId="77777777" w:rsidR="006D2CCC" w:rsidRDefault="006D2CCC" w:rsidP="002D149A"/>
    <w:p w14:paraId="53EC570E" w14:textId="46253789" w:rsidR="00903805" w:rsidRDefault="001A457F" w:rsidP="00680497">
      <w:pPr>
        <w:spacing w:after="200" w:line="276" w:lineRule="auto"/>
        <w:sectPr w:rsidR="00903805" w:rsidSect="00C60EBD">
          <w:footerReference w:type="default" r:id="rId12"/>
          <w:pgSz w:w="15840" w:h="12240" w:orient="landscape" w:code="1"/>
          <w:pgMar w:top="680" w:right="1440" w:bottom="680" w:left="1440" w:header="720" w:footer="720" w:gutter="0"/>
          <w:cols w:space="720"/>
          <w:noEndnote/>
          <w:docGrid w:linePitch="299"/>
        </w:sectPr>
      </w:pPr>
      <w:r>
        <w:br w:type="page"/>
      </w:r>
    </w:p>
    <w:p w14:paraId="731A7F46" w14:textId="7EF4E5F9" w:rsidR="003329EC" w:rsidRPr="00D55BAF" w:rsidRDefault="003329EC" w:rsidP="003329EC">
      <w:pPr>
        <w:pStyle w:val="Heading2"/>
      </w:pPr>
      <w:r w:rsidRPr="00D55BAF">
        <w:lastRenderedPageBreak/>
        <w:t>Figure</w:t>
      </w:r>
      <w:r>
        <w:t xml:space="preserve"> legend</w:t>
      </w:r>
      <w:r w:rsidRPr="00D55BAF">
        <w:t>s</w:t>
      </w:r>
    </w:p>
    <w:p w14:paraId="5A919C96" w14:textId="0C66D98D" w:rsidR="003329EC" w:rsidRPr="006D2CCC" w:rsidRDefault="003329EC" w:rsidP="003329EC">
      <w:r>
        <w:rPr>
          <w:b/>
        </w:rPr>
        <w:t xml:space="preserve">Figure 1. </w:t>
      </w:r>
      <w:r>
        <w:t>Relative risks of developing (a) fair/poor self-rated health, (b) limiting long-standing illness, (c) coronary heart disease, (d) stroke, (e) cancer, (f) chronic lung disease, and (g)</w:t>
      </w:r>
      <w:r w:rsidR="00D96789">
        <w:t xml:space="preserve"> clinically relevant</w:t>
      </w:r>
      <w:r>
        <w:t xml:space="preserve"> depressive symptoms over 12-year follow-up by baseline smoking/physical activity status, among older adults free of these conditions at baseline.</w:t>
      </w:r>
    </w:p>
    <w:p w14:paraId="4EFBFF1F" w14:textId="5253C788" w:rsidR="00723302" w:rsidRPr="006D2CCC" w:rsidRDefault="00723302" w:rsidP="003329EC"/>
    <w:sectPr w:rsidR="00723302" w:rsidRPr="006D2CCC" w:rsidSect="003329EC">
      <w:pgSz w:w="12240" w:h="15840" w:code="1"/>
      <w:pgMar w:top="1440" w:right="1247" w:bottom="1440"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9B0D" w14:textId="77777777" w:rsidR="000A5AFA" w:rsidRDefault="000A5AFA" w:rsidP="007C0309">
      <w:pPr>
        <w:spacing w:after="0" w:line="240" w:lineRule="auto"/>
      </w:pPr>
      <w:r>
        <w:separator/>
      </w:r>
    </w:p>
  </w:endnote>
  <w:endnote w:type="continuationSeparator" w:id="0">
    <w:p w14:paraId="25859782" w14:textId="77777777" w:rsidR="000A5AFA" w:rsidRDefault="000A5AFA" w:rsidP="007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48049"/>
      <w:docPartObj>
        <w:docPartGallery w:val="Page Numbers (Bottom of Page)"/>
        <w:docPartUnique/>
      </w:docPartObj>
    </w:sdtPr>
    <w:sdtEndPr>
      <w:rPr>
        <w:noProof/>
      </w:rPr>
    </w:sdtEndPr>
    <w:sdtContent>
      <w:p w14:paraId="37151DC3" w14:textId="7141D5C5" w:rsidR="000A5AFA" w:rsidRDefault="000A5AFA">
        <w:pPr>
          <w:pStyle w:val="Footer"/>
          <w:jc w:val="right"/>
        </w:pPr>
        <w:r>
          <w:fldChar w:fldCharType="begin"/>
        </w:r>
        <w:r>
          <w:instrText xml:space="preserve"> PAGE   \* MERGEFORMAT </w:instrText>
        </w:r>
        <w:r>
          <w:fldChar w:fldCharType="separate"/>
        </w:r>
        <w:r w:rsidR="0083779E">
          <w:rPr>
            <w:noProof/>
          </w:rPr>
          <w:t>20</w:t>
        </w:r>
        <w:r>
          <w:rPr>
            <w:noProof/>
          </w:rPr>
          <w:fldChar w:fldCharType="end"/>
        </w:r>
      </w:p>
    </w:sdtContent>
  </w:sdt>
  <w:p w14:paraId="4023A5B8" w14:textId="77777777" w:rsidR="000A5AFA" w:rsidRDefault="000A5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41675"/>
      <w:docPartObj>
        <w:docPartGallery w:val="Page Numbers (Bottom of Page)"/>
        <w:docPartUnique/>
      </w:docPartObj>
    </w:sdtPr>
    <w:sdtEndPr>
      <w:rPr>
        <w:noProof/>
      </w:rPr>
    </w:sdtEndPr>
    <w:sdtContent>
      <w:p w14:paraId="4166ABD7" w14:textId="09931101" w:rsidR="000A5AFA" w:rsidRDefault="000A5AFA">
        <w:pPr>
          <w:pStyle w:val="Footer"/>
          <w:jc w:val="right"/>
        </w:pPr>
        <w:r>
          <w:fldChar w:fldCharType="begin"/>
        </w:r>
        <w:r>
          <w:instrText xml:space="preserve"> PAGE   \* MERGEFORMAT </w:instrText>
        </w:r>
        <w:r>
          <w:fldChar w:fldCharType="separate"/>
        </w:r>
        <w:r w:rsidR="0083779E">
          <w:rPr>
            <w:noProof/>
          </w:rPr>
          <w:t>30</w:t>
        </w:r>
        <w:r>
          <w:rPr>
            <w:noProof/>
          </w:rPr>
          <w:fldChar w:fldCharType="end"/>
        </w:r>
      </w:p>
    </w:sdtContent>
  </w:sdt>
  <w:p w14:paraId="1ADB312C" w14:textId="77777777" w:rsidR="000A5AFA" w:rsidRDefault="000A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07DB" w14:textId="77777777" w:rsidR="000A5AFA" w:rsidRDefault="000A5AFA" w:rsidP="007C0309">
      <w:pPr>
        <w:spacing w:after="0" w:line="240" w:lineRule="auto"/>
      </w:pPr>
      <w:r>
        <w:separator/>
      </w:r>
    </w:p>
  </w:footnote>
  <w:footnote w:type="continuationSeparator" w:id="0">
    <w:p w14:paraId="0074C23B" w14:textId="77777777" w:rsidR="000A5AFA" w:rsidRDefault="000A5AFA" w:rsidP="007C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135"/>
    <w:multiLevelType w:val="multilevel"/>
    <w:tmpl w:val="5754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C7E6D"/>
    <w:multiLevelType w:val="hybridMultilevel"/>
    <w:tmpl w:val="F59AC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B17F5"/>
    <w:multiLevelType w:val="hybridMultilevel"/>
    <w:tmpl w:val="775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41846"/>
    <w:multiLevelType w:val="hybridMultilevel"/>
    <w:tmpl w:val="D594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B"/>
    <w:rsid w:val="00000047"/>
    <w:rsid w:val="000001B3"/>
    <w:rsid w:val="000001D2"/>
    <w:rsid w:val="000001D8"/>
    <w:rsid w:val="00000314"/>
    <w:rsid w:val="00000721"/>
    <w:rsid w:val="00000DE8"/>
    <w:rsid w:val="00000FDA"/>
    <w:rsid w:val="0000106F"/>
    <w:rsid w:val="00001074"/>
    <w:rsid w:val="00001532"/>
    <w:rsid w:val="00001596"/>
    <w:rsid w:val="00001893"/>
    <w:rsid w:val="0000198E"/>
    <w:rsid w:val="0000203B"/>
    <w:rsid w:val="0000210B"/>
    <w:rsid w:val="00002634"/>
    <w:rsid w:val="00002751"/>
    <w:rsid w:val="00002880"/>
    <w:rsid w:val="00002936"/>
    <w:rsid w:val="00002A03"/>
    <w:rsid w:val="00002F94"/>
    <w:rsid w:val="00003430"/>
    <w:rsid w:val="00003434"/>
    <w:rsid w:val="000036A3"/>
    <w:rsid w:val="0000379E"/>
    <w:rsid w:val="00003AD7"/>
    <w:rsid w:val="00003FA7"/>
    <w:rsid w:val="00004186"/>
    <w:rsid w:val="00004623"/>
    <w:rsid w:val="0000491E"/>
    <w:rsid w:val="00004A61"/>
    <w:rsid w:val="00004A8E"/>
    <w:rsid w:val="00004CB7"/>
    <w:rsid w:val="00004DE0"/>
    <w:rsid w:val="000050CD"/>
    <w:rsid w:val="000052B3"/>
    <w:rsid w:val="0000580C"/>
    <w:rsid w:val="000059A3"/>
    <w:rsid w:val="00005CA0"/>
    <w:rsid w:val="00005D83"/>
    <w:rsid w:val="0000647A"/>
    <w:rsid w:val="00006612"/>
    <w:rsid w:val="00006A82"/>
    <w:rsid w:val="00006FCA"/>
    <w:rsid w:val="00007083"/>
    <w:rsid w:val="00007352"/>
    <w:rsid w:val="000075CE"/>
    <w:rsid w:val="000077E6"/>
    <w:rsid w:val="000079FC"/>
    <w:rsid w:val="00007C56"/>
    <w:rsid w:val="00010049"/>
    <w:rsid w:val="00010313"/>
    <w:rsid w:val="000103D5"/>
    <w:rsid w:val="00010410"/>
    <w:rsid w:val="000108D8"/>
    <w:rsid w:val="00010A6D"/>
    <w:rsid w:val="00010F4A"/>
    <w:rsid w:val="0001105D"/>
    <w:rsid w:val="0001138F"/>
    <w:rsid w:val="000115DA"/>
    <w:rsid w:val="00011A3D"/>
    <w:rsid w:val="00011F1D"/>
    <w:rsid w:val="00011F80"/>
    <w:rsid w:val="00012083"/>
    <w:rsid w:val="000124D2"/>
    <w:rsid w:val="000125E0"/>
    <w:rsid w:val="00012885"/>
    <w:rsid w:val="00012B3F"/>
    <w:rsid w:val="00012B68"/>
    <w:rsid w:val="00012DED"/>
    <w:rsid w:val="00012DFF"/>
    <w:rsid w:val="00013115"/>
    <w:rsid w:val="0001324E"/>
    <w:rsid w:val="000133B5"/>
    <w:rsid w:val="00013589"/>
    <w:rsid w:val="000138D0"/>
    <w:rsid w:val="00013A10"/>
    <w:rsid w:val="000145B7"/>
    <w:rsid w:val="00014661"/>
    <w:rsid w:val="00014AB7"/>
    <w:rsid w:val="00014B5C"/>
    <w:rsid w:val="0001508F"/>
    <w:rsid w:val="00015235"/>
    <w:rsid w:val="00015658"/>
    <w:rsid w:val="000156D6"/>
    <w:rsid w:val="00015736"/>
    <w:rsid w:val="000157A3"/>
    <w:rsid w:val="00015965"/>
    <w:rsid w:val="00015C6F"/>
    <w:rsid w:val="00015DF7"/>
    <w:rsid w:val="00015E26"/>
    <w:rsid w:val="00015EF9"/>
    <w:rsid w:val="00016021"/>
    <w:rsid w:val="0001616A"/>
    <w:rsid w:val="0001619D"/>
    <w:rsid w:val="0001680B"/>
    <w:rsid w:val="00016867"/>
    <w:rsid w:val="00016927"/>
    <w:rsid w:val="000169B9"/>
    <w:rsid w:val="00016AB6"/>
    <w:rsid w:val="00016F05"/>
    <w:rsid w:val="000174CF"/>
    <w:rsid w:val="00017C3D"/>
    <w:rsid w:val="00017D43"/>
    <w:rsid w:val="00017DFF"/>
    <w:rsid w:val="00017E88"/>
    <w:rsid w:val="00017EF0"/>
    <w:rsid w:val="00017F18"/>
    <w:rsid w:val="00017F43"/>
    <w:rsid w:val="000202A6"/>
    <w:rsid w:val="000204B4"/>
    <w:rsid w:val="000204DC"/>
    <w:rsid w:val="00020569"/>
    <w:rsid w:val="000207AB"/>
    <w:rsid w:val="000207B4"/>
    <w:rsid w:val="000207C9"/>
    <w:rsid w:val="000209DF"/>
    <w:rsid w:val="00020FA7"/>
    <w:rsid w:val="00021074"/>
    <w:rsid w:val="0002111A"/>
    <w:rsid w:val="0002124F"/>
    <w:rsid w:val="00021312"/>
    <w:rsid w:val="00021419"/>
    <w:rsid w:val="000215D8"/>
    <w:rsid w:val="00021780"/>
    <w:rsid w:val="00021EAC"/>
    <w:rsid w:val="00021F0D"/>
    <w:rsid w:val="00021FBB"/>
    <w:rsid w:val="00022164"/>
    <w:rsid w:val="000223B6"/>
    <w:rsid w:val="000227B1"/>
    <w:rsid w:val="00022B52"/>
    <w:rsid w:val="00022BDB"/>
    <w:rsid w:val="00022D1C"/>
    <w:rsid w:val="00022D42"/>
    <w:rsid w:val="000233BB"/>
    <w:rsid w:val="000233F1"/>
    <w:rsid w:val="000234FA"/>
    <w:rsid w:val="000237F7"/>
    <w:rsid w:val="000238F6"/>
    <w:rsid w:val="0002390A"/>
    <w:rsid w:val="00023B76"/>
    <w:rsid w:val="000244E4"/>
    <w:rsid w:val="000247C8"/>
    <w:rsid w:val="000247FC"/>
    <w:rsid w:val="00024916"/>
    <w:rsid w:val="00024D49"/>
    <w:rsid w:val="00024E05"/>
    <w:rsid w:val="000256FF"/>
    <w:rsid w:val="000257D6"/>
    <w:rsid w:val="00025872"/>
    <w:rsid w:val="000258E3"/>
    <w:rsid w:val="00025A0A"/>
    <w:rsid w:val="00025AB4"/>
    <w:rsid w:val="00025DCD"/>
    <w:rsid w:val="00025E14"/>
    <w:rsid w:val="00025E27"/>
    <w:rsid w:val="00025E93"/>
    <w:rsid w:val="00026047"/>
    <w:rsid w:val="00026104"/>
    <w:rsid w:val="0002611A"/>
    <w:rsid w:val="000265A5"/>
    <w:rsid w:val="0002666E"/>
    <w:rsid w:val="00026757"/>
    <w:rsid w:val="000268E7"/>
    <w:rsid w:val="0002694B"/>
    <w:rsid w:val="00026D21"/>
    <w:rsid w:val="00026D73"/>
    <w:rsid w:val="000270A6"/>
    <w:rsid w:val="00027141"/>
    <w:rsid w:val="00027635"/>
    <w:rsid w:val="00027985"/>
    <w:rsid w:val="00027987"/>
    <w:rsid w:val="000279C5"/>
    <w:rsid w:val="00027AF7"/>
    <w:rsid w:val="00027BD5"/>
    <w:rsid w:val="00027C1B"/>
    <w:rsid w:val="00027D34"/>
    <w:rsid w:val="00027E35"/>
    <w:rsid w:val="00030132"/>
    <w:rsid w:val="0003016A"/>
    <w:rsid w:val="00030218"/>
    <w:rsid w:val="000306B0"/>
    <w:rsid w:val="0003080D"/>
    <w:rsid w:val="00030D64"/>
    <w:rsid w:val="00031153"/>
    <w:rsid w:val="0003118F"/>
    <w:rsid w:val="000313A4"/>
    <w:rsid w:val="0003141B"/>
    <w:rsid w:val="000314B1"/>
    <w:rsid w:val="000315DE"/>
    <w:rsid w:val="000319F6"/>
    <w:rsid w:val="00031A7B"/>
    <w:rsid w:val="00031D26"/>
    <w:rsid w:val="00031F88"/>
    <w:rsid w:val="00031FC4"/>
    <w:rsid w:val="00032340"/>
    <w:rsid w:val="000325BC"/>
    <w:rsid w:val="00032AE6"/>
    <w:rsid w:val="000331B5"/>
    <w:rsid w:val="00033373"/>
    <w:rsid w:val="000334C1"/>
    <w:rsid w:val="000335BD"/>
    <w:rsid w:val="0003371D"/>
    <w:rsid w:val="000338FD"/>
    <w:rsid w:val="00033A7F"/>
    <w:rsid w:val="00034908"/>
    <w:rsid w:val="00034C72"/>
    <w:rsid w:val="00034E9C"/>
    <w:rsid w:val="00034EE3"/>
    <w:rsid w:val="00034F5E"/>
    <w:rsid w:val="000350FF"/>
    <w:rsid w:val="00035656"/>
    <w:rsid w:val="000358A1"/>
    <w:rsid w:val="00035BFA"/>
    <w:rsid w:val="00035C4B"/>
    <w:rsid w:val="00035CA6"/>
    <w:rsid w:val="0003660E"/>
    <w:rsid w:val="0003668D"/>
    <w:rsid w:val="000366D4"/>
    <w:rsid w:val="00036B8D"/>
    <w:rsid w:val="00036BBD"/>
    <w:rsid w:val="00036D8A"/>
    <w:rsid w:val="00037201"/>
    <w:rsid w:val="00037394"/>
    <w:rsid w:val="000377A4"/>
    <w:rsid w:val="00037918"/>
    <w:rsid w:val="00037AF4"/>
    <w:rsid w:val="00037C5A"/>
    <w:rsid w:val="00037FBF"/>
    <w:rsid w:val="00040675"/>
    <w:rsid w:val="00040954"/>
    <w:rsid w:val="00040AE5"/>
    <w:rsid w:val="00040AEC"/>
    <w:rsid w:val="00041109"/>
    <w:rsid w:val="00041113"/>
    <w:rsid w:val="00041296"/>
    <w:rsid w:val="00041352"/>
    <w:rsid w:val="000414F2"/>
    <w:rsid w:val="0004172D"/>
    <w:rsid w:val="0004178B"/>
    <w:rsid w:val="00041D84"/>
    <w:rsid w:val="00042013"/>
    <w:rsid w:val="000422FA"/>
    <w:rsid w:val="0004296A"/>
    <w:rsid w:val="00042F05"/>
    <w:rsid w:val="00043073"/>
    <w:rsid w:val="00043206"/>
    <w:rsid w:val="0004342F"/>
    <w:rsid w:val="000435F3"/>
    <w:rsid w:val="00043E40"/>
    <w:rsid w:val="00043E44"/>
    <w:rsid w:val="00044314"/>
    <w:rsid w:val="00044608"/>
    <w:rsid w:val="000447EE"/>
    <w:rsid w:val="00044BCB"/>
    <w:rsid w:val="00044C34"/>
    <w:rsid w:val="00044F6F"/>
    <w:rsid w:val="00045451"/>
    <w:rsid w:val="000454DD"/>
    <w:rsid w:val="0004574E"/>
    <w:rsid w:val="00045814"/>
    <w:rsid w:val="00045D8B"/>
    <w:rsid w:val="00046473"/>
    <w:rsid w:val="0004675A"/>
    <w:rsid w:val="000469FB"/>
    <w:rsid w:val="00046A8D"/>
    <w:rsid w:val="00046DBC"/>
    <w:rsid w:val="00046F7B"/>
    <w:rsid w:val="00046F7E"/>
    <w:rsid w:val="000478CB"/>
    <w:rsid w:val="00047F29"/>
    <w:rsid w:val="0005019E"/>
    <w:rsid w:val="000501C8"/>
    <w:rsid w:val="000503D1"/>
    <w:rsid w:val="00050E86"/>
    <w:rsid w:val="00050FCD"/>
    <w:rsid w:val="000512B7"/>
    <w:rsid w:val="000516F9"/>
    <w:rsid w:val="00051701"/>
    <w:rsid w:val="00051998"/>
    <w:rsid w:val="00052120"/>
    <w:rsid w:val="000522CF"/>
    <w:rsid w:val="0005236C"/>
    <w:rsid w:val="000524B1"/>
    <w:rsid w:val="000526D4"/>
    <w:rsid w:val="000528C9"/>
    <w:rsid w:val="000532A0"/>
    <w:rsid w:val="000533DA"/>
    <w:rsid w:val="00053427"/>
    <w:rsid w:val="00053446"/>
    <w:rsid w:val="00053668"/>
    <w:rsid w:val="000539B3"/>
    <w:rsid w:val="00053CCC"/>
    <w:rsid w:val="00053D21"/>
    <w:rsid w:val="00053E44"/>
    <w:rsid w:val="00053FA3"/>
    <w:rsid w:val="0005412C"/>
    <w:rsid w:val="000541FB"/>
    <w:rsid w:val="000546A2"/>
    <w:rsid w:val="00054793"/>
    <w:rsid w:val="00054E09"/>
    <w:rsid w:val="00055DC1"/>
    <w:rsid w:val="000562E6"/>
    <w:rsid w:val="0005633E"/>
    <w:rsid w:val="00056351"/>
    <w:rsid w:val="000566DD"/>
    <w:rsid w:val="00056708"/>
    <w:rsid w:val="0005685B"/>
    <w:rsid w:val="00056A7E"/>
    <w:rsid w:val="00056B73"/>
    <w:rsid w:val="00056D10"/>
    <w:rsid w:val="0005748C"/>
    <w:rsid w:val="0005757A"/>
    <w:rsid w:val="000579EF"/>
    <w:rsid w:val="00057AA1"/>
    <w:rsid w:val="000600EB"/>
    <w:rsid w:val="00060541"/>
    <w:rsid w:val="0006079A"/>
    <w:rsid w:val="000608FC"/>
    <w:rsid w:val="00060DD1"/>
    <w:rsid w:val="00060DD9"/>
    <w:rsid w:val="00061056"/>
    <w:rsid w:val="00061095"/>
    <w:rsid w:val="000616B5"/>
    <w:rsid w:val="000619F3"/>
    <w:rsid w:val="00061BB4"/>
    <w:rsid w:val="00061BF3"/>
    <w:rsid w:val="00061E02"/>
    <w:rsid w:val="00061E88"/>
    <w:rsid w:val="00061EFD"/>
    <w:rsid w:val="000620EE"/>
    <w:rsid w:val="000622C5"/>
    <w:rsid w:val="0006250E"/>
    <w:rsid w:val="00062858"/>
    <w:rsid w:val="00062994"/>
    <w:rsid w:val="00062C11"/>
    <w:rsid w:val="00062D97"/>
    <w:rsid w:val="00062DB0"/>
    <w:rsid w:val="00062E1A"/>
    <w:rsid w:val="00063092"/>
    <w:rsid w:val="000633E5"/>
    <w:rsid w:val="000636E7"/>
    <w:rsid w:val="00063C0D"/>
    <w:rsid w:val="00063CAC"/>
    <w:rsid w:val="00063D83"/>
    <w:rsid w:val="00063F1B"/>
    <w:rsid w:val="000641F4"/>
    <w:rsid w:val="000646AE"/>
    <w:rsid w:val="000649D4"/>
    <w:rsid w:val="00064D25"/>
    <w:rsid w:val="00064F77"/>
    <w:rsid w:val="000650AA"/>
    <w:rsid w:val="0006529F"/>
    <w:rsid w:val="00065315"/>
    <w:rsid w:val="0006537F"/>
    <w:rsid w:val="000654AE"/>
    <w:rsid w:val="00065D4F"/>
    <w:rsid w:val="00065E1D"/>
    <w:rsid w:val="00065E31"/>
    <w:rsid w:val="0006671C"/>
    <w:rsid w:val="0006687E"/>
    <w:rsid w:val="00066ADF"/>
    <w:rsid w:val="00066B53"/>
    <w:rsid w:val="00066F72"/>
    <w:rsid w:val="000671A0"/>
    <w:rsid w:val="0006743F"/>
    <w:rsid w:val="00067C34"/>
    <w:rsid w:val="00067CE7"/>
    <w:rsid w:val="00067E4D"/>
    <w:rsid w:val="00067FFC"/>
    <w:rsid w:val="00070523"/>
    <w:rsid w:val="000707C3"/>
    <w:rsid w:val="00071001"/>
    <w:rsid w:val="000710E1"/>
    <w:rsid w:val="0007164E"/>
    <w:rsid w:val="00071653"/>
    <w:rsid w:val="00071925"/>
    <w:rsid w:val="00071A18"/>
    <w:rsid w:val="00071E6E"/>
    <w:rsid w:val="0007213A"/>
    <w:rsid w:val="000723B1"/>
    <w:rsid w:val="0007249E"/>
    <w:rsid w:val="000728FE"/>
    <w:rsid w:val="00072DE2"/>
    <w:rsid w:val="000734C3"/>
    <w:rsid w:val="000735D1"/>
    <w:rsid w:val="00073A06"/>
    <w:rsid w:val="00073D03"/>
    <w:rsid w:val="00074055"/>
    <w:rsid w:val="000741DE"/>
    <w:rsid w:val="00074375"/>
    <w:rsid w:val="00074961"/>
    <w:rsid w:val="00074B84"/>
    <w:rsid w:val="00074BA4"/>
    <w:rsid w:val="00075362"/>
    <w:rsid w:val="0007542F"/>
    <w:rsid w:val="000759DB"/>
    <w:rsid w:val="00075BB2"/>
    <w:rsid w:val="00075C71"/>
    <w:rsid w:val="00075DA9"/>
    <w:rsid w:val="00076109"/>
    <w:rsid w:val="000762C9"/>
    <w:rsid w:val="00076345"/>
    <w:rsid w:val="000764A6"/>
    <w:rsid w:val="000769D1"/>
    <w:rsid w:val="00076A60"/>
    <w:rsid w:val="00076B09"/>
    <w:rsid w:val="00076CA2"/>
    <w:rsid w:val="00076CD5"/>
    <w:rsid w:val="00077BB1"/>
    <w:rsid w:val="00077BB6"/>
    <w:rsid w:val="00077F12"/>
    <w:rsid w:val="000800BF"/>
    <w:rsid w:val="00080199"/>
    <w:rsid w:val="000807FA"/>
    <w:rsid w:val="00080939"/>
    <w:rsid w:val="00080DAA"/>
    <w:rsid w:val="000810CB"/>
    <w:rsid w:val="000815D6"/>
    <w:rsid w:val="00081A10"/>
    <w:rsid w:val="00082416"/>
    <w:rsid w:val="000827C4"/>
    <w:rsid w:val="00082930"/>
    <w:rsid w:val="00082AB5"/>
    <w:rsid w:val="00082C6D"/>
    <w:rsid w:val="00082D8E"/>
    <w:rsid w:val="00082EE0"/>
    <w:rsid w:val="00082F7C"/>
    <w:rsid w:val="00083812"/>
    <w:rsid w:val="00083A14"/>
    <w:rsid w:val="00083A75"/>
    <w:rsid w:val="00083D82"/>
    <w:rsid w:val="00083E79"/>
    <w:rsid w:val="00083F3D"/>
    <w:rsid w:val="00084468"/>
    <w:rsid w:val="000845C7"/>
    <w:rsid w:val="000845E4"/>
    <w:rsid w:val="00084DDF"/>
    <w:rsid w:val="000850ED"/>
    <w:rsid w:val="00085292"/>
    <w:rsid w:val="00085601"/>
    <w:rsid w:val="0008577F"/>
    <w:rsid w:val="0008605E"/>
    <w:rsid w:val="000866CC"/>
    <w:rsid w:val="000867E7"/>
    <w:rsid w:val="00086D0A"/>
    <w:rsid w:val="00086DDB"/>
    <w:rsid w:val="00086FD8"/>
    <w:rsid w:val="0008709D"/>
    <w:rsid w:val="000870BA"/>
    <w:rsid w:val="00087B94"/>
    <w:rsid w:val="00087EE1"/>
    <w:rsid w:val="000900D1"/>
    <w:rsid w:val="00090363"/>
    <w:rsid w:val="000903B3"/>
    <w:rsid w:val="00090BF9"/>
    <w:rsid w:val="00091277"/>
    <w:rsid w:val="000918FF"/>
    <w:rsid w:val="00091FC6"/>
    <w:rsid w:val="00092037"/>
    <w:rsid w:val="000926DC"/>
    <w:rsid w:val="0009278A"/>
    <w:rsid w:val="000928DC"/>
    <w:rsid w:val="000929BC"/>
    <w:rsid w:val="00092B49"/>
    <w:rsid w:val="00092B61"/>
    <w:rsid w:val="00092F27"/>
    <w:rsid w:val="00092F5F"/>
    <w:rsid w:val="000932F2"/>
    <w:rsid w:val="000937B7"/>
    <w:rsid w:val="000939F8"/>
    <w:rsid w:val="00093A36"/>
    <w:rsid w:val="00093D79"/>
    <w:rsid w:val="00093EC0"/>
    <w:rsid w:val="00093F24"/>
    <w:rsid w:val="000940E0"/>
    <w:rsid w:val="00094235"/>
    <w:rsid w:val="000944FE"/>
    <w:rsid w:val="000945F3"/>
    <w:rsid w:val="00094712"/>
    <w:rsid w:val="00094BE4"/>
    <w:rsid w:val="00094C24"/>
    <w:rsid w:val="00094EBE"/>
    <w:rsid w:val="0009529F"/>
    <w:rsid w:val="0009567D"/>
    <w:rsid w:val="000957D3"/>
    <w:rsid w:val="000958D5"/>
    <w:rsid w:val="000959C3"/>
    <w:rsid w:val="00095D77"/>
    <w:rsid w:val="00095FFB"/>
    <w:rsid w:val="00096075"/>
    <w:rsid w:val="000960AF"/>
    <w:rsid w:val="0009611C"/>
    <w:rsid w:val="000961A5"/>
    <w:rsid w:val="000965BE"/>
    <w:rsid w:val="000966AB"/>
    <w:rsid w:val="00096861"/>
    <w:rsid w:val="00096870"/>
    <w:rsid w:val="00096A15"/>
    <w:rsid w:val="00096A7B"/>
    <w:rsid w:val="00096D08"/>
    <w:rsid w:val="00097447"/>
    <w:rsid w:val="000974D3"/>
    <w:rsid w:val="00097696"/>
    <w:rsid w:val="00097778"/>
    <w:rsid w:val="00097B19"/>
    <w:rsid w:val="00097C49"/>
    <w:rsid w:val="000A025B"/>
    <w:rsid w:val="000A04E6"/>
    <w:rsid w:val="000A0F1F"/>
    <w:rsid w:val="000A10B6"/>
    <w:rsid w:val="000A1232"/>
    <w:rsid w:val="000A1349"/>
    <w:rsid w:val="000A1808"/>
    <w:rsid w:val="000A1CD0"/>
    <w:rsid w:val="000A2513"/>
    <w:rsid w:val="000A2971"/>
    <w:rsid w:val="000A2A39"/>
    <w:rsid w:val="000A2E6B"/>
    <w:rsid w:val="000A3170"/>
    <w:rsid w:val="000A327C"/>
    <w:rsid w:val="000A3365"/>
    <w:rsid w:val="000A356C"/>
    <w:rsid w:val="000A37A3"/>
    <w:rsid w:val="000A39E2"/>
    <w:rsid w:val="000A3E7E"/>
    <w:rsid w:val="000A3EAB"/>
    <w:rsid w:val="000A3FEC"/>
    <w:rsid w:val="000A4048"/>
    <w:rsid w:val="000A4998"/>
    <w:rsid w:val="000A4A2A"/>
    <w:rsid w:val="000A4EAB"/>
    <w:rsid w:val="000A57AD"/>
    <w:rsid w:val="000A59AF"/>
    <w:rsid w:val="000A5A47"/>
    <w:rsid w:val="000A5A5F"/>
    <w:rsid w:val="000A5AFA"/>
    <w:rsid w:val="000A5B13"/>
    <w:rsid w:val="000A5BF5"/>
    <w:rsid w:val="000A5CA2"/>
    <w:rsid w:val="000A5D6F"/>
    <w:rsid w:val="000A5F41"/>
    <w:rsid w:val="000A5FBD"/>
    <w:rsid w:val="000A68C2"/>
    <w:rsid w:val="000A6C07"/>
    <w:rsid w:val="000A6CC9"/>
    <w:rsid w:val="000A6CD1"/>
    <w:rsid w:val="000A70CA"/>
    <w:rsid w:val="000A7245"/>
    <w:rsid w:val="000A731F"/>
    <w:rsid w:val="000A756A"/>
    <w:rsid w:val="000A7ACA"/>
    <w:rsid w:val="000A7D46"/>
    <w:rsid w:val="000A7DED"/>
    <w:rsid w:val="000B0374"/>
    <w:rsid w:val="000B0634"/>
    <w:rsid w:val="000B07D3"/>
    <w:rsid w:val="000B0B69"/>
    <w:rsid w:val="000B0F12"/>
    <w:rsid w:val="000B1048"/>
    <w:rsid w:val="000B10D3"/>
    <w:rsid w:val="000B14F4"/>
    <w:rsid w:val="000B1503"/>
    <w:rsid w:val="000B1689"/>
    <w:rsid w:val="000B1AC1"/>
    <w:rsid w:val="000B1C9D"/>
    <w:rsid w:val="000B1E1C"/>
    <w:rsid w:val="000B1FEE"/>
    <w:rsid w:val="000B24B8"/>
    <w:rsid w:val="000B24F9"/>
    <w:rsid w:val="000B2AA7"/>
    <w:rsid w:val="000B2ABB"/>
    <w:rsid w:val="000B2DC1"/>
    <w:rsid w:val="000B2FD0"/>
    <w:rsid w:val="000B349F"/>
    <w:rsid w:val="000B37FB"/>
    <w:rsid w:val="000B3CD3"/>
    <w:rsid w:val="000B3D19"/>
    <w:rsid w:val="000B3E54"/>
    <w:rsid w:val="000B3F7D"/>
    <w:rsid w:val="000B4008"/>
    <w:rsid w:val="000B402A"/>
    <w:rsid w:val="000B40D8"/>
    <w:rsid w:val="000B4194"/>
    <w:rsid w:val="000B43A0"/>
    <w:rsid w:val="000B449F"/>
    <w:rsid w:val="000B45F0"/>
    <w:rsid w:val="000B468A"/>
    <w:rsid w:val="000B46F3"/>
    <w:rsid w:val="000B475E"/>
    <w:rsid w:val="000B4B73"/>
    <w:rsid w:val="000B4D68"/>
    <w:rsid w:val="000B4E55"/>
    <w:rsid w:val="000B529D"/>
    <w:rsid w:val="000B5476"/>
    <w:rsid w:val="000B55F7"/>
    <w:rsid w:val="000B598C"/>
    <w:rsid w:val="000B5F7F"/>
    <w:rsid w:val="000B6298"/>
    <w:rsid w:val="000B64BF"/>
    <w:rsid w:val="000B6CBE"/>
    <w:rsid w:val="000B719F"/>
    <w:rsid w:val="000B7707"/>
    <w:rsid w:val="000B796F"/>
    <w:rsid w:val="000B7E24"/>
    <w:rsid w:val="000B7E4C"/>
    <w:rsid w:val="000B7F2F"/>
    <w:rsid w:val="000C012C"/>
    <w:rsid w:val="000C03A6"/>
    <w:rsid w:val="000C093C"/>
    <w:rsid w:val="000C0965"/>
    <w:rsid w:val="000C0F70"/>
    <w:rsid w:val="000C12ED"/>
    <w:rsid w:val="000C15A3"/>
    <w:rsid w:val="000C15EC"/>
    <w:rsid w:val="000C1629"/>
    <w:rsid w:val="000C19A8"/>
    <w:rsid w:val="000C1F7E"/>
    <w:rsid w:val="000C20CE"/>
    <w:rsid w:val="000C24AC"/>
    <w:rsid w:val="000C26C0"/>
    <w:rsid w:val="000C2C3A"/>
    <w:rsid w:val="000C2D95"/>
    <w:rsid w:val="000C322B"/>
    <w:rsid w:val="000C386E"/>
    <w:rsid w:val="000C3A8F"/>
    <w:rsid w:val="000C3B8C"/>
    <w:rsid w:val="000C4273"/>
    <w:rsid w:val="000C439F"/>
    <w:rsid w:val="000C4B12"/>
    <w:rsid w:val="000C4C5A"/>
    <w:rsid w:val="000C4E26"/>
    <w:rsid w:val="000C4F12"/>
    <w:rsid w:val="000C507F"/>
    <w:rsid w:val="000C52FF"/>
    <w:rsid w:val="000C5389"/>
    <w:rsid w:val="000C56B2"/>
    <w:rsid w:val="000C5A23"/>
    <w:rsid w:val="000C5F1E"/>
    <w:rsid w:val="000C6223"/>
    <w:rsid w:val="000C668E"/>
    <w:rsid w:val="000C6C31"/>
    <w:rsid w:val="000C6C70"/>
    <w:rsid w:val="000C6CB0"/>
    <w:rsid w:val="000C6F5C"/>
    <w:rsid w:val="000C71E8"/>
    <w:rsid w:val="000C72BD"/>
    <w:rsid w:val="000C7593"/>
    <w:rsid w:val="000C7636"/>
    <w:rsid w:val="000C773A"/>
    <w:rsid w:val="000C7BAC"/>
    <w:rsid w:val="000C7CE1"/>
    <w:rsid w:val="000C7E6D"/>
    <w:rsid w:val="000C7FDA"/>
    <w:rsid w:val="000D0174"/>
    <w:rsid w:val="000D069C"/>
    <w:rsid w:val="000D08AA"/>
    <w:rsid w:val="000D09B2"/>
    <w:rsid w:val="000D11A5"/>
    <w:rsid w:val="000D1685"/>
    <w:rsid w:val="000D1874"/>
    <w:rsid w:val="000D1C00"/>
    <w:rsid w:val="000D21B1"/>
    <w:rsid w:val="000D2260"/>
    <w:rsid w:val="000D25E8"/>
    <w:rsid w:val="000D27DD"/>
    <w:rsid w:val="000D2EC9"/>
    <w:rsid w:val="000D30BE"/>
    <w:rsid w:val="000D30D3"/>
    <w:rsid w:val="000D3239"/>
    <w:rsid w:val="000D367C"/>
    <w:rsid w:val="000D36C4"/>
    <w:rsid w:val="000D3731"/>
    <w:rsid w:val="000D392A"/>
    <w:rsid w:val="000D39A3"/>
    <w:rsid w:val="000D3C38"/>
    <w:rsid w:val="000D3C7B"/>
    <w:rsid w:val="000D3D2A"/>
    <w:rsid w:val="000D3F21"/>
    <w:rsid w:val="000D4011"/>
    <w:rsid w:val="000D4374"/>
    <w:rsid w:val="000D47E8"/>
    <w:rsid w:val="000D4B14"/>
    <w:rsid w:val="000D4D8A"/>
    <w:rsid w:val="000D4F97"/>
    <w:rsid w:val="000D5130"/>
    <w:rsid w:val="000D5329"/>
    <w:rsid w:val="000D554C"/>
    <w:rsid w:val="000D58A8"/>
    <w:rsid w:val="000D58DF"/>
    <w:rsid w:val="000D5B88"/>
    <w:rsid w:val="000D5D04"/>
    <w:rsid w:val="000D5EE6"/>
    <w:rsid w:val="000D62FE"/>
    <w:rsid w:val="000D64EC"/>
    <w:rsid w:val="000D67EE"/>
    <w:rsid w:val="000D69DB"/>
    <w:rsid w:val="000D6E82"/>
    <w:rsid w:val="000D70A1"/>
    <w:rsid w:val="000D739B"/>
    <w:rsid w:val="000D7688"/>
    <w:rsid w:val="000D76DF"/>
    <w:rsid w:val="000D7748"/>
    <w:rsid w:val="000D7E0C"/>
    <w:rsid w:val="000E022E"/>
    <w:rsid w:val="000E0262"/>
    <w:rsid w:val="000E03C9"/>
    <w:rsid w:val="000E0444"/>
    <w:rsid w:val="000E05FE"/>
    <w:rsid w:val="000E0628"/>
    <w:rsid w:val="000E06F6"/>
    <w:rsid w:val="000E0D0A"/>
    <w:rsid w:val="000E1252"/>
    <w:rsid w:val="000E1950"/>
    <w:rsid w:val="000E1C6F"/>
    <w:rsid w:val="000E1CFA"/>
    <w:rsid w:val="000E1E81"/>
    <w:rsid w:val="000E20B8"/>
    <w:rsid w:val="000E2388"/>
    <w:rsid w:val="000E238D"/>
    <w:rsid w:val="000E248A"/>
    <w:rsid w:val="000E25FD"/>
    <w:rsid w:val="000E2E89"/>
    <w:rsid w:val="000E322B"/>
    <w:rsid w:val="000E332B"/>
    <w:rsid w:val="000E346B"/>
    <w:rsid w:val="000E361F"/>
    <w:rsid w:val="000E39DD"/>
    <w:rsid w:val="000E421F"/>
    <w:rsid w:val="000E424C"/>
    <w:rsid w:val="000E45B5"/>
    <w:rsid w:val="000E4744"/>
    <w:rsid w:val="000E4ABC"/>
    <w:rsid w:val="000E4CE1"/>
    <w:rsid w:val="000E4D83"/>
    <w:rsid w:val="000E4DE6"/>
    <w:rsid w:val="000E50A0"/>
    <w:rsid w:val="000E54D6"/>
    <w:rsid w:val="000E56A9"/>
    <w:rsid w:val="000E589F"/>
    <w:rsid w:val="000E59A5"/>
    <w:rsid w:val="000E5CFB"/>
    <w:rsid w:val="000E5D81"/>
    <w:rsid w:val="000E5D86"/>
    <w:rsid w:val="000E5ED6"/>
    <w:rsid w:val="000E6252"/>
    <w:rsid w:val="000E6A24"/>
    <w:rsid w:val="000E720E"/>
    <w:rsid w:val="000E7871"/>
    <w:rsid w:val="000E7D60"/>
    <w:rsid w:val="000E7F6A"/>
    <w:rsid w:val="000F004F"/>
    <w:rsid w:val="000F027B"/>
    <w:rsid w:val="000F0354"/>
    <w:rsid w:val="000F03D4"/>
    <w:rsid w:val="000F0722"/>
    <w:rsid w:val="000F08C1"/>
    <w:rsid w:val="000F0928"/>
    <w:rsid w:val="000F0A2D"/>
    <w:rsid w:val="000F0A73"/>
    <w:rsid w:val="000F0BE4"/>
    <w:rsid w:val="000F1512"/>
    <w:rsid w:val="000F166E"/>
    <w:rsid w:val="000F16B8"/>
    <w:rsid w:val="000F18FD"/>
    <w:rsid w:val="000F2103"/>
    <w:rsid w:val="000F25F8"/>
    <w:rsid w:val="000F2A46"/>
    <w:rsid w:val="000F2B57"/>
    <w:rsid w:val="000F345A"/>
    <w:rsid w:val="000F34FF"/>
    <w:rsid w:val="000F4077"/>
    <w:rsid w:val="000F475F"/>
    <w:rsid w:val="000F4824"/>
    <w:rsid w:val="000F4FAD"/>
    <w:rsid w:val="000F5206"/>
    <w:rsid w:val="000F54EB"/>
    <w:rsid w:val="000F5A29"/>
    <w:rsid w:val="000F5AA9"/>
    <w:rsid w:val="000F5CD5"/>
    <w:rsid w:val="000F5D10"/>
    <w:rsid w:val="000F5FAF"/>
    <w:rsid w:val="000F649D"/>
    <w:rsid w:val="000F65E2"/>
    <w:rsid w:val="000F6625"/>
    <w:rsid w:val="000F6984"/>
    <w:rsid w:val="000F69CB"/>
    <w:rsid w:val="000F6BCB"/>
    <w:rsid w:val="000F6C21"/>
    <w:rsid w:val="000F6DBC"/>
    <w:rsid w:val="000F7020"/>
    <w:rsid w:val="000F706E"/>
    <w:rsid w:val="000F7377"/>
    <w:rsid w:val="000F7557"/>
    <w:rsid w:val="000F7752"/>
    <w:rsid w:val="000F7C4B"/>
    <w:rsid w:val="000F7DB0"/>
    <w:rsid w:val="000F7EC0"/>
    <w:rsid w:val="00100061"/>
    <w:rsid w:val="001000B0"/>
    <w:rsid w:val="00100222"/>
    <w:rsid w:val="00100340"/>
    <w:rsid w:val="001004A1"/>
    <w:rsid w:val="001005AD"/>
    <w:rsid w:val="00100719"/>
    <w:rsid w:val="00100806"/>
    <w:rsid w:val="001008F3"/>
    <w:rsid w:val="00100907"/>
    <w:rsid w:val="00100A62"/>
    <w:rsid w:val="00100ABE"/>
    <w:rsid w:val="00100FA7"/>
    <w:rsid w:val="00101025"/>
    <w:rsid w:val="00101041"/>
    <w:rsid w:val="00101195"/>
    <w:rsid w:val="00101472"/>
    <w:rsid w:val="0010175F"/>
    <w:rsid w:val="00101AFC"/>
    <w:rsid w:val="00101D0A"/>
    <w:rsid w:val="00101E89"/>
    <w:rsid w:val="00101FF3"/>
    <w:rsid w:val="001023B0"/>
    <w:rsid w:val="0010278E"/>
    <w:rsid w:val="00102AB1"/>
    <w:rsid w:val="00102D9E"/>
    <w:rsid w:val="00102FA7"/>
    <w:rsid w:val="00103829"/>
    <w:rsid w:val="0010392B"/>
    <w:rsid w:val="00103D0F"/>
    <w:rsid w:val="00104084"/>
    <w:rsid w:val="001042CC"/>
    <w:rsid w:val="00104731"/>
    <w:rsid w:val="0010474C"/>
    <w:rsid w:val="001049F9"/>
    <w:rsid w:val="00104C9D"/>
    <w:rsid w:val="00104F5E"/>
    <w:rsid w:val="001051E4"/>
    <w:rsid w:val="00105795"/>
    <w:rsid w:val="00105A10"/>
    <w:rsid w:val="00105B1D"/>
    <w:rsid w:val="00105C8A"/>
    <w:rsid w:val="00105CA6"/>
    <w:rsid w:val="00106179"/>
    <w:rsid w:val="00106343"/>
    <w:rsid w:val="00106846"/>
    <w:rsid w:val="001069E6"/>
    <w:rsid w:val="00106EE7"/>
    <w:rsid w:val="001071E1"/>
    <w:rsid w:val="001071E7"/>
    <w:rsid w:val="0010742B"/>
    <w:rsid w:val="001078EF"/>
    <w:rsid w:val="001104AA"/>
    <w:rsid w:val="001104C7"/>
    <w:rsid w:val="00110630"/>
    <w:rsid w:val="0011086E"/>
    <w:rsid w:val="0011095B"/>
    <w:rsid w:val="0011112A"/>
    <w:rsid w:val="001111DA"/>
    <w:rsid w:val="00111A44"/>
    <w:rsid w:val="00111EC1"/>
    <w:rsid w:val="0011201B"/>
    <w:rsid w:val="00112610"/>
    <w:rsid w:val="001127F0"/>
    <w:rsid w:val="00112834"/>
    <w:rsid w:val="00112B3E"/>
    <w:rsid w:val="00112C46"/>
    <w:rsid w:val="00112C7E"/>
    <w:rsid w:val="0011310E"/>
    <w:rsid w:val="001131B9"/>
    <w:rsid w:val="00113260"/>
    <w:rsid w:val="001133FD"/>
    <w:rsid w:val="00113516"/>
    <w:rsid w:val="00113570"/>
    <w:rsid w:val="001136C1"/>
    <w:rsid w:val="001136C6"/>
    <w:rsid w:val="00113A4B"/>
    <w:rsid w:val="00113D4A"/>
    <w:rsid w:val="0011443B"/>
    <w:rsid w:val="00114845"/>
    <w:rsid w:val="00114BC0"/>
    <w:rsid w:val="00114C68"/>
    <w:rsid w:val="00114E8A"/>
    <w:rsid w:val="00114FD0"/>
    <w:rsid w:val="0011500B"/>
    <w:rsid w:val="001152EA"/>
    <w:rsid w:val="001153E2"/>
    <w:rsid w:val="0011584F"/>
    <w:rsid w:val="00115B63"/>
    <w:rsid w:val="00115BDF"/>
    <w:rsid w:val="00115D47"/>
    <w:rsid w:val="00116358"/>
    <w:rsid w:val="001163E2"/>
    <w:rsid w:val="001165C4"/>
    <w:rsid w:val="001165F6"/>
    <w:rsid w:val="001166EE"/>
    <w:rsid w:val="00116B65"/>
    <w:rsid w:val="00116D2E"/>
    <w:rsid w:val="00116E43"/>
    <w:rsid w:val="00117756"/>
    <w:rsid w:val="00117946"/>
    <w:rsid w:val="001179B6"/>
    <w:rsid w:val="00117D9B"/>
    <w:rsid w:val="00117F80"/>
    <w:rsid w:val="00120040"/>
    <w:rsid w:val="00120091"/>
    <w:rsid w:val="0012034E"/>
    <w:rsid w:val="001203FC"/>
    <w:rsid w:val="001204E3"/>
    <w:rsid w:val="0012066C"/>
    <w:rsid w:val="00120796"/>
    <w:rsid w:val="00120ABA"/>
    <w:rsid w:val="00120B89"/>
    <w:rsid w:val="00120BCC"/>
    <w:rsid w:val="00120DB4"/>
    <w:rsid w:val="00120FAA"/>
    <w:rsid w:val="00121409"/>
    <w:rsid w:val="001214C3"/>
    <w:rsid w:val="0012177D"/>
    <w:rsid w:val="00121814"/>
    <w:rsid w:val="00121976"/>
    <w:rsid w:val="00121C10"/>
    <w:rsid w:val="0012218C"/>
    <w:rsid w:val="00122249"/>
    <w:rsid w:val="00122269"/>
    <w:rsid w:val="0012240B"/>
    <w:rsid w:val="00122510"/>
    <w:rsid w:val="00122983"/>
    <w:rsid w:val="00122C89"/>
    <w:rsid w:val="00123522"/>
    <w:rsid w:val="0012397E"/>
    <w:rsid w:val="00123F45"/>
    <w:rsid w:val="00123F81"/>
    <w:rsid w:val="0012421E"/>
    <w:rsid w:val="0012448D"/>
    <w:rsid w:val="0012491E"/>
    <w:rsid w:val="00124A14"/>
    <w:rsid w:val="00125023"/>
    <w:rsid w:val="00125046"/>
    <w:rsid w:val="00125105"/>
    <w:rsid w:val="00125376"/>
    <w:rsid w:val="00125471"/>
    <w:rsid w:val="00125ACE"/>
    <w:rsid w:val="00125B5C"/>
    <w:rsid w:val="00125C36"/>
    <w:rsid w:val="00125C89"/>
    <w:rsid w:val="00125E2F"/>
    <w:rsid w:val="00126184"/>
    <w:rsid w:val="001264E8"/>
    <w:rsid w:val="001265B4"/>
    <w:rsid w:val="001266E2"/>
    <w:rsid w:val="0012683B"/>
    <w:rsid w:val="0012686B"/>
    <w:rsid w:val="00126E43"/>
    <w:rsid w:val="00127077"/>
    <w:rsid w:val="001270EB"/>
    <w:rsid w:val="001271CF"/>
    <w:rsid w:val="00127320"/>
    <w:rsid w:val="00127393"/>
    <w:rsid w:val="0012752A"/>
    <w:rsid w:val="00127534"/>
    <w:rsid w:val="00127BAA"/>
    <w:rsid w:val="0013005F"/>
    <w:rsid w:val="0013011C"/>
    <w:rsid w:val="00130B3A"/>
    <w:rsid w:val="00131014"/>
    <w:rsid w:val="001311FA"/>
    <w:rsid w:val="00131276"/>
    <w:rsid w:val="00131537"/>
    <w:rsid w:val="00131784"/>
    <w:rsid w:val="001317ED"/>
    <w:rsid w:val="001319A5"/>
    <w:rsid w:val="00131CAF"/>
    <w:rsid w:val="00131F02"/>
    <w:rsid w:val="00132002"/>
    <w:rsid w:val="00132030"/>
    <w:rsid w:val="001322D5"/>
    <w:rsid w:val="00132310"/>
    <w:rsid w:val="0013251D"/>
    <w:rsid w:val="00132698"/>
    <w:rsid w:val="001326FB"/>
    <w:rsid w:val="00132DE3"/>
    <w:rsid w:val="00132E1B"/>
    <w:rsid w:val="00132EFA"/>
    <w:rsid w:val="00133007"/>
    <w:rsid w:val="00133089"/>
    <w:rsid w:val="00133211"/>
    <w:rsid w:val="001338E0"/>
    <w:rsid w:val="00133AAB"/>
    <w:rsid w:val="00133E26"/>
    <w:rsid w:val="00134375"/>
    <w:rsid w:val="00134755"/>
    <w:rsid w:val="0013477F"/>
    <w:rsid w:val="00134845"/>
    <w:rsid w:val="001349E9"/>
    <w:rsid w:val="00134A03"/>
    <w:rsid w:val="0013553F"/>
    <w:rsid w:val="001356B2"/>
    <w:rsid w:val="00135ADC"/>
    <w:rsid w:val="00135C95"/>
    <w:rsid w:val="00135DB0"/>
    <w:rsid w:val="00135F4A"/>
    <w:rsid w:val="0013614F"/>
    <w:rsid w:val="00136360"/>
    <w:rsid w:val="00136671"/>
    <w:rsid w:val="0013671E"/>
    <w:rsid w:val="00136814"/>
    <w:rsid w:val="00136BEF"/>
    <w:rsid w:val="00137588"/>
    <w:rsid w:val="00137B98"/>
    <w:rsid w:val="00137E29"/>
    <w:rsid w:val="00137E95"/>
    <w:rsid w:val="00137ED6"/>
    <w:rsid w:val="001401ED"/>
    <w:rsid w:val="001402A7"/>
    <w:rsid w:val="0014036C"/>
    <w:rsid w:val="00140566"/>
    <w:rsid w:val="00140B1A"/>
    <w:rsid w:val="00140C7D"/>
    <w:rsid w:val="00140C8E"/>
    <w:rsid w:val="00141265"/>
    <w:rsid w:val="001413FA"/>
    <w:rsid w:val="00141ABE"/>
    <w:rsid w:val="00141B87"/>
    <w:rsid w:val="00141D94"/>
    <w:rsid w:val="00142727"/>
    <w:rsid w:val="0014295E"/>
    <w:rsid w:val="00142B9E"/>
    <w:rsid w:val="00142D90"/>
    <w:rsid w:val="00142FF6"/>
    <w:rsid w:val="001432A0"/>
    <w:rsid w:val="001432D6"/>
    <w:rsid w:val="0014355D"/>
    <w:rsid w:val="0014361F"/>
    <w:rsid w:val="001439AB"/>
    <w:rsid w:val="00143C61"/>
    <w:rsid w:val="00143CA3"/>
    <w:rsid w:val="00143D26"/>
    <w:rsid w:val="00143D50"/>
    <w:rsid w:val="00143F6A"/>
    <w:rsid w:val="0014417C"/>
    <w:rsid w:val="001442F0"/>
    <w:rsid w:val="0014440C"/>
    <w:rsid w:val="00144509"/>
    <w:rsid w:val="0014467B"/>
    <w:rsid w:val="001455C6"/>
    <w:rsid w:val="00145732"/>
    <w:rsid w:val="00145942"/>
    <w:rsid w:val="00145F58"/>
    <w:rsid w:val="00146730"/>
    <w:rsid w:val="00146878"/>
    <w:rsid w:val="001469E8"/>
    <w:rsid w:val="00146BD3"/>
    <w:rsid w:val="00146D3F"/>
    <w:rsid w:val="00146F7E"/>
    <w:rsid w:val="00147164"/>
    <w:rsid w:val="0014728B"/>
    <w:rsid w:val="001473A6"/>
    <w:rsid w:val="00147429"/>
    <w:rsid w:val="0014748C"/>
    <w:rsid w:val="00147832"/>
    <w:rsid w:val="0014786E"/>
    <w:rsid w:val="001502D0"/>
    <w:rsid w:val="00150473"/>
    <w:rsid w:val="001505A7"/>
    <w:rsid w:val="001505B2"/>
    <w:rsid w:val="00150735"/>
    <w:rsid w:val="0015082B"/>
    <w:rsid w:val="001509FA"/>
    <w:rsid w:val="00150B3C"/>
    <w:rsid w:val="00151282"/>
    <w:rsid w:val="00151322"/>
    <w:rsid w:val="001515EF"/>
    <w:rsid w:val="00151726"/>
    <w:rsid w:val="0015198B"/>
    <w:rsid w:val="001519A6"/>
    <w:rsid w:val="00151CBA"/>
    <w:rsid w:val="001520A8"/>
    <w:rsid w:val="00152513"/>
    <w:rsid w:val="00152627"/>
    <w:rsid w:val="00152876"/>
    <w:rsid w:val="00152A67"/>
    <w:rsid w:val="00152B24"/>
    <w:rsid w:val="00153440"/>
    <w:rsid w:val="001535F0"/>
    <w:rsid w:val="00153612"/>
    <w:rsid w:val="001538FF"/>
    <w:rsid w:val="00153ABB"/>
    <w:rsid w:val="00153C9E"/>
    <w:rsid w:val="00153EB7"/>
    <w:rsid w:val="00154A38"/>
    <w:rsid w:val="00154FFF"/>
    <w:rsid w:val="001550A2"/>
    <w:rsid w:val="001553E1"/>
    <w:rsid w:val="001553E6"/>
    <w:rsid w:val="00155A7F"/>
    <w:rsid w:val="00155DDF"/>
    <w:rsid w:val="00156066"/>
    <w:rsid w:val="001561B3"/>
    <w:rsid w:val="0015653E"/>
    <w:rsid w:val="00156711"/>
    <w:rsid w:val="00156B16"/>
    <w:rsid w:val="00156B5B"/>
    <w:rsid w:val="00156E13"/>
    <w:rsid w:val="00156F2E"/>
    <w:rsid w:val="0015756C"/>
    <w:rsid w:val="001575F1"/>
    <w:rsid w:val="00157991"/>
    <w:rsid w:val="00157B52"/>
    <w:rsid w:val="00157C7A"/>
    <w:rsid w:val="00157E3E"/>
    <w:rsid w:val="00157E6D"/>
    <w:rsid w:val="001603B4"/>
    <w:rsid w:val="001607DD"/>
    <w:rsid w:val="00160CEF"/>
    <w:rsid w:val="00161029"/>
    <w:rsid w:val="001611B0"/>
    <w:rsid w:val="001612BA"/>
    <w:rsid w:val="001614B2"/>
    <w:rsid w:val="00161B90"/>
    <w:rsid w:val="00162530"/>
    <w:rsid w:val="00162559"/>
    <w:rsid w:val="0016269D"/>
    <w:rsid w:val="00162809"/>
    <w:rsid w:val="001633F3"/>
    <w:rsid w:val="001635BA"/>
    <w:rsid w:val="00163777"/>
    <w:rsid w:val="00163E17"/>
    <w:rsid w:val="00163EFB"/>
    <w:rsid w:val="00163F2B"/>
    <w:rsid w:val="0016403A"/>
    <w:rsid w:val="001640D6"/>
    <w:rsid w:val="00164277"/>
    <w:rsid w:val="001647DC"/>
    <w:rsid w:val="001648FE"/>
    <w:rsid w:val="001649C2"/>
    <w:rsid w:val="00164B24"/>
    <w:rsid w:val="00164B32"/>
    <w:rsid w:val="00164C00"/>
    <w:rsid w:val="00164D50"/>
    <w:rsid w:val="00165358"/>
    <w:rsid w:val="00165384"/>
    <w:rsid w:val="00165459"/>
    <w:rsid w:val="0016549D"/>
    <w:rsid w:val="001659E3"/>
    <w:rsid w:val="00165A04"/>
    <w:rsid w:val="001661B4"/>
    <w:rsid w:val="0016625F"/>
    <w:rsid w:val="0016626C"/>
    <w:rsid w:val="00166508"/>
    <w:rsid w:val="00166511"/>
    <w:rsid w:val="00166525"/>
    <w:rsid w:val="001668CC"/>
    <w:rsid w:val="00166941"/>
    <w:rsid w:val="001669FF"/>
    <w:rsid w:val="00166BAD"/>
    <w:rsid w:val="001670A7"/>
    <w:rsid w:val="001671B5"/>
    <w:rsid w:val="00167686"/>
    <w:rsid w:val="00167700"/>
    <w:rsid w:val="00167AA2"/>
    <w:rsid w:val="001700FA"/>
    <w:rsid w:val="00170203"/>
    <w:rsid w:val="001704F8"/>
    <w:rsid w:val="0017058D"/>
    <w:rsid w:val="00170599"/>
    <w:rsid w:val="001705D9"/>
    <w:rsid w:val="00170B62"/>
    <w:rsid w:val="00170C50"/>
    <w:rsid w:val="00170FAC"/>
    <w:rsid w:val="00171146"/>
    <w:rsid w:val="001713E1"/>
    <w:rsid w:val="00171827"/>
    <w:rsid w:val="001718AF"/>
    <w:rsid w:val="001718FF"/>
    <w:rsid w:val="001720BD"/>
    <w:rsid w:val="001723A4"/>
    <w:rsid w:val="001723EE"/>
    <w:rsid w:val="0017268E"/>
    <w:rsid w:val="001726C3"/>
    <w:rsid w:val="001728AB"/>
    <w:rsid w:val="0017291F"/>
    <w:rsid w:val="00172F3A"/>
    <w:rsid w:val="001732E9"/>
    <w:rsid w:val="0017382C"/>
    <w:rsid w:val="00173921"/>
    <w:rsid w:val="00173B46"/>
    <w:rsid w:val="00173C4D"/>
    <w:rsid w:val="00173C53"/>
    <w:rsid w:val="00173CCD"/>
    <w:rsid w:val="00173F1D"/>
    <w:rsid w:val="001743AD"/>
    <w:rsid w:val="0017447C"/>
    <w:rsid w:val="00174639"/>
    <w:rsid w:val="00174D14"/>
    <w:rsid w:val="00174DC5"/>
    <w:rsid w:val="001750D5"/>
    <w:rsid w:val="00175247"/>
    <w:rsid w:val="001752D6"/>
    <w:rsid w:val="0017562F"/>
    <w:rsid w:val="00175A27"/>
    <w:rsid w:val="00175BA6"/>
    <w:rsid w:val="0017626A"/>
    <w:rsid w:val="00176520"/>
    <w:rsid w:val="001765DD"/>
    <w:rsid w:val="00176627"/>
    <w:rsid w:val="00176AD5"/>
    <w:rsid w:val="00176B62"/>
    <w:rsid w:val="00176D1B"/>
    <w:rsid w:val="00176FDE"/>
    <w:rsid w:val="00177016"/>
    <w:rsid w:val="001770BF"/>
    <w:rsid w:val="00177164"/>
    <w:rsid w:val="00177362"/>
    <w:rsid w:val="001776D6"/>
    <w:rsid w:val="00177745"/>
    <w:rsid w:val="001779AC"/>
    <w:rsid w:val="001779EE"/>
    <w:rsid w:val="00177BA9"/>
    <w:rsid w:val="00177E80"/>
    <w:rsid w:val="00177EED"/>
    <w:rsid w:val="00180489"/>
    <w:rsid w:val="00180B52"/>
    <w:rsid w:val="001811F7"/>
    <w:rsid w:val="001812AC"/>
    <w:rsid w:val="00181447"/>
    <w:rsid w:val="0018153C"/>
    <w:rsid w:val="00181839"/>
    <w:rsid w:val="00181B47"/>
    <w:rsid w:val="00182A2B"/>
    <w:rsid w:val="00182AFD"/>
    <w:rsid w:val="00182BC4"/>
    <w:rsid w:val="00182E7E"/>
    <w:rsid w:val="00183058"/>
    <w:rsid w:val="001830C7"/>
    <w:rsid w:val="00183555"/>
    <w:rsid w:val="0018357F"/>
    <w:rsid w:val="00183D06"/>
    <w:rsid w:val="00183DAA"/>
    <w:rsid w:val="00183FEA"/>
    <w:rsid w:val="001846E5"/>
    <w:rsid w:val="001847EF"/>
    <w:rsid w:val="00184AAD"/>
    <w:rsid w:val="00185090"/>
    <w:rsid w:val="001850AE"/>
    <w:rsid w:val="001850F9"/>
    <w:rsid w:val="00185458"/>
    <w:rsid w:val="001854F9"/>
    <w:rsid w:val="00185947"/>
    <w:rsid w:val="00185B85"/>
    <w:rsid w:val="00185C12"/>
    <w:rsid w:val="00185C8A"/>
    <w:rsid w:val="0018624E"/>
    <w:rsid w:val="0018676B"/>
    <w:rsid w:val="00186A32"/>
    <w:rsid w:val="00186A91"/>
    <w:rsid w:val="00186D17"/>
    <w:rsid w:val="00187A44"/>
    <w:rsid w:val="00187CD1"/>
    <w:rsid w:val="00187E3C"/>
    <w:rsid w:val="001905BD"/>
    <w:rsid w:val="00191016"/>
    <w:rsid w:val="00191089"/>
    <w:rsid w:val="0019113F"/>
    <w:rsid w:val="00191241"/>
    <w:rsid w:val="001913A8"/>
    <w:rsid w:val="001916B8"/>
    <w:rsid w:val="001917FE"/>
    <w:rsid w:val="001919B0"/>
    <w:rsid w:val="00191FD1"/>
    <w:rsid w:val="001921AA"/>
    <w:rsid w:val="00192587"/>
    <w:rsid w:val="0019362A"/>
    <w:rsid w:val="00193C7F"/>
    <w:rsid w:val="00193E18"/>
    <w:rsid w:val="00193E92"/>
    <w:rsid w:val="001940F3"/>
    <w:rsid w:val="0019410F"/>
    <w:rsid w:val="00194398"/>
    <w:rsid w:val="0019444A"/>
    <w:rsid w:val="0019466F"/>
    <w:rsid w:val="00194777"/>
    <w:rsid w:val="00194812"/>
    <w:rsid w:val="001948D8"/>
    <w:rsid w:val="0019494E"/>
    <w:rsid w:val="00194D71"/>
    <w:rsid w:val="00194E52"/>
    <w:rsid w:val="00195226"/>
    <w:rsid w:val="001952B3"/>
    <w:rsid w:val="001955A1"/>
    <w:rsid w:val="001955A7"/>
    <w:rsid w:val="0019579C"/>
    <w:rsid w:val="001957FA"/>
    <w:rsid w:val="0019582D"/>
    <w:rsid w:val="00195B32"/>
    <w:rsid w:val="00195CA3"/>
    <w:rsid w:val="00195E50"/>
    <w:rsid w:val="0019611E"/>
    <w:rsid w:val="0019665C"/>
    <w:rsid w:val="001967CA"/>
    <w:rsid w:val="001967E9"/>
    <w:rsid w:val="00196CDB"/>
    <w:rsid w:val="00196F59"/>
    <w:rsid w:val="00197010"/>
    <w:rsid w:val="0019723D"/>
    <w:rsid w:val="00197327"/>
    <w:rsid w:val="001974B5"/>
    <w:rsid w:val="001977B3"/>
    <w:rsid w:val="001977BD"/>
    <w:rsid w:val="00197BF6"/>
    <w:rsid w:val="00197E4C"/>
    <w:rsid w:val="001A0284"/>
    <w:rsid w:val="001A04F2"/>
    <w:rsid w:val="001A0508"/>
    <w:rsid w:val="001A05B8"/>
    <w:rsid w:val="001A0619"/>
    <w:rsid w:val="001A0859"/>
    <w:rsid w:val="001A085C"/>
    <w:rsid w:val="001A08D5"/>
    <w:rsid w:val="001A0998"/>
    <w:rsid w:val="001A0B8B"/>
    <w:rsid w:val="001A0DEC"/>
    <w:rsid w:val="001A0EF8"/>
    <w:rsid w:val="001A1317"/>
    <w:rsid w:val="001A142A"/>
    <w:rsid w:val="001A1802"/>
    <w:rsid w:val="001A1900"/>
    <w:rsid w:val="001A1A26"/>
    <w:rsid w:val="001A1B1C"/>
    <w:rsid w:val="001A2138"/>
    <w:rsid w:val="001A2164"/>
    <w:rsid w:val="001A2AF5"/>
    <w:rsid w:val="001A2E8F"/>
    <w:rsid w:val="001A34E4"/>
    <w:rsid w:val="001A3970"/>
    <w:rsid w:val="001A3C9B"/>
    <w:rsid w:val="001A3D60"/>
    <w:rsid w:val="001A3D66"/>
    <w:rsid w:val="001A42A0"/>
    <w:rsid w:val="001A457F"/>
    <w:rsid w:val="001A474B"/>
    <w:rsid w:val="001A4B9D"/>
    <w:rsid w:val="001A4E6E"/>
    <w:rsid w:val="001A4FAA"/>
    <w:rsid w:val="001A5B16"/>
    <w:rsid w:val="001A5B6F"/>
    <w:rsid w:val="001A5B87"/>
    <w:rsid w:val="001A610F"/>
    <w:rsid w:val="001A61AC"/>
    <w:rsid w:val="001A6FCF"/>
    <w:rsid w:val="001A70F6"/>
    <w:rsid w:val="001A746B"/>
    <w:rsid w:val="001A75CC"/>
    <w:rsid w:val="001A79C6"/>
    <w:rsid w:val="001A7A33"/>
    <w:rsid w:val="001A7C4F"/>
    <w:rsid w:val="001A7F24"/>
    <w:rsid w:val="001B049C"/>
    <w:rsid w:val="001B0528"/>
    <w:rsid w:val="001B0601"/>
    <w:rsid w:val="001B0E9D"/>
    <w:rsid w:val="001B0EEF"/>
    <w:rsid w:val="001B0FD5"/>
    <w:rsid w:val="001B1545"/>
    <w:rsid w:val="001B1793"/>
    <w:rsid w:val="001B17C3"/>
    <w:rsid w:val="001B1B71"/>
    <w:rsid w:val="001B1F37"/>
    <w:rsid w:val="001B22CA"/>
    <w:rsid w:val="001B2319"/>
    <w:rsid w:val="001B23BC"/>
    <w:rsid w:val="001B2482"/>
    <w:rsid w:val="001B24D4"/>
    <w:rsid w:val="001B2AD5"/>
    <w:rsid w:val="001B2C28"/>
    <w:rsid w:val="001B2CD3"/>
    <w:rsid w:val="001B2CE7"/>
    <w:rsid w:val="001B2DFC"/>
    <w:rsid w:val="001B3151"/>
    <w:rsid w:val="001B331C"/>
    <w:rsid w:val="001B3373"/>
    <w:rsid w:val="001B37C1"/>
    <w:rsid w:val="001B3910"/>
    <w:rsid w:val="001B3928"/>
    <w:rsid w:val="001B3CBF"/>
    <w:rsid w:val="001B3F04"/>
    <w:rsid w:val="001B4AEF"/>
    <w:rsid w:val="001B4B16"/>
    <w:rsid w:val="001B4E11"/>
    <w:rsid w:val="001B4E25"/>
    <w:rsid w:val="001B5594"/>
    <w:rsid w:val="001B57DC"/>
    <w:rsid w:val="001B5843"/>
    <w:rsid w:val="001B5F5D"/>
    <w:rsid w:val="001B6240"/>
    <w:rsid w:val="001B63CA"/>
    <w:rsid w:val="001B67A5"/>
    <w:rsid w:val="001B6861"/>
    <w:rsid w:val="001B6A4B"/>
    <w:rsid w:val="001B7498"/>
    <w:rsid w:val="001B776C"/>
    <w:rsid w:val="001B7A0B"/>
    <w:rsid w:val="001B7D34"/>
    <w:rsid w:val="001C015E"/>
    <w:rsid w:val="001C02FB"/>
    <w:rsid w:val="001C03BA"/>
    <w:rsid w:val="001C0A5D"/>
    <w:rsid w:val="001C0BB6"/>
    <w:rsid w:val="001C0BF2"/>
    <w:rsid w:val="001C0CFE"/>
    <w:rsid w:val="001C0F4E"/>
    <w:rsid w:val="001C1235"/>
    <w:rsid w:val="001C14EF"/>
    <w:rsid w:val="001C1576"/>
    <w:rsid w:val="001C159A"/>
    <w:rsid w:val="001C1772"/>
    <w:rsid w:val="001C181D"/>
    <w:rsid w:val="001C191D"/>
    <w:rsid w:val="001C1F46"/>
    <w:rsid w:val="001C21FF"/>
    <w:rsid w:val="001C22D4"/>
    <w:rsid w:val="001C253F"/>
    <w:rsid w:val="001C25FC"/>
    <w:rsid w:val="001C26EA"/>
    <w:rsid w:val="001C2F29"/>
    <w:rsid w:val="001C37F5"/>
    <w:rsid w:val="001C3949"/>
    <w:rsid w:val="001C39DC"/>
    <w:rsid w:val="001C3A4D"/>
    <w:rsid w:val="001C3D5D"/>
    <w:rsid w:val="001C427A"/>
    <w:rsid w:val="001C455B"/>
    <w:rsid w:val="001C456E"/>
    <w:rsid w:val="001C462D"/>
    <w:rsid w:val="001C467F"/>
    <w:rsid w:val="001C4959"/>
    <w:rsid w:val="001C4BD8"/>
    <w:rsid w:val="001C6018"/>
    <w:rsid w:val="001C6060"/>
    <w:rsid w:val="001C631C"/>
    <w:rsid w:val="001C6595"/>
    <w:rsid w:val="001C6948"/>
    <w:rsid w:val="001C6A93"/>
    <w:rsid w:val="001C6CD9"/>
    <w:rsid w:val="001C6F3B"/>
    <w:rsid w:val="001C7022"/>
    <w:rsid w:val="001C7031"/>
    <w:rsid w:val="001C7336"/>
    <w:rsid w:val="001C7585"/>
    <w:rsid w:val="001C79C7"/>
    <w:rsid w:val="001C7A06"/>
    <w:rsid w:val="001C7F15"/>
    <w:rsid w:val="001C7F30"/>
    <w:rsid w:val="001D0815"/>
    <w:rsid w:val="001D08FF"/>
    <w:rsid w:val="001D0BCD"/>
    <w:rsid w:val="001D0BF0"/>
    <w:rsid w:val="001D0D02"/>
    <w:rsid w:val="001D0DC2"/>
    <w:rsid w:val="001D0F82"/>
    <w:rsid w:val="001D118E"/>
    <w:rsid w:val="001D11A5"/>
    <w:rsid w:val="001D142D"/>
    <w:rsid w:val="001D1C95"/>
    <w:rsid w:val="001D1F95"/>
    <w:rsid w:val="001D21BC"/>
    <w:rsid w:val="001D2271"/>
    <w:rsid w:val="001D2364"/>
    <w:rsid w:val="001D296D"/>
    <w:rsid w:val="001D2AD6"/>
    <w:rsid w:val="001D328D"/>
    <w:rsid w:val="001D37FC"/>
    <w:rsid w:val="001D3B89"/>
    <w:rsid w:val="001D3F77"/>
    <w:rsid w:val="001D3FCD"/>
    <w:rsid w:val="001D42BB"/>
    <w:rsid w:val="001D43D7"/>
    <w:rsid w:val="001D4466"/>
    <w:rsid w:val="001D4611"/>
    <w:rsid w:val="001D48C9"/>
    <w:rsid w:val="001D4FB5"/>
    <w:rsid w:val="001D595B"/>
    <w:rsid w:val="001D59BB"/>
    <w:rsid w:val="001D5A42"/>
    <w:rsid w:val="001D601B"/>
    <w:rsid w:val="001D611D"/>
    <w:rsid w:val="001D6B86"/>
    <w:rsid w:val="001D75DA"/>
    <w:rsid w:val="001D7685"/>
    <w:rsid w:val="001D76FF"/>
    <w:rsid w:val="001D796B"/>
    <w:rsid w:val="001D7B6B"/>
    <w:rsid w:val="001E01D8"/>
    <w:rsid w:val="001E0533"/>
    <w:rsid w:val="001E0921"/>
    <w:rsid w:val="001E0AE6"/>
    <w:rsid w:val="001E0DB0"/>
    <w:rsid w:val="001E0F07"/>
    <w:rsid w:val="001E0F31"/>
    <w:rsid w:val="001E11A2"/>
    <w:rsid w:val="001E1434"/>
    <w:rsid w:val="001E161A"/>
    <w:rsid w:val="001E20BA"/>
    <w:rsid w:val="001E2371"/>
    <w:rsid w:val="001E28B5"/>
    <w:rsid w:val="001E2B45"/>
    <w:rsid w:val="001E2CF0"/>
    <w:rsid w:val="001E3491"/>
    <w:rsid w:val="001E37BA"/>
    <w:rsid w:val="001E3C9E"/>
    <w:rsid w:val="001E413A"/>
    <w:rsid w:val="001E443A"/>
    <w:rsid w:val="001E450B"/>
    <w:rsid w:val="001E46CE"/>
    <w:rsid w:val="001E4D8E"/>
    <w:rsid w:val="001E4FAB"/>
    <w:rsid w:val="001E5375"/>
    <w:rsid w:val="001E5D15"/>
    <w:rsid w:val="001E5D17"/>
    <w:rsid w:val="001E5D18"/>
    <w:rsid w:val="001E5E31"/>
    <w:rsid w:val="001E61F4"/>
    <w:rsid w:val="001E6D21"/>
    <w:rsid w:val="001E6D8F"/>
    <w:rsid w:val="001E7107"/>
    <w:rsid w:val="001E7916"/>
    <w:rsid w:val="001E7E84"/>
    <w:rsid w:val="001F004A"/>
    <w:rsid w:val="001F041F"/>
    <w:rsid w:val="001F056B"/>
    <w:rsid w:val="001F0584"/>
    <w:rsid w:val="001F077D"/>
    <w:rsid w:val="001F0A8A"/>
    <w:rsid w:val="001F137C"/>
    <w:rsid w:val="001F1B23"/>
    <w:rsid w:val="001F1BA3"/>
    <w:rsid w:val="001F1DEE"/>
    <w:rsid w:val="001F21E7"/>
    <w:rsid w:val="001F22B3"/>
    <w:rsid w:val="001F2304"/>
    <w:rsid w:val="001F2397"/>
    <w:rsid w:val="001F263E"/>
    <w:rsid w:val="001F28A9"/>
    <w:rsid w:val="001F3130"/>
    <w:rsid w:val="001F3546"/>
    <w:rsid w:val="001F367E"/>
    <w:rsid w:val="001F3921"/>
    <w:rsid w:val="001F3AEB"/>
    <w:rsid w:val="001F3FFE"/>
    <w:rsid w:val="001F45F3"/>
    <w:rsid w:val="001F4646"/>
    <w:rsid w:val="001F4AC0"/>
    <w:rsid w:val="001F4DEC"/>
    <w:rsid w:val="001F5139"/>
    <w:rsid w:val="001F55C2"/>
    <w:rsid w:val="001F55FF"/>
    <w:rsid w:val="001F56BE"/>
    <w:rsid w:val="001F58F9"/>
    <w:rsid w:val="001F5977"/>
    <w:rsid w:val="001F59FE"/>
    <w:rsid w:val="001F5B47"/>
    <w:rsid w:val="001F5BE5"/>
    <w:rsid w:val="001F5BFE"/>
    <w:rsid w:val="001F5E6E"/>
    <w:rsid w:val="001F6001"/>
    <w:rsid w:val="001F638B"/>
    <w:rsid w:val="001F68EB"/>
    <w:rsid w:val="001F6A36"/>
    <w:rsid w:val="001F6A41"/>
    <w:rsid w:val="001F7036"/>
    <w:rsid w:val="001F719C"/>
    <w:rsid w:val="001F788F"/>
    <w:rsid w:val="001F78D0"/>
    <w:rsid w:val="001F7908"/>
    <w:rsid w:val="002007F7"/>
    <w:rsid w:val="002008E6"/>
    <w:rsid w:val="00200D37"/>
    <w:rsid w:val="00200D3D"/>
    <w:rsid w:val="0020102B"/>
    <w:rsid w:val="002012F7"/>
    <w:rsid w:val="00201A34"/>
    <w:rsid w:val="00201BA6"/>
    <w:rsid w:val="00201CED"/>
    <w:rsid w:val="00201D29"/>
    <w:rsid w:val="00202146"/>
    <w:rsid w:val="0020219C"/>
    <w:rsid w:val="002021B7"/>
    <w:rsid w:val="002022AE"/>
    <w:rsid w:val="00202531"/>
    <w:rsid w:val="0020263B"/>
    <w:rsid w:val="00202899"/>
    <w:rsid w:val="00202A18"/>
    <w:rsid w:val="00202C8D"/>
    <w:rsid w:val="00202E7D"/>
    <w:rsid w:val="00202F08"/>
    <w:rsid w:val="00202F0B"/>
    <w:rsid w:val="002033AE"/>
    <w:rsid w:val="00203D7E"/>
    <w:rsid w:val="00203E61"/>
    <w:rsid w:val="00203F04"/>
    <w:rsid w:val="00204215"/>
    <w:rsid w:val="0020449B"/>
    <w:rsid w:val="00204512"/>
    <w:rsid w:val="0020453D"/>
    <w:rsid w:val="00204B7A"/>
    <w:rsid w:val="00204E1C"/>
    <w:rsid w:val="002055A3"/>
    <w:rsid w:val="00205647"/>
    <w:rsid w:val="0020632F"/>
    <w:rsid w:val="002063F4"/>
    <w:rsid w:val="002065E2"/>
    <w:rsid w:val="002065ED"/>
    <w:rsid w:val="002066A9"/>
    <w:rsid w:val="0020683A"/>
    <w:rsid w:val="002069FA"/>
    <w:rsid w:val="00207241"/>
    <w:rsid w:val="002076F7"/>
    <w:rsid w:val="0020795F"/>
    <w:rsid w:val="00207B23"/>
    <w:rsid w:val="00207BF6"/>
    <w:rsid w:val="00207BF7"/>
    <w:rsid w:val="00207C51"/>
    <w:rsid w:val="00207FDF"/>
    <w:rsid w:val="002103C8"/>
    <w:rsid w:val="0021051B"/>
    <w:rsid w:val="0021063C"/>
    <w:rsid w:val="00210AF1"/>
    <w:rsid w:val="00210F2F"/>
    <w:rsid w:val="0021109F"/>
    <w:rsid w:val="002110E1"/>
    <w:rsid w:val="0021144C"/>
    <w:rsid w:val="0021151B"/>
    <w:rsid w:val="00211554"/>
    <w:rsid w:val="002117C2"/>
    <w:rsid w:val="0021207F"/>
    <w:rsid w:val="002120ED"/>
    <w:rsid w:val="00212382"/>
    <w:rsid w:val="0021240B"/>
    <w:rsid w:val="00212436"/>
    <w:rsid w:val="0021290F"/>
    <w:rsid w:val="00212EE7"/>
    <w:rsid w:val="002136A4"/>
    <w:rsid w:val="0021397E"/>
    <w:rsid w:val="00213B2A"/>
    <w:rsid w:val="00213EE5"/>
    <w:rsid w:val="0021408B"/>
    <w:rsid w:val="002143A1"/>
    <w:rsid w:val="00214729"/>
    <w:rsid w:val="00215120"/>
    <w:rsid w:val="00215285"/>
    <w:rsid w:val="00215394"/>
    <w:rsid w:val="002154F5"/>
    <w:rsid w:val="00215733"/>
    <w:rsid w:val="00215BB5"/>
    <w:rsid w:val="00215C75"/>
    <w:rsid w:val="00215F66"/>
    <w:rsid w:val="00216575"/>
    <w:rsid w:val="00216A10"/>
    <w:rsid w:val="00216D91"/>
    <w:rsid w:val="002170E9"/>
    <w:rsid w:val="002173B4"/>
    <w:rsid w:val="00217499"/>
    <w:rsid w:val="00217C5D"/>
    <w:rsid w:val="00217D11"/>
    <w:rsid w:val="00217D28"/>
    <w:rsid w:val="0022001D"/>
    <w:rsid w:val="00220104"/>
    <w:rsid w:val="0022024E"/>
    <w:rsid w:val="00220336"/>
    <w:rsid w:val="0022057F"/>
    <w:rsid w:val="002205E2"/>
    <w:rsid w:val="002207E3"/>
    <w:rsid w:val="00220A9D"/>
    <w:rsid w:val="00220FBB"/>
    <w:rsid w:val="0022140F"/>
    <w:rsid w:val="0022193B"/>
    <w:rsid w:val="00221A5D"/>
    <w:rsid w:val="00221A7A"/>
    <w:rsid w:val="00222135"/>
    <w:rsid w:val="002221BD"/>
    <w:rsid w:val="00222217"/>
    <w:rsid w:val="0022222A"/>
    <w:rsid w:val="00222693"/>
    <w:rsid w:val="0022271C"/>
    <w:rsid w:val="00222773"/>
    <w:rsid w:val="00222C1B"/>
    <w:rsid w:val="00222DBB"/>
    <w:rsid w:val="00222E62"/>
    <w:rsid w:val="00222EA3"/>
    <w:rsid w:val="002231A1"/>
    <w:rsid w:val="002231A7"/>
    <w:rsid w:val="002231B4"/>
    <w:rsid w:val="002236B0"/>
    <w:rsid w:val="002236D2"/>
    <w:rsid w:val="002238CF"/>
    <w:rsid w:val="002239D1"/>
    <w:rsid w:val="00223A8C"/>
    <w:rsid w:val="00223B10"/>
    <w:rsid w:val="002240FB"/>
    <w:rsid w:val="00224117"/>
    <w:rsid w:val="00224512"/>
    <w:rsid w:val="0022483C"/>
    <w:rsid w:val="00224843"/>
    <w:rsid w:val="002249E7"/>
    <w:rsid w:val="0022513A"/>
    <w:rsid w:val="002252F6"/>
    <w:rsid w:val="002253EA"/>
    <w:rsid w:val="0022560A"/>
    <w:rsid w:val="0022576C"/>
    <w:rsid w:val="00225808"/>
    <w:rsid w:val="00225992"/>
    <w:rsid w:val="00226332"/>
    <w:rsid w:val="002264C9"/>
    <w:rsid w:val="002267A8"/>
    <w:rsid w:val="00226D1F"/>
    <w:rsid w:val="00226E9E"/>
    <w:rsid w:val="00226F05"/>
    <w:rsid w:val="0022712E"/>
    <w:rsid w:val="002276BF"/>
    <w:rsid w:val="00227818"/>
    <w:rsid w:val="00227819"/>
    <w:rsid w:val="00227A8B"/>
    <w:rsid w:val="00227F8C"/>
    <w:rsid w:val="0023034A"/>
    <w:rsid w:val="002303C9"/>
    <w:rsid w:val="00230664"/>
    <w:rsid w:val="00230AFA"/>
    <w:rsid w:val="00230D14"/>
    <w:rsid w:val="00231182"/>
    <w:rsid w:val="002312DD"/>
    <w:rsid w:val="00231302"/>
    <w:rsid w:val="002314DB"/>
    <w:rsid w:val="002314EC"/>
    <w:rsid w:val="00231786"/>
    <w:rsid w:val="00231DBF"/>
    <w:rsid w:val="00232373"/>
    <w:rsid w:val="00232517"/>
    <w:rsid w:val="0023276A"/>
    <w:rsid w:val="00232A61"/>
    <w:rsid w:val="00232EF1"/>
    <w:rsid w:val="00232F20"/>
    <w:rsid w:val="0023352C"/>
    <w:rsid w:val="00233773"/>
    <w:rsid w:val="0023385A"/>
    <w:rsid w:val="0023398B"/>
    <w:rsid w:val="00233C64"/>
    <w:rsid w:val="00233CBC"/>
    <w:rsid w:val="00233D95"/>
    <w:rsid w:val="00233DA1"/>
    <w:rsid w:val="00233F7B"/>
    <w:rsid w:val="002348F5"/>
    <w:rsid w:val="00235289"/>
    <w:rsid w:val="0023538C"/>
    <w:rsid w:val="0023589F"/>
    <w:rsid w:val="00235D26"/>
    <w:rsid w:val="00235E4F"/>
    <w:rsid w:val="00235E53"/>
    <w:rsid w:val="00235E91"/>
    <w:rsid w:val="0023628C"/>
    <w:rsid w:val="002363D4"/>
    <w:rsid w:val="002365A5"/>
    <w:rsid w:val="00236A09"/>
    <w:rsid w:val="00236A96"/>
    <w:rsid w:val="002371A1"/>
    <w:rsid w:val="00237316"/>
    <w:rsid w:val="00237593"/>
    <w:rsid w:val="00237699"/>
    <w:rsid w:val="00237741"/>
    <w:rsid w:val="00237836"/>
    <w:rsid w:val="00237A1C"/>
    <w:rsid w:val="00237BD4"/>
    <w:rsid w:val="00237C2C"/>
    <w:rsid w:val="00237C95"/>
    <w:rsid w:val="00237CA0"/>
    <w:rsid w:val="00237D92"/>
    <w:rsid w:val="0024052F"/>
    <w:rsid w:val="002405CD"/>
    <w:rsid w:val="0024072C"/>
    <w:rsid w:val="002407F6"/>
    <w:rsid w:val="00240A12"/>
    <w:rsid w:val="00240B12"/>
    <w:rsid w:val="00240C10"/>
    <w:rsid w:val="00240CAB"/>
    <w:rsid w:val="0024104D"/>
    <w:rsid w:val="00241D01"/>
    <w:rsid w:val="00241DD2"/>
    <w:rsid w:val="00241E74"/>
    <w:rsid w:val="00241F1C"/>
    <w:rsid w:val="00241F5A"/>
    <w:rsid w:val="00241FA5"/>
    <w:rsid w:val="00241FD1"/>
    <w:rsid w:val="002421B5"/>
    <w:rsid w:val="00242313"/>
    <w:rsid w:val="0024240C"/>
    <w:rsid w:val="002425C4"/>
    <w:rsid w:val="00242E5D"/>
    <w:rsid w:val="00242F81"/>
    <w:rsid w:val="00243476"/>
    <w:rsid w:val="0024347F"/>
    <w:rsid w:val="002435BF"/>
    <w:rsid w:val="002439EF"/>
    <w:rsid w:val="00243F7D"/>
    <w:rsid w:val="00243FC8"/>
    <w:rsid w:val="00243FE0"/>
    <w:rsid w:val="00244013"/>
    <w:rsid w:val="002441F7"/>
    <w:rsid w:val="0024477A"/>
    <w:rsid w:val="0024498C"/>
    <w:rsid w:val="00244D22"/>
    <w:rsid w:val="00244FFB"/>
    <w:rsid w:val="00245002"/>
    <w:rsid w:val="00245296"/>
    <w:rsid w:val="00245370"/>
    <w:rsid w:val="00245558"/>
    <w:rsid w:val="00245B2B"/>
    <w:rsid w:val="00245F52"/>
    <w:rsid w:val="00245F74"/>
    <w:rsid w:val="002460BD"/>
    <w:rsid w:val="002460EF"/>
    <w:rsid w:val="0024619B"/>
    <w:rsid w:val="002461AD"/>
    <w:rsid w:val="00246444"/>
    <w:rsid w:val="00246505"/>
    <w:rsid w:val="00246AE5"/>
    <w:rsid w:val="00247288"/>
    <w:rsid w:val="002507F3"/>
    <w:rsid w:val="00250890"/>
    <w:rsid w:val="002509B4"/>
    <w:rsid w:val="00250B98"/>
    <w:rsid w:val="00250CA3"/>
    <w:rsid w:val="0025116D"/>
    <w:rsid w:val="0025154F"/>
    <w:rsid w:val="00252760"/>
    <w:rsid w:val="00252765"/>
    <w:rsid w:val="0025296B"/>
    <w:rsid w:val="00252FE7"/>
    <w:rsid w:val="00253569"/>
    <w:rsid w:val="0025395F"/>
    <w:rsid w:val="00253D3F"/>
    <w:rsid w:val="00253F0E"/>
    <w:rsid w:val="00254065"/>
    <w:rsid w:val="00254511"/>
    <w:rsid w:val="0025483D"/>
    <w:rsid w:val="0025489A"/>
    <w:rsid w:val="002548B8"/>
    <w:rsid w:val="00254A44"/>
    <w:rsid w:val="00254B35"/>
    <w:rsid w:val="00254D0A"/>
    <w:rsid w:val="00255290"/>
    <w:rsid w:val="00255389"/>
    <w:rsid w:val="00255501"/>
    <w:rsid w:val="002555F2"/>
    <w:rsid w:val="00255987"/>
    <w:rsid w:val="00256881"/>
    <w:rsid w:val="00256A50"/>
    <w:rsid w:val="00256DAB"/>
    <w:rsid w:val="002571F6"/>
    <w:rsid w:val="00257462"/>
    <w:rsid w:val="00257888"/>
    <w:rsid w:val="00257B54"/>
    <w:rsid w:val="00260102"/>
    <w:rsid w:val="00260267"/>
    <w:rsid w:val="002602CA"/>
    <w:rsid w:val="002603C2"/>
    <w:rsid w:val="00260674"/>
    <w:rsid w:val="0026097A"/>
    <w:rsid w:val="00260F02"/>
    <w:rsid w:val="002612B4"/>
    <w:rsid w:val="0026144C"/>
    <w:rsid w:val="002623DF"/>
    <w:rsid w:val="0026281D"/>
    <w:rsid w:val="002628E6"/>
    <w:rsid w:val="002629A7"/>
    <w:rsid w:val="002634FB"/>
    <w:rsid w:val="00263A99"/>
    <w:rsid w:val="00263B5A"/>
    <w:rsid w:val="00263BFD"/>
    <w:rsid w:val="00263C15"/>
    <w:rsid w:val="00263CB2"/>
    <w:rsid w:val="002643AF"/>
    <w:rsid w:val="002644B8"/>
    <w:rsid w:val="00264A21"/>
    <w:rsid w:val="00264A81"/>
    <w:rsid w:val="00264BE1"/>
    <w:rsid w:val="00264E6F"/>
    <w:rsid w:val="00265046"/>
    <w:rsid w:val="00265D46"/>
    <w:rsid w:val="00265F72"/>
    <w:rsid w:val="0026616B"/>
    <w:rsid w:val="0026646B"/>
    <w:rsid w:val="00266541"/>
    <w:rsid w:val="0026690D"/>
    <w:rsid w:val="00266923"/>
    <w:rsid w:val="00266A2F"/>
    <w:rsid w:val="00266F3A"/>
    <w:rsid w:val="00266FDC"/>
    <w:rsid w:val="002670E1"/>
    <w:rsid w:val="0026721D"/>
    <w:rsid w:val="00267335"/>
    <w:rsid w:val="00267408"/>
    <w:rsid w:val="00267534"/>
    <w:rsid w:val="00267641"/>
    <w:rsid w:val="0026776A"/>
    <w:rsid w:val="0026793B"/>
    <w:rsid w:val="00267DDE"/>
    <w:rsid w:val="00267FEE"/>
    <w:rsid w:val="0027037D"/>
    <w:rsid w:val="002704FB"/>
    <w:rsid w:val="00270525"/>
    <w:rsid w:val="00270918"/>
    <w:rsid w:val="00270C3D"/>
    <w:rsid w:val="00270E9F"/>
    <w:rsid w:val="0027116E"/>
    <w:rsid w:val="00271184"/>
    <w:rsid w:val="002715C9"/>
    <w:rsid w:val="002717AD"/>
    <w:rsid w:val="002717EB"/>
    <w:rsid w:val="0027195C"/>
    <w:rsid w:val="00271A6F"/>
    <w:rsid w:val="00271C5F"/>
    <w:rsid w:val="002724E2"/>
    <w:rsid w:val="00272560"/>
    <w:rsid w:val="00272698"/>
    <w:rsid w:val="00272A0D"/>
    <w:rsid w:val="00272A70"/>
    <w:rsid w:val="00272ED0"/>
    <w:rsid w:val="00272FA9"/>
    <w:rsid w:val="00273023"/>
    <w:rsid w:val="002730B6"/>
    <w:rsid w:val="0027336C"/>
    <w:rsid w:val="002733B1"/>
    <w:rsid w:val="002735F1"/>
    <w:rsid w:val="00273CA3"/>
    <w:rsid w:val="00273D61"/>
    <w:rsid w:val="00273E40"/>
    <w:rsid w:val="002741FB"/>
    <w:rsid w:val="0027459A"/>
    <w:rsid w:val="00274A43"/>
    <w:rsid w:val="00274E4A"/>
    <w:rsid w:val="00275826"/>
    <w:rsid w:val="00275A1A"/>
    <w:rsid w:val="002761E5"/>
    <w:rsid w:val="002761F0"/>
    <w:rsid w:val="002763F4"/>
    <w:rsid w:val="002764EE"/>
    <w:rsid w:val="002768DE"/>
    <w:rsid w:val="002769B5"/>
    <w:rsid w:val="00276C84"/>
    <w:rsid w:val="002774B2"/>
    <w:rsid w:val="002774F4"/>
    <w:rsid w:val="00277D14"/>
    <w:rsid w:val="0028031D"/>
    <w:rsid w:val="00280798"/>
    <w:rsid w:val="00280F0E"/>
    <w:rsid w:val="00281019"/>
    <w:rsid w:val="0028122F"/>
    <w:rsid w:val="00281628"/>
    <w:rsid w:val="00281AD2"/>
    <w:rsid w:val="00281C8A"/>
    <w:rsid w:val="002820E5"/>
    <w:rsid w:val="002821E3"/>
    <w:rsid w:val="002823AD"/>
    <w:rsid w:val="00282A77"/>
    <w:rsid w:val="00282CF2"/>
    <w:rsid w:val="00283305"/>
    <w:rsid w:val="00283495"/>
    <w:rsid w:val="00283B14"/>
    <w:rsid w:val="00283DFF"/>
    <w:rsid w:val="002840DC"/>
    <w:rsid w:val="00284246"/>
    <w:rsid w:val="0028461A"/>
    <w:rsid w:val="00284A6C"/>
    <w:rsid w:val="00284D3B"/>
    <w:rsid w:val="0028534A"/>
    <w:rsid w:val="0028556C"/>
    <w:rsid w:val="00285AB7"/>
    <w:rsid w:val="00285C45"/>
    <w:rsid w:val="00286463"/>
    <w:rsid w:val="00286489"/>
    <w:rsid w:val="002864A7"/>
    <w:rsid w:val="002865AA"/>
    <w:rsid w:val="002865F0"/>
    <w:rsid w:val="002866B2"/>
    <w:rsid w:val="0028675C"/>
    <w:rsid w:val="00286773"/>
    <w:rsid w:val="00286954"/>
    <w:rsid w:val="00286AD1"/>
    <w:rsid w:val="00286C01"/>
    <w:rsid w:val="00286CAC"/>
    <w:rsid w:val="00287224"/>
    <w:rsid w:val="00287ABA"/>
    <w:rsid w:val="00287E47"/>
    <w:rsid w:val="00287FE6"/>
    <w:rsid w:val="00290133"/>
    <w:rsid w:val="00290166"/>
    <w:rsid w:val="0029068D"/>
    <w:rsid w:val="0029094F"/>
    <w:rsid w:val="00290B13"/>
    <w:rsid w:val="00290C81"/>
    <w:rsid w:val="00290D64"/>
    <w:rsid w:val="00290E7D"/>
    <w:rsid w:val="00290F02"/>
    <w:rsid w:val="0029115E"/>
    <w:rsid w:val="002916B8"/>
    <w:rsid w:val="00291C3B"/>
    <w:rsid w:val="00291E16"/>
    <w:rsid w:val="002920D3"/>
    <w:rsid w:val="002923B1"/>
    <w:rsid w:val="002923DF"/>
    <w:rsid w:val="00292A5D"/>
    <w:rsid w:val="00292AD7"/>
    <w:rsid w:val="00292C9D"/>
    <w:rsid w:val="00292DD7"/>
    <w:rsid w:val="00292E21"/>
    <w:rsid w:val="00293272"/>
    <w:rsid w:val="002934A9"/>
    <w:rsid w:val="00293D74"/>
    <w:rsid w:val="0029408A"/>
    <w:rsid w:val="002943C0"/>
    <w:rsid w:val="00294460"/>
    <w:rsid w:val="00294F0C"/>
    <w:rsid w:val="00294F64"/>
    <w:rsid w:val="0029536B"/>
    <w:rsid w:val="0029547F"/>
    <w:rsid w:val="0029557F"/>
    <w:rsid w:val="002955FB"/>
    <w:rsid w:val="00295671"/>
    <w:rsid w:val="0029589D"/>
    <w:rsid w:val="00295E23"/>
    <w:rsid w:val="00295F49"/>
    <w:rsid w:val="002961BE"/>
    <w:rsid w:val="00296428"/>
    <w:rsid w:val="00296494"/>
    <w:rsid w:val="002966FE"/>
    <w:rsid w:val="002968D7"/>
    <w:rsid w:val="00296A18"/>
    <w:rsid w:val="00296B93"/>
    <w:rsid w:val="00296D66"/>
    <w:rsid w:val="002977BA"/>
    <w:rsid w:val="0029783B"/>
    <w:rsid w:val="0029792D"/>
    <w:rsid w:val="002979A5"/>
    <w:rsid w:val="00297CB8"/>
    <w:rsid w:val="00297E9D"/>
    <w:rsid w:val="002A04CD"/>
    <w:rsid w:val="002A0992"/>
    <w:rsid w:val="002A0D60"/>
    <w:rsid w:val="002A12FB"/>
    <w:rsid w:val="002A1542"/>
    <w:rsid w:val="002A1920"/>
    <w:rsid w:val="002A1987"/>
    <w:rsid w:val="002A1C34"/>
    <w:rsid w:val="002A1D0A"/>
    <w:rsid w:val="002A1F67"/>
    <w:rsid w:val="002A2012"/>
    <w:rsid w:val="002A21E3"/>
    <w:rsid w:val="002A2464"/>
    <w:rsid w:val="002A2483"/>
    <w:rsid w:val="002A285C"/>
    <w:rsid w:val="002A28F1"/>
    <w:rsid w:val="002A2BB5"/>
    <w:rsid w:val="002A2D00"/>
    <w:rsid w:val="002A2F17"/>
    <w:rsid w:val="002A2FE1"/>
    <w:rsid w:val="002A307F"/>
    <w:rsid w:val="002A322F"/>
    <w:rsid w:val="002A330E"/>
    <w:rsid w:val="002A33EA"/>
    <w:rsid w:val="002A345E"/>
    <w:rsid w:val="002A3762"/>
    <w:rsid w:val="002A3A17"/>
    <w:rsid w:val="002A3ECC"/>
    <w:rsid w:val="002A4315"/>
    <w:rsid w:val="002A45B2"/>
    <w:rsid w:val="002A46C1"/>
    <w:rsid w:val="002A46D3"/>
    <w:rsid w:val="002A484A"/>
    <w:rsid w:val="002A49E4"/>
    <w:rsid w:val="002A4EEA"/>
    <w:rsid w:val="002A5034"/>
    <w:rsid w:val="002A5072"/>
    <w:rsid w:val="002A5226"/>
    <w:rsid w:val="002A54B7"/>
    <w:rsid w:val="002A57E4"/>
    <w:rsid w:val="002A5E34"/>
    <w:rsid w:val="002A6369"/>
    <w:rsid w:val="002A683E"/>
    <w:rsid w:val="002A69BA"/>
    <w:rsid w:val="002A6DF4"/>
    <w:rsid w:val="002A761F"/>
    <w:rsid w:val="002A7748"/>
    <w:rsid w:val="002A7A03"/>
    <w:rsid w:val="002A7A4C"/>
    <w:rsid w:val="002A7A90"/>
    <w:rsid w:val="002A7BBF"/>
    <w:rsid w:val="002A7DD8"/>
    <w:rsid w:val="002B0093"/>
    <w:rsid w:val="002B0133"/>
    <w:rsid w:val="002B089C"/>
    <w:rsid w:val="002B0B67"/>
    <w:rsid w:val="002B0E09"/>
    <w:rsid w:val="002B115E"/>
    <w:rsid w:val="002B1396"/>
    <w:rsid w:val="002B1604"/>
    <w:rsid w:val="002B1736"/>
    <w:rsid w:val="002B1DDD"/>
    <w:rsid w:val="002B208B"/>
    <w:rsid w:val="002B21E7"/>
    <w:rsid w:val="002B21FA"/>
    <w:rsid w:val="002B2452"/>
    <w:rsid w:val="002B2466"/>
    <w:rsid w:val="002B29BE"/>
    <w:rsid w:val="002B2C8C"/>
    <w:rsid w:val="002B2E8B"/>
    <w:rsid w:val="002B3139"/>
    <w:rsid w:val="002B32F9"/>
    <w:rsid w:val="002B421D"/>
    <w:rsid w:val="002B435A"/>
    <w:rsid w:val="002B4AC9"/>
    <w:rsid w:val="002B4AEC"/>
    <w:rsid w:val="002B4EB5"/>
    <w:rsid w:val="002B5306"/>
    <w:rsid w:val="002B553A"/>
    <w:rsid w:val="002B5B9A"/>
    <w:rsid w:val="002B5D85"/>
    <w:rsid w:val="002B5F6C"/>
    <w:rsid w:val="002B6019"/>
    <w:rsid w:val="002B6210"/>
    <w:rsid w:val="002B635A"/>
    <w:rsid w:val="002B636E"/>
    <w:rsid w:val="002B642D"/>
    <w:rsid w:val="002B646F"/>
    <w:rsid w:val="002B6B92"/>
    <w:rsid w:val="002B7024"/>
    <w:rsid w:val="002B75D2"/>
    <w:rsid w:val="002B7630"/>
    <w:rsid w:val="002B7885"/>
    <w:rsid w:val="002B7AFD"/>
    <w:rsid w:val="002B7E03"/>
    <w:rsid w:val="002B7EAC"/>
    <w:rsid w:val="002B7EFD"/>
    <w:rsid w:val="002B7F9C"/>
    <w:rsid w:val="002C03E6"/>
    <w:rsid w:val="002C0679"/>
    <w:rsid w:val="002C06F3"/>
    <w:rsid w:val="002C09DA"/>
    <w:rsid w:val="002C0A70"/>
    <w:rsid w:val="002C0B65"/>
    <w:rsid w:val="002C0B8D"/>
    <w:rsid w:val="002C0D01"/>
    <w:rsid w:val="002C0D2E"/>
    <w:rsid w:val="002C0D80"/>
    <w:rsid w:val="002C10F4"/>
    <w:rsid w:val="002C135E"/>
    <w:rsid w:val="002C142B"/>
    <w:rsid w:val="002C16A2"/>
    <w:rsid w:val="002C16C7"/>
    <w:rsid w:val="002C18C2"/>
    <w:rsid w:val="002C1AC9"/>
    <w:rsid w:val="002C1D33"/>
    <w:rsid w:val="002C2101"/>
    <w:rsid w:val="002C21A6"/>
    <w:rsid w:val="002C2255"/>
    <w:rsid w:val="002C238C"/>
    <w:rsid w:val="002C25FC"/>
    <w:rsid w:val="002C260E"/>
    <w:rsid w:val="002C2868"/>
    <w:rsid w:val="002C2D4B"/>
    <w:rsid w:val="002C372E"/>
    <w:rsid w:val="002C384C"/>
    <w:rsid w:val="002C3BF4"/>
    <w:rsid w:val="002C4370"/>
    <w:rsid w:val="002C481C"/>
    <w:rsid w:val="002C49C4"/>
    <w:rsid w:val="002C49CC"/>
    <w:rsid w:val="002C4A1D"/>
    <w:rsid w:val="002C4D0D"/>
    <w:rsid w:val="002C4FCD"/>
    <w:rsid w:val="002C524C"/>
    <w:rsid w:val="002C5623"/>
    <w:rsid w:val="002C56CC"/>
    <w:rsid w:val="002C6082"/>
    <w:rsid w:val="002C643B"/>
    <w:rsid w:val="002C6D39"/>
    <w:rsid w:val="002C6D9E"/>
    <w:rsid w:val="002C6F14"/>
    <w:rsid w:val="002C7011"/>
    <w:rsid w:val="002C7B45"/>
    <w:rsid w:val="002D00EA"/>
    <w:rsid w:val="002D0371"/>
    <w:rsid w:val="002D0783"/>
    <w:rsid w:val="002D0A98"/>
    <w:rsid w:val="002D1382"/>
    <w:rsid w:val="002D149A"/>
    <w:rsid w:val="002D17C6"/>
    <w:rsid w:val="002D19F1"/>
    <w:rsid w:val="002D1A6B"/>
    <w:rsid w:val="002D1B4F"/>
    <w:rsid w:val="002D1B6A"/>
    <w:rsid w:val="002D1C0C"/>
    <w:rsid w:val="002D1D3D"/>
    <w:rsid w:val="002D23A2"/>
    <w:rsid w:val="002D2488"/>
    <w:rsid w:val="002D2662"/>
    <w:rsid w:val="002D2849"/>
    <w:rsid w:val="002D2ADD"/>
    <w:rsid w:val="002D2CD9"/>
    <w:rsid w:val="002D2DAE"/>
    <w:rsid w:val="002D2DEE"/>
    <w:rsid w:val="002D309D"/>
    <w:rsid w:val="002D3205"/>
    <w:rsid w:val="002D32D4"/>
    <w:rsid w:val="002D3609"/>
    <w:rsid w:val="002D38FA"/>
    <w:rsid w:val="002D4026"/>
    <w:rsid w:val="002D4030"/>
    <w:rsid w:val="002D4453"/>
    <w:rsid w:val="002D46F2"/>
    <w:rsid w:val="002D4DC1"/>
    <w:rsid w:val="002D4ECD"/>
    <w:rsid w:val="002D4F3B"/>
    <w:rsid w:val="002D50AE"/>
    <w:rsid w:val="002D5242"/>
    <w:rsid w:val="002D5A02"/>
    <w:rsid w:val="002D5D7C"/>
    <w:rsid w:val="002D5F58"/>
    <w:rsid w:val="002D6008"/>
    <w:rsid w:val="002D615A"/>
    <w:rsid w:val="002D6328"/>
    <w:rsid w:val="002D6360"/>
    <w:rsid w:val="002D64D1"/>
    <w:rsid w:val="002D65AB"/>
    <w:rsid w:val="002D6867"/>
    <w:rsid w:val="002D690E"/>
    <w:rsid w:val="002D6BA4"/>
    <w:rsid w:val="002D6BDB"/>
    <w:rsid w:val="002D6C3F"/>
    <w:rsid w:val="002D6DA1"/>
    <w:rsid w:val="002D745F"/>
    <w:rsid w:val="002D75DE"/>
    <w:rsid w:val="002D7AE8"/>
    <w:rsid w:val="002D7B9A"/>
    <w:rsid w:val="002E0129"/>
    <w:rsid w:val="002E02B6"/>
    <w:rsid w:val="002E0734"/>
    <w:rsid w:val="002E098C"/>
    <w:rsid w:val="002E0AB1"/>
    <w:rsid w:val="002E0BBD"/>
    <w:rsid w:val="002E11E2"/>
    <w:rsid w:val="002E13C2"/>
    <w:rsid w:val="002E195C"/>
    <w:rsid w:val="002E1AD6"/>
    <w:rsid w:val="002E1C89"/>
    <w:rsid w:val="002E1F71"/>
    <w:rsid w:val="002E2109"/>
    <w:rsid w:val="002E26C9"/>
    <w:rsid w:val="002E285A"/>
    <w:rsid w:val="002E287E"/>
    <w:rsid w:val="002E2A79"/>
    <w:rsid w:val="002E2B20"/>
    <w:rsid w:val="002E2BDA"/>
    <w:rsid w:val="002E2E68"/>
    <w:rsid w:val="002E2E9D"/>
    <w:rsid w:val="002E30D6"/>
    <w:rsid w:val="002E3123"/>
    <w:rsid w:val="002E3470"/>
    <w:rsid w:val="002E3490"/>
    <w:rsid w:val="002E3509"/>
    <w:rsid w:val="002E3CB8"/>
    <w:rsid w:val="002E3F44"/>
    <w:rsid w:val="002E3F9E"/>
    <w:rsid w:val="002E404B"/>
    <w:rsid w:val="002E41A6"/>
    <w:rsid w:val="002E4B0A"/>
    <w:rsid w:val="002E4CD8"/>
    <w:rsid w:val="002E4EB6"/>
    <w:rsid w:val="002E4F36"/>
    <w:rsid w:val="002E525B"/>
    <w:rsid w:val="002E5822"/>
    <w:rsid w:val="002E5AA9"/>
    <w:rsid w:val="002E5E00"/>
    <w:rsid w:val="002E5E44"/>
    <w:rsid w:val="002E613E"/>
    <w:rsid w:val="002E63FA"/>
    <w:rsid w:val="002E68F0"/>
    <w:rsid w:val="002E72D3"/>
    <w:rsid w:val="002E73B3"/>
    <w:rsid w:val="002F02D0"/>
    <w:rsid w:val="002F0883"/>
    <w:rsid w:val="002F09A5"/>
    <w:rsid w:val="002F0D91"/>
    <w:rsid w:val="002F104E"/>
    <w:rsid w:val="002F10A9"/>
    <w:rsid w:val="002F1185"/>
    <w:rsid w:val="002F11C2"/>
    <w:rsid w:val="002F11E2"/>
    <w:rsid w:val="002F181B"/>
    <w:rsid w:val="002F19E7"/>
    <w:rsid w:val="002F25DF"/>
    <w:rsid w:val="002F2659"/>
    <w:rsid w:val="002F26FF"/>
    <w:rsid w:val="002F274F"/>
    <w:rsid w:val="002F3645"/>
    <w:rsid w:val="002F3888"/>
    <w:rsid w:val="002F38EA"/>
    <w:rsid w:val="002F3B80"/>
    <w:rsid w:val="002F3EA1"/>
    <w:rsid w:val="002F4263"/>
    <w:rsid w:val="002F49AD"/>
    <w:rsid w:val="002F4BAD"/>
    <w:rsid w:val="002F5397"/>
    <w:rsid w:val="002F5A4B"/>
    <w:rsid w:val="002F5E1F"/>
    <w:rsid w:val="002F6120"/>
    <w:rsid w:val="002F66F5"/>
    <w:rsid w:val="002F70B1"/>
    <w:rsid w:val="002F7270"/>
    <w:rsid w:val="002F7353"/>
    <w:rsid w:val="002F74B3"/>
    <w:rsid w:val="002F7673"/>
    <w:rsid w:val="002F7761"/>
    <w:rsid w:val="002F77E0"/>
    <w:rsid w:val="002F7AFA"/>
    <w:rsid w:val="002F7EA2"/>
    <w:rsid w:val="0030007E"/>
    <w:rsid w:val="00300557"/>
    <w:rsid w:val="0030094B"/>
    <w:rsid w:val="00300C45"/>
    <w:rsid w:val="00300CF9"/>
    <w:rsid w:val="00300EF5"/>
    <w:rsid w:val="0030107A"/>
    <w:rsid w:val="00301241"/>
    <w:rsid w:val="003016D4"/>
    <w:rsid w:val="00301B0B"/>
    <w:rsid w:val="00301F5A"/>
    <w:rsid w:val="00301FBD"/>
    <w:rsid w:val="003024E1"/>
    <w:rsid w:val="003025B4"/>
    <w:rsid w:val="003025ED"/>
    <w:rsid w:val="00302774"/>
    <w:rsid w:val="00302B87"/>
    <w:rsid w:val="00302E84"/>
    <w:rsid w:val="00302E8C"/>
    <w:rsid w:val="00302F31"/>
    <w:rsid w:val="003033DD"/>
    <w:rsid w:val="0030351A"/>
    <w:rsid w:val="0030365F"/>
    <w:rsid w:val="0030390D"/>
    <w:rsid w:val="0030395E"/>
    <w:rsid w:val="00303CF4"/>
    <w:rsid w:val="00303D47"/>
    <w:rsid w:val="00303DD1"/>
    <w:rsid w:val="0030486F"/>
    <w:rsid w:val="003048F2"/>
    <w:rsid w:val="00304945"/>
    <w:rsid w:val="00304FB0"/>
    <w:rsid w:val="003051A7"/>
    <w:rsid w:val="003052EC"/>
    <w:rsid w:val="00305324"/>
    <w:rsid w:val="00305444"/>
    <w:rsid w:val="003054F4"/>
    <w:rsid w:val="00305816"/>
    <w:rsid w:val="00305872"/>
    <w:rsid w:val="00305C67"/>
    <w:rsid w:val="00305CD1"/>
    <w:rsid w:val="00305DBD"/>
    <w:rsid w:val="00305E84"/>
    <w:rsid w:val="00305FA6"/>
    <w:rsid w:val="00306141"/>
    <w:rsid w:val="0030647A"/>
    <w:rsid w:val="00306C0F"/>
    <w:rsid w:val="00306D99"/>
    <w:rsid w:val="003070DF"/>
    <w:rsid w:val="00307376"/>
    <w:rsid w:val="00307672"/>
    <w:rsid w:val="003078DB"/>
    <w:rsid w:val="00307A3A"/>
    <w:rsid w:val="00307BED"/>
    <w:rsid w:val="00307D45"/>
    <w:rsid w:val="00307D98"/>
    <w:rsid w:val="0031024E"/>
    <w:rsid w:val="003102D6"/>
    <w:rsid w:val="0031066A"/>
    <w:rsid w:val="00310739"/>
    <w:rsid w:val="003108DB"/>
    <w:rsid w:val="00310989"/>
    <w:rsid w:val="00310AF3"/>
    <w:rsid w:val="00310E51"/>
    <w:rsid w:val="003110EA"/>
    <w:rsid w:val="00311106"/>
    <w:rsid w:val="003111F4"/>
    <w:rsid w:val="0031165C"/>
    <w:rsid w:val="0031177E"/>
    <w:rsid w:val="00311CFD"/>
    <w:rsid w:val="00311FFD"/>
    <w:rsid w:val="0031208B"/>
    <w:rsid w:val="00312140"/>
    <w:rsid w:val="003124D9"/>
    <w:rsid w:val="003125E3"/>
    <w:rsid w:val="00312609"/>
    <w:rsid w:val="003128BA"/>
    <w:rsid w:val="003134A5"/>
    <w:rsid w:val="003135AF"/>
    <w:rsid w:val="0031361E"/>
    <w:rsid w:val="00313A3A"/>
    <w:rsid w:val="00313BB3"/>
    <w:rsid w:val="00313E28"/>
    <w:rsid w:val="0031433D"/>
    <w:rsid w:val="0031446F"/>
    <w:rsid w:val="00314627"/>
    <w:rsid w:val="003148D8"/>
    <w:rsid w:val="0031492C"/>
    <w:rsid w:val="00314B5C"/>
    <w:rsid w:val="00314CF8"/>
    <w:rsid w:val="00314E99"/>
    <w:rsid w:val="003157DF"/>
    <w:rsid w:val="003159D6"/>
    <w:rsid w:val="00315D6D"/>
    <w:rsid w:val="00316942"/>
    <w:rsid w:val="00316A69"/>
    <w:rsid w:val="00316AB3"/>
    <w:rsid w:val="00316CB4"/>
    <w:rsid w:val="00317055"/>
    <w:rsid w:val="0031708E"/>
    <w:rsid w:val="003170B0"/>
    <w:rsid w:val="0031733A"/>
    <w:rsid w:val="0031740F"/>
    <w:rsid w:val="0031764C"/>
    <w:rsid w:val="00317911"/>
    <w:rsid w:val="00317ED7"/>
    <w:rsid w:val="003200FD"/>
    <w:rsid w:val="003202FA"/>
    <w:rsid w:val="00320334"/>
    <w:rsid w:val="0032067E"/>
    <w:rsid w:val="003206F5"/>
    <w:rsid w:val="00320702"/>
    <w:rsid w:val="00320B9E"/>
    <w:rsid w:val="00320BC8"/>
    <w:rsid w:val="00321022"/>
    <w:rsid w:val="003211AA"/>
    <w:rsid w:val="00321206"/>
    <w:rsid w:val="0032120B"/>
    <w:rsid w:val="003218AC"/>
    <w:rsid w:val="003219FD"/>
    <w:rsid w:val="00321C91"/>
    <w:rsid w:val="00322141"/>
    <w:rsid w:val="003221D1"/>
    <w:rsid w:val="0032224E"/>
    <w:rsid w:val="003222A6"/>
    <w:rsid w:val="0032247A"/>
    <w:rsid w:val="00322ABB"/>
    <w:rsid w:val="00322C19"/>
    <w:rsid w:val="003231AB"/>
    <w:rsid w:val="003237EF"/>
    <w:rsid w:val="00323933"/>
    <w:rsid w:val="00324169"/>
    <w:rsid w:val="0032449A"/>
    <w:rsid w:val="00324678"/>
    <w:rsid w:val="003248E8"/>
    <w:rsid w:val="00324997"/>
    <w:rsid w:val="00324B12"/>
    <w:rsid w:val="00324BF4"/>
    <w:rsid w:val="00324E16"/>
    <w:rsid w:val="0032533A"/>
    <w:rsid w:val="0032578C"/>
    <w:rsid w:val="00325836"/>
    <w:rsid w:val="0032584F"/>
    <w:rsid w:val="00325CA0"/>
    <w:rsid w:val="00325CE8"/>
    <w:rsid w:val="003262B7"/>
    <w:rsid w:val="003262BA"/>
    <w:rsid w:val="003263C0"/>
    <w:rsid w:val="00326AB5"/>
    <w:rsid w:val="00326D14"/>
    <w:rsid w:val="00326F70"/>
    <w:rsid w:val="003271EA"/>
    <w:rsid w:val="00327262"/>
    <w:rsid w:val="003276A4"/>
    <w:rsid w:val="00327BBA"/>
    <w:rsid w:val="003303B8"/>
    <w:rsid w:val="00330426"/>
    <w:rsid w:val="00330931"/>
    <w:rsid w:val="0033093D"/>
    <w:rsid w:val="0033093E"/>
    <w:rsid w:val="00330F91"/>
    <w:rsid w:val="00331384"/>
    <w:rsid w:val="003317DC"/>
    <w:rsid w:val="00331F96"/>
    <w:rsid w:val="00331FFD"/>
    <w:rsid w:val="003320BD"/>
    <w:rsid w:val="0033278F"/>
    <w:rsid w:val="003329EC"/>
    <w:rsid w:val="00332B63"/>
    <w:rsid w:val="003330D1"/>
    <w:rsid w:val="0033315A"/>
    <w:rsid w:val="00333392"/>
    <w:rsid w:val="00333427"/>
    <w:rsid w:val="00333650"/>
    <w:rsid w:val="003336A8"/>
    <w:rsid w:val="00333A17"/>
    <w:rsid w:val="00333B95"/>
    <w:rsid w:val="00333BD0"/>
    <w:rsid w:val="00333C72"/>
    <w:rsid w:val="00333CD8"/>
    <w:rsid w:val="00333F45"/>
    <w:rsid w:val="0033418A"/>
    <w:rsid w:val="00334257"/>
    <w:rsid w:val="00334312"/>
    <w:rsid w:val="00334333"/>
    <w:rsid w:val="003347E2"/>
    <w:rsid w:val="00334C55"/>
    <w:rsid w:val="0033503F"/>
    <w:rsid w:val="00335237"/>
    <w:rsid w:val="0033560B"/>
    <w:rsid w:val="003359ED"/>
    <w:rsid w:val="00335A43"/>
    <w:rsid w:val="00335B32"/>
    <w:rsid w:val="00335BA6"/>
    <w:rsid w:val="00336057"/>
    <w:rsid w:val="0033620C"/>
    <w:rsid w:val="00336435"/>
    <w:rsid w:val="00336474"/>
    <w:rsid w:val="003364FE"/>
    <w:rsid w:val="003367A0"/>
    <w:rsid w:val="003367F3"/>
    <w:rsid w:val="00336A43"/>
    <w:rsid w:val="00336A46"/>
    <w:rsid w:val="00336AE7"/>
    <w:rsid w:val="00336BBB"/>
    <w:rsid w:val="00336DD6"/>
    <w:rsid w:val="003371D1"/>
    <w:rsid w:val="00337243"/>
    <w:rsid w:val="00337414"/>
    <w:rsid w:val="00337699"/>
    <w:rsid w:val="00337914"/>
    <w:rsid w:val="00337D45"/>
    <w:rsid w:val="00337F1E"/>
    <w:rsid w:val="003402BB"/>
    <w:rsid w:val="00340481"/>
    <w:rsid w:val="00340E49"/>
    <w:rsid w:val="00340F3F"/>
    <w:rsid w:val="00341030"/>
    <w:rsid w:val="003411B8"/>
    <w:rsid w:val="00341270"/>
    <w:rsid w:val="00341475"/>
    <w:rsid w:val="00341742"/>
    <w:rsid w:val="00341DFB"/>
    <w:rsid w:val="00341E43"/>
    <w:rsid w:val="003421A2"/>
    <w:rsid w:val="00342208"/>
    <w:rsid w:val="003422F5"/>
    <w:rsid w:val="00342F39"/>
    <w:rsid w:val="00342FE1"/>
    <w:rsid w:val="003431BB"/>
    <w:rsid w:val="00343334"/>
    <w:rsid w:val="0034335B"/>
    <w:rsid w:val="003435BA"/>
    <w:rsid w:val="003436F2"/>
    <w:rsid w:val="00343F85"/>
    <w:rsid w:val="00343FFB"/>
    <w:rsid w:val="0034419E"/>
    <w:rsid w:val="003442A4"/>
    <w:rsid w:val="003446D6"/>
    <w:rsid w:val="00344CC3"/>
    <w:rsid w:val="00344D86"/>
    <w:rsid w:val="00344F6B"/>
    <w:rsid w:val="0034526B"/>
    <w:rsid w:val="0034528B"/>
    <w:rsid w:val="0034547A"/>
    <w:rsid w:val="003455E0"/>
    <w:rsid w:val="00345751"/>
    <w:rsid w:val="00345AAB"/>
    <w:rsid w:val="00345CC4"/>
    <w:rsid w:val="00345E74"/>
    <w:rsid w:val="00345F9E"/>
    <w:rsid w:val="00346008"/>
    <w:rsid w:val="00346067"/>
    <w:rsid w:val="0034620E"/>
    <w:rsid w:val="003462C8"/>
    <w:rsid w:val="003469F5"/>
    <w:rsid w:val="00346A38"/>
    <w:rsid w:val="00346E3A"/>
    <w:rsid w:val="00346E50"/>
    <w:rsid w:val="00347208"/>
    <w:rsid w:val="003473A9"/>
    <w:rsid w:val="003479C5"/>
    <w:rsid w:val="00347F18"/>
    <w:rsid w:val="00347FD9"/>
    <w:rsid w:val="00350069"/>
    <w:rsid w:val="0035017A"/>
    <w:rsid w:val="003501AA"/>
    <w:rsid w:val="003504A5"/>
    <w:rsid w:val="00350669"/>
    <w:rsid w:val="00350BD2"/>
    <w:rsid w:val="00351734"/>
    <w:rsid w:val="00351A8B"/>
    <w:rsid w:val="00351E1E"/>
    <w:rsid w:val="00351FA6"/>
    <w:rsid w:val="00352156"/>
    <w:rsid w:val="0035256A"/>
    <w:rsid w:val="003525B0"/>
    <w:rsid w:val="00352650"/>
    <w:rsid w:val="0035275B"/>
    <w:rsid w:val="003529EF"/>
    <w:rsid w:val="00352DC1"/>
    <w:rsid w:val="00352F7D"/>
    <w:rsid w:val="003535D8"/>
    <w:rsid w:val="00353A13"/>
    <w:rsid w:val="00354089"/>
    <w:rsid w:val="003540CA"/>
    <w:rsid w:val="003544BD"/>
    <w:rsid w:val="003547CB"/>
    <w:rsid w:val="00354826"/>
    <w:rsid w:val="00354CD1"/>
    <w:rsid w:val="003557EB"/>
    <w:rsid w:val="003558DE"/>
    <w:rsid w:val="00355FF4"/>
    <w:rsid w:val="00356038"/>
    <w:rsid w:val="00356103"/>
    <w:rsid w:val="00356333"/>
    <w:rsid w:val="003563ED"/>
    <w:rsid w:val="00356910"/>
    <w:rsid w:val="003569B6"/>
    <w:rsid w:val="00356B94"/>
    <w:rsid w:val="00356CE1"/>
    <w:rsid w:val="00357179"/>
    <w:rsid w:val="003574CC"/>
    <w:rsid w:val="00357829"/>
    <w:rsid w:val="00357FAB"/>
    <w:rsid w:val="00360077"/>
    <w:rsid w:val="003600BD"/>
    <w:rsid w:val="003600EB"/>
    <w:rsid w:val="003602AA"/>
    <w:rsid w:val="0036042E"/>
    <w:rsid w:val="00360785"/>
    <w:rsid w:val="0036099C"/>
    <w:rsid w:val="00360C1B"/>
    <w:rsid w:val="00360D41"/>
    <w:rsid w:val="00360EA5"/>
    <w:rsid w:val="00361427"/>
    <w:rsid w:val="00361575"/>
    <w:rsid w:val="00361667"/>
    <w:rsid w:val="0036170A"/>
    <w:rsid w:val="00361898"/>
    <w:rsid w:val="00361A07"/>
    <w:rsid w:val="00361AF7"/>
    <w:rsid w:val="00361C43"/>
    <w:rsid w:val="00362075"/>
    <w:rsid w:val="003620B5"/>
    <w:rsid w:val="003624F8"/>
    <w:rsid w:val="0036268B"/>
    <w:rsid w:val="00362A69"/>
    <w:rsid w:val="00362BF8"/>
    <w:rsid w:val="00362C13"/>
    <w:rsid w:val="0036323A"/>
    <w:rsid w:val="003632EF"/>
    <w:rsid w:val="003634AF"/>
    <w:rsid w:val="003638E3"/>
    <w:rsid w:val="00363C5F"/>
    <w:rsid w:val="00363DD0"/>
    <w:rsid w:val="0036409D"/>
    <w:rsid w:val="00364141"/>
    <w:rsid w:val="003641E1"/>
    <w:rsid w:val="003646E8"/>
    <w:rsid w:val="00364853"/>
    <w:rsid w:val="003649EA"/>
    <w:rsid w:val="00364BEA"/>
    <w:rsid w:val="00364DAC"/>
    <w:rsid w:val="00364EC6"/>
    <w:rsid w:val="00364EED"/>
    <w:rsid w:val="00364F5B"/>
    <w:rsid w:val="00364FA7"/>
    <w:rsid w:val="0036512A"/>
    <w:rsid w:val="00365137"/>
    <w:rsid w:val="003652F1"/>
    <w:rsid w:val="0036534D"/>
    <w:rsid w:val="00365557"/>
    <w:rsid w:val="003658A9"/>
    <w:rsid w:val="003659CF"/>
    <w:rsid w:val="00365CA8"/>
    <w:rsid w:val="00365D2B"/>
    <w:rsid w:val="00365D7A"/>
    <w:rsid w:val="00365DF5"/>
    <w:rsid w:val="00365F14"/>
    <w:rsid w:val="00365F23"/>
    <w:rsid w:val="003660DF"/>
    <w:rsid w:val="00366352"/>
    <w:rsid w:val="00366986"/>
    <w:rsid w:val="00366B5D"/>
    <w:rsid w:val="00366B7F"/>
    <w:rsid w:val="00367248"/>
    <w:rsid w:val="00367437"/>
    <w:rsid w:val="0036749D"/>
    <w:rsid w:val="003676C7"/>
    <w:rsid w:val="0036773F"/>
    <w:rsid w:val="003677E8"/>
    <w:rsid w:val="0036786A"/>
    <w:rsid w:val="003678C5"/>
    <w:rsid w:val="00367AC4"/>
    <w:rsid w:val="00367C9C"/>
    <w:rsid w:val="00367D46"/>
    <w:rsid w:val="00367DFE"/>
    <w:rsid w:val="00367E8F"/>
    <w:rsid w:val="0037004D"/>
    <w:rsid w:val="0037013B"/>
    <w:rsid w:val="00370741"/>
    <w:rsid w:val="003708F6"/>
    <w:rsid w:val="00370C78"/>
    <w:rsid w:val="0037104C"/>
    <w:rsid w:val="00371074"/>
    <w:rsid w:val="0037117C"/>
    <w:rsid w:val="00371231"/>
    <w:rsid w:val="00371559"/>
    <w:rsid w:val="00371D52"/>
    <w:rsid w:val="00371D6F"/>
    <w:rsid w:val="00372131"/>
    <w:rsid w:val="00372175"/>
    <w:rsid w:val="003721E0"/>
    <w:rsid w:val="003722B3"/>
    <w:rsid w:val="00372A7F"/>
    <w:rsid w:val="00373054"/>
    <w:rsid w:val="003732CE"/>
    <w:rsid w:val="0037340F"/>
    <w:rsid w:val="003738A9"/>
    <w:rsid w:val="003738C6"/>
    <w:rsid w:val="00373ABC"/>
    <w:rsid w:val="00373D2C"/>
    <w:rsid w:val="00373F21"/>
    <w:rsid w:val="0037404F"/>
    <w:rsid w:val="0037406F"/>
    <w:rsid w:val="003742E0"/>
    <w:rsid w:val="00374579"/>
    <w:rsid w:val="003745EC"/>
    <w:rsid w:val="00374722"/>
    <w:rsid w:val="00374C7D"/>
    <w:rsid w:val="00374D54"/>
    <w:rsid w:val="00375032"/>
    <w:rsid w:val="00375162"/>
    <w:rsid w:val="00375164"/>
    <w:rsid w:val="003751E7"/>
    <w:rsid w:val="003753C3"/>
    <w:rsid w:val="003754B9"/>
    <w:rsid w:val="003754BB"/>
    <w:rsid w:val="00375D72"/>
    <w:rsid w:val="00375F15"/>
    <w:rsid w:val="003760A1"/>
    <w:rsid w:val="003760A4"/>
    <w:rsid w:val="00376228"/>
    <w:rsid w:val="00376346"/>
    <w:rsid w:val="003769DE"/>
    <w:rsid w:val="00377218"/>
    <w:rsid w:val="0037773E"/>
    <w:rsid w:val="0037790A"/>
    <w:rsid w:val="003779E7"/>
    <w:rsid w:val="00377D5B"/>
    <w:rsid w:val="00377EE7"/>
    <w:rsid w:val="00380375"/>
    <w:rsid w:val="003804E5"/>
    <w:rsid w:val="003805E0"/>
    <w:rsid w:val="00380964"/>
    <w:rsid w:val="00380CBA"/>
    <w:rsid w:val="00380D0C"/>
    <w:rsid w:val="00380E45"/>
    <w:rsid w:val="00381801"/>
    <w:rsid w:val="00381C54"/>
    <w:rsid w:val="00381D4C"/>
    <w:rsid w:val="00381FC7"/>
    <w:rsid w:val="00382054"/>
    <w:rsid w:val="00382293"/>
    <w:rsid w:val="0038233F"/>
    <w:rsid w:val="00382768"/>
    <w:rsid w:val="0038291E"/>
    <w:rsid w:val="003829B0"/>
    <w:rsid w:val="00382AA3"/>
    <w:rsid w:val="00382C2B"/>
    <w:rsid w:val="0038300A"/>
    <w:rsid w:val="003832AF"/>
    <w:rsid w:val="0038387E"/>
    <w:rsid w:val="00383994"/>
    <w:rsid w:val="003839D3"/>
    <w:rsid w:val="00383FC3"/>
    <w:rsid w:val="003844E5"/>
    <w:rsid w:val="003849A1"/>
    <w:rsid w:val="00384A4A"/>
    <w:rsid w:val="00384B70"/>
    <w:rsid w:val="00384C2A"/>
    <w:rsid w:val="00384F3C"/>
    <w:rsid w:val="00384F47"/>
    <w:rsid w:val="00385088"/>
    <w:rsid w:val="00385275"/>
    <w:rsid w:val="003853CD"/>
    <w:rsid w:val="003853FE"/>
    <w:rsid w:val="00385AB1"/>
    <w:rsid w:val="00385AE5"/>
    <w:rsid w:val="00385B3A"/>
    <w:rsid w:val="00385DFF"/>
    <w:rsid w:val="003861A7"/>
    <w:rsid w:val="00386220"/>
    <w:rsid w:val="003867E3"/>
    <w:rsid w:val="00386856"/>
    <w:rsid w:val="00386F3C"/>
    <w:rsid w:val="003870B9"/>
    <w:rsid w:val="00387255"/>
    <w:rsid w:val="0038731A"/>
    <w:rsid w:val="00387787"/>
    <w:rsid w:val="003878A9"/>
    <w:rsid w:val="00387F5C"/>
    <w:rsid w:val="00387FFD"/>
    <w:rsid w:val="003901B4"/>
    <w:rsid w:val="00390330"/>
    <w:rsid w:val="00390395"/>
    <w:rsid w:val="003905CB"/>
    <w:rsid w:val="00390936"/>
    <w:rsid w:val="003909CB"/>
    <w:rsid w:val="00390C34"/>
    <w:rsid w:val="00390D87"/>
    <w:rsid w:val="00391079"/>
    <w:rsid w:val="0039151A"/>
    <w:rsid w:val="0039177E"/>
    <w:rsid w:val="00391C45"/>
    <w:rsid w:val="00391CD7"/>
    <w:rsid w:val="00391CE1"/>
    <w:rsid w:val="00391EBD"/>
    <w:rsid w:val="00391F3E"/>
    <w:rsid w:val="00391FFC"/>
    <w:rsid w:val="0039219A"/>
    <w:rsid w:val="003921C6"/>
    <w:rsid w:val="00392A27"/>
    <w:rsid w:val="00392CD9"/>
    <w:rsid w:val="0039326E"/>
    <w:rsid w:val="003932D5"/>
    <w:rsid w:val="003936E9"/>
    <w:rsid w:val="003939FB"/>
    <w:rsid w:val="0039403B"/>
    <w:rsid w:val="003943B6"/>
    <w:rsid w:val="00394780"/>
    <w:rsid w:val="0039484F"/>
    <w:rsid w:val="00394AD5"/>
    <w:rsid w:val="00394AEF"/>
    <w:rsid w:val="00394B2C"/>
    <w:rsid w:val="0039511E"/>
    <w:rsid w:val="00395157"/>
    <w:rsid w:val="003952A6"/>
    <w:rsid w:val="003956C1"/>
    <w:rsid w:val="0039572B"/>
    <w:rsid w:val="0039580D"/>
    <w:rsid w:val="0039582F"/>
    <w:rsid w:val="0039593A"/>
    <w:rsid w:val="003959B0"/>
    <w:rsid w:val="00395C78"/>
    <w:rsid w:val="00395D8B"/>
    <w:rsid w:val="003960F0"/>
    <w:rsid w:val="00396130"/>
    <w:rsid w:val="003961A0"/>
    <w:rsid w:val="00396364"/>
    <w:rsid w:val="00396698"/>
    <w:rsid w:val="00396892"/>
    <w:rsid w:val="0039696D"/>
    <w:rsid w:val="00396C00"/>
    <w:rsid w:val="00396F6F"/>
    <w:rsid w:val="003970FA"/>
    <w:rsid w:val="00397452"/>
    <w:rsid w:val="003975CE"/>
    <w:rsid w:val="00397A71"/>
    <w:rsid w:val="003A0163"/>
    <w:rsid w:val="003A0595"/>
    <w:rsid w:val="003A05B0"/>
    <w:rsid w:val="003A0858"/>
    <w:rsid w:val="003A0BF2"/>
    <w:rsid w:val="003A130D"/>
    <w:rsid w:val="003A1599"/>
    <w:rsid w:val="003A1633"/>
    <w:rsid w:val="003A166F"/>
    <w:rsid w:val="003A1701"/>
    <w:rsid w:val="003A18C6"/>
    <w:rsid w:val="003A195E"/>
    <w:rsid w:val="003A1966"/>
    <w:rsid w:val="003A19CB"/>
    <w:rsid w:val="003A1A4F"/>
    <w:rsid w:val="003A1F9C"/>
    <w:rsid w:val="003A227D"/>
    <w:rsid w:val="003A2550"/>
    <w:rsid w:val="003A263D"/>
    <w:rsid w:val="003A26C8"/>
    <w:rsid w:val="003A2999"/>
    <w:rsid w:val="003A29DD"/>
    <w:rsid w:val="003A2ECB"/>
    <w:rsid w:val="003A34A2"/>
    <w:rsid w:val="003A34AE"/>
    <w:rsid w:val="003A3579"/>
    <w:rsid w:val="003A397E"/>
    <w:rsid w:val="003A39E2"/>
    <w:rsid w:val="003A3B91"/>
    <w:rsid w:val="003A3B99"/>
    <w:rsid w:val="003A3E3D"/>
    <w:rsid w:val="003A4336"/>
    <w:rsid w:val="003A4774"/>
    <w:rsid w:val="003A47F8"/>
    <w:rsid w:val="003A4E71"/>
    <w:rsid w:val="003A5047"/>
    <w:rsid w:val="003A508B"/>
    <w:rsid w:val="003A5299"/>
    <w:rsid w:val="003A535C"/>
    <w:rsid w:val="003A55CC"/>
    <w:rsid w:val="003A56A3"/>
    <w:rsid w:val="003A5D25"/>
    <w:rsid w:val="003A618C"/>
    <w:rsid w:val="003A61FF"/>
    <w:rsid w:val="003A62E8"/>
    <w:rsid w:val="003A6453"/>
    <w:rsid w:val="003A64B7"/>
    <w:rsid w:val="003A65BC"/>
    <w:rsid w:val="003A6A3C"/>
    <w:rsid w:val="003A6BB6"/>
    <w:rsid w:val="003A6DE3"/>
    <w:rsid w:val="003A6E56"/>
    <w:rsid w:val="003A71AF"/>
    <w:rsid w:val="003A766E"/>
    <w:rsid w:val="003A77C3"/>
    <w:rsid w:val="003A7A09"/>
    <w:rsid w:val="003A7BE6"/>
    <w:rsid w:val="003A7EAA"/>
    <w:rsid w:val="003B017F"/>
    <w:rsid w:val="003B025A"/>
    <w:rsid w:val="003B0366"/>
    <w:rsid w:val="003B0676"/>
    <w:rsid w:val="003B0732"/>
    <w:rsid w:val="003B07A6"/>
    <w:rsid w:val="003B0940"/>
    <w:rsid w:val="003B0F6C"/>
    <w:rsid w:val="003B1056"/>
    <w:rsid w:val="003B1220"/>
    <w:rsid w:val="003B140C"/>
    <w:rsid w:val="003B1478"/>
    <w:rsid w:val="003B18D9"/>
    <w:rsid w:val="003B1C7B"/>
    <w:rsid w:val="003B1F4C"/>
    <w:rsid w:val="003B2834"/>
    <w:rsid w:val="003B2A77"/>
    <w:rsid w:val="003B3164"/>
    <w:rsid w:val="003B34D4"/>
    <w:rsid w:val="003B3AC6"/>
    <w:rsid w:val="003B3BE5"/>
    <w:rsid w:val="003B3DC2"/>
    <w:rsid w:val="003B3EFE"/>
    <w:rsid w:val="003B474C"/>
    <w:rsid w:val="003B497B"/>
    <w:rsid w:val="003B49C1"/>
    <w:rsid w:val="003B4A1D"/>
    <w:rsid w:val="003B4B0F"/>
    <w:rsid w:val="003B4D3B"/>
    <w:rsid w:val="003B4D5A"/>
    <w:rsid w:val="003B4DCE"/>
    <w:rsid w:val="003B4FA2"/>
    <w:rsid w:val="003B508D"/>
    <w:rsid w:val="003B50B0"/>
    <w:rsid w:val="003B50E8"/>
    <w:rsid w:val="003B5208"/>
    <w:rsid w:val="003B522C"/>
    <w:rsid w:val="003B5669"/>
    <w:rsid w:val="003B5B15"/>
    <w:rsid w:val="003B5B60"/>
    <w:rsid w:val="003B5CEF"/>
    <w:rsid w:val="003B6225"/>
    <w:rsid w:val="003B623D"/>
    <w:rsid w:val="003B6420"/>
    <w:rsid w:val="003B6674"/>
    <w:rsid w:val="003B6A86"/>
    <w:rsid w:val="003B6BC1"/>
    <w:rsid w:val="003B6CC7"/>
    <w:rsid w:val="003B6D44"/>
    <w:rsid w:val="003B70D1"/>
    <w:rsid w:val="003B72F2"/>
    <w:rsid w:val="003B73E6"/>
    <w:rsid w:val="003B7892"/>
    <w:rsid w:val="003B7910"/>
    <w:rsid w:val="003B7F2C"/>
    <w:rsid w:val="003C0631"/>
    <w:rsid w:val="003C0946"/>
    <w:rsid w:val="003C0B8F"/>
    <w:rsid w:val="003C0DF7"/>
    <w:rsid w:val="003C0E25"/>
    <w:rsid w:val="003C1243"/>
    <w:rsid w:val="003C15CD"/>
    <w:rsid w:val="003C1726"/>
    <w:rsid w:val="003C1D7C"/>
    <w:rsid w:val="003C26F2"/>
    <w:rsid w:val="003C2A8D"/>
    <w:rsid w:val="003C2B2F"/>
    <w:rsid w:val="003C2C5E"/>
    <w:rsid w:val="003C2E77"/>
    <w:rsid w:val="003C309B"/>
    <w:rsid w:val="003C31F4"/>
    <w:rsid w:val="003C33B7"/>
    <w:rsid w:val="003C347F"/>
    <w:rsid w:val="003C34CA"/>
    <w:rsid w:val="003C3792"/>
    <w:rsid w:val="003C3803"/>
    <w:rsid w:val="003C3B14"/>
    <w:rsid w:val="003C463F"/>
    <w:rsid w:val="003C4678"/>
    <w:rsid w:val="003C46C4"/>
    <w:rsid w:val="003C47C4"/>
    <w:rsid w:val="003C4A6C"/>
    <w:rsid w:val="003C4B41"/>
    <w:rsid w:val="003C4F52"/>
    <w:rsid w:val="003C5124"/>
    <w:rsid w:val="003C54B7"/>
    <w:rsid w:val="003C55B4"/>
    <w:rsid w:val="003C5D45"/>
    <w:rsid w:val="003C5ECC"/>
    <w:rsid w:val="003C5F2A"/>
    <w:rsid w:val="003C6000"/>
    <w:rsid w:val="003C6109"/>
    <w:rsid w:val="003C62BB"/>
    <w:rsid w:val="003C63B8"/>
    <w:rsid w:val="003C6707"/>
    <w:rsid w:val="003C69D7"/>
    <w:rsid w:val="003C6A02"/>
    <w:rsid w:val="003C6B64"/>
    <w:rsid w:val="003C702D"/>
    <w:rsid w:val="003C70BC"/>
    <w:rsid w:val="003C7741"/>
    <w:rsid w:val="003C781A"/>
    <w:rsid w:val="003C78D0"/>
    <w:rsid w:val="003C7BAA"/>
    <w:rsid w:val="003C7DA8"/>
    <w:rsid w:val="003C7E70"/>
    <w:rsid w:val="003D0128"/>
    <w:rsid w:val="003D035D"/>
    <w:rsid w:val="003D0FA2"/>
    <w:rsid w:val="003D1453"/>
    <w:rsid w:val="003D1530"/>
    <w:rsid w:val="003D17BD"/>
    <w:rsid w:val="003D1908"/>
    <w:rsid w:val="003D1AAE"/>
    <w:rsid w:val="003D1E95"/>
    <w:rsid w:val="003D1F5F"/>
    <w:rsid w:val="003D2451"/>
    <w:rsid w:val="003D246A"/>
    <w:rsid w:val="003D2EA9"/>
    <w:rsid w:val="003D3239"/>
    <w:rsid w:val="003D3641"/>
    <w:rsid w:val="003D3802"/>
    <w:rsid w:val="003D380E"/>
    <w:rsid w:val="003D39BC"/>
    <w:rsid w:val="003D3A67"/>
    <w:rsid w:val="003D3EFA"/>
    <w:rsid w:val="003D40C7"/>
    <w:rsid w:val="003D439C"/>
    <w:rsid w:val="003D4768"/>
    <w:rsid w:val="003D4830"/>
    <w:rsid w:val="003D4ADA"/>
    <w:rsid w:val="003D518F"/>
    <w:rsid w:val="003D5327"/>
    <w:rsid w:val="003D53D3"/>
    <w:rsid w:val="003D5651"/>
    <w:rsid w:val="003D59D5"/>
    <w:rsid w:val="003D59F7"/>
    <w:rsid w:val="003D5BED"/>
    <w:rsid w:val="003D68C3"/>
    <w:rsid w:val="003D6C01"/>
    <w:rsid w:val="003D6CF4"/>
    <w:rsid w:val="003D710A"/>
    <w:rsid w:val="003D710E"/>
    <w:rsid w:val="003D72A8"/>
    <w:rsid w:val="003D74D0"/>
    <w:rsid w:val="003D762C"/>
    <w:rsid w:val="003D7C9E"/>
    <w:rsid w:val="003D7CBA"/>
    <w:rsid w:val="003E0018"/>
    <w:rsid w:val="003E0025"/>
    <w:rsid w:val="003E00EF"/>
    <w:rsid w:val="003E03AD"/>
    <w:rsid w:val="003E03D8"/>
    <w:rsid w:val="003E082F"/>
    <w:rsid w:val="003E09F9"/>
    <w:rsid w:val="003E0AD4"/>
    <w:rsid w:val="003E1353"/>
    <w:rsid w:val="003E1382"/>
    <w:rsid w:val="003E1870"/>
    <w:rsid w:val="003E1FAB"/>
    <w:rsid w:val="003E2351"/>
    <w:rsid w:val="003E26CF"/>
    <w:rsid w:val="003E2824"/>
    <w:rsid w:val="003E28ED"/>
    <w:rsid w:val="003E2B03"/>
    <w:rsid w:val="003E2CC6"/>
    <w:rsid w:val="003E2D63"/>
    <w:rsid w:val="003E2EC9"/>
    <w:rsid w:val="003E2ED1"/>
    <w:rsid w:val="003E2FD0"/>
    <w:rsid w:val="003E30C9"/>
    <w:rsid w:val="003E33F6"/>
    <w:rsid w:val="003E3681"/>
    <w:rsid w:val="003E3A81"/>
    <w:rsid w:val="003E3AD5"/>
    <w:rsid w:val="003E3B9D"/>
    <w:rsid w:val="003E41B6"/>
    <w:rsid w:val="003E4682"/>
    <w:rsid w:val="003E506D"/>
    <w:rsid w:val="003E52E4"/>
    <w:rsid w:val="003E538D"/>
    <w:rsid w:val="003E5932"/>
    <w:rsid w:val="003E5A26"/>
    <w:rsid w:val="003E5C06"/>
    <w:rsid w:val="003E5F5C"/>
    <w:rsid w:val="003E6008"/>
    <w:rsid w:val="003E61BC"/>
    <w:rsid w:val="003E61E8"/>
    <w:rsid w:val="003E62AD"/>
    <w:rsid w:val="003E6369"/>
    <w:rsid w:val="003E6670"/>
    <w:rsid w:val="003E6934"/>
    <w:rsid w:val="003E6A56"/>
    <w:rsid w:val="003E6A7B"/>
    <w:rsid w:val="003E6E67"/>
    <w:rsid w:val="003E727E"/>
    <w:rsid w:val="003E73C8"/>
    <w:rsid w:val="003E76C3"/>
    <w:rsid w:val="003E77E5"/>
    <w:rsid w:val="003E785C"/>
    <w:rsid w:val="003E7888"/>
    <w:rsid w:val="003E7F55"/>
    <w:rsid w:val="003F0170"/>
    <w:rsid w:val="003F0347"/>
    <w:rsid w:val="003F0454"/>
    <w:rsid w:val="003F0932"/>
    <w:rsid w:val="003F0C88"/>
    <w:rsid w:val="003F1253"/>
    <w:rsid w:val="003F13B2"/>
    <w:rsid w:val="003F1CDD"/>
    <w:rsid w:val="003F1EAF"/>
    <w:rsid w:val="003F1FFF"/>
    <w:rsid w:val="003F248B"/>
    <w:rsid w:val="003F2695"/>
    <w:rsid w:val="003F2707"/>
    <w:rsid w:val="003F28A9"/>
    <w:rsid w:val="003F2B52"/>
    <w:rsid w:val="003F2E2E"/>
    <w:rsid w:val="003F2FB3"/>
    <w:rsid w:val="003F3104"/>
    <w:rsid w:val="003F311F"/>
    <w:rsid w:val="003F31C0"/>
    <w:rsid w:val="003F3260"/>
    <w:rsid w:val="003F32C8"/>
    <w:rsid w:val="003F34AF"/>
    <w:rsid w:val="003F35F5"/>
    <w:rsid w:val="003F3A1C"/>
    <w:rsid w:val="003F3CB6"/>
    <w:rsid w:val="003F3D07"/>
    <w:rsid w:val="003F3D20"/>
    <w:rsid w:val="003F40F0"/>
    <w:rsid w:val="003F42D0"/>
    <w:rsid w:val="003F468B"/>
    <w:rsid w:val="003F46A3"/>
    <w:rsid w:val="003F4F80"/>
    <w:rsid w:val="003F4F86"/>
    <w:rsid w:val="003F50E8"/>
    <w:rsid w:val="003F534F"/>
    <w:rsid w:val="003F5385"/>
    <w:rsid w:val="003F546D"/>
    <w:rsid w:val="003F5672"/>
    <w:rsid w:val="003F57FD"/>
    <w:rsid w:val="003F5907"/>
    <w:rsid w:val="003F5B1F"/>
    <w:rsid w:val="003F5E07"/>
    <w:rsid w:val="003F6056"/>
    <w:rsid w:val="003F626D"/>
    <w:rsid w:val="003F63FF"/>
    <w:rsid w:val="003F642A"/>
    <w:rsid w:val="003F6801"/>
    <w:rsid w:val="003F68FB"/>
    <w:rsid w:val="003F6A17"/>
    <w:rsid w:val="003F6C30"/>
    <w:rsid w:val="003F74D6"/>
    <w:rsid w:val="003F7620"/>
    <w:rsid w:val="003F7933"/>
    <w:rsid w:val="003F7BE5"/>
    <w:rsid w:val="00400106"/>
    <w:rsid w:val="00400337"/>
    <w:rsid w:val="004003C3"/>
    <w:rsid w:val="004006F7"/>
    <w:rsid w:val="00400BB8"/>
    <w:rsid w:val="00400CBD"/>
    <w:rsid w:val="00401780"/>
    <w:rsid w:val="004017CF"/>
    <w:rsid w:val="004017DF"/>
    <w:rsid w:val="00401C33"/>
    <w:rsid w:val="00401C85"/>
    <w:rsid w:val="00402179"/>
    <w:rsid w:val="004021CA"/>
    <w:rsid w:val="00402236"/>
    <w:rsid w:val="004022FA"/>
    <w:rsid w:val="004025A0"/>
    <w:rsid w:val="004026C9"/>
    <w:rsid w:val="004027A7"/>
    <w:rsid w:val="00402864"/>
    <w:rsid w:val="00402AED"/>
    <w:rsid w:val="00402DA9"/>
    <w:rsid w:val="00402DE8"/>
    <w:rsid w:val="00402EB9"/>
    <w:rsid w:val="004030AD"/>
    <w:rsid w:val="004032A3"/>
    <w:rsid w:val="00403537"/>
    <w:rsid w:val="004036D7"/>
    <w:rsid w:val="00403DEA"/>
    <w:rsid w:val="00403E38"/>
    <w:rsid w:val="00403FA3"/>
    <w:rsid w:val="0040421F"/>
    <w:rsid w:val="00404818"/>
    <w:rsid w:val="004048D4"/>
    <w:rsid w:val="00404A18"/>
    <w:rsid w:val="00404ABE"/>
    <w:rsid w:val="00404C0C"/>
    <w:rsid w:val="004050DC"/>
    <w:rsid w:val="00405149"/>
    <w:rsid w:val="004054CF"/>
    <w:rsid w:val="004056E7"/>
    <w:rsid w:val="00405A41"/>
    <w:rsid w:val="00405DE8"/>
    <w:rsid w:val="00406B52"/>
    <w:rsid w:val="00406C41"/>
    <w:rsid w:val="0040703C"/>
    <w:rsid w:val="004071F6"/>
    <w:rsid w:val="004076D4"/>
    <w:rsid w:val="00407702"/>
    <w:rsid w:val="00407793"/>
    <w:rsid w:val="00407FBF"/>
    <w:rsid w:val="00410977"/>
    <w:rsid w:val="00410BC2"/>
    <w:rsid w:val="00410D8C"/>
    <w:rsid w:val="004113FC"/>
    <w:rsid w:val="0041140F"/>
    <w:rsid w:val="004116A7"/>
    <w:rsid w:val="00411767"/>
    <w:rsid w:val="004117B6"/>
    <w:rsid w:val="004118C8"/>
    <w:rsid w:val="00411ADD"/>
    <w:rsid w:val="00411B2A"/>
    <w:rsid w:val="00411C20"/>
    <w:rsid w:val="00411C7C"/>
    <w:rsid w:val="00411D53"/>
    <w:rsid w:val="00411EE3"/>
    <w:rsid w:val="00411F8D"/>
    <w:rsid w:val="00411FD4"/>
    <w:rsid w:val="00412333"/>
    <w:rsid w:val="004123BA"/>
    <w:rsid w:val="0041251E"/>
    <w:rsid w:val="004127FF"/>
    <w:rsid w:val="00412936"/>
    <w:rsid w:val="004129CA"/>
    <w:rsid w:val="00412D9C"/>
    <w:rsid w:val="004130B6"/>
    <w:rsid w:val="0041335B"/>
    <w:rsid w:val="00413467"/>
    <w:rsid w:val="00413713"/>
    <w:rsid w:val="00413E2B"/>
    <w:rsid w:val="00413F4C"/>
    <w:rsid w:val="00414174"/>
    <w:rsid w:val="0041458B"/>
    <w:rsid w:val="004145C1"/>
    <w:rsid w:val="00414C47"/>
    <w:rsid w:val="00414D8D"/>
    <w:rsid w:val="0041505C"/>
    <w:rsid w:val="004151C2"/>
    <w:rsid w:val="00415356"/>
    <w:rsid w:val="0041538A"/>
    <w:rsid w:val="0041541C"/>
    <w:rsid w:val="0041587E"/>
    <w:rsid w:val="00415ABC"/>
    <w:rsid w:val="00416088"/>
    <w:rsid w:val="004162CD"/>
    <w:rsid w:val="00416945"/>
    <w:rsid w:val="00416DCD"/>
    <w:rsid w:val="00416E34"/>
    <w:rsid w:val="00416EEB"/>
    <w:rsid w:val="00416F83"/>
    <w:rsid w:val="004170DE"/>
    <w:rsid w:val="00417344"/>
    <w:rsid w:val="00417544"/>
    <w:rsid w:val="00417B89"/>
    <w:rsid w:val="00417C2D"/>
    <w:rsid w:val="00417D87"/>
    <w:rsid w:val="00417DBF"/>
    <w:rsid w:val="00417F84"/>
    <w:rsid w:val="004201C5"/>
    <w:rsid w:val="00420361"/>
    <w:rsid w:val="004203A2"/>
    <w:rsid w:val="004203D1"/>
    <w:rsid w:val="00420ADB"/>
    <w:rsid w:val="00420B2D"/>
    <w:rsid w:val="00420FC1"/>
    <w:rsid w:val="0042107C"/>
    <w:rsid w:val="004210E3"/>
    <w:rsid w:val="004211E2"/>
    <w:rsid w:val="004213BA"/>
    <w:rsid w:val="00421637"/>
    <w:rsid w:val="0042170F"/>
    <w:rsid w:val="00421955"/>
    <w:rsid w:val="00421A9D"/>
    <w:rsid w:val="00421AFF"/>
    <w:rsid w:val="00421B0E"/>
    <w:rsid w:val="00421C56"/>
    <w:rsid w:val="00421CF1"/>
    <w:rsid w:val="00421EE2"/>
    <w:rsid w:val="0042204E"/>
    <w:rsid w:val="00422301"/>
    <w:rsid w:val="00422613"/>
    <w:rsid w:val="00422679"/>
    <w:rsid w:val="00422888"/>
    <w:rsid w:val="00422E6B"/>
    <w:rsid w:val="00423388"/>
    <w:rsid w:val="00423728"/>
    <w:rsid w:val="0042387D"/>
    <w:rsid w:val="004238BE"/>
    <w:rsid w:val="00423982"/>
    <w:rsid w:val="004240AE"/>
    <w:rsid w:val="0042479C"/>
    <w:rsid w:val="0042479D"/>
    <w:rsid w:val="00424E4F"/>
    <w:rsid w:val="00424FFA"/>
    <w:rsid w:val="00425075"/>
    <w:rsid w:val="00425145"/>
    <w:rsid w:val="00425225"/>
    <w:rsid w:val="00425292"/>
    <w:rsid w:val="00425495"/>
    <w:rsid w:val="004254FD"/>
    <w:rsid w:val="00425642"/>
    <w:rsid w:val="00425ADE"/>
    <w:rsid w:val="00425E77"/>
    <w:rsid w:val="00425F09"/>
    <w:rsid w:val="004261D0"/>
    <w:rsid w:val="00426449"/>
    <w:rsid w:val="004267C9"/>
    <w:rsid w:val="00426EBD"/>
    <w:rsid w:val="00427056"/>
    <w:rsid w:val="004270B8"/>
    <w:rsid w:val="004274D9"/>
    <w:rsid w:val="00427695"/>
    <w:rsid w:val="00427992"/>
    <w:rsid w:val="00427994"/>
    <w:rsid w:val="00427A04"/>
    <w:rsid w:val="00430263"/>
    <w:rsid w:val="00430279"/>
    <w:rsid w:val="00430517"/>
    <w:rsid w:val="00430554"/>
    <w:rsid w:val="00430812"/>
    <w:rsid w:val="00430893"/>
    <w:rsid w:val="004309B4"/>
    <w:rsid w:val="00430CDD"/>
    <w:rsid w:val="00430D4D"/>
    <w:rsid w:val="00431061"/>
    <w:rsid w:val="00431218"/>
    <w:rsid w:val="00431297"/>
    <w:rsid w:val="004312BA"/>
    <w:rsid w:val="004317AE"/>
    <w:rsid w:val="004317D3"/>
    <w:rsid w:val="00431928"/>
    <w:rsid w:val="004321C0"/>
    <w:rsid w:val="0043250B"/>
    <w:rsid w:val="00432605"/>
    <w:rsid w:val="004326B9"/>
    <w:rsid w:val="0043290F"/>
    <w:rsid w:val="004329B4"/>
    <w:rsid w:val="00432A51"/>
    <w:rsid w:val="00432AA4"/>
    <w:rsid w:val="00432AFC"/>
    <w:rsid w:val="00432FE8"/>
    <w:rsid w:val="0043307D"/>
    <w:rsid w:val="0043312A"/>
    <w:rsid w:val="00433CE2"/>
    <w:rsid w:val="00433D69"/>
    <w:rsid w:val="00433D9C"/>
    <w:rsid w:val="00433E1F"/>
    <w:rsid w:val="004341BE"/>
    <w:rsid w:val="00434581"/>
    <w:rsid w:val="00434728"/>
    <w:rsid w:val="00434F60"/>
    <w:rsid w:val="0043511C"/>
    <w:rsid w:val="00435179"/>
    <w:rsid w:val="004353ED"/>
    <w:rsid w:val="00435927"/>
    <w:rsid w:val="004359C5"/>
    <w:rsid w:val="00435BAE"/>
    <w:rsid w:val="00435C17"/>
    <w:rsid w:val="004367FF"/>
    <w:rsid w:val="004368E3"/>
    <w:rsid w:val="00436CBD"/>
    <w:rsid w:val="00436E60"/>
    <w:rsid w:val="0043718E"/>
    <w:rsid w:val="00437849"/>
    <w:rsid w:val="00437D37"/>
    <w:rsid w:val="00437EFD"/>
    <w:rsid w:val="00440563"/>
    <w:rsid w:val="00440C10"/>
    <w:rsid w:val="00441300"/>
    <w:rsid w:val="00441FBE"/>
    <w:rsid w:val="00442375"/>
    <w:rsid w:val="00442397"/>
    <w:rsid w:val="004423FB"/>
    <w:rsid w:val="0044246F"/>
    <w:rsid w:val="00442569"/>
    <w:rsid w:val="00442C32"/>
    <w:rsid w:val="00442C57"/>
    <w:rsid w:val="00442FEB"/>
    <w:rsid w:val="00443160"/>
    <w:rsid w:val="0044375B"/>
    <w:rsid w:val="004437A5"/>
    <w:rsid w:val="004437F7"/>
    <w:rsid w:val="004438AC"/>
    <w:rsid w:val="004438EA"/>
    <w:rsid w:val="00443D54"/>
    <w:rsid w:val="004447A4"/>
    <w:rsid w:val="0044480A"/>
    <w:rsid w:val="00444B77"/>
    <w:rsid w:val="00444E71"/>
    <w:rsid w:val="00444FE3"/>
    <w:rsid w:val="00445015"/>
    <w:rsid w:val="00445252"/>
    <w:rsid w:val="00445A10"/>
    <w:rsid w:val="004461BC"/>
    <w:rsid w:val="004461DC"/>
    <w:rsid w:val="00446377"/>
    <w:rsid w:val="0044662A"/>
    <w:rsid w:val="00446869"/>
    <w:rsid w:val="00446950"/>
    <w:rsid w:val="004469B8"/>
    <w:rsid w:val="00446A0F"/>
    <w:rsid w:val="00446A2E"/>
    <w:rsid w:val="00446AF8"/>
    <w:rsid w:val="00446C36"/>
    <w:rsid w:val="00446C7C"/>
    <w:rsid w:val="00446EE2"/>
    <w:rsid w:val="00446EE7"/>
    <w:rsid w:val="004471ED"/>
    <w:rsid w:val="00447934"/>
    <w:rsid w:val="00447B35"/>
    <w:rsid w:val="00447CC3"/>
    <w:rsid w:val="004503A5"/>
    <w:rsid w:val="00450AB8"/>
    <w:rsid w:val="00450D48"/>
    <w:rsid w:val="004518E4"/>
    <w:rsid w:val="0045198D"/>
    <w:rsid w:val="00451A10"/>
    <w:rsid w:val="00452380"/>
    <w:rsid w:val="004524FA"/>
    <w:rsid w:val="004524FE"/>
    <w:rsid w:val="00452598"/>
    <w:rsid w:val="004527B9"/>
    <w:rsid w:val="00452950"/>
    <w:rsid w:val="00452A47"/>
    <w:rsid w:val="00453422"/>
    <w:rsid w:val="004537D2"/>
    <w:rsid w:val="00453A31"/>
    <w:rsid w:val="00453CB3"/>
    <w:rsid w:val="00453E30"/>
    <w:rsid w:val="00453E72"/>
    <w:rsid w:val="00454253"/>
    <w:rsid w:val="00454307"/>
    <w:rsid w:val="00454796"/>
    <w:rsid w:val="004549F3"/>
    <w:rsid w:val="00454D00"/>
    <w:rsid w:val="00455611"/>
    <w:rsid w:val="00455871"/>
    <w:rsid w:val="0045597F"/>
    <w:rsid w:val="00455C2A"/>
    <w:rsid w:val="00455D4D"/>
    <w:rsid w:val="00456113"/>
    <w:rsid w:val="004561F3"/>
    <w:rsid w:val="00457001"/>
    <w:rsid w:val="00457149"/>
    <w:rsid w:val="00457AD6"/>
    <w:rsid w:val="00457CAE"/>
    <w:rsid w:val="004600C2"/>
    <w:rsid w:val="0046010B"/>
    <w:rsid w:val="004604EF"/>
    <w:rsid w:val="004605D3"/>
    <w:rsid w:val="00460843"/>
    <w:rsid w:val="00460DD1"/>
    <w:rsid w:val="00460E48"/>
    <w:rsid w:val="00460FE3"/>
    <w:rsid w:val="004610DA"/>
    <w:rsid w:val="00461346"/>
    <w:rsid w:val="004613FA"/>
    <w:rsid w:val="004617E9"/>
    <w:rsid w:val="004618CA"/>
    <w:rsid w:val="00461A91"/>
    <w:rsid w:val="00462335"/>
    <w:rsid w:val="004623BF"/>
    <w:rsid w:val="00462581"/>
    <w:rsid w:val="00462876"/>
    <w:rsid w:val="00462888"/>
    <w:rsid w:val="00462B3D"/>
    <w:rsid w:val="00462E7F"/>
    <w:rsid w:val="004630D9"/>
    <w:rsid w:val="0046316A"/>
    <w:rsid w:val="00463384"/>
    <w:rsid w:val="0046357E"/>
    <w:rsid w:val="0046363B"/>
    <w:rsid w:val="004638DF"/>
    <w:rsid w:val="004639CE"/>
    <w:rsid w:val="00463AC5"/>
    <w:rsid w:val="00463C06"/>
    <w:rsid w:val="00463C35"/>
    <w:rsid w:val="00463ECA"/>
    <w:rsid w:val="00463EFB"/>
    <w:rsid w:val="004640B8"/>
    <w:rsid w:val="004642E0"/>
    <w:rsid w:val="00464553"/>
    <w:rsid w:val="0046469F"/>
    <w:rsid w:val="00464914"/>
    <w:rsid w:val="00464B96"/>
    <w:rsid w:val="00464F83"/>
    <w:rsid w:val="004652CC"/>
    <w:rsid w:val="00465323"/>
    <w:rsid w:val="00465434"/>
    <w:rsid w:val="004655B4"/>
    <w:rsid w:val="00465967"/>
    <w:rsid w:val="00465CFB"/>
    <w:rsid w:val="004661F5"/>
    <w:rsid w:val="0046643C"/>
    <w:rsid w:val="0046675E"/>
    <w:rsid w:val="0046727B"/>
    <w:rsid w:val="004676AD"/>
    <w:rsid w:val="004676E8"/>
    <w:rsid w:val="0046796B"/>
    <w:rsid w:val="00467BDF"/>
    <w:rsid w:val="0047017D"/>
    <w:rsid w:val="00470339"/>
    <w:rsid w:val="0047046D"/>
    <w:rsid w:val="00470476"/>
    <w:rsid w:val="00470F10"/>
    <w:rsid w:val="0047145C"/>
    <w:rsid w:val="00471691"/>
    <w:rsid w:val="00471732"/>
    <w:rsid w:val="00471A2A"/>
    <w:rsid w:val="00471F16"/>
    <w:rsid w:val="00471F6F"/>
    <w:rsid w:val="00471F8A"/>
    <w:rsid w:val="004724C1"/>
    <w:rsid w:val="0047258C"/>
    <w:rsid w:val="004728A3"/>
    <w:rsid w:val="00472D4F"/>
    <w:rsid w:val="00472DF8"/>
    <w:rsid w:val="00472E42"/>
    <w:rsid w:val="00472EAE"/>
    <w:rsid w:val="00472FD1"/>
    <w:rsid w:val="00472FD4"/>
    <w:rsid w:val="0047304D"/>
    <w:rsid w:val="00473115"/>
    <w:rsid w:val="00473512"/>
    <w:rsid w:val="00473910"/>
    <w:rsid w:val="00473C6C"/>
    <w:rsid w:val="00473F9F"/>
    <w:rsid w:val="00473FF0"/>
    <w:rsid w:val="00474550"/>
    <w:rsid w:val="004749CC"/>
    <w:rsid w:val="00474BC6"/>
    <w:rsid w:val="004751EF"/>
    <w:rsid w:val="00475311"/>
    <w:rsid w:val="00475C94"/>
    <w:rsid w:val="00475DC7"/>
    <w:rsid w:val="00476039"/>
    <w:rsid w:val="0047609A"/>
    <w:rsid w:val="00476A55"/>
    <w:rsid w:val="0047737A"/>
    <w:rsid w:val="004773B0"/>
    <w:rsid w:val="0047755C"/>
    <w:rsid w:val="0047784E"/>
    <w:rsid w:val="0047791C"/>
    <w:rsid w:val="00477CB2"/>
    <w:rsid w:val="00480399"/>
    <w:rsid w:val="004804F6"/>
    <w:rsid w:val="0048058B"/>
    <w:rsid w:val="0048072F"/>
    <w:rsid w:val="00480BA9"/>
    <w:rsid w:val="0048105C"/>
    <w:rsid w:val="00481138"/>
    <w:rsid w:val="004813DA"/>
    <w:rsid w:val="004813E6"/>
    <w:rsid w:val="00481D0A"/>
    <w:rsid w:val="00481D2C"/>
    <w:rsid w:val="00482083"/>
    <w:rsid w:val="004821CC"/>
    <w:rsid w:val="00482978"/>
    <w:rsid w:val="00482C0E"/>
    <w:rsid w:val="00482C2B"/>
    <w:rsid w:val="00482C80"/>
    <w:rsid w:val="004837B4"/>
    <w:rsid w:val="004838FE"/>
    <w:rsid w:val="00483B36"/>
    <w:rsid w:val="00483CAC"/>
    <w:rsid w:val="00483EC8"/>
    <w:rsid w:val="0048417F"/>
    <w:rsid w:val="004845E7"/>
    <w:rsid w:val="0048491D"/>
    <w:rsid w:val="004849D4"/>
    <w:rsid w:val="00484C03"/>
    <w:rsid w:val="0048542C"/>
    <w:rsid w:val="004858E3"/>
    <w:rsid w:val="00485BF6"/>
    <w:rsid w:val="00485DC8"/>
    <w:rsid w:val="00485FA6"/>
    <w:rsid w:val="004860A5"/>
    <w:rsid w:val="0048616A"/>
    <w:rsid w:val="004861D0"/>
    <w:rsid w:val="00486B39"/>
    <w:rsid w:val="00486F30"/>
    <w:rsid w:val="00487788"/>
    <w:rsid w:val="0048795B"/>
    <w:rsid w:val="00487C94"/>
    <w:rsid w:val="00490010"/>
    <w:rsid w:val="00490209"/>
    <w:rsid w:val="00490216"/>
    <w:rsid w:val="004902C5"/>
    <w:rsid w:val="00490444"/>
    <w:rsid w:val="004904EE"/>
    <w:rsid w:val="0049091C"/>
    <w:rsid w:val="00490AB8"/>
    <w:rsid w:val="00490ACB"/>
    <w:rsid w:val="00490CDD"/>
    <w:rsid w:val="00490EFA"/>
    <w:rsid w:val="00490FEE"/>
    <w:rsid w:val="00491263"/>
    <w:rsid w:val="004912E3"/>
    <w:rsid w:val="004914D1"/>
    <w:rsid w:val="0049168C"/>
    <w:rsid w:val="00491A3B"/>
    <w:rsid w:val="00491A52"/>
    <w:rsid w:val="00491E7B"/>
    <w:rsid w:val="00491FDD"/>
    <w:rsid w:val="00492190"/>
    <w:rsid w:val="00492223"/>
    <w:rsid w:val="00492396"/>
    <w:rsid w:val="0049260D"/>
    <w:rsid w:val="00492A73"/>
    <w:rsid w:val="00492AF4"/>
    <w:rsid w:val="00492CDF"/>
    <w:rsid w:val="00492FF6"/>
    <w:rsid w:val="0049303D"/>
    <w:rsid w:val="00493410"/>
    <w:rsid w:val="00493539"/>
    <w:rsid w:val="00493628"/>
    <w:rsid w:val="004938C2"/>
    <w:rsid w:val="00493A1E"/>
    <w:rsid w:val="00493D63"/>
    <w:rsid w:val="00493E27"/>
    <w:rsid w:val="00493F94"/>
    <w:rsid w:val="0049412B"/>
    <w:rsid w:val="0049428A"/>
    <w:rsid w:val="004943E2"/>
    <w:rsid w:val="00494868"/>
    <w:rsid w:val="00494946"/>
    <w:rsid w:val="00494B25"/>
    <w:rsid w:val="00494F29"/>
    <w:rsid w:val="004952D7"/>
    <w:rsid w:val="00495659"/>
    <w:rsid w:val="00495728"/>
    <w:rsid w:val="004957B3"/>
    <w:rsid w:val="004959DF"/>
    <w:rsid w:val="00495A64"/>
    <w:rsid w:val="00495C00"/>
    <w:rsid w:val="00496111"/>
    <w:rsid w:val="004966A6"/>
    <w:rsid w:val="004966F3"/>
    <w:rsid w:val="00496D00"/>
    <w:rsid w:val="00496E74"/>
    <w:rsid w:val="0049706C"/>
    <w:rsid w:val="0049735D"/>
    <w:rsid w:val="00497400"/>
    <w:rsid w:val="004976FA"/>
    <w:rsid w:val="00497883"/>
    <w:rsid w:val="004979EE"/>
    <w:rsid w:val="00497B14"/>
    <w:rsid w:val="00497D60"/>
    <w:rsid w:val="00497EAD"/>
    <w:rsid w:val="004A03A5"/>
    <w:rsid w:val="004A04C4"/>
    <w:rsid w:val="004A07F4"/>
    <w:rsid w:val="004A09C4"/>
    <w:rsid w:val="004A0C24"/>
    <w:rsid w:val="004A0EFA"/>
    <w:rsid w:val="004A10B9"/>
    <w:rsid w:val="004A1160"/>
    <w:rsid w:val="004A12DF"/>
    <w:rsid w:val="004A137F"/>
    <w:rsid w:val="004A1916"/>
    <w:rsid w:val="004A1A23"/>
    <w:rsid w:val="004A1D16"/>
    <w:rsid w:val="004A1EEB"/>
    <w:rsid w:val="004A238E"/>
    <w:rsid w:val="004A23C7"/>
    <w:rsid w:val="004A2433"/>
    <w:rsid w:val="004A291C"/>
    <w:rsid w:val="004A2E70"/>
    <w:rsid w:val="004A32E3"/>
    <w:rsid w:val="004A344D"/>
    <w:rsid w:val="004A3942"/>
    <w:rsid w:val="004A3988"/>
    <w:rsid w:val="004A3B60"/>
    <w:rsid w:val="004A3C50"/>
    <w:rsid w:val="004A3E4A"/>
    <w:rsid w:val="004A3E71"/>
    <w:rsid w:val="004A3E76"/>
    <w:rsid w:val="004A3F41"/>
    <w:rsid w:val="004A3F59"/>
    <w:rsid w:val="004A408D"/>
    <w:rsid w:val="004A416D"/>
    <w:rsid w:val="004A43AA"/>
    <w:rsid w:val="004A492A"/>
    <w:rsid w:val="004A4AF9"/>
    <w:rsid w:val="004A4D0E"/>
    <w:rsid w:val="004A4D23"/>
    <w:rsid w:val="004A4D5D"/>
    <w:rsid w:val="004A4EE2"/>
    <w:rsid w:val="004A529B"/>
    <w:rsid w:val="004A5619"/>
    <w:rsid w:val="004A5681"/>
    <w:rsid w:val="004A56B1"/>
    <w:rsid w:val="004A5716"/>
    <w:rsid w:val="004A58C1"/>
    <w:rsid w:val="004A5B24"/>
    <w:rsid w:val="004A5BAD"/>
    <w:rsid w:val="004A5E4F"/>
    <w:rsid w:val="004A6095"/>
    <w:rsid w:val="004A60AF"/>
    <w:rsid w:val="004A650A"/>
    <w:rsid w:val="004A66B6"/>
    <w:rsid w:val="004A6778"/>
    <w:rsid w:val="004A67A4"/>
    <w:rsid w:val="004A6AF4"/>
    <w:rsid w:val="004A717C"/>
    <w:rsid w:val="004A72F2"/>
    <w:rsid w:val="004A735F"/>
    <w:rsid w:val="004A7374"/>
    <w:rsid w:val="004A7967"/>
    <w:rsid w:val="004A7B95"/>
    <w:rsid w:val="004A7DB7"/>
    <w:rsid w:val="004A7F73"/>
    <w:rsid w:val="004B0343"/>
    <w:rsid w:val="004B04ED"/>
    <w:rsid w:val="004B0624"/>
    <w:rsid w:val="004B0791"/>
    <w:rsid w:val="004B08AA"/>
    <w:rsid w:val="004B11DA"/>
    <w:rsid w:val="004B130B"/>
    <w:rsid w:val="004B136A"/>
    <w:rsid w:val="004B1529"/>
    <w:rsid w:val="004B1595"/>
    <w:rsid w:val="004B19F0"/>
    <w:rsid w:val="004B2002"/>
    <w:rsid w:val="004B229F"/>
    <w:rsid w:val="004B27E2"/>
    <w:rsid w:val="004B2D48"/>
    <w:rsid w:val="004B2DF0"/>
    <w:rsid w:val="004B331B"/>
    <w:rsid w:val="004B3807"/>
    <w:rsid w:val="004B38E1"/>
    <w:rsid w:val="004B3AB5"/>
    <w:rsid w:val="004B3AD0"/>
    <w:rsid w:val="004B3EF8"/>
    <w:rsid w:val="004B41F6"/>
    <w:rsid w:val="004B44BD"/>
    <w:rsid w:val="004B485C"/>
    <w:rsid w:val="004B4A80"/>
    <w:rsid w:val="004B4ADC"/>
    <w:rsid w:val="004B4AFD"/>
    <w:rsid w:val="004B4C4A"/>
    <w:rsid w:val="004B4C5C"/>
    <w:rsid w:val="004B50B9"/>
    <w:rsid w:val="004B50F6"/>
    <w:rsid w:val="004B5399"/>
    <w:rsid w:val="004B53A8"/>
    <w:rsid w:val="004B54B8"/>
    <w:rsid w:val="004B54D6"/>
    <w:rsid w:val="004B573A"/>
    <w:rsid w:val="004B57CA"/>
    <w:rsid w:val="004B5925"/>
    <w:rsid w:val="004B5C4B"/>
    <w:rsid w:val="004B5C8C"/>
    <w:rsid w:val="004B5DE8"/>
    <w:rsid w:val="004B5F59"/>
    <w:rsid w:val="004B5FC3"/>
    <w:rsid w:val="004B613E"/>
    <w:rsid w:val="004B6CE2"/>
    <w:rsid w:val="004B701C"/>
    <w:rsid w:val="004B73DC"/>
    <w:rsid w:val="004B7413"/>
    <w:rsid w:val="004B7CA0"/>
    <w:rsid w:val="004B7D1E"/>
    <w:rsid w:val="004C0410"/>
    <w:rsid w:val="004C0492"/>
    <w:rsid w:val="004C0628"/>
    <w:rsid w:val="004C0772"/>
    <w:rsid w:val="004C0FB5"/>
    <w:rsid w:val="004C1A84"/>
    <w:rsid w:val="004C1AC8"/>
    <w:rsid w:val="004C1CCE"/>
    <w:rsid w:val="004C1CED"/>
    <w:rsid w:val="004C209B"/>
    <w:rsid w:val="004C2293"/>
    <w:rsid w:val="004C24FF"/>
    <w:rsid w:val="004C258E"/>
    <w:rsid w:val="004C2715"/>
    <w:rsid w:val="004C28B8"/>
    <w:rsid w:val="004C2C43"/>
    <w:rsid w:val="004C2EEC"/>
    <w:rsid w:val="004C2FAB"/>
    <w:rsid w:val="004C333E"/>
    <w:rsid w:val="004C3350"/>
    <w:rsid w:val="004C336B"/>
    <w:rsid w:val="004C3734"/>
    <w:rsid w:val="004C3A26"/>
    <w:rsid w:val="004C3B19"/>
    <w:rsid w:val="004C43EB"/>
    <w:rsid w:val="004C43F7"/>
    <w:rsid w:val="004C4948"/>
    <w:rsid w:val="004C49CC"/>
    <w:rsid w:val="004C52BD"/>
    <w:rsid w:val="004C5409"/>
    <w:rsid w:val="004C5B7E"/>
    <w:rsid w:val="004C5E85"/>
    <w:rsid w:val="004C5F1E"/>
    <w:rsid w:val="004C6061"/>
    <w:rsid w:val="004C69B1"/>
    <w:rsid w:val="004C6A12"/>
    <w:rsid w:val="004C6A17"/>
    <w:rsid w:val="004C6AEF"/>
    <w:rsid w:val="004C6B92"/>
    <w:rsid w:val="004C6BB2"/>
    <w:rsid w:val="004C6CA6"/>
    <w:rsid w:val="004C7409"/>
    <w:rsid w:val="004C7B21"/>
    <w:rsid w:val="004C7D4C"/>
    <w:rsid w:val="004C7D59"/>
    <w:rsid w:val="004C7D73"/>
    <w:rsid w:val="004C7EC0"/>
    <w:rsid w:val="004C7F2A"/>
    <w:rsid w:val="004D01F6"/>
    <w:rsid w:val="004D036E"/>
    <w:rsid w:val="004D0504"/>
    <w:rsid w:val="004D10C5"/>
    <w:rsid w:val="004D1198"/>
    <w:rsid w:val="004D12F8"/>
    <w:rsid w:val="004D175B"/>
    <w:rsid w:val="004D184A"/>
    <w:rsid w:val="004D187E"/>
    <w:rsid w:val="004D19D3"/>
    <w:rsid w:val="004D1AEE"/>
    <w:rsid w:val="004D1DDC"/>
    <w:rsid w:val="004D2668"/>
    <w:rsid w:val="004D2B8A"/>
    <w:rsid w:val="004D2C87"/>
    <w:rsid w:val="004D2EAD"/>
    <w:rsid w:val="004D3203"/>
    <w:rsid w:val="004D3445"/>
    <w:rsid w:val="004D398D"/>
    <w:rsid w:val="004D3E7D"/>
    <w:rsid w:val="004D4283"/>
    <w:rsid w:val="004D42AA"/>
    <w:rsid w:val="004D4E52"/>
    <w:rsid w:val="004D4F92"/>
    <w:rsid w:val="004D53E1"/>
    <w:rsid w:val="004D5525"/>
    <w:rsid w:val="004D5A1A"/>
    <w:rsid w:val="004D5CCB"/>
    <w:rsid w:val="004D5D1B"/>
    <w:rsid w:val="004D5EA9"/>
    <w:rsid w:val="004D5F6B"/>
    <w:rsid w:val="004D6118"/>
    <w:rsid w:val="004D61CD"/>
    <w:rsid w:val="004D6267"/>
    <w:rsid w:val="004D6287"/>
    <w:rsid w:val="004D6E17"/>
    <w:rsid w:val="004D6E2D"/>
    <w:rsid w:val="004D6E81"/>
    <w:rsid w:val="004D77DD"/>
    <w:rsid w:val="004D77F4"/>
    <w:rsid w:val="004D79E8"/>
    <w:rsid w:val="004D7B17"/>
    <w:rsid w:val="004D7EE6"/>
    <w:rsid w:val="004E064F"/>
    <w:rsid w:val="004E0E7F"/>
    <w:rsid w:val="004E0FA1"/>
    <w:rsid w:val="004E10FA"/>
    <w:rsid w:val="004E1113"/>
    <w:rsid w:val="004E113A"/>
    <w:rsid w:val="004E128E"/>
    <w:rsid w:val="004E1AD4"/>
    <w:rsid w:val="004E1BA7"/>
    <w:rsid w:val="004E233A"/>
    <w:rsid w:val="004E2797"/>
    <w:rsid w:val="004E2EBB"/>
    <w:rsid w:val="004E36B9"/>
    <w:rsid w:val="004E3822"/>
    <w:rsid w:val="004E38D2"/>
    <w:rsid w:val="004E3A05"/>
    <w:rsid w:val="004E3A94"/>
    <w:rsid w:val="004E3D1D"/>
    <w:rsid w:val="004E41CC"/>
    <w:rsid w:val="004E4386"/>
    <w:rsid w:val="004E438E"/>
    <w:rsid w:val="004E462F"/>
    <w:rsid w:val="004E47D9"/>
    <w:rsid w:val="004E48E4"/>
    <w:rsid w:val="004E49EF"/>
    <w:rsid w:val="004E4DD7"/>
    <w:rsid w:val="004E4E04"/>
    <w:rsid w:val="004E510F"/>
    <w:rsid w:val="004E595B"/>
    <w:rsid w:val="004E59AE"/>
    <w:rsid w:val="004E5C8F"/>
    <w:rsid w:val="004E6227"/>
    <w:rsid w:val="004E62E0"/>
    <w:rsid w:val="004E639B"/>
    <w:rsid w:val="004E70FA"/>
    <w:rsid w:val="004E73A2"/>
    <w:rsid w:val="004E748D"/>
    <w:rsid w:val="004E74D5"/>
    <w:rsid w:val="004E75E8"/>
    <w:rsid w:val="004E7A3F"/>
    <w:rsid w:val="004E7A90"/>
    <w:rsid w:val="004E7E88"/>
    <w:rsid w:val="004E7EB6"/>
    <w:rsid w:val="004F009E"/>
    <w:rsid w:val="004F012A"/>
    <w:rsid w:val="004F0274"/>
    <w:rsid w:val="004F06BD"/>
    <w:rsid w:val="004F07B7"/>
    <w:rsid w:val="004F0C36"/>
    <w:rsid w:val="004F0C9D"/>
    <w:rsid w:val="004F0E38"/>
    <w:rsid w:val="004F0E41"/>
    <w:rsid w:val="004F0F84"/>
    <w:rsid w:val="004F112A"/>
    <w:rsid w:val="004F12A5"/>
    <w:rsid w:val="004F14C4"/>
    <w:rsid w:val="004F15A9"/>
    <w:rsid w:val="004F1868"/>
    <w:rsid w:val="004F1C3B"/>
    <w:rsid w:val="004F2079"/>
    <w:rsid w:val="004F211F"/>
    <w:rsid w:val="004F27FB"/>
    <w:rsid w:val="004F2884"/>
    <w:rsid w:val="004F2982"/>
    <w:rsid w:val="004F2E72"/>
    <w:rsid w:val="004F30B2"/>
    <w:rsid w:val="004F36D2"/>
    <w:rsid w:val="004F3B92"/>
    <w:rsid w:val="004F3F60"/>
    <w:rsid w:val="004F42BC"/>
    <w:rsid w:val="004F4535"/>
    <w:rsid w:val="004F461A"/>
    <w:rsid w:val="004F4CDE"/>
    <w:rsid w:val="004F4FA6"/>
    <w:rsid w:val="004F50FD"/>
    <w:rsid w:val="004F550A"/>
    <w:rsid w:val="004F5940"/>
    <w:rsid w:val="004F598B"/>
    <w:rsid w:val="004F59D1"/>
    <w:rsid w:val="004F659A"/>
    <w:rsid w:val="004F67DA"/>
    <w:rsid w:val="004F68B3"/>
    <w:rsid w:val="004F6B16"/>
    <w:rsid w:val="004F6CDA"/>
    <w:rsid w:val="004F72BA"/>
    <w:rsid w:val="004F739D"/>
    <w:rsid w:val="004F745E"/>
    <w:rsid w:val="004F774C"/>
    <w:rsid w:val="004F7841"/>
    <w:rsid w:val="004F7C9B"/>
    <w:rsid w:val="00500016"/>
    <w:rsid w:val="0050010B"/>
    <w:rsid w:val="00500365"/>
    <w:rsid w:val="00500491"/>
    <w:rsid w:val="00500B38"/>
    <w:rsid w:val="00500DBD"/>
    <w:rsid w:val="00500DEC"/>
    <w:rsid w:val="00500FF4"/>
    <w:rsid w:val="00501236"/>
    <w:rsid w:val="005012CE"/>
    <w:rsid w:val="005013D4"/>
    <w:rsid w:val="005015B4"/>
    <w:rsid w:val="005019CA"/>
    <w:rsid w:val="00501ADC"/>
    <w:rsid w:val="00501B6E"/>
    <w:rsid w:val="00501C19"/>
    <w:rsid w:val="00501C52"/>
    <w:rsid w:val="00501CCD"/>
    <w:rsid w:val="00502312"/>
    <w:rsid w:val="00502336"/>
    <w:rsid w:val="00502674"/>
    <w:rsid w:val="00502B21"/>
    <w:rsid w:val="00502C69"/>
    <w:rsid w:val="00502CBE"/>
    <w:rsid w:val="00502FBB"/>
    <w:rsid w:val="005031F1"/>
    <w:rsid w:val="00503283"/>
    <w:rsid w:val="00503471"/>
    <w:rsid w:val="0050368C"/>
    <w:rsid w:val="00503787"/>
    <w:rsid w:val="00503B50"/>
    <w:rsid w:val="00503C2E"/>
    <w:rsid w:val="00503DFE"/>
    <w:rsid w:val="00503E3E"/>
    <w:rsid w:val="005040BC"/>
    <w:rsid w:val="0050432D"/>
    <w:rsid w:val="00504684"/>
    <w:rsid w:val="0050477C"/>
    <w:rsid w:val="005048A3"/>
    <w:rsid w:val="00504EAA"/>
    <w:rsid w:val="005050BC"/>
    <w:rsid w:val="005052D1"/>
    <w:rsid w:val="00505344"/>
    <w:rsid w:val="005054FD"/>
    <w:rsid w:val="00505616"/>
    <w:rsid w:val="005056B5"/>
    <w:rsid w:val="00505BA6"/>
    <w:rsid w:val="00505E9D"/>
    <w:rsid w:val="00506329"/>
    <w:rsid w:val="005063DB"/>
    <w:rsid w:val="00506BFC"/>
    <w:rsid w:val="00506C36"/>
    <w:rsid w:val="00506CC9"/>
    <w:rsid w:val="00506DC2"/>
    <w:rsid w:val="00506E50"/>
    <w:rsid w:val="00506FA7"/>
    <w:rsid w:val="005072C1"/>
    <w:rsid w:val="005072E5"/>
    <w:rsid w:val="005072FD"/>
    <w:rsid w:val="005079DD"/>
    <w:rsid w:val="00507E3E"/>
    <w:rsid w:val="00510271"/>
    <w:rsid w:val="005106FD"/>
    <w:rsid w:val="005108B1"/>
    <w:rsid w:val="00510D5D"/>
    <w:rsid w:val="00510D81"/>
    <w:rsid w:val="00510E55"/>
    <w:rsid w:val="00510FF7"/>
    <w:rsid w:val="00511173"/>
    <w:rsid w:val="00511C5D"/>
    <w:rsid w:val="00511CDF"/>
    <w:rsid w:val="00511D7E"/>
    <w:rsid w:val="00511E4C"/>
    <w:rsid w:val="00511EEC"/>
    <w:rsid w:val="00511F32"/>
    <w:rsid w:val="00512018"/>
    <w:rsid w:val="005125D1"/>
    <w:rsid w:val="005125F2"/>
    <w:rsid w:val="00512959"/>
    <w:rsid w:val="00512C4F"/>
    <w:rsid w:val="00512C79"/>
    <w:rsid w:val="00512CE8"/>
    <w:rsid w:val="005133E6"/>
    <w:rsid w:val="0051357E"/>
    <w:rsid w:val="005135AA"/>
    <w:rsid w:val="0051396A"/>
    <w:rsid w:val="00513995"/>
    <w:rsid w:val="00513ACE"/>
    <w:rsid w:val="00513B76"/>
    <w:rsid w:val="0051411D"/>
    <w:rsid w:val="005141B1"/>
    <w:rsid w:val="005142D0"/>
    <w:rsid w:val="00514B95"/>
    <w:rsid w:val="00514B9A"/>
    <w:rsid w:val="00514CB4"/>
    <w:rsid w:val="00514E7F"/>
    <w:rsid w:val="00514EDF"/>
    <w:rsid w:val="00514F42"/>
    <w:rsid w:val="0051528C"/>
    <w:rsid w:val="0051568B"/>
    <w:rsid w:val="00515C8F"/>
    <w:rsid w:val="005162A8"/>
    <w:rsid w:val="005165E3"/>
    <w:rsid w:val="0051665E"/>
    <w:rsid w:val="00516D0A"/>
    <w:rsid w:val="00516F73"/>
    <w:rsid w:val="0051717B"/>
    <w:rsid w:val="00517A58"/>
    <w:rsid w:val="00517EF9"/>
    <w:rsid w:val="00517F18"/>
    <w:rsid w:val="005205ED"/>
    <w:rsid w:val="00520638"/>
    <w:rsid w:val="005207FF"/>
    <w:rsid w:val="00520D6E"/>
    <w:rsid w:val="00521157"/>
    <w:rsid w:val="0052186B"/>
    <w:rsid w:val="00521E1F"/>
    <w:rsid w:val="0052205D"/>
    <w:rsid w:val="00522834"/>
    <w:rsid w:val="005228F0"/>
    <w:rsid w:val="00522ED8"/>
    <w:rsid w:val="005233AE"/>
    <w:rsid w:val="00523475"/>
    <w:rsid w:val="005234B1"/>
    <w:rsid w:val="00523CA3"/>
    <w:rsid w:val="00523DC8"/>
    <w:rsid w:val="00524073"/>
    <w:rsid w:val="00524346"/>
    <w:rsid w:val="005249F0"/>
    <w:rsid w:val="00524AB9"/>
    <w:rsid w:val="00524EC7"/>
    <w:rsid w:val="00524FB4"/>
    <w:rsid w:val="00525274"/>
    <w:rsid w:val="00525560"/>
    <w:rsid w:val="005259DA"/>
    <w:rsid w:val="00525C34"/>
    <w:rsid w:val="00525C8C"/>
    <w:rsid w:val="00525E5E"/>
    <w:rsid w:val="00526511"/>
    <w:rsid w:val="00526735"/>
    <w:rsid w:val="005267E9"/>
    <w:rsid w:val="005267F1"/>
    <w:rsid w:val="00526869"/>
    <w:rsid w:val="00526A38"/>
    <w:rsid w:val="00526BEF"/>
    <w:rsid w:val="00526C6F"/>
    <w:rsid w:val="0052709D"/>
    <w:rsid w:val="005278A6"/>
    <w:rsid w:val="00527B19"/>
    <w:rsid w:val="00527E09"/>
    <w:rsid w:val="00530048"/>
    <w:rsid w:val="00530A65"/>
    <w:rsid w:val="00530C00"/>
    <w:rsid w:val="00530EE5"/>
    <w:rsid w:val="0053145F"/>
    <w:rsid w:val="005314B5"/>
    <w:rsid w:val="00531A0D"/>
    <w:rsid w:val="005321BE"/>
    <w:rsid w:val="00532BD3"/>
    <w:rsid w:val="00532FD8"/>
    <w:rsid w:val="0053319A"/>
    <w:rsid w:val="00533C37"/>
    <w:rsid w:val="00533D40"/>
    <w:rsid w:val="00533E98"/>
    <w:rsid w:val="00534080"/>
    <w:rsid w:val="0053410A"/>
    <w:rsid w:val="00534134"/>
    <w:rsid w:val="00534223"/>
    <w:rsid w:val="005343B0"/>
    <w:rsid w:val="00534DBE"/>
    <w:rsid w:val="00535011"/>
    <w:rsid w:val="005355A6"/>
    <w:rsid w:val="00535993"/>
    <w:rsid w:val="00535AFA"/>
    <w:rsid w:val="00535BEE"/>
    <w:rsid w:val="0053603E"/>
    <w:rsid w:val="005361E2"/>
    <w:rsid w:val="00536B27"/>
    <w:rsid w:val="00536B89"/>
    <w:rsid w:val="00536BEC"/>
    <w:rsid w:val="00536D72"/>
    <w:rsid w:val="0053726E"/>
    <w:rsid w:val="005372FB"/>
    <w:rsid w:val="00537502"/>
    <w:rsid w:val="00537CC7"/>
    <w:rsid w:val="005402A1"/>
    <w:rsid w:val="005402F8"/>
    <w:rsid w:val="005405BC"/>
    <w:rsid w:val="0054078B"/>
    <w:rsid w:val="00540960"/>
    <w:rsid w:val="00541040"/>
    <w:rsid w:val="005413A3"/>
    <w:rsid w:val="00541B1D"/>
    <w:rsid w:val="00541E1E"/>
    <w:rsid w:val="00541F0B"/>
    <w:rsid w:val="00541F54"/>
    <w:rsid w:val="00541F74"/>
    <w:rsid w:val="00541F80"/>
    <w:rsid w:val="00542027"/>
    <w:rsid w:val="00542076"/>
    <w:rsid w:val="00542205"/>
    <w:rsid w:val="00542555"/>
    <w:rsid w:val="005425F2"/>
    <w:rsid w:val="00542612"/>
    <w:rsid w:val="00542781"/>
    <w:rsid w:val="0054297B"/>
    <w:rsid w:val="00542A98"/>
    <w:rsid w:val="00542FF2"/>
    <w:rsid w:val="005436F1"/>
    <w:rsid w:val="00543876"/>
    <w:rsid w:val="005442B9"/>
    <w:rsid w:val="00544316"/>
    <w:rsid w:val="00544662"/>
    <w:rsid w:val="00544806"/>
    <w:rsid w:val="00544AD6"/>
    <w:rsid w:val="00544BC4"/>
    <w:rsid w:val="00544BF9"/>
    <w:rsid w:val="00544FB6"/>
    <w:rsid w:val="00545007"/>
    <w:rsid w:val="005458A6"/>
    <w:rsid w:val="00545CC5"/>
    <w:rsid w:val="00545D0F"/>
    <w:rsid w:val="00545ECF"/>
    <w:rsid w:val="0054608A"/>
    <w:rsid w:val="0054614D"/>
    <w:rsid w:val="005461C4"/>
    <w:rsid w:val="00546245"/>
    <w:rsid w:val="0054669E"/>
    <w:rsid w:val="00546D0D"/>
    <w:rsid w:val="00546D53"/>
    <w:rsid w:val="00546E66"/>
    <w:rsid w:val="00547195"/>
    <w:rsid w:val="005471F7"/>
    <w:rsid w:val="00547540"/>
    <w:rsid w:val="005479AC"/>
    <w:rsid w:val="00547BCD"/>
    <w:rsid w:val="00547D2F"/>
    <w:rsid w:val="00547D4C"/>
    <w:rsid w:val="00547E3B"/>
    <w:rsid w:val="00550363"/>
    <w:rsid w:val="00550B8E"/>
    <w:rsid w:val="00550C31"/>
    <w:rsid w:val="00551032"/>
    <w:rsid w:val="00551151"/>
    <w:rsid w:val="00551297"/>
    <w:rsid w:val="0055129B"/>
    <w:rsid w:val="0055146D"/>
    <w:rsid w:val="00551636"/>
    <w:rsid w:val="005516CC"/>
    <w:rsid w:val="005518AD"/>
    <w:rsid w:val="00551A8F"/>
    <w:rsid w:val="00551C86"/>
    <w:rsid w:val="00551DD5"/>
    <w:rsid w:val="00552087"/>
    <w:rsid w:val="0055212A"/>
    <w:rsid w:val="00552165"/>
    <w:rsid w:val="00552862"/>
    <w:rsid w:val="005532BC"/>
    <w:rsid w:val="00553486"/>
    <w:rsid w:val="0055361F"/>
    <w:rsid w:val="0055389B"/>
    <w:rsid w:val="0055393B"/>
    <w:rsid w:val="00553951"/>
    <w:rsid w:val="00553C77"/>
    <w:rsid w:val="00553D45"/>
    <w:rsid w:val="00554041"/>
    <w:rsid w:val="005541E2"/>
    <w:rsid w:val="005544E9"/>
    <w:rsid w:val="005545CE"/>
    <w:rsid w:val="0055464B"/>
    <w:rsid w:val="00554AC3"/>
    <w:rsid w:val="00554C06"/>
    <w:rsid w:val="00554C20"/>
    <w:rsid w:val="00555124"/>
    <w:rsid w:val="00555735"/>
    <w:rsid w:val="00555A84"/>
    <w:rsid w:val="00555F86"/>
    <w:rsid w:val="0055603E"/>
    <w:rsid w:val="0055611E"/>
    <w:rsid w:val="00556484"/>
    <w:rsid w:val="005565C4"/>
    <w:rsid w:val="00556EC3"/>
    <w:rsid w:val="005573C8"/>
    <w:rsid w:val="00557460"/>
    <w:rsid w:val="00557822"/>
    <w:rsid w:val="005601EA"/>
    <w:rsid w:val="005602F4"/>
    <w:rsid w:val="0056044F"/>
    <w:rsid w:val="00560823"/>
    <w:rsid w:val="00560C87"/>
    <w:rsid w:val="00560CD9"/>
    <w:rsid w:val="00560FE3"/>
    <w:rsid w:val="005617AB"/>
    <w:rsid w:val="005617E7"/>
    <w:rsid w:val="005619E2"/>
    <w:rsid w:val="00561A1C"/>
    <w:rsid w:val="00561AB8"/>
    <w:rsid w:val="00561E76"/>
    <w:rsid w:val="00561E97"/>
    <w:rsid w:val="0056250E"/>
    <w:rsid w:val="00562569"/>
    <w:rsid w:val="0056261E"/>
    <w:rsid w:val="00562779"/>
    <w:rsid w:val="005628AE"/>
    <w:rsid w:val="00562DB7"/>
    <w:rsid w:val="00563001"/>
    <w:rsid w:val="0056331B"/>
    <w:rsid w:val="0056332B"/>
    <w:rsid w:val="0056342C"/>
    <w:rsid w:val="005634D2"/>
    <w:rsid w:val="00563592"/>
    <w:rsid w:val="00563D08"/>
    <w:rsid w:val="00564052"/>
    <w:rsid w:val="0056413C"/>
    <w:rsid w:val="00564142"/>
    <w:rsid w:val="00564418"/>
    <w:rsid w:val="00564654"/>
    <w:rsid w:val="00564F0C"/>
    <w:rsid w:val="00564F5C"/>
    <w:rsid w:val="00565197"/>
    <w:rsid w:val="00565271"/>
    <w:rsid w:val="005653C2"/>
    <w:rsid w:val="005653CD"/>
    <w:rsid w:val="0056542F"/>
    <w:rsid w:val="00565595"/>
    <w:rsid w:val="005655BA"/>
    <w:rsid w:val="00565696"/>
    <w:rsid w:val="005658EA"/>
    <w:rsid w:val="00565C7A"/>
    <w:rsid w:val="00566417"/>
    <w:rsid w:val="005666A4"/>
    <w:rsid w:val="00566730"/>
    <w:rsid w:val="00566C58"/>
    <w:rsid w:val="00566C9F"/>
    <w:rsid w:val="00566D45"/>
    <w:rsid w:val="00566FA4"/>
    <w:rsid w:val="00566FDA"/>
    <w:rsid w:val="00566FF3"/>
    <w:rsid w:val="005673CA"/>
    <w:rsid w:val="00567F0F"/>
    <w:rsid w:val="005701C1"/>
    <w:rsid w:val="00570332"/>
    <w:rsid w:val="00570680"/>
    <w:rsid w:val="005713E7"/>
    <w:rsid w:val="005717CB"/>
    <w:rsid w:val="00571991"/>
    <w:rsid w:val="00571D0A"/>
    <w:rsid w:val="00571F6F"/>
    <w:rsid w:val="005723D2"/>
    <w:rsid w:val="005724D2"/>
    <w:rsid w:val="005726D3"/>
    <w:rsid w:val="005727D0"/>
    <w:rsid w:val="0057280A"/>
    <w:rsid w:val="00572A15"/>
    <w:rsid w:val="00572B3A"/>
    <w:rsid w:val="00572DAA"/>
    <w:rsid w:val="00572FBE"/>
    <w:rsid w:val="005731EF"/>
    <w:rsid w:val="005733B1"/>
    <w:rsid w:val="00573404"/>
    <w:rsid w:val="005735E1"/>
    <w:rsid w:val="005738E9"/>
    <w:rsid w:val="00573C74"/>
    <w:rsid w:val="00573EE1"/>
    <w:rsid w:val="00573F93"/>
    <w:rsid w:val="00574297"/>
    <w:rsid w:val="0057443E"/>
    <w:rsid w:val="00574A13"/>
    <w:rsid w:val="00574FA3"/>
    <w:rsid w:val="00574FEF"/>
    <w:rsid w:val="005750A4"/>
    <w:rsid w:val="005753CF"/>
    <w:rsid w:val="00575670"/>
    <w:rsid w:val="0057587A"/>
    <w:rsid w:val="00575BDC"/>
    <w:rsid w:val="00575F71"/>
    <w:rsid w:val="00576096"/>
    <w:rsid w:val="00576152"/>
    <w:rsid w:val="005764EE"/>
    <w:rsid w:val="005764F1"/>
    <w:rsid w:val="00576508"/>
    <w:rsid w:val="005766E7"/>
    <w:rsid w:val="005769BB"/>
    <w:rsid w:val="00576C85"/>
    <w:rsid w:val="00577424"/>
    <w:rsid w:val="0057755D"/>
    <w:rsid w:val="00577715"/>
    <w:rsid w:val="005779B3"/>
    <w:rsid w:val="00577A23"/>
    <w:rsid w:val="0058005A"/>
    <w:rsid w:val="00580451"/>
    <w:rsid w:val="005805C1"/>
    <w:rsid w:val="0058088C"/>
    <w:rsid w:val="005808BF"/>
    <w:rsid w:val="005808C8"/>
    <w:rsid w:val="0058099D"/>
    <w:rsid w:val="00580BE3"/>
    <w:rsid w:val="00580C3D"/>
    <w:rsid w:val="00580F4D"/>
    <w:rsid w:val="005811E2"/>
    <w:rsid w:val="005812DB"/>
    <w:rsid w:val="005812F1"/>
    <w:rsid w:val="00581C2C"/>
    <w:rsid w:val="00581E3B"/>
    <w:rsid w:val="0058215C"/>
    <w:rsid w:val="005821AB"/>
    <w:rsid w:val="005825F2"/>
    <w:rsid w:val="00582730"/>
    <w:rsid w:val="00582A7A"/>
    <w:rsid w:val="00582A7B"/>
    <w:rsid w:val="00582E10"/>
    <w:rsid w:val="00582F22"/>
    <w:rsid w:val="00582FCC"/>
    <w:rsid w:val="00583830"/>
    <w:rsid w:val="00583940"/>
    <w:rsid w:val="005839FB"/>
    <w:rsid w:val="00583AC3"/>
    <w:rsid w:val="00583B64"/>
    <w:rsid w:val="00583D06"/>
    <w:rsid w:val="005843B3"/>
    <w:rsid w:val="005844E1"/>
    <w:rsid w:val="0058469B"/>
    <w:rsid w:val="00584915"/>
    <w:rsid w:val="00584988"/>
    <w:rsid w:val="00584C9F"/>
    <w:rsid w:val="00584DB8"/>
    <w:rsid w:val="00584F12"/>
    <w:rsid w:val="00584F4C"/>
    <w:rsid w:val="005850DA"/>
    <w:rsid w:val="005852A1"/>
    <w:rsid w:val="005854E9"/>
    <w:rsid w:val="005856AA"/>
    <w:rsid w:val="005856C7"/>
    <w:rsid w:val="005857EC"/>
    <w:rsid w:val="0058597F"/>
    <w:rsid w:val="00585B93"/>
    <w:rsid w:val="00585BDF"/>
    <w:rsid w:val="005860D1"/>
    <w:rsid w:val="0058628F"/>
    <w:rsid w:val="00586D89"/>
    <w:rsid w:val="00586E09"/>
    <w:rsid w:val="00586E90"/>
    <w:rsid w:val="00586FCA"/>
    <w:rsid w:val="00587008"/>
    <w:rsid w:val="005870B4"/>
    <w:rsid w:val="00587300"/>
    <w:rsid w:val="005877EB"/>
    <w:rsid w:val="00587C1B"/>
    <w:rsid w:val="00587CAF"/>
    <w:rsid w:val="00590208"/>
    <w:rsid w:val="005904E0"/>
    <w:rsid w:val="00590BD2"/>
    <w:rsid w:val="00590C9D"/>
    <w:rsid w:val="00590E67"/>
    <w:rsid w:val="005911AC"/>
    <w:rsid w:val="0059128F"/>
    <w:rsid w:val="005916AE"/>
    <w:rsid w:val="0059171F"/>
    <w:rsid w:val="0059174D"/>
    <w:rsid w:val="0059189A"/>
    <w:rsid w:val="005919FC"/>
    <w:rsid w:val="00591B94"/>
    <w:rsid w:val="00591B9F"/>
    <w:rsid w:val="00591DD0"/>
    <w:rsid w:val="00591EED"/>
    <w:rsid w:val="00591EF4"/>
    <w:rsid w:val="005928E2"/>
    <w:rsid w:val="00593C56"/>
    <w:rsid w:val="00593CE4"/>
    <w:rsid w:val="00593EAE"/>
    <w:rsid w:val="00593F1E"/>
    <w:rsid w:val="005940D6"/>
    <w:rsid w:val="0059442F"/>
    <w:rsid w:val="0059467B"/>
    <w:rsid w:val="0059499B"/>
    <w:rsid w:val="00594DA0"/>
    <w:rsid w:val="00594F4C"/>
    <w:rsid w:val="005951B9"/>
    <w:rsid w:val="0059553C"/>
    <w:rsid w:val="00595B10"/>
    <w:rsid w:val="00595E61"/>
    <w:rsid w:val="00596791"/>
    <w:rsid w:val="00596E54"/>
    <w:rsid w:val="0059735D"/>
    <w:rsid w:val="00597393"/>
    <w:rsid w:val="005975DE"/>
    <w:rsid w:val="00597632"/>
    <w:rsid w:val="005977FA"/>
    <w:rsid w:val="005978C9"/>
    <w:rsid w:val="00597E8C"/>
    <w:rsid w:val="005A0720"/>
    <w:rsid w:val="005A0964"/>
    <w:rsid w:val="005A0A1E"/>
    <w:rsid w:val="005A0CCF"/>
    <w:rsid w:val="005A0ED5"/>
    <w:rsid w:val="005A10EA"/>
    <w:rsid w:val="005A117B"/>
    <w:rsid w:val="005A11C7"/>
    <w:rsid w:val="005A14E5"/>
    <w:rsid w:val="005A16AB"/>
    <w:rsid w:val="005A179D"/>
    <w:rsid w:val="005A190C"/>
    <w:rsid w:val="005A198D"/>
    <w:rsid w:val="005A1A2F"/>
    <w:rsid w:val="005A1B82"/>
    <w:rsid w:val="005A1D31"/>
    <w:rsid w:val="005A1F4A"/>
    <w:rsid w:val="005A2453"/>
    <w:rsid w:val="005A27A7"/>
    <w:rsid w:val="005A28F8"/>
    <w:rsid w:val="005A2B57"/>
    <w:rsid w:val="005A2FF2"/>
    <w:rsid w:val="005A36C3"/>
    <w:rsid w:val="005A3A62"/>
    <w:rsid w:val="005A3F0B"/>
    <w:rsid w:val="005A43D9"/>
    <w:rsid w:val="005A458F"/>
    <w:rsid w:val="005A4627"/>
    <w:rsid w:val="005A4E40"/>
    <w:rsid w:val="005A4F48"/>
    <w:rsid w:val="005A5037"/>
    <w:rsid w:val="005A5588"/>
    <w:rsid w:val="005A5ACA"/>
    <w:rsid w:val="005A5E98"/>
    <w:rsid w:val="005A6087"/>
    <w:rsid w:val="005A618A"/>
    <w:rsid w:val="005A661D"/>
    <w:rsid w:val="005A676A"/>
    <w:rsid w:val="005A6DC8"/>
    <w:rsid w:val="005A6FCC"/>
    <w:rsid w:val="005A7017"/>
    <w:rsid w:val="005A7150"/>
    <w:rsid w:val="005A74A5"/>
    <w:rsid w:val="005A784E"/>
    <w:rsid w:val="005A7957"/>
    <w:rsid w:val="005A7AC7"/>
    <w:rsid w:val="005A7DB8"/>
    <w:rsid w:val="005B042A"/>
    <w:rsid w:val="005B0481"/>
    <w:rsid w:val="005B0AEF"/>
    <w:rsid w:val="005B0BDD"/>
    <w:rsid w:val="005B0DE7"/>
    <w:rsid w:val="005B12BD"/>
    <w:rsid w:val="005B12F5"/>
    <w:rsid w:val="005B1306"/>
    <w:rsid w:val="005B1646"/>
    <w:rsid w:val="005B1D9A"/>
    <w:rsid w:val="005B1E82"/>
    <w:rsid w:val="005B22CA"/>
    <w:rsid w:val="005B23F3"/>
    <w:rsid w:val="005B2533"/>
    <w:rsid w:val="005B261E"/>
    <w:rsid w:val="005B2739"/>
    <w:rsid w:val="005B2810"/>
    <w:rsid w:val="005B285C"/>
    <w:rsid w:val="005B287F"/>
    <w:rsid w:val="005B2D69"/>
    <w:rsid w:val="005B2E5B"/>
    <w:rsid w:val="005B3550"/>
    <w:rsid w:val="005B381B"/>
    <w:rsid w:val="005B3A18"/>
    <w:rsid w:val="005B3C1D"/>
    <w:rsid w:val="005B3CFA"/>
    <w:rsid w:val="005B3DF9"/>
    <w:rsid w:val="005B3F65"/>
    <w:rsid w:val="005B4235"/>
    <w:rsid w:val="005B4262"/>
    <w:rsid w:val="005B4331"/>
    <w:rsid w:val="005B4413"/>
    <w:rsid w:val="005B474C"/>
    <w:rsid w:val="005B4C18"/>
    <w:rsid w:val="005B4F01"/>
    <w:rsid w:val="005B4FD6"/>
    <w:rsid w:val="005B5119"/>
    <w:rsid w:val="005B531F"/>
    <w:rsid w:val="005B5778"/>
    <w:rsid w:val="005B616F"/>
    <w:rsid w:val="005B6688"/>
    <w:rsid w:val="005B6905"/>
    <w:rsid w:val="005B6B8A"/>
    <w:rsid w:val="005B6DAF"/>
    <w:rsid w:val="005B7495"/>
    <w:rsid w:val="005B74C0"/>
    <w:rsid w:val="005B770D"/>
    <w:rsid w:val="005B778B"/>
    <w:rsid w:val="005B7886"/>
    <w:rsid w:val="005B7B33"/>
    <w:rsid w:val="005B7BA7"/>
    <w:rsid w:val="005B7BD1"/>
    <w:rsid w:val="005C02D8"/>
    <w:rsid w:val="005C126E"/>
    <w:rsid w:val="005C12FF"/>
    <w:rsid w:val="005C18A8"/>
    <w:rsid w:val="005C1992"/>
    <w:rsid w:val="005C19D3"/>
    <w:rsid w:val="005C1BE4"/>
    <w:rsid w:val="005C2369"/>
    <w:rsid w:val="005C2375"/>
    <w:rsid w:val="005C2A3A"/>
    <w:rsid w:val="005C2DDF"/>
    <w:rsid w:val="005C3175"/>
    <w:rsid w:val="005C3327"/>
    <w:rsid w:val="005C3349"/>
    <w:rsid w:val="005C3BF3"/>
    <w:rsid w:val="005C42A5"/>
    <w:rsid w:val="005C42AC"/>
    <w:rsid w:val="005C451E"/>
    <w:rsid w:val="005C47A1"/>
    <w:rsid w:val="005C4F94"/>
    <w:rsid w:val="005C5530"/>
    <w:rsid w:val="005C55BC"/>
    <w:rsid w:val="005C5647"/>
    <w:rsid w:val="005C5AFC"/>
    <w:rsid w:val="005C60A3"/>
    <w:rsid w:val="005C6164"/>
    <w:rsid w:val="005C6265"/>
    <w:rsid w:val="005C66A2"/>
    <w:rsid w:val="005C698C"/>
    <w:rsid w:val="005C70F1"/>
    <w:rsid w:val="005C72BB"/>
    <w:rsid w:val="005C7846"/>
    <w:rsid w:val="005C7C46"/>
    <w:rsid w:val="005C7E2C"/>
    <w:rsid w:val="005D0024"/>
    <w:rsid w:val="005D02F3"/>
    <w:rsid w:val="005D04F9"/>
    <w:rsid w:val="005D077A"/>
    <w:rsid w:val="005D0D3D"/>
    <w:rsid w:val="005D0DEF"/>
    <w:rsid w:val="005D0E44"/>
    <w:rsid w:val="005D136A"/>
    <w:rsid w:val="005D1409"/>
    <w:rsid w:val="005D15DB"/>
    <w:rsid w:val="005D15E9"/>
    <w:rsid w:val="005D1A5D"/>
    <w:rsid w:val="005D22B8"/>
    <w:rsid w:val="005D2496"/>
    <w:rsid w:val="005D2A40"/>
    <w:rsid w:val="005D2CA4"/>
    <w:rsid w:val="005D3399"/>
    <w:rsid w:val="005D3483"/>
    <w:rsid w:val="005D3589"/>
    <w:rsid w:val="005D38E5"/>
    <w:rsid w:val="005D3A84"/>
    <w:rsid w:val="005D3D80"/>
    <w:rsid w:val="005D4122"/>
    <w:rsid w:val="005D412E"/>
    <w:rsid w:val="005D4735"/>
    <w:rsid w:val="005D485E"/>
    <w:rsid w:val="005D4B33"/>
    <w:rsid w:val="005D4E29"/>
    <w:rsid w:val="005D5536"/>
    <w:rsid w:val="005D5691"/>
    <w:rsid w:val="005D5849"/>
    <w:rsid w:val="005D586A"/>
    <w:rsid w:val="005D5883"/>
    <w:rsid w:val="005D5991"/>
    <w:rsid w:val="005D59A9"/>
    <w:rsid w:val="005D5A74"/>
    <w:rsid w:val="005D5CB0"/>
    <w:rsid w:val="005D5DCE"/>
    <w:rsid w:val="005D5E76"/>
    <w:rsid w:val="005D5E99"/>
    <w:rsid w:val="005D6227"/>
    <w:rsid w:val="005D6238"/>
    <w:rsid w:val="005D6517"/>
    <w:rsid w:val="005D671D"/>
    <w:rsid w:val="005D68E8"/>
    <w:rsid w:val="005D694E"/>
    <w:rsid w:val="005D6B9A"/>
    <w:rsid w:val="005D6F1B"/>
    <w:rsid w:val="005D6F30"/>
    <w:rsid w:val="005D701B"/>
    <w:rsid w:val="005D732B"/>
    <w:rsid w:val="005D763E"/>
    <w:rsid w:val="005D7E0B"/>
    <w:rsid w:val="005D7E5A"/>
    <w:rsid w:val="005D7F59"/>
    <w:rsid w:val="005E01ED"/>
    <w:rsid w:val="005E035A"/>
    <w:rsid w:val="005E040E"/>
    <w:rsid w:val="005E041B"/>
    <w:rsid w:val="005E0AB8"/>
    <w:rsid w:val="005E11BD"/>
    <w:rsid w:val="005E127E"/>
    <w:rsid w:val="005E16C4"/>
    <w:rsid w:val="005E1790"/>
    <w:rsid w:val="005E18DF"/>
    <w:rsid w:val="005E1A43"/>
    <w:rsid w:val="005E1BF6"/>
    <w:rsid w:val="005E1D0D"/>
    <w:rsid w:val="005E1FB3"/>
    <w:rsid w:val="005E1FC2"/>
    <w:rsid w:val="005E230B"/>
    <w:rsid w:val="005E2599"/>
    <w:rsid w:val="005E266F"/>
    <w:rsid w:val="005E28C4"/>
    <w:rsid w:val="005E2A59"/>
    <w:rsid w:val="005E2AFB"/>
    <w:rsid w:val="005E2E62"/>
    <w:rsid w:val="005E2FB9"/>
    <w:rsid w:val="005E38A3"/>
    <w:rsid w:val="005E417B"/>
    <w:rsid w:val="005E44F6"/>
    <w:rsid w:val="005E4704"/>
    <w:rsid w:val="005E4BA3"/>
    <w:rsid w:val="005E4E1D"/>
    <w:rsid w:val="005E4EDA"/>
    <w:rsid w:val="005E56A2"/>
    <w:rsid w:val="005E5ACC"/>
    <w:rsid w:val="005E5E57"/>
    <w:rsid w:val="005E6067"/>
    <w:rsid w:val="005E647F"/>
    <w:rsid w:val="005E6B7D"/>
    <w:rsid w:val="005E7257"/>
    <w:rsid w:val="005E7576"/>
    <w:rsid w:val="005E75A3"/>
    <w:rsid w:val="005E76A2"/>
    <w:rsid w:val="005E772B"/>
    <w:rsid w:val="005E794D"/>
    <w:rsid w:val="005F00A1"/>
    <w:rsid w:val="005F045F"/>
    <w:rsid w:val="005F0482"/>
    <w:rsid w:val="005F06D5"/>
    <w:rsid w:val="005F09EE"/>
    <w:rsid w:val="005F0C17"/>
    <w:rsid w:val="005F1031"/>
    <w:rsid w:val="005F119C"/>
    <w:rsid w:val="005F1758"/>
    <w:rsid w:val="005F17DE"/>
    <w:rsid w:val="005F19A9"/>
    <w:rsid w:val="005F1AF0"/>
    <w:rsid w:val="005F1EF7"/>
    <w:rsid w:val="005F1F49"/>
    <w:rsid w:val="005F20D5"/>
    <w:rsid w:val="005F2349"/>
    <w:rsid w:val="005F246A"/>
    <w:rsid w:val="005F24DC"/>
    <w:rsid w:val="005F25B3"/>
    <w:rsid w:val="005F2650"/>
    <w:rsid w:val="005F2ACA"/>
    <w:rsid w:val="005F2C72"/>
    <w:rsid w:val="005F2CB9"/>
    <w:rsid w:val="005F2E74"/>
    <w:rsid w:val="005F30B9"/>
    <w:rsid w:val="005F3D9A"/>
    <w:rsid w:val="005F3E9B"/>
    <w:rsid w:val="005F4204"/>
    <w:rsid w:val="005F4241"/>
    <w:rsid w:val="005F4252"/>
    <w:rsid w:val="005F46C6"/>
    <w:rsid w:val="005F4AE9"/>
    <w:rsid w:val="005F4B0C"/>
    <w:rsid w:val="005F4D0C"/>
    <w:rsid w:val="005F52D8"/>
    <w:rsid w:val="005F5AFB"/>
    <w:rsid w:val="005F5F9D"/>
    <w:rsid w:val="005F65E0"/>
    <w:rsid w:val="005F6726"/>
    <w:rsid w:val="005F6A9E"/>
    <w:rsid w:val="005F6AEC"/>
    <w:rsid w:val="005F727D"/>
    <w:rsid w:val="005F7313"/>
    <w:rsid w:val="005F7325"/>
    <w:rsid w:val="005F75D6"/>
    <w:rsid w:val="005F7A0C"/>
    <w:rsid w:val="005F7BAD"/>
    <w:rsid w:val="00600006"/>
    <w:rsid w:val="0060003F"/>
    <w:rsid w:val="00600097"/>
    <w:rsid w:val="00600136"/>
    <w:rsid w:val="0060024A"/>
    <w:rsid w:val="006003D8"/>
    <w:rsid w:val="006008AC"/>
    <w:rsid w:val="00600EB7"/>
    <w:rsid w:val="00600FE8"/>
    <w:rsid w:val="006010BD"/>
    <w:rsid w:val="006019A3"/>
    <w:rsid w:val="006019F9"/>
    <w:rsid w:val="00601EDC"/>
    <w:rsid w:val="006021B6"/>
    <w:rsid w:val="0060319E"/>
    <w:rsid w:val="006031BF"/>
    <w:rsid w:val="006031E3"/>
    <w:rsid w:val="006037A6"/>
    <w:rsid w:val="006038F8"/>
    <w:rsid w:val="00603AC5"/>
    <w:rsid w:val="00603AF9"/>
    <w:rsid w:val="006042F5"/>
    <w:rsid w:val="006043E9"/>
    <w:rsid w:val="00604865"/>
    <w:rsid w:val="00604873"/>
    <w:rsid w:val="00604F92"/>
    <w:rsid w:val="0060509B"/>
    <w:rsid w:val="006052FF"/>
    <w:rsid w:val="00605336"/>
    <w:rsid w:val="00605916"/>
    <w:rsid w:val="00605A06"/>
    <w:rsid w:val="00605AB8"/>
    <w:rsid w:val="00605AD6"/>
    <w:rsid w:val="00605C2C"/>
    <w:rsid w:val="00605F7B"/>
    <w:rsid w:val="0060615B"/>
    <w:rsid w:val="0060624F"/>
    <w:rsid w:val="00606485"/>
    <w:rsid w:val="006064E2"/>
    <w:rsid w:val="006067E6"/>
    <w:rsid w:val="00606CCC"/>
    <w:rsid w:val="00606D29"/>
    <w:rsid w:val="00607052"/>
    <w:rsid w:val="0060716C"/>
    <w:rsid w:val="006073AB"/>
    <w:rsid w:val="00607BD3"/>
    <w:rsid w:val="00607C3B"/>
    <w:rsid w:val="00607CF5"/>
    <w:rsid w:val="00607E6C"/>
    <w:rsid w:val="00610047"/>
    <w:rsid w:val="00610227"/>
    <w:rsid w:val="00610461"/>
    <w:rsid w:val="00610663"/>
    <w:rsid w:val="0061095E"/>
    <w:rsid w:val="00610987"/>
    <w:rsid w:val="00610A68"/>
    <w:rsid w:val="00610C26"/>
    <w:rsid w:val="00610E8F"/>
    <w:rsid w:val="00610EB2"/>
    <w:rsid w:val="00611102"/>
    <w:rsid w:val="00611152"/>
    <w:rsid w:val="00611327"/>
    <w:rsid w:val="0061135A"/>
    <w:rsid w:val="0061170E"/>
    <w:rsid w:val="00611957"/>
    <w:rsid w:val="00611A06"/>
    <w:rsid w:val="0061206B"/>
    <w:rsid w:val="0061232B"/>
    <w:rsid w:val="0061248C"/>
    <w:rsid w:val="006125E0"/>
    <w:rsid w:val="00612621"/>
    <w:rsid w:val="00612759"/>
    <w:rsid w:val="00612DEE"/>
    <w:rsid w:val="00612E8F"/>
    <w:rsid w:val="00612F00"/>
    <w:rsid w:val="00612F2B"/>
    <w:rsid w:val="00612F5E"/>
    <w:rsid w:val="00613215"/>
    <w:rsid w:val="0061343D"/>
    <w:rsid w:val="0061343F"/>
    <w:rsid w:val="00613A52"/>
    <w:rsid w:val="00613F6C"/>
    <w:rsid w:val="0061431A"/>
    <w:rsid w:val="00614360"/>
    <w:rsid w:val="00614657"/>
    <w:rsid w:val="0061489C"/>
    <w:rsid w:val="00614AE9"/>
    <w:rsid w:val="00614CDD"/>
    <w:rsid w:val="00614E90"/>
    <w:rsid w:val="00614F19"/>
    <w:rsid w:val="00614FED"/>
    <w:rsid w:val="00615321"/>
    <w:rsid w:val="00615454"/>
    <w:rsid w:val="006154C8"/>
    <w:rsid w:val="006154CD"/>
    <w:rsid w:val="0061559C"/>
    <w:rsid w:val="006157E1"/>
    <w:rsid w:val="00615C3D"/>
    <w:rsid w:val="006161F1"/>
    <w:rsid w:val="006164EE"/>
    <w:rsid w:val="0061671C"/>
    <w:rsid w:val="00616E31"/>
    <w:rsid w:val="0061724D"/>
    <w:rsid w:val="00617677"/>
    <w:rsid w:val="00617880"/>
    <w:rsid w:val="00617C77"/>
    <w:rsid w:val="00617E58"/>
    <w:rsid w:val="00617FB5"/>
    <w:rsid w:val="0062008A"/>
    <w:rsid w:val="006204A2"/>
    <w:rsid w:val="00621189"/>
    <w:rsid w:val="006214BB"/>
    <w:rsid w:val="00621815"/>
    <w:rsid w:val="00621ACB"/>
    <w:rsid w:val="00621FBA"/>
    <w:rsid w:val="00622155"/>
    <w:rsid w:val="006223F4"/>
    <w:rsid w:val="0062290B"/>
    <w:rsid w:val="00622A3D"/>
    <w:rsid w:val="00622B52"/>
    <w:rsid w:val="00623149"/>
    <w:rsid w:val="0062341D"/>
    <w:rsid w:val="006237FF"/>
    <w:rsid w:val="00623887"/>
    <w:rsid w:val="00623AEB"/>
    <w:rsid w:val="00623E06"/>
    <w:rsid w:val="00623E3D"/>
    <w:rsid w:val="00623EB6"/>
    <w:rsid w:val="00623EFE"/>
    <w:rsid w:val="00623FDE"/>
    <w:rsid w:val="006245E4"/>
    <w:rsid w:val="006247F2"/>
    <w:rsid w:val="00624928"/>
    <w:rsid w:val="00624BB3"/>
    <w:rsid w:val="00624CED"/>
    <w:rsid w:val="00624D1C"/>
    <w:rsid w:val="00624F22"/>
    <w:rsid w:val="00624F37"/>
    <w:rsid w:val="00624FEB"/>
    <w:rsid w:val="006257AA"/>
    <w:rsid w:val="00625859"/>
    <w:rsid w:val="00625E43"/>
    <w:rsid w:val="0062610B"/>
    <w:rsid w:val="0062665B"/>
    <w:rsid w:val="00626956"/>
    <w:rsid w:val="00626962"/>
    <w:rsid w:val="006269F1"/>
    <w:rsid w:val="00626FA7"/>
    <w:rsid w:val="00626FFF"/>
    <w:rsid w:val="006270F4"/>
    <w:rsid w:val="0062719A"/>
    <w:rsid w:val="006271FF"/>
    <w:rsid w:val="006273DC"/>
    <w:rsid w:val="00627830"/>
    <w:rsid w:val="00627EF3"/>
    <w:rsid w:val="00630454"/>
    <w:rsid w:val="006308C5"/>
    <w:rsid w:val="00630DD0"/>
    <w:rsid w:val="00630E98"/>
    <w:rsid w:val="0063102D"/>
    <w:rsid w:val="0063118A"/>
    <w:rsid w:val="006313D2"/>
    <w:rsid w:val="00631A86"/>
    <w:rsid w:val="00631B9D"/>
    <w:rsid w:val="00631D57"/>
    <w:rsid w:val="00632022"/>
    <w:rsid w:val="00632358"/>
    <w:rsid w:val="00632476"/>
    <w:rsid w:val="006324D0"/>
    <w:rsid w:val="00632C2B"/>
    <w:rsid w:val="00633198"/>
    <w:rsid w:val="00633211"/>
    <w:rsid w:val="00633600"/>
    <w:rsid w:val="0063365A"/>
    <w:rsid w:val="00633799"/>
    <w:rsid w:val="00633E6C"/>
    <w:rsid w:val="00633ECC"/>
    <w:rsid w:val="006341DA"/>
    <w:rsid w:val="00634588"/>
    <w:rsid w:val="00634618"/>
    <w:rsid w:val="00634873"/>
    <w:rsid w:val="00634B38"/>
    <w:rsid w:val="006353E1"/>
    <w:rsid w:val="00635DEA"/>
    <w:rsid w:val="00635E75"/>
    <w:rsid w:val="006360C6"/>
    <w:rsid w:val="00636103"/>
    <w:rsid w:val="006362CB"/>
    <w:rsid w:val="0063643D"/>
    <w:rsid w:val="00636915"/>
    <w:rsid w:val="00636941"/>
    <w:rsid w:val="00636AE4"/>
    <w:rsid w:val="0063709D"/>
    <w:rsid w:val="006370AC"/>
    <w:rsid w:val="0063713E"/>
    <w:rsid w:val="006375AD"/>
    <w:rsid w:val="00637B0F"/>
    <w:rsid w:val="00637B6D"/>
    <w:rsid w:val="0064008A"/>
    <w:rsid w:val="00640181"/>
    <w:rsid w:val="0064029D"/>
    <w:rsid w:val="00640394"/>
    <w:rsid w:val="006405BD"/>
    <w:rsid w:val="006408AE"/>
    <w:rsid w:val="006408E3"/>
    <w:rsid w:val="00640A22"/>
    <w:rsid w:val="00640C8A"/>
    <w:rsid w:val="00640F5C"/>
    <w:rsid w:val="00640FE4"/>
    <w:rsid w:val="00641049"/>
    <w:rsid w:val="0064139D"/>
    <w:rsid w:val="0064175B"/>
    <w:rsid w:val="006417E4"/>
    <w:rsid w:val="00642563"/>
    <w:rsid w:val="006427B5"/>
    <w:rsid w:val="00642AEA"/>
    <w:rsid w:val="00642CC5"/>
    <w:rsid w:val="00642EEB"/>
    <w:rsid w:val="00643038"/>
    <w:rsid w:val="006432E6"/>
    <w:rsid w:val="00643576"/>
    <w:rsid w:val="00643994"/>
    <w:rsid w:val="00643B37"/>
    <w:rsid w:val="00643ED6"/>
    <w:rsid w:val="00643F67"/>
    <w:rsid w:val="00643FF6"/>
    <w:rsid w:val="006444B9"/>
    <w:rsid w:val="00644564"/>
    <w:rsid w:val="006445F8"/>
    <w:rsid w:val="006447E8"/>
    <w:rsid w:val="00644D9A"/>
    <w:rsid w:val="00644F67"/>
    <w:rsid w:val="00644F85"/>
    <w:rsid w:val="00645012"/>
    <w:rsid w:val="00645158"/>
    <w:rsid w:val="006456C2"/>
    <w:rsid w:val="00645A4D"/>
    <w:rsid w:val="00645C1E"/>
    <w:rsid w:val="00645DF1"/>
    <w:rsid w:val="00645E3D"/>
    <w:rsid w:val="00645ED8"/>
    <w:rsid w:val="006461D8"/>
    <w:rsid w:val="00646257"/>
    <w:rsid w:val="00646305"/>
    <w:rsid w:val="0064673B"/>
    <w:rsid w:val="0064684F"/>
    <w:rsid w:val="0064690C"/>
    <w:rsid w:val="006469A4"/>
    <w:rsid w:val="00646B42"/>
    <w:rsid w:val="00646BF1"/>
    <w:rsid w:val="006472FC"/>
    <w:rsid w:val="00647446"/>
    <w:rsid w:val="006475FA"/>
    <w:rsid w:val="00647A00"/>
    <w:rsid w:val="00650137"/>
    <w:rsid w:val="00650465"/>
    <w:rsid w:val="006505B8"/>
    <w:rsid w:val="00650680"/>
    <w:rsid w:val="006506C5"/>
    <w:rsid w:val="00650875"/>
    <w:rsid w:val="006508B9"/>
    <w:rsid w:val="00650B9A"/>
    <w:rsid w:val="00650CC2"/>
    <w:rsid w:val="00651176"/>
    <w:rsid w:val="0065128E"/>
    <w:rsid w:val="006512AD"/>
    <w:rsid w:val="006517F2"/>
    <w:rsid w:val="00651971"/>
    <w:rsid w:val="00651989"/>
    <w:rsid w:val="00651ADD"/>
    <w:rsid w:val="00651BC2"/>
    <w:rsid w:val="00651E44"/>
    <w:rsid w:val="00651FDB"/>
    <w:rsid w:val="00652367"/>
    <w:rsid w:val="00652531"/>
    <w:rsid w:val="00652980"/>
    <w:rsid w:val="00653469"/>
    <w:rsid w:val="00653539"/>
    <w:rsid w:val="0065408C"/>
    <w:rsid w:val="00654236"/>
    <w:rsid w:val="00654A44"/>
    <w:rsid w:val="00654DFF"/>
    <w:rsid w:val="00654E85"/>
    <w:rsid w:val="00654F48"/>
    <w:rsid w:val="006559BA"/>
    <w:rsid w:val="00655BF8"/>
    <w:rsid w:val="006563FF"/>
    <w:rsid w:val="00656649"/>
    <w:rsid w:val="00656C16"/>
    <w:rsid w:val="006575FE"/>
    <w:rsid w:val="00657866"/>
    <w:rsid w:val="0065787A"/>
    <w:rsid w:val="0065788D"/>
    <w:rsid w:val="00657C5D"/>
    <w:rsid w:val="00657C71"/>
    <w:rsid w:val="00657E44"/>
    <w:rsid w:val="006602FB"/>
    <w:rsid w:val="00660469"/>
    <w:rsid w:val="0066056E"/>
    <w:rsid w:val="0066077A"/>
    <w:rsid w:val="006607D9"/>
    <w:rsid w:val="006609F1"/>
    <w:rsid w:val="006609F9"/>
    <w:rsid w:val="00660E02"/>
    <w:rsid w:val="00660ECA"/>
    <w:rsid w:val="00660F9D"/>
    <w:rsid w:val="00661534"/>
    <w:rsid w:val="0066153F"/>
    <w:rsid w:val="0066192E"/>
    <w:rsid w:val="00661C1B"/>
    <w:rsid w:val="00661CD2"/>
    <w:rsid w:val="00661D7F"/>
    <w:rsid w:val="00661FFE"/>
    <w:rsid w:val="00662523"/>
    <w:rsid w:val="00662E4D"/>
    <w:rsid w:val="00663568"/>
    <w:rsid w:val="006636A1"/>
    <w:rsid w:val="00663BB4"/>
    <w:rsid w:val="00663C80"/>
    <w:rsid w:val="00663CCB"/>
    <w:rsid w:val="00663D76"/>
    <w:rsid w:val="00663DE2"/>
    <w:rsid w:val="00663EBB"/>
    <w:rsid w:val="00664150"/>
    <w:rsid w:val="00664210"/>
    <w:rsid w:val="006643D2"/>
    <w:rsid w:val="0066489E"/>
    <w:rsid w:val="00664F24"/>
    <w:rsid w:val="00665375"/>
    <w:rsid w:val="006657F0"/>
    <w:rsid w:val="00665B42"/>
    <w:rsid w:val="00665D52"/>
    <w:rsid w:val="00665F10"/>
    <w:rsid w:val="00666855"/>
    <w:rsid w:val="00666BFA"/>
    <w:rsid w:val="00666CAF"/>
    <w:rsid w:val="00666CD1"/>
    <w:rsid w:val="00666CE7"/>
    <w:rsid w:val="00666F4C"/>
    <w:rsid w:val="00667212"/>
    <w:rsid w:val="0066770D"/>
    <w:rsid w:val="006679FC"/>
    <w:rsid w:val="00667D58"/>
    <w:rsid w:val="006700DC"/>
    <w:rsid w:val="00670184"/>
    <w:rsid w:val="00670551"/>
    <w:rsid w:val="00670557"/>
    <w:rsid w:val="006706BA"/>
    <w:rsid w:val="00670704"/>
    <w:rsid w:val="00670B30"/>
    <w:rsid w:val="00670E32"/>
    <w:rsid w:val="00670E7C"/>
    <w:rsid w:val="00670EB1"/>
    <w:rsid w:val="00670FE7"/>
    <w:rsid w:val="00671A59"/>
    <w:rsid w:val="00671ACC"/>
    <w:rsid w:val="00671C6C"/>
    <w:rsid w:val="00671CB1"/>
    <w:rsid w:val="00671CC6"/>
    <w:rsid w:val="00671D74"/>
    <w:rsid w:val="00671E4C"/>
    <w:rsid w:val="00671EE3"/>
    <w:rsid w:val="00672476"/>
    <w:rsid w:val="00672FB3"/>
    <w:rsid w:val="00673466"/>
    <w:rsid w:val="0067366C"/>
    <w:rsid w:val="00673B3C"/>
    <w:rsid w:val="00673F16"/>
    <w:rsid w:val="00674398"/>
    <w:rsid w:val="00674AF4"/>
    <w:rsid w:val="00674B71"/>
    <w:rsid w:val="00674D61"/>
    <w:rsid w:val="00674E7E"/>
    <w:rsid w:val="00675470"/>
    <w:rsid w:val="006754BF"/>
    <w:rsid w:val="0067560A"/>
    <w:rsid w:val="00675A6D"/>
    <w:rsid w:val="00676153"/>
    <w:rsid w:val="006765A0"/>
    <w:rsid w:val="00676805"/>
    <w:rsid w:val="00676DDF"/>
    <w:rsid w:val="00677752"/>
    <w:rsid w:val="0067782A"/>
    <w:rsid w:val="00677A92"/>
    <w:rsid w:val="00677C40"/>
    <w:rsid w:val="00677D97"/>
    <w:rsid w:val="00677DC9"/>
    <w:rsid w:val="00680018"/>
    <w:rsid w:val="0068020B"/>
    <w:rsid w:val="0068040A"/>
    <w:rsid w:val="00680497"/>
    <w:rsid w:val="00680A41"/>
    <w:rsid w:val="00680AAF"/>
    <w:rsid w:val="00680AB7"/>
    <w:rsid w:val="00680D1C"/>
    <w:rsid w:val="00680D5D"/>
    <w:rsid w:val="0068119D"/>
    <w:rsid w:val="0068159E"/>
    <w:rsid w:val="00681E07"/>
    <w:rsid w:val="006827BA"/>
    <w:rsid w:val="00682849"/>
    <w:rsid w:val="00682A30"/>
    <w:rsid w:val="00682BC5"/>
    <w:rsid w:val="00682CD9"/>
    <w:rsid w:val="00682F15"/>
    <w:rsid w:val="0068311C"/>
    <w:rsid w:val="006831DF"/>
    <w:rsid w:val="00683542"/>
    <w:rsid w:val="00683777"/>
    <w:rsid w:val="006839AA"/>
    <w:rsid w:val="00683C82"/>
    <w:rsid w:val="00684314"/>
    <w:rsid w:val="006843C5"/>
    <w:rsid w:val="00684498"/>
    <w:rsid w:val="00684953"/>
    <w:rsid w:val="00684A0C"/>
    <w:rsid w:val="00684A45"/>
    <w:rsid w:val="00684B65"/>
    <w:rsid w:val="00684CDF"/>
    <w:rsid w:val="00684F68"/>
    <w:rsid w:val="00684FBA"/>
    <w:rsid w:val="00685876"/>
    <w:rsid w:val="00685A10"/>
    <w:rsid w:val="00685C55"/>
    <w:rsid w:val="00685ED6"/>
    <w:rsid w:val="00685FD4"/>
    <w:rsid w:val="00686126"/>
    <w:rsid w:val="00686165"/>
    <w:rsid w:val="006862C7"/>
    <w:rsid w:val="00686300"/>
    <w:rsid w:val="00686600"/>
    <w:rsid w:val="0068692A"/>
    <w:rsid w:val="00686C73"/>
    <w:rsid w:val="0068724A"/>
    <w:rsid w:val="00687343"/>
    <w:rsid w:val="0068767B"/>
    <w:rsid w:val="0068796F"/>
    <w:rsid w:val="00687E36"/>
    <w:rsid w:val="00687EF5"/>
    <w:rsid w:val="0069023F"/>
    <w:rsid w:val="0069069B"/>
    <w:rsid w:val="00690B61"/>
    <w:rsid w:val="0069126C"/>
    <w:rsid w:val="00691351"/>
    <w:rsid w:val="00691999"/>
    <w:rsid w:val="006919F7"/>
    <w:rsid w:val="00691A88"/>
    <w:rsid w:val="00691DE0"/>
    <w:rsid w:val="00691FFF"/>
    <w:rsid w:val="0069202C"/>
    <w:rsid w:val="00692182"/>
    <w:rsid w:val="0069230D"/>
    <w:rsid w:val="00692B9D"/>
    <w:rsid w:val="00692C20"/>
    <w:rsid w:val="00692CA6"/>
    <w:rsid w:val="00692E42"/>
    <w:rsid w:val="00693011"/>
    <w:rsid w:val="0069359A"/>
    <w:rsid w:val="00693ECD"/>
    <w:rsid w:val="00694450"/>
    <w:rsid w:val="006944E3"/>
    <w:rsid w:val="006947ED"/>
    <w:rsid w:val="00694835"/>
    <w:rsid w:val="00694930"/>
    <w:rsid w:val="00694938"/>
    <w:rsid w:val="00694A82"/>
    <w:rsid w:val="00694DE3"/>
    <w:rsid w:val="00694FC2"/>
    <w:rsid w:val="00695354"/>
    <w:rsid w:val="006954A0"/>
    <w:rsid w:val="0069571E"/>
    <w:rsid w:val="006957ED"/>
    <w:rsid w:val="006959FB"/>
    <w:rsid w:val="00695C50"/>
    <w:rsid w:val="00696749"/>
    <w:rsid w:val="00696B1A"/>
    <w:rsid w:val="00696B70"/>
    <w:rsid w:val="00696D2D"/>
    <w:rsid w:val="00696EDC"/>
    <w:rsid w:val="006970A5"/>
    <w:rsid w:val="00697577"/>
    <w:rsid w:val="006975E3"/>
    <w:rsid w:val="00697787"/>
    <w:rsid w:val="00697958"/>
    <w:rsid w:val="00697C6A"/>
    <w:rsid w:val="00697E69"/>
    <w:rsid w:val="006A023D"/>
    <w:rsid w:val="006A0BEC"/>
    <w:rsid w:val="006A1B6E"/>
    <w:rsid w:val="006A1FB7"/>
    <w:rsid w:val="006A21FA"/>
    <w:rsid w:val="006A225A"/>
    <w:rsid w:val="006A23C7"/>
    <w:rsid w:val="006A2584"/>
    <w:rsid w:val="006A2AF5"/>
    <w:rsid w:val="006A2D24"/>
    <w:rsid w:val="006A3841"/>
    <w:rsid w:val="006A3991"/>
    <w:rsid w:val="006A3D3B"/>
    <w:rsid w:val="006A3E24"/>
    <w:rsid w:val="006A4053"/>
    <w:rsid w:val="006A4376"/>
    <w:rsid w:val="006A438F"/>
    <w:rsid w:val="006A49F1"/>
    <w:rsid w:val="006A4D2D"/>
    <w:rsid w:val="006A5297"/>
    <w:rsid w:val="006A573C"/>
    <w:rsid w:val="006A5785"/>
    <w:rsid w:val="006A59B1"/>
    <w:rsid w:val="006A5D3A"/>
    <w:rsid w:val="006A6324"/>
    <w:rsid w:val="006A65C8"/>
    <w:rsid w:val="006A6CC7"/>
    <w:rsid w:val="006A700A"/>
    <w:rsid w:val="006A737F"/>
    <w:rsid w:val="006A7508"/>
    <w:rsid w:val="006A7981"/>
    <w:rsid w:val="006A7E70"/>
    <w:rsid w:val="006B0347"/>
    <w:rsid w:val="006B0416"/>
    <w:rsid w:val="006B043C"/>
    <w:rsid w:val="006B050C"/>
    <w:rsid w:val="006B06D1"/>
    <w:rsid w:val="006B07E3"/>
    <w:rsid w:val="006B0C00"/>
    <w:rsid w:val="006B1740"/>
    <w:rsid w:val="006B1948"/>
    <w:rsid w:val="006B1D8F"/>
    <w:rsid w:val="006B1D9E"/>
    <w:rsid w:val="006B230B"/>
    <w:rsid w:val="006B29FB"/>
    <w:rsid w:val="006B2C15"/>
    <w:rsid w:val="006B2CA4"/>
    <w:rsid w:val="006B2EEE"/>
    <w:rsid w:val="006B32F8"/>
    <w:rsid w:val="006B333C"/>
    <w:rsid w:val="006B34F0"/>
    <w:rsid w:val="006B3873"/>
    <w:rsid w:val="006B3C6C"/>
    <w:rsid w:val="006B4595"/>
    <w:rsid w:val="006B5358"/>
    <w:rsid w:val="006B559C"/>
    <w:rsid w:val="006B5616"/>
    <w:rsid w:val="006B5761"/>
    <w:rsid w:val="006B57A9"/>
    <w:rsid w:val="006B58E5"/>
    <w:rsid w:val="006B5D61"/>
    <w:rsid w:val="006B602D"/>
    <w:rsid w:val="006B636C"/>
    <w:rsid w:val="006B638A"/>
    <w:rsid w:val="006B66EB"/>
    <w:rsid w:val="006B66FF"/>
    <w:rsid w:val="006B6972"/>
    <w:rsid w:val="006B6A3C"/>
    <w:rsid w:val="006B6C69"/>
    <w:rsid w:val="006B6E55"/>
    <w:rsid w:val="006B6FB2"/>
    <w:rsid w:val="006B718E"/>
    <w:rsid w:val="006B7401"/>
    <w:rsid w:val="006B78ED"/>
    <w:rsid w:val="006B7A32"/>
    <w:rsid w:val="006B7B34"/>
    <w:rsid w:val="006B7C81"/>
    <w:rsid w:val="006C008E"/>
    <w:rsid w:val="006C04BD"/>
    <w:rsid w:val="006C082F"/>
    <w:rsid w:val="006C0C42"/>
    <w:rsid w:val="006C0CD7"/>
    <w:rsid w:val="006C0EF4"/>
    <w:rsid w:val="006C1152"/>
    <w:rsid w:val="006C14F6"/>
    <w:rsid w:val="006C1529"/>
    <w:rsid w:val="006C1E83"/>
    <w:rsid w:val="006C1F5F"/>
    <w:rsid w:val="006C2012"/>
    <w:rsid w:val="006C2182"/>
    <w:rsid w:val="006C25D9"/>
    <w:rsid w:val="006C2A77"/>
    <w:rsid w:val="006C2B18"/>
    <w:rsid w:val="006C2B33"/>
    <w:rsid w:val="006C2F5A"/>
    <w:rsid w:val="006C3431"/>
    <w:rsid w:val="006C3637"/>
    <w:rsid w:val="006C382A"/>
    <w:rsid w:val="006C3D63"/>
    <w:rsid w:val="006C4155"/>
    <w:rsid w:val="006C4C3C"/>
    <w:rsid w:val="006C4E32"/>
    <w:rsid w:val="006C53EE"/>
    <w:rsid w:val="006C545B"/>
    <w:rsid w:val="006C5809"/>
    <w:rsid w:val="006C5DA8"/>
    <w:rsid w:val="006C5FE4"/>
    <w:rsid w:val="006C6053"/>
    <w:rsid w:val="006C63CD"/>
    <w:rsid w:val="006C646C"/>
    <w:rsid w:val="006C6643"/>
    <w:rsid w:val="006C6AB1"/>
    <w:rsid w:val="006C6E2A"/>
    <w:rsid w:val="006C6EAF"/>
    <w:rsid w:val="006C6ED4"/>
    <w:rsid w:val="006C70AF"/>
    <w:rsid w:val="006C72D0"/>
    <w:rsid w:val="006C7B3C"/>
    <w:rsid w:val="006C7C36"/>
    <w:rsid w:val="006D009F"/>
    <w:rsid w:val="006D0501"/>
    <w:rsid w:val="006D050F"/>
    <w:rsid w:val="006D0698"/>
    <w:rsid w:val="006D0BB2"/>
    <w:rsid w:val="006D0DC5"/>
    <w:rsid w:val="006D1A45"/>
    <w:rsid w:val="006D1A6E"/>
    <w:rsid w:val="006D1B30"/>
    <w:rsid w:val="006D1C67"/>
    <w:rsid w:val="006D1E5E"/>
    <w:rsid w:val="006D1FC3"/>
    <w:rsid w:val="006D22F3"/>
    <w:rsid w:val="006D255F"/>
    <w:rsid w:val="006D28E7"/>
    <w:rsid w:val="006D2C51"/>
    <w:rsid w:val="006D2CCC"/>
    <w:rsid w:val="006D2CF6"/>
    <w:rsid w:val="006D2D14"/>
    <w:rsid w:val="006D3178"/>
    <w:rsid w:val="006D354C"/>
    <w:rsid w:val="006D35F0"/>
    <w:rsid w:val="006D375B"/>
    <w:rsid w:val="006D3764"/>
    <w:rsid w:val="006D3962"/>
    <w:rsid w:val="006D3B48"/>
    <w:rsid w:val="006D3D52"/>
    <w:rsid w:val="006D3FAA"/>
    <w:rsid w:val="006D404C"/>
    <w:rsid w:val="006D4535"/>
    <w:rsid w:val="006D4AB8"/>
    <w:rsid w:val="006D4C25"/>
    <w:rsid w:val="006D4FA0"/>
    <w:rsid w:val="006D525C"/>
    <w:rsid w:val="006D52E9"/>
    <w:rsid w:val="006D5350"/>
    <w:rsid w:val="006D57B4"/>
    <w:rsid w:val="006D62C6"/>
    <w:rsid w:val="006D6632"/>
    <w:rsid w:val="006D66D0"/>
    <w:rsid w:val="006D6764"/>
    <w:rsid w:val="006D67C4"/>
    <w:rsid w:val="006D6845"/>
    <w:rsid w:val="006D68C2"/>
    <w:rsid w:val="006D74F5"/>
    <w:rsid w:val="006D7CB8"/>
    <w:rsid w:val="006D7CD1"/>
    <w:rsid w:val="006D7E48"/>
    <w:rsid w:val="006D7EC0"/>
    <w:rsid w:val="006E0838"/>
    <w:rsid w:val="006E0B5B"/>
    <w:rsid w:val="006E10AB"/>
    <w:rsid w:val="006E10E0"/>
    <w:rsid w:val="006E125D"/>
    <w:rsid w:val="006E140F"/>
    <w:rsid w:val="006E14B5"/>
    <w:rsid w:val="006E1513"/>
    <w:rsid w:val="006E16F3"/>
    <w:rsid w:val="006E19A7"/>
    <w:rsid w:val="006E19E6"/>
    <w:rsid w:val="006E1B4C"/>
    <w:rsid w:val="006E1F49"/>
    <w:rsid w:val="006E204F"/>
    <w:rsid w:val="006E2288"/>
    <w:rsid w:val="006E22ED"/>
    <w:rsid w:val="006E26A9"/>
    <w:rsid w:val="006E2732"/>
    <w:rsid w:val="006E32B1"/>
    <w:rsid w:val="006E3356"/>
    <w:rsid w:val="006E3535"/>
    <w:rsid w:val="006E4179"/>
    <w:rsid w:val="006E4277"/>
    <w:rsid w:val="006E4684"/>
    <w:rsid w:val="006E4DFF"/>
    <w:rsid w:val="006E4FBD"/>
    <w:rsid w:val="006E55D8"/>
    <w:rsid w:val="006E571E"/>
    <w:rsid w:val="006E5947"/>
    <w:rsid w:val="006E5E8A"/>
    <w:rsid w:val="006E5EE0"/>
    <w:rsid w:val="006E5F55"/>
    <w:rsid w:val="006E630C"/>
    <w:rsid w:val="006E679E"/>
    <w:rsid w:val="006E67E7"/>
    <w:rsid w:val="006E6887"/>
    <w:rsid w:val="006E69C0"/>
    <w:rsid w:val="006E6C48"/>
    <w:rsid w:val="006E6CCA"/>
    <w:rsid w:val="006E7130"/>
    <w:rsid w:val="006E7637"/>
    <w:rsid w:val="006E7E99"/>
    <w:rsid w:val="006F0073"/>
    <w:rsid w:val="006F0214"/>
    <w:rsid w:val="006F0B82"/>
    <w:rsid w:val="006F0FAC"/>
    <w:rsid w:val="006F1135"/>
    <w:rsid w:val="006F116F"/>
    <w:rsid w:val="006F17FE"/>
    <w:rsid w:val="006F1CFB"/>
    <w:rsid w:val="006F21BE"/>
    <w:rsid w:val="006F22CB"/>
    <w:rsid w:val="006F297F"/>
    <w:rsid w:val="006F2AF2"/>
    <w:rsid w:val="006F2CF1"/>
    <w:rsid w:val="006F346C"/>
    <w:rsid w:val="006F3481"/>
    <w:rsid w:val="006F3571"/>
    <w:rsid w:val="006F3B37"/>
    <w:rsid w:val="006F3D2F"/>
    <w:rsid w:val="006F43C1"/>
    <w:rsid w:val="006F4888"/>
    <w:rsid w:val="006F4B57"/>
    <w:rsid w:val="006F4D0E"/>
    <w:rsid w:val="006F4E9F"/>
    <w:rsid w:val="006F5094"/>
    <w:rsid w:val="006F51AB"/>
    <w:rsid w:val="006F5396"/>
    <w:rsid w:val="006F5421"/>
    <w:rsid w:val="006F5425"/>
    <w:rsid w:val="006F57A9"/>
    <w:rsid w:val="006F5FB7"/>
    <w:rsid w:val="006F6157"/>
    <w:rsid w:val="006F62B9"/>
    <w:rsid w:val="006F6336"/>
    <w:rsid w:val="006F66A5"/>
    <w:rsid w:val="006F693C"/>
    <w:rsid w:val="006F6AC6"/>
    <w:rsid w:val="006F6C3F"/>
    <w:rsid w:val="006F6C74"/>
    <w:rsid w:val="006F6DBB"/>
    <w:rsid w:val="006F6EE0"/>
    <w:rsid w:val="006F7075"/>
    <w:rsid w:val="006F72E9"/>
    <w:rsid w:val="006F7692"/>
    <w:rsid w:val="006F7E26"/>
    <w:rsid w:val="00700229"/>
    <w:rsid w:val="00700514"/>
    <w:rsid w:val="0070073D"/>
    <w:rsid w:val="00700A60"/>
    <w:rsid w:val="00700F8F"/>
    <w:rsid w:val="00701135"/>
    <w:rsid w:val="007013ED"/>
    <w:rsid w:val="00701644"/>
    <w:rsid w:val="0070181D"/>
    <w:rsid w:val="007018D2"/>
    <w:rsid w:val="00701F3A"/>
    <w:rsid w:val="0070288F"/>
    <w:rsid w:val="007028DF"/>
    <w:rsid w:val="00702BF3"/>
    <w:rsid w:val="0070360E"/>
    <w:rsid w:val="0070372D"/>
    <w:rsid w:val="007039A9"/>
    <w:rsid w:val="00704064"/>
    <w:rsid w:val="0070425A"/>
    <w:rsid w:val="00704335"/>
    <w:rsid w:val="00704722"/>
    <w:rsid w:val="0070475B"/>
    <w:rsid w:val="007048B3"/>
    <w:rsid w:val="00704B8B"/>
    <w:rsid w:val="00704C7C"/>
    <w:rsid w:val="00704EBC"/>
    <w:rsid w:val="00704F78"/>
    <w:rsid w:val="00704FB0"/>
    <w:rsid w:val="00705247"/>
    <w:rsid w:val="00705ECC"/>
    <w:rsid w:val="00706293"/>
    <w:rsid w:val="00706363"/>
    <w:rsid w:val="0070698C"/>
    <w:rsid w:val="00706B42"/>
    <w:rsid w:val="00706BF7"/>
    <w:rsid w:val="007071D2"/>
    <w:rsid w:val="007072F2"/>
    <w:rsid w:val="00707596"/>
    <w:rsid w:val="00707608"/>
    <w:rsid w:val="007076FB"/>
    <w:rsid w:val="00707919"/>
    <w:rsid w:val="00707E89"/>
    <w:rsid w:val="00707F91"/>
    <w:rsid w:val="007100B8"/>
    <w:rsid w:val="0071037C"/>
    <w:rsid w:val="00710767"/>
    <w:rsid w:val="00710945"/>
    <w:rsid w:val="00710B29"/>
    <w:rsid w:val="00710B33"/>
    <w:rsid w:val="00710D59"/>
    <w:rsid w:val="00710F4D"/>
    <w:rsid w:val="007110AC"/>
    <w:rsid w:val="0071153E"/>
    <w:rsid w:val="00711585"/>
    <w:rsid w:val="00711722"/>
    <w:rsid w:val="00711A67"/>
    <w:rsid w:val="00711DD2"/>
    <w:rsid w:val="00711E28"/>
    <w:rsid w:val="00711EAF"/>
    <w:rsid w:val="00711EC3"/>
    <w:rsid w:val="007120CB"/>
    <w:rsid w:val="00712311"/>
    <w:rsid w:val="00712514"/>
    <w:rsid w:val="0071258F"/>
    <w:rsid w:val="007125AE"/>
    <w:rsid w:val="007125FE"/>
    <w:rsid w:val="00712D01"/>
    <w:rsid w:val="007130FD"/>
    <w:rsid w:val="0071313D"/>
    <w:rsid w:val="007131A2"/>
    <w:rsid w:val="007133E3"/>
    <w:rsid w:val="00713581"/>
    <w:rsid w:val="00713584"/>
    <w:rsid w:val="0071395F"/>
    <w:rsid w:val="00713AC1"/>
    <w:rsid w:val="00714298"/>
    <w:rsid w:val="00714355"/>
    <w:rsid w:val="00714442"/>
    <w:rsid w:val="00714460"/>
    <w:rsid w:val="00714702"/>
    <w:rsid w:val="00714B68"/>
    <w:rsid w:val="00714CB7"/>
    <w:rsid w:val="00714D28"/>
    <w:rsid w:val="00714F34"/>
    <w:rsid w:val="007156B5"/>
    <w:rsid w:val="007157FF"/>
    <w:rsid w:val="00715946"/>
    <w:rsid w:val="00715A2D"/>
    <w:rsid w:val="00715B07"/>
    <w:rsid w:val="00715C5C"/>
    <w:rsid w:val="00715E5A"/>
    <w:rsid w:val="00716338"/>
    <w:rsid w:val="00716360"/>
    <w:rsid w:val="0071649B"/>
    <w:rsid w:val="007164CF"/>
    <w:rsid w:val="00716591"/>
    <w:rsid w:val="007165AD"/>
    <w:rsid w:val="00716DAD"/>
    <w:rsid w:val="00716FFF"/>
    <w:rsid w:val="007173D4"/>
    <w:rsid w:val="007174A8"/>
    <w:rsid w:val="007200A9"/>
    <w:rsid w:val="007203F6"/>
    <w:rsid w:val="00720669"/>
    <w:rsid w:val="007207C6"/>
    <w:rsid w:val="0072097D"/>
    <w:rsid w:val="00720E25"/>
    <w:rsid w:val="007211BF"/>
    <w:rsid w:val="007212C4"/>
    <w:rsid w:val="0072140A"/>
    <w:rsid w:val="00721451"/>
    <w:rsid w:val="00721498"/>
    <w:rsid w:val="00721549"/>
    <w:rsid w:val="00721AF7"/>
    <w:rsid w:val="00721F04"/>
    <w:rsid w:val="00721F78"/>
    <w:rsid w:val="0072201F"/>
    <w:rsid w:val="007223FB"/>
    <w:rsid w:val="00722DDD"/>
    <w:rsid w:val="00722E38"/>
    <w:rsid w:val="00722EEC"/>
    <w:rsid w:val="00723302"/>
    <w:rsid w:val="007233E5"/>
    <w:rsid w:val="0072349E"/>
    <w:rsid w:val="007237B2"/>
    <w:rsid w:val="0072389D"/>
    <w:rsid w:val="007238FE"/>
    <w:rsid w:val="007239AC"/>
    <w:rsid w:val="00723E07"/>
    <w:rsid w:val="00723F7C"/>
    <w:rsid w:val="00724334"/>
    <w:rsid w:val="0072442C"/>
    <w:rsid w:val="00724556"/>
    <w:rsid w:val="00724F3A"/>
    <w:rsid w:val="00725088"/>
    <w:rsid w:val="00725371"/>
    <w:rsid w:val="00725674"/>
    <w:rsid w:val="00725687"/>
    <w:rsid w:val="00725947"/>
    <w:rsid w:val="007261FA"/>
    <w:rsid w:val="00726215"/>
    <w:rsid w:val="00726917"/>
    <w:rsid w:val="00726B7B"/>
    <w:rsid w:val="00726BC2"/>
    <w:rsid w:val="00726CB8"/>
    <w:rsid w:val="00726EC7"/>
    <w:rsid w:val="00727105"/>
    <w:rsid w:val="007272AE"/>
    <w:rsid w:val="00727461"/>
    <w:rsid w:val="00727914"/>
    <w:rsid w:val="00727C54"/>
    <w:rsid w:val="00727CE3"/>
    <w:rsid w:val="0073039C"/>
    <w:rsid w:val="00730853"/>
    <w:rsid w:val="00730BC1"/>
    <w:rsid w:val="007317EE"/>
    <w:rsid w:val="00731AC6"/>
    <w:rsid w:val="0073207D"/>
    <w:rsid w:val="0073222E"/>
    <w:rsid w:val="00732A84"/>
    <w:rsid w:val="00732FE7"/>
    <w:rsid w:val="00733199"/>
    <w:rsid w:val="007336C7"/>
    <w:rsid w:val="00733781"/>
    <w:rsid w:val="00733A74"/>
    <w:rsid w:val="00734ED8"/>
    <w:rsid w:val="00735060"/>
    <w:rsid w:val="007350F2"/>
    <w:rsid w:val="007350FE"/>
    <w:rsid w:val="0073515E"/>
    <w:rsid w:val="00735188"/>
    <w:rsid w:val="0073563A"/>
    <w:rsid w:val="00735775"/>
    <w:rsid w:val="0073596E"/>
    <w:rsid w:val="00735F89"/>
    <w:rsid w:val="00736C14"/>
    <w:rsid w:val="0073705E"/>
    <w:rsid w:val="00737119"/>
    <w:rsid w:val="0073772E"/>
    <w:rsid w:val="00737894"/>
    <w:rsid w:val="00737DF1"/>
    <w:rsid w:val="00737F52"/>
    <w:rsid w:val="00740006"/>
    <w:rsid w:val="0074048D"/>
    <w:rsid w:val="00740528"/>
    <w:rsid w:val="00740820"/>
    <w:rsid w:val="00740A3E"/>
    <w:rsid w:val="00740CC8"/>
    <w:rsid w:val="00740D5A"/>
    <w:rsid w:val="00740ED6"/>
    <w:rsid w:val="00741124"/>
    <w:rsid w:val="00741165"/>
    <w:rsid w:val="007413DA"/>
    <w:rsid w:val="00741B9D"/>
    <w:rsid w:val="0074230F"/>
    <w:rsid w:val="00742329"/>
    <w:rsid w:val="0074275A"/>
    <w:rsid w:val="007428B6"/>
    <w:rsid w:val="007428FA"/>
    <w:rsid w:val="00742AF1"/>
    <w:rsid w:val="00742E75"/>
    <w:rsid w:val="007436BD"/>
    <w:rsid w:val="00743847"/>
    <w:rsid w:val="00743AFD"/>
    <w:rsid w:val="00743B65"/>
    <w:rsid w:val="00743F54"/>
    <w:rsid w:val="00744737"/>
    <w:rsid w:val="00744749"/>
    <w:rsid w:val="00744A9D"/>
    <w:rsid w:val="00745ADB"/>
    <w:rsid w:val="007460EE"/>
    <w:rsid w:val="007462E9"/>
    <w:rsid w:val="0074655B"/>
    <w:rsid w:val="007467A2"/>
    <w:rsid w:val="00746904"/>
    <w:rsid w:val="00746E07"/>
    <w:rsid w:val="00746F90"/>
    <w:rsid w:val="007470F6"/>
    <w:rsid w:val="007478F8"/>
    <w:rsid w:val="00747F93"/>
    <w:rsid w:val="007502D9"/>
    <w:rsid w:val="007503AA"/>
    <w:rsid w:val="007504BA"/>
    <w:rsid w:val="0075094B"/>
    <w:rsid w:val="00750DE3"/>
    <w:rsid w:val="00750E98"/>
    <w:rsid w:val="007517B5"/>
    <w:rsid w:val="007519CA"/>
    <w:rsid w:val="00751B36"/>
    <w:rsid w:val="00752664"/>
    <w:rsid w:val="0075269A"/>
    <w:rsid w:val="007526C5"/>
    <w:rsid w:val="0075270C"/>
    <w:rsid w:val="00752731"/>
    <w:rsid w:val="007527B2"/>
    <w:rsid w:val="00752D36"/>
    <w:rsid w:val="00752DF8"/>
    <w:rsid w:val="00752E29"/>
    <w:rsid w:val="00753087"/>
    <w:rsid w:val="00753190"/>
    <w:rsid w:val="007531F3"/>
    <w:rsid w:val="007538F4"/>
    <w:rsid w:val="00754138"/>
    <w:rsid w:val="007541FA"/>
    <w:rsid w:val="00754333"/>
    <w:rsid w:val="007549A9"/>
    <w:rsid w:val="00754A1F"/>
    <w:rsid w:val="00754B98"/>
    <w:rsid w:val="00754E92"/>
    <w:rsid w:val="00754EFF"/>
    <w:rsid w:val="007553BF"/>
    <w:rsid w:val="007553EC"/>
    <w:rsid w:val="0075568E"/>
    <w:rsid w:val="007557ED"/>
    <w:rsid w:val="00755865"/>
    <w:rsid w:val="007558FA"/>
    <w:rsid w:val="0075593F"/>
    <w:rsid w:val="00755EC3"/>
    <w:rsid w:val="00756335"/>
    <w:rsid w:val="0075636C"/>
    <w:rsid w:val="00756395"/>
    <w:rsid w:val="00756493"/>
    <w:rsid w:val="007564CF"/>
    <w:rsid w:val="00756516"/>
    <w:rsid w:val="00756882"/>
    <w:rsid w:val="007569AC"/>
    <w:rsid w:val="00756A34"/>
    <w:rsid w:val="00756AA0"/>
    <w:rsid w:val="00756B80"/>
    <w:rsid w:val="00756C67"/>
    <w:rsid w:val="00756E20"/>
    <w:rsid w:val="00756F0B"/>
    <w:rsid w:val="00756FE5"/>
    <w:rsid w:val="00757214"/>
    <w:rsid w:val="00757239"/>
    <w:rsid w:val="00757475"/>
    <w:rsid w:val="0075766D"/>
    <w:rsid w:val="00757855"/>
    <w:rsid w:val="00757888"/>
    <w:rsid w:val="00757ACB"/>
    <w:rsid w:val="00757C95"/>
    <w:rsid w:val="00757CDF"/>
    <w:rsid w:val="00757DCA"/>
    <w:rsid w:val="00760A48"/>
    <w:rsid w:val="00760CC4"/>
    <w:rsid w:val="00760DAB"/>
    <w:rsid w:val="00760FAA"/>
    <w:rsid w:val="00761093"/>
    <w:rsid w:val="00761163"/>
    <w:rsid w:val="0076126D"/>
    <w:rsid w:val="007613EE"/>
    <w:rsid w:val="00761D39"/>
    <w:rsid w:val="00761D93"/>
    <w:rsid w:val="00762138"/>
    <w:rsid w:val="007623D3"/>
    <w:rsid w:val="007623DD"/>
    <w:rsid w:val="00762554"/>
    <w:rsid w:val="007628D2"/>
    <w:rsid w:val="007629A2"/>
    <w:rsid w:val="00762C41"/>
    <w:rsid w:val="00763438"/>
    <w:rsid w:val="007634ED"/>
    <w:rsid w:val="00763BF1"/>
    <w:rsid w:val="00763D15"/>
    <w:rsid w:val="0076424A"/>
    <w:rsid w:val="00764251"/>
    <w:rsid w:val="0076428D"/>
    <w:rsid w:val="00764418"/>
    <w:rsid w:val="00764993"/>
    <w:rsid w:val="00764F8F"/>
    <w:rsid w:val="00765583"/>
    <w:rsid w:val="00765941"/>
    <w:rsid w:val="00765B07"/>
    <w:rsid w:val="00765C7D"/>
    <w:rsid w:val="00765CCB"/>
    <w:rsid w:val="00765CDF"/>
    <w:rsid w:val="00765D87"/>
    <w:rsid w:val="00766400"/>
    <w:rsid w:val="007669DB"/>
    <w:rsid w:val="00766B5F"/>
    <w:rsid w:val="00766B6A"/>
    <w:rsid w:val="00766BF9"/>
    <w:rsid w:val="00766CF7"/>
    <w:rsid w:val="00766D1D"/>
    <w:rsid w:val="00766E21"/>
    <w:rsid w:val="00766E73"/>
    <w:rsid w:val="0076714F"/>
    <w:rsid w:val="007671DF"/>
    <w:rsid w:val="007672A3"/>
    <w:rsid w:val="0076746E"/>
    <w:rsid w:val="007677DB"/>
    <w:rsid w:val="00767AE3"/>
    <w:rsid w:val="00767CE0"/>
    <w:rsid w:val="00767DBB"/>
    <w:rsid w:val="00767E5F"/>
    <w:rsid w:val="00770134"/>
    <w:rsid w:val="00770358"/>
    <w:rsid w:val="007703E1"/>
    <w:rsid w:val="007703F4"/>
    <w:rsid w:val="00770416"/>
    <w:rsid w:val="00770639"/>
    <w:rsid w:val="007706CC"/>
    <w:rsid w:val="00770D55"/>
    <w:rsid w:val="00770E71"/>
    <w:rsid w:val="00770EA1"/>
    <w:rsid w:val="00770FA5"/>
    <w:rsid w:val="0077167E"/>
    <w:rsid w:val="00771917"/>
    <w:rsid w:val="00771A53"/>
    <w:rsid w:val="00771C17"/>
    <w:rsid w:val="00771FC8"/>
    <w:rsid w:val="0077251B"/>
    <w:rsid w:val="00772920"/>
    <w:rsid w:val="00772E4B"/>
    <w:rsid w:val="00772EE4"/>
    <w:rsid w:val="00773010"/>
    <w:rsid w:val="0077350E"/>
    <w:rsid w:val="007742C3"/>
    <w:rsid w:val="007744CA"/>
    <w:rsid w:val="0077475D"/>
    <w:rsid w:val="007747CA"/>
    <w:rsid w:val="00774BF8"/>
    <w:rsid w:val="00774C24"/>
    <w:rsid w:val="00774FF0"/>
    <w:rsid w:val="007750D6"/>
    <w:rsid w:val="007752F8"/>
    <w:rsid w:val="0077536F"/>
    <w:rsid w:val="0077548D"/>
    <w:rsid w:val="00775776"/>
    <w:rsid w:val="007757AE"/>
    <w:rsid w:val="00775BAB"/>
    <w:rsid w:val="00775FBF"/>
    <w:rsid w:val="007760E3"/>
    <w:rsid w:val="007767CF"/>
    <w:rsid w:val="00776B84"/>
    <w:rsid w:val="00776EA3"/>
    <w:rsid w:val="00776F83"/>
    <w:rsid w:val="007770C4"/>
    <w:rsid w:val="00777407"/>
    <w:rsid w:val="007777EA"/>
    <w:rsid w:val="0077780A"/>
    <w:rsid w:val="0077782A"/>
    <w:rsid w:val="007779A3"/>
    <w:rsid w:val="00777BC6"/>
    <w:rsid w:val="00777BE7"/>
    <w:rsid w:val="00777C3B"/>
    <w:rsid w:val="00777C4D"/>
    <w:rsid w:val="00780481"/>
    <w:rsid w:val="00780A04"/>
    <w:rsid w:val="00780BE2"/>
    <w:rsid w:val="00780C24"/>
    <w:rsid w:val="00780D70"/>
    <w:rsid w:val="00780DE0"/>
    <w:rsid w:val="00780E33"/>
    <w:rsid w:val="007811A1"/>
    <w:rsid w:val="007814C2"/>
    <w:rsid w:val="007816C4"/>
    <w:rsid w:val="007817AC"/>
    <w:rsid w:val="00781B8E"/>
    <w:rsid w:val="00781BDC"/>
    <w:rsid w:val="00781DB8"/>
    <w:rsid w:val="00782726"/>
    <w:rsid w:val="007828AE"/>
    <w:rsid w:val="00782908"/>
    <w:rsid w:val="00782DA7"/>
    <w:rsid w:val="00783153"/>
    <w:rsid w:val="00783304"/>
    <w:rsid w:val="007834DF"/>
    <w:rsid w:val="00783673"/>
    <w:rsid w:val="0078398B"/>
    <w:rsid w:val="00783A28"/>
    <w:rsid w:val="00784527"/>
    <w:rsid w:val="00784817"/>
    <w:rsid w:val="00784D2B"/>
    <w:rsid w:val="00784DDF"/>
    <w:rsid w:val="0078561D"/>
    <w:rsid w:val="0078594B"/>
    <w:rsid w:val="00785AE7"/>
    <w:rsid w:val="00785CD3"/>
    <w:rsid w:val="00786269"/>
    <w:rsid w:val="00786770"/>
    <w:rsid w:val="007868AC"/>
    <w:rsid w:val="00786A29"/>
    <w:rsid w:val="00787385"/>
    <w:rsid w:val="00787476"/>
    <w:rsid w:val="0079063E"/>
    <w:rsid w:val="007908DB"/>
    <w:rsid w:val="00790B0E"/>
    <w:rsid w:val="00790BE8"/>
    <w:rsid w:val="00790D95"/>
    <w:rsid w:val="00790E1D"/>
    <w:rsid w:val="0079166C"/>
    <w:rsid w:val="007916BC"/>
    <w:rsid w:val="00791B04"/>
    <w:rsid w:val="00791E80"/>
    <w:rsid w:val="00792132"/>
    <w:rsid w:val="007921BC"/>
    <w:rsid w:val="00792798"/>
    <w:rsid w:val="00792C5A"/>
    <w:rsid w:val="007930FB"/>
    <w:rsid w:val="007931DE"/>
    <w:rsid w:val="0079329A"/>
    <w:rsid w:val="007935F6"/>
    <w:rsid w:val="007936B1"/>
    <w:rsid w:val="00793C02"/>
    <w:rsid w:val="007946BA"/>
    <w:rsid w:val="00794AD7"/>
    <w:rsid w:val="00794DB5"/>
    <w:rsid w:val="007954C3"/>
    <w:rsid w:val="00795625"/>
    <w:rsid w:val="0079569E"/>
    <w:rsid w:val="007957FD"/>
    <w:rsid w:val="00795F18"/>
    <w:rsid w:val="00796175"/>
    <w:rsid w:val="0079634F"/>
    <w:rsid w:val="007964AB"/>
    <w:rsid w:val="007966AF"/>
    <w:rsid w:val="007966D3"/>
    <w:rsid w:val="0079680B"/>
    <w:rsid w:val="00796940"/>
    <w:rsid w:val="00796AD9"/>
    <w:rsid w:val="00796C67"/>
    <w:rsid w:val="00796EBF"/>
    <w:rsid w:val="0079703C"/>
    <w:rsid w:val="007972D3"/>
    <w:rsid w:val="00797329"/>
    <w:rsid w:val="0079740F"/>
    <w:rsid w:val="007977A4"/>
    <w:rsid w:val="00797A72"/>
    <w:rsid w:val="00797DB1"/>
    <w:rsid w:val="00797F56"/>
    <w:rsid w:val="007A0121"/>
    <w:rsid w:val="007A0305"/>
    <w:rsid w:val="007A0B55"/>
    <w:rsid w:val="007A0D3A"/>
    <w:rsid w:val="007A0DE2"/>
    <w:rsid w:val="007A1040"/>
    <w:rsid w:val="007A106B"/>
    <w:rsid w:val="007A1274"/>
    <w:rsid w:val="007A12A5"/>
    <w:rsid w:val="007A12A6"/>
    <w:rsid w:val="007A13C5"/>
    <w:rsid w:val="007A16A3"/>
    <w:rsid w:val="007A1779"/>
    <w:rsid w:val="007A1A4A"/>
    <w:rsid w:val="007A1BA6"/>
    <w:rsid w:val="007A1EC1"/>
    <w:rsid w:val="007A244D"/>
    <w:rsid w:val="007A26F2"/>
    <w:rsid w:val="007A2845"/>
    <w:rsid w:val="007A29B6"/>
    <w:rsid w:val="007A2DE3"/>
    <w:rsid w:val="007A3033"/>
    <w:rsid w:val="007A30FE"/>
    <w:rsid w:val="007A34E9"/>
    <w:rsid w:val="007A355F"/>
    <w:rsid w:val="007A3689"/>
    <w:rsid w:val="007A36D8"/>
    <w:rsid w:val="007A36F1"/>
    <w:rsid w:val="007A370D"/>
    <w:rsid w:val="007A3A08"/>
    <w:rsid w:val="007A3B9C"/>
    <w:rsid w:val="007A3CCD"/>
    <w:rsid w:val="007A3EE3"/>
    <w:rsid w:val="007A4275"/>
    <w:rsid w:val="007A429E"/>
    <w:rsid w:val="007A4510"/>
    <w:rsid w:val="007A4605"/>
    <w:rsid w:val="007A4629"/>
    <w:rsid w:val="007A4B04"/>
    <w:rsid w:val="007A5161"/>
    <w:rsid w:val="007A5192"/>
    <w:rsid w:val="007A5397"/>
    <w:rsid w:val="007A552A"/>
    <w:rsid w:val="007A56A1"/>
    <w:rsid w:val="007A57B0"/>
    <w:rsid w:val="007A5863"/>
    <w:rsid w:val="007A5A34"/>
    <w:rsid w:val="007A5C0B"/>
    <w:rsid w:val="007A69F1"/>
    <w:rsid w:val="007A69FC"/>
    <w:rsid w:val="007A6CC1"/>
    <w:rsid w:val="007A70F3"/>
    <w:rsid w:val="007A74C5"/>
    <w:rsid w:val="007A76E1"/>
    <w:rsid w:val="007A7E4C"/>
    <w:rsid w:val="007A7ED4"/>
    <w:rsid w:val="007A7F39"/>
    <w:rsid w:val="007B01B0"/>
    <w:rsid w:val="007B0787"/>
    <w:rsid w:val="007B0C39"/>
    <w:rsid w:val="007B0E96"/>
    <w:rsid w:val="007B11FF"/>
    <w:rsid w:val="007B1368"/>
    <w:rsid w:val="007B16FA"/>
    <w:rsid w:val="007B173F"/>
    <w:rsid w:val="007B17B1"/>
    <w:rsid w:val="007B1A8E"/>
    <w:rsid w:val="007B1B6D"/>
    <w:rsid w:val="007B1BBB"/>
    <w:rsid w:val="007B1C0D"/>
    <w:rsid w:val="007B2349"/>
    <w:rsid w:val="007B29C1"/>
    <w:rsid w:val="007B2AE8"/>
    <w:rsid w:val="007B2D11"/>
    <w:rsid w:val="007B2DE3"/>
    <w:rsid w:val="007B2DE7"/>
    <w:rsid w:val="007B2E0D"/>
    <w:rsid w:val="007B2E63"/>
    <w:rsid w:val="007B3634"/>
    <w:rsid w:val="007B3640"/>
    <w:rsid w:val="007B3B22"/>
    <w:rsid w:val="007B3C53"/>
    <w:rsid w:val="007B3F98"/>
    <w:rsid w:val="007B4410"/>
    <w:rsid w:val="007B4693"/>
    <w:rsid w:val="007B4CFB"/>
    <w:rsid w:val="007B4F44"/>
    <w:rsid w:val="007B5720"/>
    <w:rsid w:val="007B5818"/>
    <w:rsid w:val="007B5CC0"/>
    <w:rsid w:val="007B5D6A"/>
    <w:rsid w:val="007B5DEB"/>
    <w:rsid w:val="007B6032"/>
    <w:rsid w:val="007B605F"/>
    <w:rsid w:val="007B639A"/>
    <w:rsid w:val="007B6706"/>
    <w:rsid w:val="007B673F"/>
    <w:rsid w:val="007B6801"/>
    <w:rsid w:val="007B685F"/>
    <w:rsid w:val="007B68B4"/>
    <w:rsid w:val="007B6AD7"/>
    <w:rsid w:val="007B6FA1"/>
    <w:rsid w:val="007B7096"/>
    <w:rsid w:val="007B7298"/>
    <w:rsid w:val="007B73CA"/>
    <w:rsid w:val="007B7449"/>
    <w:rsid w:val="007B767B"/>
    <w:rsid w:val="007B78F1"/>
    <w:rsid w:val="007B794E"/>
    <w:rsid w:val="007B7ACB"/>
    <w:rsid w:val="007B7AE1"/>
    <w:rsid w:val="007B7C02"/>
    <w:rsid w:val="007B7FA0"/>
    <w:rsid w:val="007C0018"/>
    <w:rsid w:val="007C00EA"/>
    <w:rsid w:val="007C0309"/>
    <w:rsid w:val="007C0509"/>
    <w:rsid w:val="007C05BB"/>
    <w:rsid w:val="007C09DC"/>
    <w:rsid w:val="007C0A35"/>
    <w:rsid w:val="007C0A9B"/>
    <w:rsid w:val="007C0CE0"/>
    <w:rsid w:val="007C0D95"/>
    <w:rsid w:val="007C0F82"/>
    <w:rsid w:val="007C0FF6"/>
    <w:rsid w:val="007C10DF"/>
    <w:rsid w:val="007C1137"/>
    <w:rsid w:val="007C1277"/>
    <w:rsid w:val="007C1307"/>
    <w:rsid w:val="007C1379"/>
    <w:rsid w:val="007C17E1"/>
    <w:rsid w:val="007C1821"/>
    <w:rsid w:val="007C19A2"/>
    <w:rsid w:val="007C1C02"/>
    <w:rsid w:val="007C1CA2"/>
    <w:rsid w:val="007C2190"/>
    <w:rsid w:val="007C2262"/>
    <w:rsid w:val="007C2307"/>
    <w:rsid w:val="007C2703"/>
    <w:rsid w:val="007C2B38"/>
    <w:rsid w:val="007C2D1A"/>
    <w:rsid w:val="007C321B"/>
    <w:rsid w:val="007C33B4"/>
    <w:rsid w:val="007C38A1"/>
    <w:rsid w:val="007C3B3B"/>
    <w:rsid w:val="007C3E44"/>
    <w:rsid w:val="007C3ED2"/>
    <w:rsid w:val="007C4066"/>
    <w:rsid w:val="007C430B"/>
    <w:rsid w:val="007C4980"/>
    <w:rsid w:val="007C49DB"/>
    <w:rsid w:val="007C4D22"/>
    <w:rsid w:val="007C524A"/>
    <w:rsid w:val="007C52B9"/>
    <w:rsid w:val="007C55B8"/>
    <w:rsid w:val="007C5A2D"/>
    <w:rsid w:val="007C5AC9"/>
    <w:rsid w:val="007C5AE1"/>
    <w:rsid w:val="007C6076"/>
    <w:rsid w:val="007C6476"/>
    <w:rsid w:val="007C6543"/>
    <w:rsid w:val="007C68FD"/>
    <w:rsid w:val="007C6A50"/>
    <w:rsid w:val="007C6A7A"/>
    <w:rsid w:val="007C6DED"/>
    <w:rsid w:val="007C6E45"/>
    <w:rsid w:val="007C6FCF"/>
    <w:rsid w:val="007C73C7"/>
    <w:rsid w:val="007C75B7"/>
    <w:rsid w:val="007C7656"/>
    <w:rsid w:val="007C78FF"/>
    <w:rsid w:val="007D0182"/>
    <w:rsid w:val="007D0267"/>
    <w:rsid w:val="007D0365"/>
    <w:rsid w:val="007D0393"/>
    <w:rsid w:val="007D044C"/>
    <w:rsid w:val="007D0AB2"/>
    <w:rsid w:val="007D0F3A"/>
    <w:rsid w:val="007D138E"/>
    <w:rsid w:val="007D16A3"/>
    <w:rsid w:val="007D17D3"/>
    <w:rsid w:val="007D17E8"/>
    <w:rsid w:val="007D1800"/>
    <w:rsid w:val="007D1CB3"/>
    <w:rsid w:val="007D1F81"/>
    <w:rsid w:val="007D20C5"/>
    <w:rsid w:val="007D2227"/>
    <w:rsid w:val="007D225B"/>
    <w:rsid w:val="007D238A"/>
    <w:rsid w:val="007D2401"/>
    <w:rsid w:val="007D25F6"/>
    <w:rsid w:val="007D293F"/>
    <w:rsid w:val="007D2F14"/>
    <w:rsid w:val="007D2F42"/>
    <w:rsid w:val="007D3421"/>
    <w:rsid w:val="007D3A7E"/>
    <w:rsid w:val="007D3B3D"/>
    <w:rsid w:val="007D3C1C"/>
    <w:rsid w:val="007D3C69"/>
    <w:rsid w:val="007D3F1B"/>
    <w:rsid w:val="007D4586"/>
    <w:rsid w:val="007D46B8"/>
    <w:rsid w:val="007D4933"/>
    <w:rsid w:val="007D4965"/>
    <w:rsid w:val="007D4B6F"/>
    <w:rsid w:val="007D51E6"/>
    <w:rsid w:val="007D550D"/>
    <w:rsid w:val="007D58DB"/>
    <w:rsid w:val="007D5BBD"/>
    <w:rsid w:val="007D5C78"/>
    <w:rsid w:val="007D5D7E"/>
    <w:rsid w:val="007D5EFF"/>
    <w:rsid w:val="007D6129"/>
    <w:rsid w:val="007D61E3"/>
    <w:rsid w:val="007D65EA"/>
    <w:rsid w:val="007D6BD4"/>
    <w:rsid w:val="007D6BF4"/>
    <w:rsid w:val="007D6BFE"/>
    <w:rsid w:val="007D6D3D"/>
    <w:rsid w:val="007D7015"/>
    <w:rsid w:val="007D7919"/>
    <w:rsid w:val="007D7C29"/>
    <w:rsid w:val="007D7CC9"/>
    <w:rsid w:val="007D7D16"/>
    <w:rsid w:val="007D7DE6"/>
    <w:rsid w:val="007E01AE"/>
    <w:rsid w:val="007E0212"/>
    <w:rsid w:val="007E0254"/>
    <w:rsid w:val="007E035F"/>
    <w:rsid w:val="007E0E0C"/>
    <w:rsid w:val="007E0F85"/>
    <w:rsid w:val="007E1438"/>
    <w:rsid w:val="007E1581"/>
    <w:rsid w:val="007E1598"/>
    <w:rsid w:val="007E1674"/>
    <w:rsid w:val="007E1789"/>
    <w:rsid w:val="007E188F"/>
    <w:rsid w:val="007E19CE"/>
    <w:rsid w:val="007E267F"/>
    <w:rsid w:val="007E2806"/>
    <w:rsid w:val="007E28FF"/>
    <w:rsid w:val="007E2A92"/>
    <w:rsid w:val="007E2CFF"/>
    <w:rsid w:val="007E300E"/>
    <w:rsid w:val="007E3047"/>
    <w:rsid w:val="007E38E6"/>
    <w:rsid w:val="007E39EE"/>
    <w:rsid w:val="007E3D8A"/>
    <w:rsid w:val="007E3DA6"/>
    <w:rsid w:val="007E4678"/>
    <w:rsid w:val="007E47A1"/>
    <w:rsid w:val="007E493D"/>
    <w:rsid w:val="007E49B2"/>
    <w:rsid w:val="007E4A19"/>
    <w:rsid w:val="007E509A"/>
    <w:rsid w:val="007E509F"/>
    <w:rsid w:val="007E544A"/>
    <w:rsid w:val="007E570C"/>
    <w:rsid w:val="007E576C"/>
    <w:rsid w:val="007E57A6"/>
    <w:rsid w:val="007E5B89"/>
    <w:rsid w:val="007E5B8A"/>
    <w:rsid w:val="007E5EEF"/>
    <w:rsid w:val="007E624B"/>
    <w:rsid w:val="007E6427"/>
    <w:rsid w:val="007E66B9"/>
    <w:rsid w:val="007E677B"/>
    <w:rsid w:val="007E67C8"/>
    <w:rsid w:val="007E6C11"/>
    <w:rsid w:val="007E6ED6"/>
    <w:rsid w:val="007E7099"/>
    <w:rsid w:val="007E7154"/>
    <w:rsid w:val="007E74B3"/>
    <w:rsid w:val="007E7576"/>
    <w:rsid w:val="007E7E7B"/>
    <w:rsid w:val="007E7EF6"/>
    <w:rsid w:val="007E7F4B"/>
    <w:rsid w:val="007E7F55"/>
    <w:rsid w:val="007F0137"/>
    <w:rsid w:val="007F0786"/>
    <w:rsid w:val="007F0DC8"/>
    <w:rsid w:val="007F0DE2"/>
    <w:rsid w:val="007F0E58"/>
    <w:rsid w:val="007F1043"/>
    <w:rsid w:val="007F1587"/>
    <w:rsid w:val="007F16C0"/>
    <w:rsid w:val="007F184D"/>
    <w:rsid w:val="007F1AE7"/>
    <w:rsid w:val="007F1C00"/>
    <w:rsid w:val="007F1CF0"/>
    <w:rsid w:val="007F1FF7"/>
    <w:rsid w:val="007F2689"/>
    <w:rsid w:val="007F2759"/>
    <w:rsid w:val="007F320C"/>
    <w:rsid w:val="007F3629"/>
    <w:rsid w:val="007F3EF5"/>
    <w:rsid w:val="007F3FB3"/>
    <w:rsid w:val="007F44C7"/>
    <w:rsid w:val="007F4551"/>
    <w:rsid w:val="007F47E6"/>
    <w:rsid w:val="007F4A0D"/>
    <w:rsid w:val="007F4A38"/>
    <w:rsid w:val="007F4E55"/>
    <w:rsid w:val="007F5066"/>
    <w:rsid w:val="007F51F0"/>
    <w:rsid w:val="007F546E"/>
    <w:rsid w:val="007F55C8"/>
    <w:rsid w:val="007F58E6"/>
    <w:rsid w:val="007F5D14"/>
    <w:rsid w:val="007F63B6"/>
    <w:rsid w:val="007F681E"/>
    <w:rsid w:val="007F6A01"/>
    <w:rsid w:val="007F6BBB"/>
    <w:rsid w:val="007F6E26"/>
    <w:rsid w:val="007F7391"/>
    <w:rsid w:val="007F796E"/>
    <w:rsid w:val="007F7FCA"/>
    <w:rsid w:val="008001C5"/>
    <w:rsid w:val="00800230"/>
    <w:rsid w:val="008002AE"/>
    <w:rsid w:val="008003B3"/>
    <w:rsid w:val="0080042C"/>
    <w:rsid w:val="00800A54"/>
    <w:rsid w:val="00800D0B"/>
    <w:rsid w:val="00800F56"/>
    <w:rsid w:val="00801077"/>
    <w:rsid w:val="0080121F"/>
    <w:rsid w:val="00801255"/>
    <w:rsid w:val="008018DA"/>
    <w:rsid w:val="00801C0C"/>
    <w:rsid w:val="00801C8A"/>
    <w:rsid w:val="00801D41"/>
    <w:rsid w:val="00802745"/>
    <w:rsid w:val="00803136"/>
    <w:rsid w:val="0080385F"/>
    <w:rsid w:val="008039B9"/>
    <w:rsid w:val="008039DE"/>
    <w:rsid w:val="00803BAE"/>
    <w:rsid w:val="00803E14"/>
    <w:rsid w:val="00804180"/>
    <w:rsid w:val="0080439A"/>
    <w:rsid w:val="00804761"/>
    <w:rsid w:val="00804B97"/>
    <w:rsid w:val="00804D3D"/>
    <w:rsid w:val="0080509E"/>
    <w:rsid w:val="00805448"/>
    <w:rsid w:val="0080561C"/>
    <w:rsid w:val="00805B5E"/>
    <w:rsid w:val="00805DE7"/>
    <w:rsid w:val="00805FC5"/>
    <w:rsid w:val="00806163"/>
    <w:rsid w:val="00806266"/>
    <w:rsid w:val="00806314"/>
    <w:rsid w:val="0080639A"/>
    <w:rsid w:val="00806428"/>
    <w:rsid w:val="008066C1"/>
    <w:rsid w:val="00806709"/>
    <w:rsid w:val="008067D4"/>
    <w:rsid w:val="008068B2"/>
    <w:rsid w:val="00806961"/>
    <w:rsid w:val="00806B30"/>
    <w:rsid w:val="00806C99"/>
    <w:rsid w:val="008072F1"/>
    <w:rsid w:val="00807737"/>
    <w:rsid w:val="008079DC"/>
    <w:rsid w:val="00807A6A"/>
    <w:rsid w:val="00807ABE"/>
    <w:rsid w:val="00807B77"/>
    <w:rsid w:val="00810019"/>
    <w:rsid w:val="0081015B"/>
    <w:rsid w:val="0081029E"/>
    <w:rsid w:val="0081033B"/>
    <w:rsid w:val="00810BA9"/>
    <w:rsid w:val="00811180"/>
    <w:rsid w:val="00811423"/>
    <w:rsid w:val="008114C8"/>
    <w:rsid w:val="0081153F"/>
    <w:rsid w:val="008115CD"/>
    <w:rsid w:val="008116B7"/>
    <w:rsid w:val="00811712"/>
    <w:rsid w:val="00811A5F"/>
    <w:rsid w:val="00811A7F"/>
    <w:rsid w:val="0081218A"/>
    <w:rsid w:val="00812476"/>
    <w:rsid w:val="0081266C"/>
    <w:rsid w:val="00812DEA"/>
    <w:rsid w:val="0081358E"/>
    <w:rsid w:val="00813B75"/>
    <w:rsid w:val="0081401D"/>
    <w:rsid w:val="008141A7"/>
    <w:rsid w:val="00814320"/>
    <w:rsid w:val="00814490"/>
    <w:rsid w:val="00814C51"/>
    <w:rsid w:val="00814F61"/>
    <w:rsid w:val="00814F66"/>
    <w:rsid w:val="00815253"/>
    <w:rsid w:val="0081550A"/>
    <w:rsid w:val="00815632"/>
    <w:rsid w:val="00815757"/>
    <w:rsid w:val="00815A07"/>
    <w:rsid w:val="00815C78"/>
    <w:rsid w:val="0081658E"/>
    <w:rsid w:val="0081691D"/>
    <w:rsid w:val="008169BE"/>
    <w:rsid w:val="0081729A"/>
    <w:rsid w:val="00817CFD"/>
    <w:rsid w:val="00817E6F"/>
    <w:rsid w:val="00817F9A"/>
    <w:rsid w:val="0082019B"/>
    <w:rsid w:val="0082036A"/>
    <w:rsid w:val="0082064D"/>
    <w:rsid w:val="008208D2"/>
    <w:rsid w:val="008209A6"/>
    <w:rsid w:val="00821326"/>
    <w:rsid w:val="00821332"/>
    <w:rsid w:val="008213A2"/>
    <w:rsid w:val="0082179D"/>
    <w:rsid w:val="00821C1A"/>
    <w:rsid w:val="00821CE8"/>
    <w:rsid w:val="008221C3"/>
    <w:rsid w:val="008222A3"/>
    <w:rsid w:val="00822454"/>
    <w:rsid w:val="00822840"/>
    <w:rsid w:val="00822B60"/>
    <w:rsid w:val="00822F0D"/>
    <w:rsid w:val="0082327D"/>
    <w:rsid w:val="008235E8"/>
    <w:rsid w:val="00823B2C"/>
    <w:rsid w:val="00823CB6"/>
    <w:rsid w:val="00823F27"/>
    <w:rsid w:val="0082436E"/>
    <w:rsid w:val="00824618"/>
    <w:rsid w:val="00824C64"/>
    <w:rsid w:val="00824FC8"/>
    <w:rsid w:val="00825B4C"/>
    <w:rsid w:val="00826052"/>
    <w:rsid w:val="0082605E"/>
    <w:rsid w:val="008260BC"/>
    <w:rsid w:val="00826123"/>
    <w:rsid w:val="00826338"/>
    <w:rsid w:val="00826CC7"/>
    <w:rsid w:val="00826D57"/>
    <w:rsid w:val="0082700A"/>
    <w:rsid w:val="0082719D"/>
    <w:rsid w:val="0082755D"/>
    <w:rsid w:val="0082788A"/>
    <w:rsid w:val="00827FF6"/>
    <w:rsid w:val="0083019E"/>
    <w:rsid w:val="008302FE"/>
    <w:rsid w:val="00830338"/>
    <w:rsid w:val="00830609"/>
    <w:rsid w:val="00830A21"/>
    <w:rsid w:val="00830AB9"/>
    <w:rsid w:val="00830F4E"/>
    <w:rsid w:val="00831C33"/>
    <w:rsid w:val="00832441"/>
    <w:rsid w:val="008326A9"/>
    <w:rsid w:val="0083272B"/>
    <w:rsid w:val="00832A01"/>
    <w:rsid w:val="00832E53"/>
    <w:rsid w:val="00832EFE"/>
    <w:rsid w:val="00832F92"/>
    <w:rsid w:val="0083300E"/>
    <w:rsid w:val="00833160"/>
    <w:rsid w:val="00833178"/>
    <w:rsid w:val="00833626"/>
    <w:rsid w:val="008338AF"/>
    <w:rsid w:val="0083397D"/>
    <w:rsid w:val="00833A4A"/>
    <w:rsid w:val="0083445D"/>
    <w:rsid w:val="00834782"/>
    <w:rsid w:val="00834892"/>
    <w:rsid w:val="00834ABB"/>
    <w:rsid w:val="00834DEE"/>
    <w:rsid w:val="0083518E"/>
    <w:rsid w:val="008356FC"/>
    <w:rsid w:val="0083618D"/>
    <w:rsid w:val="00836339"/>
    <w:rsid w:val="008369DB"/>
    <w:rsid w:val="00836C87"/>
    <w:rsid w:val="00836D29"/>
    <w:rsid w:val="00836E09"/>
    <w:rsid w:val="00837148"/>
    <w:rsid w:val="00837522"/>
    <w:rsid w:val="0083779E"/>
    <w:rsid w:val="00837800"/>
    <w:rsid w:val="0083786B"/>
    <w:rsid w:val="00837A4A"/>
    <w:rsid w:val="00837A68"/>
    <w:rsid w:val="00837C8F"/>
    <w:rsid w:val="008400E3"/>
    <w:rsid w:val="0084034A"/>
    <w:rsid w:val="008406E4"/>
    <w:rsid w:val="00840883"/>
    <w:rsid w:val="00840E54"/>
    <w:rsid w:val="00841425"/>
    <w:rsid w:val="008414A3"/>
    <w:rsid w:val="008416AD"/>
    <w:rsid w:val="008417DD"/>
    <w:rsid w:val="00841975"/>
    <w:rsid w:val="00841AAE"/>
    <w:rsid w:val="00841C27"/>
    <w:rsid w:val="008422E2"/>
    <w:rsid w:val="00842540"/>
    <w:rsid w:val="00842AB6"/>
    <w:rsid w:val="00842D04"/>
    <w:rsid w:val="00843673"/>
    <w:rsid w:val="00843710"/>
    <w:rsid w:val="0084371F"/>
    <w:rsid w:val="00843C50"/>
    <w:rsid w:val="00843C72"/>
    <w:rsid w:val="00843C88"/>
    <w:rsid w:val="00844039"/>
    <w:rsid w:val="0084418D"/>
    <w:rsid w:val="0084451C"/>
    <w:rsid w:val="00844962"/>
    <w:rsid w:val="00844AC7"/>
    <w:rsid w:val="0084538A"/>
    <w:rsid w:val="008453B8"/>
    <w:rsid w:val="00845E09"/>
    <w:rsid w:val="00845F12"/>
    <w:rsid w:val="00845FD4"/>
    <w:rsid w:val="008464DE"/>
    <w:rsid w:val="00846921"/>
    <w:rsid w:val="00846B07"/>
    <w:rsid w:val="00846BA0"/>
    <w:rsid w:val="00846CAE"/>
    <w:rsid w:val="00846FA8"/>
    <w:rsid w:val="0084707D"/>
    <w:rsid w:val="008472F5"/>
    <w:rsid w:val="00847540"/>
    <w:rsid w:val="008475F8"/>
    <w:rsid w:val="00847D2F"/>
    <w:rsid w:val="00847E36"/>
    <w:rsid w:val="0085025E"/>
    <w:rsid w:val="008504AD"/>
    <w:rsid w:val="00850514"/>
    <w:rsid w:val="008513A7"/>
    <w:rsid w:val="0085173D"/>
    <w:rsid w:val="00851BF9"/>
    <w:rsid w:val="00851D34"/>
    <w:rsid w:val="00851DCE"/>
    <w:rsid w:val="00851E09"/>
    <w:rsid w:val="00851E26"/>
    <w:rsid w:val="00851F03"/>
    <w:rsid w:val="00851F29"/>
    <w:rsid w:val="00851F8F"/>
    <w:rsid w:val="00852153"/>
    <w:rsid w:val="008522BA"/>
    <w:rsid w:val="0085272D"/>
    <w:rsid w:val="008527D3"/>
    <w:rsid w:val="0085294A"/>
    <w:rsid w:val="008535EF"/>
    <w:rsid w:val="008536E7"/>
    <w:rsid w:val="008538F0"/>
    <w:rsid w:val="00853E34"/>
    <w:rsid w:val="00853E53"/>
    <w:rsid w:val="00854241"/>
    <w:rsid w:val="00854412"/>
    <w:rsid w:val="008547DF"/>
    <w:rsid w:val="008551C8"/>
    <w:rsid w:val="0085527A"/>
    <w:rsid w:val="00855667"/>
    <w:rsid w:val="00855BAC"/>
    <w:rsid w:val="00855FDB"/>
    <w:rsid w:val="00856071"/>
    <w:rsid w:val="00856085"/>
    <w:rsid w:val="0085625E"/>
    <w:rsid w:val="008566BE"/>
    <w:rsid w:val="00856827"/>
    <w:rsid w:val="00856A9D"/>
    <w:rsid w:val="00856B43"/>
    <w:rsid w:val="00856E02"/>
    <w:rsid w:val="00856FFC"/>
    <w:rsid w:val="00857175"/>
    <w:rsid w:val="008573B6"/>
    <w:rsid w:val="00857441"/>
    <w:rsid w:val="00857A6A"/>
    <w:rsid w:val="00860A3D"/>
    <w:rsid w:val="00860C25"/>
    <w:rsid w:val="00860E1C"/>
    <w:rsid w:val="00860FE4"/>
    <w:rsid w:val="008616C6"/>
    <w:rsid w:val="00861821"/>
    <w:rsid w:val="00861E9E"/>
    <w:rsid w:val="008620E7"/>
    <w:rsid w:val="00862212"/>
    <w:rsid w:val="0086266B"/>
    <w:rsid w:val="00862818"/>
    <w:rsid w:val="008628F1"/>
    <w:rsid w:val="008631E1"/>
    <w:rsid w:val="00863280"/>
    <w:rsid w:val="008632F5"/>
    <w:rsid w:val="00863E74"/>
    <w:rsid w:val="00864204"/>
    <w:rsid w:val="00864241"/>
    <w:rsid w:val="008642D8"/>
    <w:rsid w:val="0086430B"/>
    <w:rsid w:val="00864436"/>
    <w:rsid w:val="008645ED"/>
    <w:rsid w:val="00864699"/>
    <w:rsid w:val="00864816"/>
    <w:rsid w:val="00864F68"/>
    <w:rsid w:val="008658D3"/>
    <w:rsid w:val="00865A85"/>
    <w:rsid w:val="00865C9C"/>
    <w:rsid w:val="00865EAA"/>
    <w:rsid w:val="00865F08"/>
    <w:rsid w:val="008660F1"/>
    <w:rsid w:val="00866311"/>
    <w:rsid w:val="00866322"/>
    <w:rsid w:val="008667D4"/>
    <w:rsid w:val="008667DA"/>
    <w:rsid w:val="008668B0"/>
    <w:rsid w:val="0086693A"/>
    <w:rsid w:val="00866A7A"/>
    <w:rsid w:val="00866C70"/>
    <w:rsid w:val="00866E27"/>
    <w:rsid w:val="00867470"/>
    <w:rsid w:val="0086767E"/>
    <w:rsid w:val="00867968"/>
    <w:rsid w:val="00867973"/>
    <w:rsid w:val="00867E75"/>
    <w:rsid w:val="00867E9A"/>
    <w:rsid w:val="00867EC9"/>
    <w:rsid w:val="0087029D"/>
    <w:rsid w:val="008703F6"/>
    <w:rsid w:val="008703F7"/>
    <w:rsid w:val="00870921"/>
    <w:rsid w:val="00870C77"/>
    <w:rsid w:val="008714F4"/>
    <w:rsid w:val="0087178D"/>
    <w:rsid w:val="00871D0A"/>
    <w:rsid w:val="00871E96"/>
    <w:rsid w:val="008721FE"/>
    <w:rsid w:val="0087247A"/>
    <w:rsid w:val="00872C36"/>
    <w:rsid w:val="00873424"/>
    <w:rsid w:val="00873490"/>
    <w:rsid w:val="0087358E"/>
    <w:rsid w:val="0087362D"/>
    <w:rsid w:val="00873783"/>
    <w:rsid w:val="00873A06"/>
    <w:rsid w:val="00873D52"/>
    <w:rsid w:val="00873E0C"/>
    <w:rsid w:val="00873F2B"/>
    <w:rsid w:val="008742C9"/>
    <w:rsid w:val="008744A5"/>
    <w:rsid w:val="00874861"/>
    <w:rsid w:val="0087569D"/>
    <w:rsid w:val="008759BC"/>
    <w:rsid w:val="00875A19"/>
    <w:rsid w:val="00875B01"/>
    <w:rsid w:val="00875F1F"/>
    <w:rsid w:val="00875FB6"/>
    <w:rsid w:val="00876091"/>
    <w:rsid w:val="008761B4"/>
    <w:rsid w:val="008761DB"/>
    <w:rsid w:val="00876468"/>
    <w:rsid w:val="008765FD"/>
    <w:rsid w:val="00876648"/>
    <w:rsid w:val="00876D78"/>
    <w:rsid w:val="00876DDF"/>
    <w:rsid w:val="008771DC"/>
    <w:rsid w:val="00877666"/>
    <w:rsid w:val="008776C9"/>
    <w:rsid w:val="008776F0"/>
    <w:rsid w:val="00877A67"/>
    <w:rsid w:val="00877C10"/>
    <w:rsid w:val="00877CF6"/>
    <w:rsid w:val="00880168"/>
    <w:rsid w:val="0088032E"/>
    <w:rsid w:val="00880705"/>
    <w:rsid w:val="008807F3"/>
    <w:rsid w:val="008808FE"/>
    <w:rsid w:val="00880DA3"/>
    <w:rsid w:val="00880E07"/>
    <w:rsid w:val="00880E6B"/>
    <w:rsid w:val="008812A9"/>
    <w:rsid w:val="00881836"/>
    <w:rsid w:val="00881892"/>
    <w:rsid w:val="00881B54"/>
    <w:rsid w:val="008822B7"/>
    <w:rsid w:val="008822E7"/>
    <w:rsid w:val="00882470"/>
    <w:rsid w:val="008824FE"/>
    <w:rsid w:val="00882677"/>
    <w:rsid w:val="008827CC"/>
    <w:rsid w:val="0088293E"/>
    <w:rsid w:val="0088327C"/>
    <w:rsid w:val="00883280"/>
    <w:rsid w:val="008833C5"/>
    <w:rsid w:val="008837D5"/>
    <w:rsid w:val="008837FE"/>
    <w:rsid w:val="00883864"/>
    <w:rsid w:val="0088391C"/>
    <w:rsid w:val="00883BEC"/>
    <w:rsid w:val="00883D51"/>
    <w:rsid w:val="00883EFF"/>
    <w:rsid w:val="00884232"/>
    <w:rsid w:val="00884275"/>
    <w:rsid w:val="0088481B"/>
    <w:rsid w:val="00884837"/>
    <w:rsid w:val="00884D5E"/>
    <w:rsid w:val="00884FD3"/>
    <w:rsid w:val="00884FF0"/>
    <w:rsid w:val="008853CF"/>
    <w:rsid w:val="0088585D"/>
    <w:rsid w:val="00885E7F"/>
    <w:rsid w:val="0088605E"/>
    <w:rsid w:val="008862C5"/>
    <w:rsid w:val="00886302"/>
    <w:rsid w:val="0088674F"/>
    <w:rsid w:val="00886795"/>
    <w:rsid w:val="00886944"/>
    <w:rsid w:val="00886988"/>
    <w:rsid w:val="008869C7"/>
    <w:rsid w:val="00886B99"/>
    <w:rsid w:val="00886E44"/>
    <w:rsid w:val="00886EBD"/>
    <w:rsid w:val="00887431"/>
    <w:rsid w:val="00887492"/>
    <w:rsid w:val="008874E4"/>
    <w:rsid w:val="008877F0"/>
    <w:rsid w:val="008878C0"/>
    <w:rsid w:val="008879A7"/>
    <w:rsid w:val="008879BA"/>
    <w:rsid w:val="00887CB5"/>
    <w:rsid w:val="0089028B"/>
    <w:rsid w:val="008905D0"/>
    <w:rsid w:val="00890846"/>
    <w:rsid w:val="00890A33"/>
    <w:rsid w:val="008910A5"/>
    <w:rsid w:val="008910A8"/>
    <w:rsid w:val="00891259"/>
    <w:rsid w:val="00891A37"/>
    <w:rsid w:val="00891F69"/>
    <w:rsid w:val="00892033"/>
    <w:rsid w:val="00892412"/>
    <w:rsid w:val="008926AC"/>
    <w:rsid w:val="008930EC"/>
    <w:rsid w:val="008931D2"/>
    <w:rsid w:val="008939DF"/>
    <w:rsid w:val="00893C5E"/>
    <w:rsid w:val="00894105"/>
    <w:rsid w:val="008942D1"/>
    <w:rsid w:val="008943DC"/>
    <w:rsid w:val="008948BC"/>
    <w:rsid w:val="008948D8"/>
    <w:rsid w:val="00894913"/>
    <w:rsid w:val="00894B17"/>
    <w:rsid w:val="00894C83"/>
    <w:rsid w:val="00895096"/>
    <w:rsid w:val="008950A3"/>
    <w:rsid w:val="008950C0"/>
    <w:rsid w:val="0089538B"/>
    <w:rsid w:val="0089559A"/>
    <w:rsid w:val="00895974"/>
    <w:rsid w:val="00895CE7"/>
    <w:rsid w:val="008960CE"/>
    <w:rsid w:val="00896241"/>
    <w:rsid w:val="008967E8"/>
    <w:rsid w:val="00896B8A"/>
    <w:rsid w:val="00896CD8"/>
    <w:rsid w:val="00897001"/>
    <w:rsid w:val="008974C9"/>
    <w:rsid w:val="008974FE"/>
    <w:rsid w:val="00897AC3"/>
    <w:rsid w:val="00897CD2"/>
    <w:rsid w:val="00897F35"/>
    <w:rsid w:val="008A03F5"/>
    <w:rsid w:val="008A0429"/>
    <w:rsid w:val="008A0762"/>
    <w:rsid w:val="008A0F5D"/>
    <w:rsid w:val="008A1122"/>
    <w:rsid w:val="008A1611"/>
    <w:rsid w:val="008A1BE2"/>
    <w:rsid w:val="008A1D5F"/>
    <w:rsid w:val="008A21B8"/>
    <w:rsid w:val="008A23AC"/>
    <w:rsid w:val="008A261E"/>
    <w:rsid w:val="008A26B0"/>
    <w:rsid w:val="008A2718"/>
    <w:rsid w:val="008A2848"/>
    <w:rsid w:val="008A288B"/>
    <w:rsid w:val="008A2DAD"/>
    <w:rsid w:val="008A2FFC"/>
    <w:rsid w:val="008A30CD"/>
    <w:rsid w:val="008A35C2"/>
    <w:rsid w:val="008A38FC"/>
    <w:rsid w:val="008A3C99"/>
    <w:rsid w:val="008A3D7C"/>
    <w:rsid w:val="008A3DBA"/>
    <w:rsid w:val="008A3DC1"/>
    <w:rsid w:val="008A44BA"/>
    <w:rsid w:val="008A45C3"/>
    <w:rsid w:val="008A47C5"/>
    <w:rsid w:val="008A4845"/>
    <w:rsid w:val="008A4995"/>
    <w:rsid w:val="008A4E4F"/>
    <w:rsid w:val="008A5189"/>
    <w:rsid w:val="008A521D"/>
    <w:rsid w:val="008A55DF"/>
    <w:rsid w:val="008A5DAB"/>
    <w:rsid w:val="008A60EA"/>
    <w:rsid w:val="008A6117"/>
    <w:rsid w:val="008A6168"/>
    <w:rsid w:val="008A66B9"/>
    <w:rsid w:val="008A6793"/>
    <w:rsid w:val="008A6EE8"/>
    <w:rsid w:val="008A6F68"/>
    <w:rsid w:val="008A7156"/>
    <w:rsid w:val="008A7350"/>
    <w:rsid w:val="008A754F"/>
    <w:rsid w:val="008A7A39"/>
    <w:rsid w:val="008A7BCF"/>
    <w:rsid w:val="008B0106"/>
    <w:rsid w:val="008B08B9"/>
    <w:rsid w:val="008B08DF"/>
    <w:rsid w:val="008B092E"/>
    <w:rsid w:val="008B0A0C"/>
    <w:rsid w:val="008B0C1A"/>
    <w:rsid w:val="008B0D40"/>
    <w:rsid w:val="008B0DA7"/>
    <w:rsid w:val="008B0EB1"/>
    <w:rsid w:val="008B1235"/>
    <w:rsid w:val="008B15C5"/>
    <w:rsid w:val="008B1929"/>
    <w:rsid w:val="008B2247"/>
    <w:rsid w:val="008B241C"/>
    <w:rsid w:val="008B24EA"/>
    <w:rsid w:val="008B2677"/>
    <w:rsid w:val="008B2889"/>
    <w:rsid w:val="008B288A"/>
    <w:rsid w:val="008B2917"/>
    <w:rsid w:val="008B2B41"/>
    <w:rsid w:val="008B2C70"/>
    <w:rsid w:val="008B321C"/>
    <w:rsid w:val="008B33AD"/>
    <w:rsid w:val="008B3804"/>
    <w:rsid w:val="008B38E7"/>
    <w:rsid w:val="008B39B7"/>
    <w:rsid w:val="008B3A2A"/>
    <w:rsid w:val="008B3C33"/>
    <w:rsid w:val="008B41CA"/>
    <w:rsid w:val="008B45C6"/>
    <w:rsid w:val="008B468B"/>
    <w:rsid w:val="008B4938"/>
    <w:rsid w:val="008B4D20"/>
    <w:rsid w:val="008B50E1"/>
    <w:rsid w:val="008B5282"/>
    <w:rsid w:val="008B53D4"/>
    <w:rsid w:val="008B5A36"/>
    <w:rsid w:val="008B5CAA"/>
    <w:rsid w:val="008B6330"/>
    <w:rsid w:val="008B64C6"/>
    <w:rsid w:val="008B64FD"/>
    <w:rsid w:val="008B65EA"/>
    <w:rsid w:val="008B6B08"/>
    <w:rsid w:val="008B6BE4"/>
    <w:rsid w:val="008B6C81"/>
    <w:rsid w:val="008B6D44"/>
    <w:rsid w:val="008B6E46"/>
    <w:rsid w:val="008B6F03"/>
    <w:rsid w:val="008B6F31"/>
    <w:rsid w:val="008B701D"/>
    <w:rsid w:val="008B750E"/>
    <w:rsid w:val="008B77BF"/>
    <w:rsid w:val="008B78F0"/>
    <w:rsid w:val="008B79C2"/>
    <w:rsid w:val="008B7D22"/>
    <w:rsid w:val="008B7F0B"/>
    <w:rsid w:val="008B7F94"/>
    <w:rsid w:val="008C0266"/>
    <w:rsid w:val="008C046D"/>
    <w:rsid w:val="008C08A0"/>
    <w:rsid w:val="008C08D8"/>
    <w:rsid w:val="008C08EC"/>
    <w:rsid w:val="008C0CE4"/>
    <w:rsid w:val="008C11B1"/>
    <w:rsid w:val="008C11C5"/>
    <w:rsid w:val="008C1455"/>
    <w:rsid w:val="008C1929"/>
    <w:rsid w:val="008C1991"/>
    <w:rsid w:val="008C19A5"/>
    <w:rsid w:val="008C1E6C"/>
    <w:rsid w:val="008C1EC8"/>
    <w:rsid w:val="008C227D"/>
    <w:rsid w:val="008C2333"/>
    <w:rsid w:val="008C283F"/>
    <w:rsid w:val="008C2ACD"/>
    <w:rsid w:val="008C2B41"/>
    <w:rsid w:val="008C2DE8"/>
    <w:rsid w:val="008C3299"/>
    <w:rsid w:val="008C335C"/>
    <w:rsid w:val="008C3411"/>
    <w:rsid w:val="008C35CE"/>
    <w:rsid w:val="008C3E1C"/>
    <w:rsid w:val="008C3E26"/>
    <w:rsid w:val="008C3EC4"/>
    <w:rsid w:val="008C406C"/>
    <w:rsid w:val="008C41F9"/>
    <w:rsid w:val="008C4648"/>
    <w:rsid w:val="008C4770"/>
    <w:rsid w:val="008C4B14"/>
    <w:rsid w:val="008C4B96"/>
    <w:rsid w:val="008C52A6"/>
    <w:rsid w:val="008C5607"/>
    <w:rsid w:val="008C5ABB"/>
    <w:rsid w:val="008C5C2B"/>
    <w:rsid w:val="008C5DD6"/>
    <w:rsid w:val="008C5EA8"/>
    <w:rsid w:val="008C5F04"/>
    <w:rsid w:val="008C60CB"/>
    <w:rsid w:val="008C61B0"/>
    <w:rsid w:val="008C6604"/>
    <w:rsid w:val="008C671F"/>
    <w:rsid w:val="008C698B"/>
    <w:rsid w:val="008C6DA9"/>
    <w:rsid w:val="008C6DAF"/>
    <w:rsid w:val="008C738C"/>
    <w:rsid w:val="008C741C"/>
    <w:rsid w:val="008C74B7"/>
    <w:rsid w:val="008C75A5"/>
    <w:rsid w:val="008C77CA"/>
    <w:rsid w:val="008C7867"/>
    <w:rsid w:val="008C7B81"/>
    <w:rsid w:val="008C7C13"/>
    <w:rsid w:val="008D0202"/>
    <w:rsid w:val="008D024A"/>
    <w:rsid w:val="008D030E"/>
    <w:rsid w:val="008D0649"/>
    <w:rsid w:val="008D079F"/>
    <w:rsid w:val="008D0956"/>
    <w:rsid w:val="008D0A60"/>
    <w:rsid w:val="008D0ED4"/>
    <w:rsid w:val="008D0F22"/>
    <w:rsid w:val="008D0FEA"/>
    <w:rsid w:val="008D10B8"/>
    <w:rsid w:val="008D1123"/>
    <w:rsid w:val="008D1655"/>
    <w:rsid w:val="008D1772"/>
    <w:rsid w:val="008D19E6"/>
    <w:rsid w:val="008D1DC7"/>
    <w:rsid w:val="008D226B"/>
    <w:rsid w:val="008D2373"/>
    <w:rsid w:val="008D23C3"/>
    <w:rsid w:val="008D25CA"/>
    <w:rsid w:val="008D2A7B"/>
    <w:rsid w:val="008D322C"/>
    <w:rsid w:val="008D33E6"/>
    <w:rsid w:val="008D399B"/>
    <w:rsid w:val="008D429B"/>
    <w:rsid w:val="008D42C4"/>
    <w:rsid w:val="008D4514"/>
    <w:rsid w:val="008D4664"/>
    <w:rsid w:val="008D46C9"/>
    <w:rsid w:val="008D48B6"/>
    <w:rsid w:val="008D4903"/>
    <w:rsid w:val="008D490E"/>
    <w:rsid w:val="008D49AF"/>
    <w:rsid w:val="008D4C2F"/>
    <w:rsid w:val="008D4CBA"/>
    <w:rsid w:val="008D4FDB"/>
    <w:rsid w:val="008D5038"/>
    <w:rsid w:val="008D53D4"/>
    <w:rsid w:val="008D5548"/>
    <w:rsid w:val="008D5560"/>
    <w:rsid w:val="008D59FF"/>
    <w:rsid w:val="008D5F6C"/>
    <w:rsid w:val="008D608C"/>
    <w:rsid w:val="008D60FC"/>
    <w:rsid w:val="008D6223"/>
    <w:rsid w:val="008D6277"/>
    <w:rsid w:val="008D62B3"/>
    <w:rsid w:val="008D640E"/>
    <w:rsid w:val="008D6756"/>
    <w:rsid w:val="008D6778"/>
    <w:rsid w:val="008D6CDC"/>
    <w:rsid w:val="008D6E8C"/>
    <w:rsid w:val="008D6E92"/>
    <w:rsid w:val="008D6EC0"/>
    <w:rsid w:val="008D71D7"/>
    <w:rsid w:val="008D74E7"/>
    <w:rsid w:val="008D78CB"/>
    <w:rsid w:val="008D7A61"/>
    <w:rsid w:val="008D7DFD"/>
    <w:rsid w:val="008D7F8E"/>
    <w:rsid w:val="008E0361"/>
    <w:rsid w:val="008E06EB"/>
    <w:rsid w:val="008E0B20"/>
    <w:rsid w:val="008E0D1F"/>
    <w:rsid w:val="008E12BC"/>
    <w:rsid w:val="008E1714"/>
    <w:rsid w:val="008E1946"/>
    <w:rsid w:val="008E1BA6"/>
    <w:rsid w:val="008E1D0E"/>
    <w:rsid w:val="008E1DA3"/>
    <w:rsid w:val="008E1DB3"/>
    <w:rsid w:val="008E1DBF"/>
    <w:rsid w:val="008E250A"/>
    <w:rsid w:val="008E2FCF"/>
    <w:rsid w:val="008E31F6"/>
    <w:rsid w:val="008E322B"/>
    <w:rsid w:val="008E367D"/>
    <w:rsid w:val="008E369E"/>
    <w:rsid w:val="008E37E8"/>
    <w:rsid w:val="008E3A34"/>
    <w:rsid w:val="008E3A52"/>
    <w:rsid w:val="008E3A87"/>
    <w:rsid w:val="008E3C00"/>
    <w:rsid w:val="008E42F2"/>
    <w:rsid w:val="008E4399"/>
    <w:rsid w:val="008E45FB"/>
    <w:rsid w:val="008E468E"/>
    <w:rsid w:val="008E4702"/>
    <w:rsid w:val="008E4AD4"/>
    <w:rsid w:val="008E4B7F"/>
    <w:rsid w:val="008E4C27"/>
    <w:rsid w:val="008E4EC7"/>
    <w:rsid w:val="008E5168"/>
    <w:rsid w:val="008E5367"/>
    <w:rsid w:val="008E59B0"/>
    <w:rsid w:val="008E5AF2"/>
    <w:rsid w:val="008E60EC"/>
    <w:rsid w:val="008E6383"/>
    <w:rsid w:val="008E63DE"/>
    <w:rsid w:val="008E63E5"/>
    <w:rsid w:val="008E6763"/>
    <w:rsid w:val="008E6A3F"/>
    <w:rsid w:val="008E6A57"/>
    <w:rsid w:val="008E6AE8"/>
    <w:rsid w:val="008E6FFB"/>
    <w:rsid w:val="008E7803"/>
    <w:rsid w:val="008E7B91"/>
    <w:rsid w:val="008F0353"/>
    <w:rsid w:val="008F05E1"/>
    <w:rsid w:val="008F0797"/>
    <w:rsid w:val="008F0827"/>
    <w:rsid w:val="008F11D8"/>
    <w:rsid w:val="008F131F"/>
    <w:rsid w:val="008F154D"/>
    <w:rsid w:val="008F15B9"/>
    <w:rsid w:val="008F1947"/>
    <w:rsid w:val="008F1A82"/>
    <w:rsid w:val="008F1B70"/>
    <w:rsid w:val="008F1C77"/>
    <w:rsid w:val="008F1DEB"/>
    <w:rsid w:val="008F1F1B"/>
    <w:rsid w:val="008F2016"/>
    <w:rsid w:val="008F2113"/>
    <w:rsid w:val="008F24B3"/>
    <w:rsid w:val="008F2665"/>
    <w:rsid w:val="008F29D4"/>
    <w:rsid w:val="008F2B53"/>
    <w:rsid w:val="008F2CF9"/>
    <w:rsid w:val="008F2E65"/>
    <w:rsid w:val="008F2EA8"/>
    <w:rsid w:val="008F2F51"/>
    <w:rsid w:val="008F2FEC"/>
    <w:rsid w:val="008F3181"/>
    <w:rsid w:val="008F325A"/>
    <w:rsid w:val="008F32C9"/>
    <w:rsid w:val="008F344A"/>
    <w:rsid w:val="008F35AE"/>
    <w:rsid w:val="008F3664"/>
    <w:rsid w:val="008F3B73"/>
    <w:rsid w:val="008F3DE9"/>
    <w:rsid w:val="008F3F7A"/>
    <w:rsid w:val="008F3FF5"/>
    <w:rsid w:val="008F4169"/>
    <w:rsid w:val="008F4359"/>
    <w:rsid w:val="008F437A"/>
    <w:rsid w:val="008F443F"/>
    <w:rsid w:val="008F479B"/>
    <w:rsid w:val="008F47D3"/>
    <w:rsid w:val="008F495B"/>
    <w:rsid w:val="008F4C11"/>
    <w:rsid w:val="008F4D06"/>
    <w:rsid w:val="008F4E51"/>
    <w:rsid w:val="008F5384"/>
    <w:rsid w:val="008F5A2F"/>
    <w:rsid w:val="008F6148"/>
    <w:rsid w:val="008F6200"/>
    <w:rsid w:val="008F6313"/>
    <w:rsid w:val="008F673B"/>
    <w:rsid w:val="008F69A9"/>
    <w:rsid w:val="008F69DB"/>
    <w:rsid w:val="008F6AEA"/>
    <w:rsid w:val="008F7121"/>
    <w:rsid w:val="008F75F6"/>
    <w:rsid w:val="008F77C4"/>
    <w:rsid w:val="008F787F"/>
    <w:rsid w:val="008F7AB1"/>
    <w:rsid w:val="008F7B0C"/>
    <w:rsid w:val="00900167"/>
    <w:rsid w:val="009002DC"/>
    <w:rsid w:val="00900B87"/>
    <w:rsid w:val="00901174"/>
    <w:rsid w:val="00901322"/>
    <w:rsid w:val="009015F7"/>
    <w:rsid w:val="00901721"/>
    <w:rsid w:val="009017F2"/>
    <w:rsid w:val="009020DA"/>
    <w:rsid w:val="00902295"/>
    <w:rsid w:val="0090248B"/>
    <w:rsid w:val="00902C62"/>
    <w:rsid w:val="00902F1A"/>
    <w:rsid w:val="009035FA"/>
    <w:rsid w:val="00903733"/>
    <w:rsid w:val="0090375E"/>
    <w:rsid w:val="009037C6"/>
    <w:rsid w:val="00903805"/>
    <w:rsid w:val="00903872"/>
    <w:rsid w:val="00903A03"/>
    <w:rsid w:val="00903BA1"/>
    <w:rsid w:val="00903CED"/>
    <w:rsid w:val="00903F58"/>
    <w:rsid w:val="0090444F"/>
    <w:rsid w:val="0090445D"/>
    <w:rsid w:val="00904E9B"/>
    <w:rsid w:val="00904F81"/>
    <w:rsid w:val="00905423"/>
    <w:rsid w:val="00905714"/>
    <w:rsid w:val="0090576C"/>
    <w:rsid w:val="0090696D"/>
    <w:rsid w:val="00906B76"/>
    <w:rsid w:val="00907077"/>
    <w:rsid w:val="0090712B"/>
    <w:rsid w:val="00907873"/>
    <w:rsid w:val="00907901"/>
    <w:rsid w:val="00907949"/>
    <w:rsid w:val="0091008B"/>
    <w:rsid w:val="0091024D"/>
    <w:rsid w:val="0091052B"/>
    <w:rsid w:val="009105AC"/>
    <w:rsid w:val="0091080D"/>
    <w:rsid w:val="00910996"/>
    <w:rsid w:val="00910CCF"/>
    <w:rsid w:val="00910FF9"/>
    <w:rsid w:val="0091116B"/>
    <w:rsid w:val="0091120A"/>
    <w:rsid w:val="0091149E"/>
    <w:rsid w:val="0091156C"/>
    <w:rsid w:val="009115B4"/>
    <w:rsid w:val="0091160C"/>
    <w:rsid w:val="009119D9"/>
    <w:rsid w:val="00911AA2"/>
    <w:rsid w:val="00911B7F"/>
    <w:rsid w:val="00911B83"/>
    <w:rsid w:val="00911E98"/>
    <w:rsid w:val="0091269A"/>
    <w:rsid w:val="0091273D"/>
    <w:rsid w:val="00912BA1"/>
    <w:rsid w:val="00912FB5"/>
    <w:rsid w:val="00913136"/>
    <w:rsid w:val="00913328"/>
    <w:rsid w:val="0091391A"/>
    <w:rsid w:val="00913AAD"/>
    <w:rsid w:val="00913C17"/>
    <w:rsid w:val="00913DEB"/>
    <w:rsid w:val="00913F28"/>
    <w:rsid w:val="009140F9"/>
    <w:rsid w:val="00914144"/>
    <w:rsid w:val="00914510"/>
    <w:rsid w:val="00915647"/>
    <w:rsid w:val="00915937"/>
    <w:rsid w:val="0091598B"/>
    <w:rsid w:val="00915A78"/>
    <w:rsid w:val="00915D6E"/>
    <w:rsid w:val="00915EA9"/>
    <w:rsid w:val="00916112"/>
    <w:rsid w:val="00916200"/>
    <w:rsid w:val="00916291"/>
    <w:rsid w:val="0091642B"/>
    <w:rsid w:val="00916491"/>
    <w:rsid w:val="00916603"/>
    <w:rsid w:val="009166EC"/>
    <w:rsid w:val="009168A1"/>
    <w:rsid w:val="009169AD"/>
    <w:rsid w:val="009169C5"/>
    <w:rsid w:val="00917196"/>
    <w:rsid w:val="0091742E"/>
    <w:rsid w:val="0091746F"/>
    <w:rsid w:val="00917A00"/>
    <w:rsid w:val="00917A38"/>
    <w:rsid w:val="00917A43"/>
    <w:rsid w:val="00917EC0"/>
    <w:rsid w:val="00917F4D"/>
    <w:rsid w:val="009200AC"/>
    <w:rsid w:val="0092036F"/>
    <w:rsid w:val="009203B8"/>
    <w:rsid w:val="009203CD"/>
    <w:rsid w:val="00920748"/>
    <w:rsid w:val="009208D6"/>
    <w:rsid w:val="00921020"/>
    <w:rsid w:val="0092114E"/>
    <w:rsid w:val="00921357"/>
    <w:rsid w:val="0092142D"/>
    <w:rsid w:val="00921484"/>
    <w:rsid w:val="009217BF"/>
    <w:rsid w:val="00921A3F"/>
    <w:rsid w:val="00921A50"/>
    <w:rsid w:val="00921B85"/>
    <w:rsid w:val="00921C45"/>
    <w:rsid w:val="009226E9"/>
    <w:rsid w:val="00922739"/>
    <w:rsid w:val="00922897"/>
    <w:rsid w:val="00922BC2"/>
    <w:rsid w:val="00922BC6"/>
    <w:rsid w:val="00922D85"/>
    <w:rsid w:val="00923391"/>
    <w:rsid w:val="009234E0"/>
    <w:rsid w:val="00923781"/>
    <w:rsid w:val="0092387B"/>
    <w:rsid w:val="00923F7C"/>
    <w:rsid w:val="0092401B"/>
    <w:rsid w:val="00924028"/>
    <w:rsid w:val="009243A3"/>
    <w:rsid w:val="00924B79"/>
    <w:rsid w:val="00924BF1"/>
    <w:rsid w:val="00924F6C"/>
    <w:rsid w:val="00925044"/>
    <w:rsid w:val="00925078"/>
    <w:rsid w:val="0092612E"/>
    <w:rsid w:val="009261E3"/>
    <w:rsid w:val="0092634D"/>
    <w:rsid w:val="00926C53"/>
    <w:rsid w:val="00927213"/>
    <w:rsid w:val="009277C2"/>
    <w:rsid w:val="009278F6"/>
    <w:rsid w:val="00927B60"/>
    <w:rsid w:val="00927C40"/>
    <w:rsid w:val="00927E17"/>
    <w:rsid w:val="00927E4F"/>
    <w:rsid w:val="009301C1"/>
    <w:rsid w:val="00930C01"/>
    <w:rsid w:val="00930CF3"/>
    <w:rsid w:val="00930F3B"/>
    <w:rsid w:val="0093108E"/>
    <w:rsid w:val="00931352"/>
    <w:rsid w:val="00931444"/>
    <w:rsid w:val="0093158F"/>
    <w:rsid w:val="00931866"/>
    <w:rsid w:val="00931CC1"/>
    <w:rsid w:val="00931D07"/>
    <w:rsid w:val="009321BC"/>
    <w:rsid w:val="0093228A"/>
    <w:rsid w:val="009322E7"/>
    <w:rsid w:val="0093298F"/>
    <w:rsid w:val="009329AD"/>
    <w:rsid w:val="00932ABA"/>
    <w:rsid w:val="00932AE2"/>
    <w:rsid w:val="00933031"/>
    <w:rsid w:val="0093324F"/>
    <w:rsid w:val="009332DD"/>
    <w:rsid w:val="009334F1"/>
    <w:rsid w:val="00933A31"/>
    <w:rsid w:val="00933B8E"/>
    <w:rsid w:val="00933CEF"/>
    <w:rsid w:val="00933E4A"/>
    <w:rsid w:val="00933F83"/>
    <w:rsid w:val="00934123"/>
    <w:rsid w:val="00934177"/>
    <w:rsid w:val="0093450B"/>
    <w:rsid w:val="009345D6"/>
    <w:rsid w:val="009346D9"/>
    <w:rsid w:val="009346DE"/>
    <w:rsid w:val="00934767"/>
    <w:rsid w:val="00934A48"/>
    <w:rsid w:val="00934ABB"/>
    <w:rsid w:val="00934C9D"/>
    <w:rsid w:val="00934F50"/>
    <w:rsid w:val="00934FB3"/>
    <w:rsid w:val="00935095"/>
    <w:rsid w:val="009356E8"/>
    <w:rsid w:val="00935853"/>
    <w:rsid w:val="009358C9"/>
    <w:rsid w:val="00935ADA"/>
    <w:rsid w:val="009362BE"/>
    <w:rsid w:val="00936797"/>
    <w:rsid w:val="009367A8"/>
    <w:rsid w:val="00936876"/>
    <w:rsid w:val="009371F3"/>
    <w:rsid w:val="00937678"/>
    <w:rsid w:val="00937C01"/>
    <w:rsid w:val="00937E86"/>
    <w:rsid w:val="00940063"/>
    <w:rsid w:val="009402C1"/>
    <w:rsid w:val="00941141"/>
    <w:rsid w:val="009413E9"/>
    <w:rsid w:val="0094150E"/>
    <w:rsid w:val="0094182A"/>
    <w:rsid w:val="009418C1"/>
    <w:rsid w:val="009423D7"/>
    <w:rsid w:val="00942555"/>
    <w:rsid w:val="00942599"/>
    <w:rsid w:val="00942631"/>
    <w:rsid w:val="00942AB1"/>
    <w:rsid w:val="00942EDE"/>
    <w:rsid w:val="00942F9A"/>
    <w:rsid w:val="009436B6"/>
    <w:rsid w:val="009436C4"/>
    <w:rsid w:val="009438DD"/>
    <w:rsid w:val="0094394C"/>
    <w:rsid w:val="00943BD3"/>
    <w:rsid w:val="00943E33"/>
    <w:rsid w:val="00943EFC"/>
    <w:rsid w:val="00944065"/>
    <w:rsid w:val="00944598"/>
    <w:rsid w:val="0094467D"/>
    <w:rsid w:val="0094486C"/>
    <w:rsid w:val="00944872"/>
    <w:rsid w:val="00944955"/>
    <w:rsid w:val="00944990"/>
    <w:rsid w:val="009449CF"/>
    <w:rsid w:val="00944AD6"/>
    <w:rsid w:val="00944DBB"/>
    <w:rsid w:val="00944EFF"/>
    <w:rsid w:val="00944FE0"/>
    <w:rsid w:val="00945446"/>
    <w:rsid w:val="00945D3A"/>
    <w:rsid w:val="0094613C"/>
    <w:rsid w:val="009462F9"/>
    <w:rsid w:val="00946A86"/>
    <w:rsid w:val="00946B9D"/>
    <w:rsid w:val="00946BFA"/>
    <w:rsid w:val="00946CF6"/>
    <w:rsid w:val="0094726A"/>
    <w:rsid w:val="009472E8"/>
    <w:rsid w:val="00947A08"/>
    <w:rsid w:val="00947D2E"/>
    <w:rsid w:val="00947DA3"/>
    <w:rsid w:val="00947F14"/>
    <w:rsid w:val="0095074E"/>
    <w:rsid w:val="009507D1"/>
    <w:rsid w:val="009508A0"/>
    <w:rsid w:val="009508F6"/>
    <w:rsid w:val="00950A6E"/>
    <w:rsid w:val="00950C7D"/>
    <w:rsid w:val="00950FFD"/>
    <w:rsid w:val="00951598"/>
    <w:rsid w:val="00951667"/>
    <w:rsid w:val="009516C3"/>
    <w:rsid w:val="00951FCB"/>
    <w:rsid w:val="009522F3"/>
    <w:rsid w:val="0095235F"/>
    <w:rsid w:val="009523C2"/>
    <w:rsid w:val="009523F9"/>
    <w:rsid w:val="009526E7"/>
    <w:rsid w:val="009528CE"/>
    <w:rsid w:val="00952BCC"/>
    <w:rsid w:val="00952BE4"/>
    <w:rsid w:val="009532A3"/>
    <w:rsid w:val="0095333C"/>
    <w:rsid w:val="00953474"/>
    <w:rsid w:val="009539BB"/>
    <w:rsid w:val="00953B49"/>
    <w:rsid w:val="00953BC5"/>
    <w:rsid w:val="00953BD3"/>
    <w:rsid w:val="00954BDA"/>
    <w:rsid w:val="00954CCC"/>
    <w:rsid w:val="00954F10"/>
    <w:rsid w:val="00955031"/>
    <w:rsid w:val="009555A7"/>
    <w:rsid w:val="009556D1"/>
    <w:rsid w:val="0095576D"/>
    <w:rsid w:val="009557DF"/>
    <w:rsid w:val="009558E0"/>
    <w:rsid w:val="00955936"/>
    <w:rsid w:val="00955B5E"/>
    <w:rsid w:val="00955DC0"/>
    <w:rsid w:val="00955F8E"/>
    <w:rsid w:val="009560E3"/>
    <w:rsid w:val="009560EC"/>
    <w:rsid w:val="009561AB"/>
    <w:rsid w:val="00956208"/>
    <w:rsid w:val="009562EB"/>
    <w:rsid w:val="009567A4"/>
    <w:rsid w:val="00957071"/>
    <w:rsid w:val="0095722B"/>
    <w:rsid w:val="009574D7"/>
    <w:rsid w:val="009575BF"/>
    <w:rsid w:val="009603FC"/>
    <w:rsid w:val="009608D0"/>
    <w:rsid w:val="00960ADD"/>
    <w:rsid w:val="00960CD0"/>
    <w:rsid w:val="00960E15"/>
    <w:rsid w:val="00960F59"/>
    <w:rsid w:val="00961061"/>
    <w:rsid w:val="00961152"/>
    <w:rsid w:val="009612C4"/>
    <w:rsid w:val="00961512"/>
    <w:rsid w:val="00961973"/>
    <w:rsid w:val="00961BD5"/>
    <w:rsid w:val="00961FA4"/>
    <w:rsid w:val="009622F6"/>
    <w:rsid w:val="0096231B"/>
    <w:rsid w:val="0096234F"/>
    <w:rsid w:val="00962445"/>
    <w:rsid w:val="0096295F"/>
    <w:rsid w:val="00962C6E"/>
    <w:rsid w:val="00962DFB"/>
    <w:rsid w:val="00962E20"/>
    <w:rsid w:val="00962EDF"/>
    <w:rsid w:val="00962F1C"/>
    <w:rsid w:val="009635E3"/>
    <w:rsid w:val="00963C6D"/>
    <w:rsid w:val="00963D5B"/>
    <w:rsid w:val="00963DFC"/>
    <w:rsid w:val="00963E35"/>
    <w:rsid w:val="0096403E"/>
    <w:rsid w:val="00964094"/>
    <w:rsid w:val="009640F7"/>
    <w:rsid w:val="00964232"/>
    <w:rsid w:val="009644CF"/>
    <w:rsid w:val="009645F5"/>
    <w:rsid w:val="00964989"/>
    <w:rsid w:val="00964A12"/>
    <w:rsid w:val="00964A5C"/>
    <w:rsid w:val="00964B15"/>
    <w:rsid w:val="00965299"/>
    <w:rsid w:val="00965770"/>
    <w:rsid w:val="00965A0A"/>
    <w:rsid w:val="00965CAE"/>
    <w:rsid w:val="00965D72"/>
    <w:rsid w:val="00965E92"/>
    <w:rsid w:val="00965ECE"/>
    <w:rsid w:val="00966019"/>
    <w:rsid w:val="009660A6"/>
    <w:rsid w:val="00966209"/>
    <w:rsid w:val="009663C3"/>
    <w:rsid w:val="00966782"/>
    <w:rsid w:val="009667A1"/>
    <w:rsid w:val="0096688F"/>
    <w:rsid w:val="00966988"/>
    <w:rsid w:val="00966F58"/>
    <w:rsid w:val="0096714E"/>
    <w:rsid w:val="00967481"/>
    <w:rsid w:val="0096770A"/>
    <w:rsid w:val="00967BEB"/>
    <w:rsid w:val="00967E96"/>
    <w:rsid w:val="0097007E"/>
    <w:rsid w:val="00970137"/>
    <w:rsid w:val="009701DC"/>
    <w:rsid w:val="00970347"/>
    <w:rsid w:val="00970397"/>
    <w:rsid w:val="00970C31"/>
    <w:rsid w:val="009712B7"/>
    <w:rsid w:val="009714FB"/>
    <w:rsid w:val="00971580"/>
    <w:rsid w:val="009715D4"/>
    <w:rsid w:val="00971760"/>
    <w:rsid w:val="00971AA1"/>
    <w:rsid w:val="00971B1D"/>
    <w:rsid w:val="00971EE2"/>
    <w:rsid w:val="0097246A"/>
    <w:rsid w:val="009725B0"/>
    <w:rsid w:val="00972CE2"/>
    <w:rsid w:val="00972D36"/>
    <w:rsid w:val="00972DE7"/>
    <w:rsid w:val="00973480"/>
    <w:rsid w:val="009734D7"/>
    <w:rsid w:val="0097385E"/>
    <w:rsid w:val="009738BA"/>
    <w:rsid w:val="0097390B"/>
    <w:rsid w:val="00973A08"/>
    <w:rsid w:val="00973B15"/>
    <w:rsid w:val="00973BC4"/>
    <w:rsid w:val="00973E4D"/>
    <w:rsid w:val="00973E7B"/>
    <w:rsid w:val="00973FBA"/>
    <w:rsid w:val="00974446"/>
    <w:rsid w:val="009745D0"/>
    <w:rsid w:val="00974810"/>
    <w:rsid w:val="009753A9"/>
    <w:rsid w:val="009753F4"/>
    <w:rsid w:val="009756AF"/>
    <w:rsid w:val="00975C10"/>
    <w:rsid w:val="00975E1C"/>
    <w:rsid w:val="00975EEA"/>
    <w:rsid w:val="009762E1"/>
    <w:rsid w:val="0097644F"/>
    <w:rsid w:val="00976595"/>
    <w:rsid w:val="009767D6"/>
    <w:rsid w:val="0097682A"/>
    <w:rsid w:val="00976C41"/>
    <w:rsid w:val="00976F56"/>
    <w:rsid w:val="009770B2"/>
    <w:rsid w:val="009772D1"/>
    <w:rsid w:val="00977408"/>
    <w:rsid w:val="0097774B"/>
    <w:rsid w:val="009778B0"/>
    <w:rsid w:val="00977BFC"/>
    <w:rsid w:val="009803CB"/>
    <w:rsid w:val="00980504"/>
    <w:rsid w:val="009805E5"/>
    <w:rsid w:val="00980860"/>
    <w:rsid w:val="009808E3"/>
    <w:rsid w:val="00981CE3"/>
    <w:rsid w:val="00981D70"/>
    <w:rsid w:val="009820CF"/>
    <w:rsid w:val="00982286"/>
    <w:rsid w:val="00982CA0"/>
    <w:rsid w:val="00982F0C"/>
    <w:rsid w:val="00982F31"/>
    <w:rsid w:val="009830A3"/>
    <w:rsid w:val="00983714"/>
    <w:rsid w:val="00983817"/>
    <w:rsid w:val="009838A2"/>
    <w:rsid w:val="00983A4F"/>
    <w:rsid w:val="00984017"/>
    <w:rsid w:val="009840AF"/>
    <w:rsid w:val="0098422E"/>
    <w:rsid w:val="0098458B"/>
    <w:rsid w:val="00984AAE"/>
    <w:rsid w:val="00984B78"/>
    <w:rsid w:val="00984DCD"/>
    <w:rsid w:val="00984F39"/>
    <w:rsid w:val="0098500B"/>
    <w:rsid w:val="00985319"/>
    <w:rsid w:val="00985876"/>
    <w:rsid w:val="00986204"/>
    <w:rsid w:val="00986345"/>
    <w:rsid w:val="00986631"/>
    <w:rsid w:val="0098689E"/>
    <w:rsid w:val="00986A35"/>
    <w:rsid w:val="00986C51"/>
    <w:rsid w:val="00987244"/>
    <w:rsid w:val="009872FB"/>
    <w:rsid w:val="00987599"/>
    <w:rsid w:val="009877C4"/>
    <w:rsid w:val="009877D3"/>
    <w:rsid w:val="00987842"/>
    <w:rsid w:val="009879CD"/>
    <w:rsid w:val="00987B31"/>
    <w:rsid w:val="00987C4B"/>
    <w:rsid w:val="00987E33"/>
    <w:rsid w:val="0099041F"/>
    <w:rsid w:val="0099049E"/>
    <w:rsid w:val="00990636"/>
    <w:rsid w:val="00990681"/>
    <w:rsid w:val="0099077F"/>
    <w:rsid w:val="00990909"/>
    <w:rsid w:val="00990A23"/>
    <w:rsid w:val="00990AB1"/>
    <w:rsid w:val="00990DA7"/>
    <w:rsid w:val="00990E3A"/>
    <w:rsid w:val="009911F1"/>
    <w:rsid w:val="00992043"/>
    <w:rsid w:val="00992163"/>
    <w:rsid w:val="00992408"/>
    <w:rsid w:val="00992415"/>
    <w:rsid w:val="0099271D"/>
    <w:rsid w:val="009927D7"/>
    <w:rsid w:val="009927F0"/>
    <w:rsid w:val="00992982"/>
    <w:rsid w:val="00992A80"/>
    <w:rsid w:val="00992AB8"/>
    <w:rsid w:val="00992B37"/>
    <w:rsid w:val="00992B51"/>
    <w:rsid w:val="00992FB1"/>
    <w:rsid w:val="00992FD5"/>
    <w:rsid w:val="009930F0"/>
    <w:rsid w:val="0099324C"/>
    <w:rsid w:val="009934C7"/>
    <w:rsid w:val="00994038"/>
    <w:rsid w:val="0099470D"/>
    <w:rsid w:val="0099471D"/>
    <w:rsid w:val="0099478F"/>
    <w:rsid w:val="0099497F"/>
    <w:rsid w:val="00994C32"/>
    <w:rsid w:val="00995307"/>
    <w:rsid w:val="00995498"/>
    <w:rsid w:val="009955E0"/>
    <w:rsid w:val="00995A5C"/>
    <w:rsid w:val="009962F3"/>
    <w:rsid w:val="009965DB"/>
    <w:rsid w:val="009967C1"/>
    <w:rsid w:val="00996888"/>
    <w:rsid w:val="009968A3"/>
    <w:rsid w:val="0099691F"/>
    <w:rsid w:val="00996C40"/>
    <w:rsid w:val="00996CB1"/>
    <w:rsid w:val="00996E13"/>
    <w:rsid w:val="009973CF"/>
    <w:rsid w:val="00997409"/>
    <w:rsid w:val="0099742A"/>
    <w:rsid w:val="00997B35"/>
    <w:rsid w:val="009A0374"/>
    <w:rsid w:val="009A042F"/>
    <w:rsid w:val="009A0497"/>
    <w:rsid w:val="009A04D9"/>
    <w:rsid w:val="009A0569"/>
    <w:rsid w:val="009A060C"/>
    <w:rsid w:val="009A07DF"/>
    <w:rsid w:val="009A0810"/>
    <w:rsid w:val="009A0AF4"/>
    <w:rsid w:val="009A0EAB"/>
    <w:rsid w:val="009A13A9"/>
    <w:rsid w:val="009A14E0"/>
    <w:rsid w:val="009A1A0E"/>
    <w:rsid w:val="009A1CDC"/>
    <w:rsid w:val="009A2608"/>
    <w:rsid w:val="009A26A4"/>
    <w:rsid w:val="009A291B"/>
    <w:rsid w:val="009A2A25"/>
    <w:rsid w:val="009A2F67"/>
    <w:rsid w:val="009A308D"/>
    <w:rsid w:val="009A3134"/>
    <w:rsid w:val="009A31AA"/>
    <w:rsid w:val="009A359A"/>
    <w:rsid w:val="009A3B11"/>
    <w:rsid w:val="009A3C32"/>
    <w:rsid w:val="009A437D"/>
    <w:rsid w:val="009A45DC"/>
    <w:rsid w:val="009A472F"/>
    <w:rsid w:val="009A4DE5"/>
    <w:rsid w:val="009A50BF"/>
    <w:rsid w:val="009A5264"/>
    <w:rsid w:val="009A5281"/>
    <w:rsid w:val="009A52BF"/>
    <w:rsid w:val="009A5666"/>
    <w:rsid w:val="009A5A08"/>
    <w:rsid w:val="009A5BC9"/>
    <w:rsid w:val="009A615A"/>
    <w:rsid w:val="009A6201"/>
    <w:rsid w:val="009A6640"/>
    <w:rsid w:val="009A68E7"/>
    <w:rsid w:val="009A73E3"/>
    <w:rsid w:val="009A772A"/>
    <w:rsid w:val="009A7732"/>
    <w:rsid w:val="009A7DEF"/>
    <w:rsid w:val="009A7EDD"/>
    <w:rsid w:val="009A7FD4"/>
    <w:rsid w:val="009B0120"/>
    <w:rsid w:val="009B054B"/>
    <w:rsid w:val="009B088B"/>
    <w:rsid w:val="009B09C9"/>
    <w:rsid w:val="009B0B2E"/>
    <w:rsid w:val="009B0C34"/>
    <w:rsid w:val="009B0C43"/>
    <w:rsid w:val="009B0DFC"/>
    <w:rsid w:val="009B1BA8"/>
    <w:rsid w:val="009B1FD2"/>
    <w:rsid w:val="009B22D7"/>
    <w:rsid w:val="009B2486"/>
    <w:rsid w:val="009B284B"/>
    <w:rsid w:val="009B2E51"/>
    <w:rsid w:val="009B2FC7"/>
    <w:rsid w:val="009B307B"/>
    <w:rsid w:val="009B420B"/>
    <w:rsid w:val="009B42F9"/>
    <w:rsid w:val="009B44A2"/>
    <w:rsid w:val="009B473A"/>
    <w:rsid w:val="009B4C34"/>
    <w:rsid w:val="009B4E6B"/>
    <w:rsid w:val="009B506B"/>
    <w:rsid w:val="009B5160"/>
    <w:rsid w:val="009B560F"/>
    <w:rsid w:val="009B59C9"/>
    <w:rsid w:val="009B5A45"/>
    <w:rsid w:val="009B5AAF"/>
    <w:rsid w:val="009B5C42"/>
    <w:rsid w:val="009B5DF7"/>
    <w:rsid w:val="009B5FBD"/>
    <w:rsid w:val="009B63E0"/>
    <w:rsid w:val="009B6496"/>
    <w:rsid w:val="009B6505"/>
    <w:rsid w:val="009B65E8"/>
    <w:rsid w:val="009B667A"/>
    <w:rsid w:val="009B6B7E"/>
    <w:rsid w:val="009B7130"/>
    <w:rsid w:val="009B72DC"/>
    <w:rsid w:val="009B733E"/>
    <w:rsid w:val="009B767A"/>
    <w:rsid w:val="009B7721"/>
    <w:rsid w:val="009B7761"/>
    <w:rsid w:val="009B7775"/>
    <w:rsid w:val="009B778A"/>
    <w:rsid w:val="009B7E91"/>
    <w:rsid w:val="009B7EB9"/>
    <w:rsid w:val="009C032C"/>
    <w:rsid w:val="009C03DF"/>
    <w:rsid w:val="009C08C3"/>
    <w:rsid w:val="009C0C44"/>
    <w:rsid w:val="009C0CB3"/>
    <w:rsid w:val="009C0D1B"/>
    <w:rsid w:val="009C0FF7"/>
    <w:rsid w:val="009C172A"/>
    <w:rsid w:val="009C18EF"/>
    <w:rsid w:val="009C193C"/>
    <w:rsid w:val="009C1DD8"/>
    <w:rsid w:val="009C1F05"/>
    <w:rsid w:val="009C1F80"/>
    <w:rsid w:val="009C243F"/>
    <w:rsid w:val="009C2671"/>
    <w:rsid w:val="009C3075"/>
    <w:rsid w:val="009C30EE"/>
    <w:rsid w:val="009C377C"/>
    <w:rsid w:val="009C37C4"/>
    <w:rsid w:val="009C38BF"/>
    <w:rsid w:val="009C3A8F"/>
    <w:rsid w:val="009C3C92"/>
    <w:rsid w:val="009C3D82"/>
    <w:rsid w:val="009C3ED4"/>
    <w:rsid w:val="009C4131"/>
    <w:rsid w:val="009C436C"/>
    <w:rsid w:val="009C4ED7"/>
    <w:rsid w:val="009C5149"/>
    <w:rsid w:val="009C5198"/>
    <w:rsid w:val="009C5674"/>
    <w:rsid w:val="009C57E1"/>
    <w:rsid w:val="009C5879"/>
    <w:rsid w:val="009C590F"/>
    <w:rsid w:val="009C5D3C"/>
    <w:rsid w:val="009C603B"/>
    <w:rsid w:val="009C66CC"/>
    <w:rsid w:val="009C67B1"/>
    <w:rsid w:val="009C6882"/>
    <w:rsid w:val="009C69DF"/>
    <w:rsid w:val="009C6A12"/>
    <w:rsid w:val="009C6B64"/>
    <w:rsid w:val="009C6E21"/>
    <w:rsid w:val="009C70FD"/>
    <w:rsid w:val="009C7333"/>
    <w:rsid w:val="009C735E"/>
    <w:rsid w:val="009C75A1"/>
    <w:rsid w:val="009C76A8"/>
    <w:rsid w:val="009C770A"/>
    <w:rsid w:val="009C7823"/>
    <w:rsid w:val="009C7A15"/>
    <w:rsid w:val="009C7A38"/>
    <w:rsid w:val="009C7AF7"/>
    <w:rsid w:val="009C7C21"/>
    <w:rsid w:val="009C7F75"/>
    <w:rsid w:val="009C7FD8"/>
    <w:rsid w:val="009D03B0"/>
    <w:rsid w:val="009D0982"/>
    <w:rsid w:val="009D0F81"/>
    <w:rsid w:val="009D10FE"/>
    <w:rsid w:val="009D1179"/>
    <w:rsid w:val="009D12BB"/>
    <w:rsid w:val="009D15A9"/>
    <w:rsid w:val="009D15D8"/>
    <w:rsid w:val="009D1662"/>
    <w:rsid w:val="009D17A4"/>
    <w:rsid w:val="009D1CB0"/>
    <w:rsid w:val="009D1DAC"/>
    <w:rsid w:val="009D201A"/>
    <w:rsid w:val="009D209B"/>
    <w:rsid w:val="009D2573"/>
    <w:rsid w:val="009D2A97"/>
    <w:rsid w:val="009D2B63"/>
    <w:rsid w:val="009D2B97"/>
    <w:rsid w:val="009D30B8"/>
    <w:rsid w:val="009D3403"/>
    <w:rsid w:val="009D348D"/>
    <w:rsid w:val="009D364A"/>
    <w:rsid w:val="009D3A88"/>
    <w:rsid w:val="009D3D34"/>
    <w:rsid w:val="009D3F88"/>
    <w:rsid w:val="009D408E"/>
    <w:rsid w:val="009D4787"/>
    <w:rsid w:val="009D4A41"/>
    <w:rsid w:val="009D4C4F"/>
    <w:rsid w:val="009D4E87"/>
    <w:rsid w:val="009D4F17"/>
    <w:rsid w:val="009D4F3E"/>
    <w:rsid w:val="009D509F"/>
    <w:rsid w:val="009D50BB"/>
    <w:rsid w:val="009D51FD"/>
    <w:rsid w:val="009D578E"/>
    <w:rsid w:val="009D5A2F"/>
    <w:rsid w:val="009D5B40"/>
    <w:rsid w:val="009D5B46"/>
    <w:rsid w:val="009D5BDA"/>
    <w:rsid w:val="009D5BE8"/>
    <w:rsid w:val="009D5D0A"/>
    <w:rsid w:val="009D63C7"/>
    <w:rsid w:val="009D63CD"/>
    <w:rsid w:val="009D6435"/>
    <w:rsid w:val="009D6880"/>
    <w:rsid w:val="009D717F"/>
    <w:rsid w:val="009D7483"/>
    <w:rsid w:val="009D75B9"/>
    <w:rsid w:val="009D796F"/>
    <w:rsid w:val="009D7D47"/>
    <w:rsid w:val="009D7EA7"/>
    <w:rsid w:val="009E037F"/>
    <w:rsid w:val="009E0396"/>
    <w:rsid w:val="009E0413"/>
    <w:rsid w:val="009E0AE7"/>
    <w:rsid w:val="009E0BA4"/>
    <w:rsid w:val="009E0C88"/>
    <w:rsid w:val="009E0F34"/>
    <w:rsid w:val="009E0FB7"/>
    <w:rsid w:val="009E1058"/>
    <w:rsid w:val="009E1208"/>
    <w:rsid w:val="009E13C8"/>
    <w:rsid w:val="009E1781"/>
    <w:rsid w:val="009E18AC"/>
    <w:rsid w:val="009E1AA5"/>
    <w:rsid w:val="009E1DAC"/>
    <w:rsid w:val="009E2216"/>
    <w:rsid w:val="009E2244"/>
    <w:rsid w:val="009E23EB"/>
    <w:rsid w:val="009E2448"/>
    <w:rsid w:val="009E2545"/>
    <w:rsid w:val="009E2633"/>
    <w:rsid w:val="009E2976"/>
    <w:rsid w:val="009E3337"/>
    <w:rsid w:val="009E3390"/>
    <w:rsid w:val="009E3404"/>
    <w:rsid w:val="009E3675"/>
    <w:rsid w:val="009E3A57"/>
    <w:rsid w:val="009E3EB6"/>
    <w:rsid w:val="009E3EFB"/>
    <w:rsid w:val="009E413B"/>
    <w:rsid w:val="009E4AE3"/>
    <w:rsid w:val="009E4BAE"/>
    <w:rsid w:val="009E4C10"/>
    <w:rsid w:val="009E4E19"/>
    <w:rsid w:val="009E4F04"/>
    <w:rsid w:val="009E51A7"/>
    <w:rsid w:val="009E5240"/>
    <w:rsid w:val="009E5679"/>
    <w:rsid w:val="009E5C80"/>
    <w:rsid w:val="009E6084"/>
    <w:rsid w:val="009E6378"/>
    <w:rsid w:val="009E6599"/>
    <w:rsid w:val="009E695D"/>
    <w:rsid w:val="009E6AC4"/>
    <w:rsid w:val="009E6C62"/>
    <w:rsid w:val="009E6CE4"/>
    <w:rsid w:val="009E6E38"/>
    <w:rsid w:val="009E6F88"/>
    <w:rsid w:val="009E713D"/>
    <w:rsid w:val="009E7145"/>
    <w:rsid w:val="009E74C9"/>
    <w:rsid w:val="009E74D3"/>
    <w:rsid w:val="009F029B"/>
    <w:rsid w:val="009F06C2"/>
    <w:rsid w:val="009F07AC"/>
    <w:rsid w:val="009F0A50"/>
    <w:rsid w:val="009F0ADA"/>
    <w:rsid w:val="009F0D43"/>
    <w:rsid w:val="009F0F94"/>
    <w:rsid w:val="009F11A6"/>
    <w:rsid w:val="009F17DE"/>
    <w:rsid w:val="009F18BF"/>
    <w:rsid w:val="009F2295"/>
    <w:rsid w:val="009F2662"/>
    <w:rsid w:val="009F26BB"/>
    <w:rsid w:val="009F297A"/>
    <w:rsid w:val="009F2B1A"/>
    <w:rsid w:val="009F2DED"/>
    <w:rsid w:val="009F383E"/>
    <w:rsid w:val="009F3BCD"/>
    <w:rsid w:val="009F3DC9"/>
    <w:rsid w:val="009F421F"/>
    <w:rsid w:val="009F48E4"/>
    <w:rsid w:val="009F495E"/>
    <w:rsid w:val="009F4CDE"/>
    <w:rsid w:val="009F5098"/>
    <w:rsid w:val="009F516D"/>
    <w:rsid w:val="009F51FA"/>
    <w:rsid w:val="009F5560"/>
    <w:rsid w:val="009F5901"/>
    <w:rsid w:val="009F5F03"/>
    <w:rsid w:val="009F5F1A"/>
    <w:rsid w:val="009F6243"/>
    <w:rsid w:val="009F639E"/>
    <w:rsid w:val="009F65D7"/>
    <w:rsid w:val="009F6608"/>
    <w:rsid w:val="009F6A65"/>
    <w:rsid w:val="009F7176"/>
    <w:rsid w:val="009F7609"/>
    <w:rsid w:val="009F7801"/>
    <w:rsid w:val="009F780B"/>
    <w:rsid w:val="009F7F70"/>
    <w:rsid w:val="00A007F9"/>
    <w:rsid w:val="00A00FFD"/>
    <w:rsid w:val="00A010A6"/>
    <w:rsid w:val="00A0124E"/>
    <w:rsid w:val="00A013EF"/>
    <w:rsid w:val="00A01D84"/>
    <w:rsid w:val="00A02889"/>
    <w:rsid w:val="00A02AF1"/>
    <w:rsid w:val="00A02ECD"/>
    <w:rsid w:val="00A02F54"/>
    <w:rsid w:val="00A03066"/>
    <w:rsid w:val="00A0338E"/>
    <w:rsid w:val="00A03432"/>
    <w:rsid w:val="00A0374E"/>
    <w:rsid w:val="00A03E93"/>
    <w:rsid w:val="00A03EC3"/>
    <w:rsid w:val="00A03F05"/>
    <w:rsid w:val="00A04051"/>
    <w:rsid w:val="00A04294"/>
    <w:rsid w:val="00A0430B"/>
    <w:rsid w:val="00A048C2"/>
    <w:rsid w:val="00A04B7C"/>
    <w:rsid w:val="00A05802"/>
    <w:rsid w:val="00A05C67"/>
    <w:rsid w:val="00A05CB8"/>
    <w:rsid w:val="00A05E39"/>
    <w:rsid w:val="00A05F88"/>
    <w:rsid w:val="00A06366"/>
    <w:rsid w:val="00A065E6"/>
    <w:rsid w:val="00A06DAC"/>
    <w:rsid w:val="00A06FC2"/>
    <w:rsid w:val="00A07FA0"/>
    <w:rsid w:val="00A07FBA"/>
    <w:rsid w:val="00A1009F"/>
    <w:rsid w:val="00A10153"/>
    <w:rsid w:val="00A10363"/>
    <w:rsid w:val="00A106B9"/>
    <w:rsid w:val="00A10719"/>
    <w:rsid w:val="00A10B03"/>
    <w:rsid w:val="00A10DE5"/>
    <w:rsid w:val="00A10EE4"/>
    <w:rsid w:val="00A10EFC"/>
    <w:rsid w:val="00A11001"/>
    <w:rsid w:val="00A1111E"/>
    <w:rsid w:val="00A114A3"/>
    <w:rsid w:val="00A119CB"/>
    <w:rsid w:val="00A11AF1"/>
    <w:rsid w:val="00A11C8E"/>
    <w:rsid w:val="00A11DF2"/>
    <w:rsid w:val="00A11EBD"/>
    <w:rsid w:val="00A11F4A"/>
    <w:rsid w:val="00A127AC"/>
    <w:rsid w:val="00A12A0E"/>
    <w:rsid w:val="00A12A7A"/>
    <w:rsid w:val="00A12CDF"/>
    <w:rsid w:val="00A13165"/>
    <w:rsid w:val="00A1316A"/>
    <w:rsid w:val="00A13EDD"/>
    <w:rsid w:val="00A1450B"/>
    <w:rsid w:val="00A146F3"/>
    <w:rsid w:val="00A147BF"/>
    <w:rsid w:val="00A147D4"/>
    <w:rsid w:val="00A1495D"/>
    <w:rsid w:val="00A14C38"/>
    <w:rsid w:val="00A15510"/>
    <w:rsid w:val="00A1563A"/>
    <w:rsid w:val="00A159DE"/>
    <w:rsid w:val="00A15B07"/>
    <w:rsid w:val="00A16416"/>
    <w:rsid w:val="00A16467"/>
    <w:rsid w:val="00A164BC"/>
    <w:rsid w:val="00A165B5"/>
    <w:rsid w:val="00A166FE"/>
    <w:rsid w:val="00A16AB8"/>
    <w:rsid w:val="00A16B27"/>
    <w:rsid w:val="00A16DED"/>
    <w:rsid w:val="00A173D2"/>
    <w:rsid w:val="00A17616"/>
    <w:rsid w:val="00A17762"/>
    <w:rsid w:val="00A17851"/>
    <w:rsid w:val="00A1792A"/>
    <w:rsid w:val="00A179D7"/>
    <w:rsid w:val="00A17F18"/>
    <w:rsid w:val="00A17F31"/>
    <w:rsid w:val="00A17F7C"/>
    <w:rsid w:val="00A17FE7"/>
    <w:rsid w:val="00A20111"/>
    <w:rsid w:val="00A20335"/>
    <w:rsid w:val="00A203EF"/>
    <w:rsid w:val="00A20510"/>
    <w:rsid w:val="00A207FF"/>
    <w:rsid w:val="00A20BFC"/>
    <w:rsid w:val="00A20E14"/>
    <w:rsid w:val="00A21154"/>
    <w:rsid w:val="00A212F1"/>
    <w:rsid w:val="00A215FF"/>
    <w:rsid w:val="00A2161D"/>
    <w:rsid w:val="00A21689"/>
    <w:rsid w:val="00A218B9"/>
    <w:rsid w:val="00A21D17"/>
    <w:rsid w:val="00A21F61"/>
    <w:rsid w:val="00A22210"/>
    <w:rsid w:val="00A224A2"/>
    <w:rsid w:val="00A22788"/>
    <w:rsid w:val="00A2294C"/>
    <w:rsid w:val="00A22F41"/>
    <w:rsid w:val="00A22F9B"/>
    <w:rsid w:val="00A231A6"/>
    <w:rsid w:val="00A23281"/>
    <w:rsid w:val="00A232B8"/>
    <w:rsid w:val="00A2353F"/>
    <w:rsid w:val="00A236C0"/>
    <w:rsid w:val="00A236E0"/>
    <w:rsid w:val="00A23780"/>
    <w:rsid w:val="00A23B65"/>
    <w:rsid w:val="00A240AB"/>
    <w:rsid w:val="00A241BA"/>
    <w:rsid w:val="00A2455D"/>
    <w:rsid w:val="00A24B65"/>
    <w:rsid w:val="00A24DA2"/>
    <w:rsid w:val="00A24DF9"/>
    <w:rsid w:val="00A25170"/>
    <w:rsid w:val="00A2525D"/>
    <w:rsid w:val="00A258DF"/>
    <w:rsid w:val="00A25A25"/>
    <w:rsid w:val="00A25A5B"/>
    <w:rsid w:val="00A25B86"/>
    <w:rsid w:val="00A25CB9"/>
    <w:rsid w:val="00A25E64"/>
    <w:rsid w:val="00A26546"/>
    <w:rsid w:val="00A26767"/>
    <w:rsid w:val="00A267BF"/>
    <w:rsid w:val="00A267E9"/>
    <w:rsid w:val="00A26957"/>
    <w:rsid w:val="00A26AB7"/>
    <w:rsid w:val="00A26AC0"/>
    <w:rsid w:val="00A26D4C"/>
    <w:rsid w:val="00A27238"/>
    <w:rsid w:val="00A2729D"/>
    <w:rsid w:val="00A27595"/>
    <w:rsid w:val="00A27692"/>
    <w:rsid w:val="00A27814"/>
    <w:rsid w:val="00A27A4C"/>
    <w:rsid w:val="00A27C59"/>
    <w:rsid w:val="00A30020"/>
    <w:rsid w:val="00A301EB"/>
    <w:rsid w:val="00A304B9"/>
    <w:rsid w:val="00A309F3"/>
    <w:rsid w:val="00A316E7"/>
    <w:rsid w:val="00A31797"/>
    <w:rsid w:val="00A319AB"/>
    <w:rsid w:val="00A31A56"/>
    <w:rsid w:val="00A31B08"/>
    <w:rsid w:val="00A31C9F"/>
    <w:rsid w:val="00A31DFA"/>
    <w:rsid w:val="00A320A7"/>
    <w:rsid w:val="00A3212E"/>
    <w:rsid w:val="00A3254F"/>
    <w:rsid w:val="00A327DE"/>
    <w:rsid w:val="00A32B96"/>
    <w:rsid w:val="00A32C63"/>
    <w:rsid w:val="00A32CE8"/>
    <w:rsid w:val="00A32E65"/>
    <w:rsid w:val="00A330B6"/>
    <w:rsid w:val="00A3343F"/>
    <w:rsid w:val="00A335D8"/>
    <w:rsid w:val="00A33771"/>
    <w:rsid w:val="00A33A04"/>
    <w:rsid w:val="00A3448D"/>
    <w:rsid w:val="00A34499"/>
    <w:rsid w:val="00A34669"/>
    <w:rsid w:val="00A347AD"/>
    <w:rsid w:val="00A3482B"/>
    <w:rsid w:val="00A34BDA"/>
    <w:rsid w:val="00A34C22"/>
    <w:rsid w:val="00A34ED8"/>
    <w:rsid w:val="00A34F59"/>
    <w:rsid w:val="00A34F5E"/>
    <w:rsid w:val="00A351AE"/>
    <w:rsid w:val="00A351C9"/>
    <w:rsid w:val="00A357F4"/>
    <w:rsid w:val="00A35B20"/>
    <w:rsid w:val="00A35E47"/>
    <w:rsid w:val="00A35EA6"/>
    <w:rsid w:val="00A363D3"/>
    <w:rsid w:val="00A36425"/>
    <w:rsid w:val="00A36491"/>
    <w:rsid w:val="00A36A29"/>
    <w:rsid w:val="00A36C09"/>
    <w:rsid w:val="00A36C4D"/>
    <w:rsid w:val="00A36CB4"/>
    <w:rsid w:val="00A36E85"/>
    <w:rsid w:val="00A36F8D"/>
    <w:rsid w:val="00A372F3"/>
    <w:rsid w:val="00A37321"/>
    <w:rsid w:val="00A373D7"/>
    <w:rsid w:val="00A3768D"/>
    <w:rsid w:val="00A3769E"/>
    <w:rsid w:val="00A37891"/>
    <w:rsid w:val="00A378FB"/>
    <w:rsid w:val="00A379E5"/>
    <w:rsid w:val="00A37D8E"/>
    <w:rsid w:val="00A4025F"/>
    <w:rsid w:val="00A406A8"/>
    <w:rsid w:val="00A40732"/>
    <w:rsid w:val="00A410C6"/>
    <w:rsid w:val="00A4155A"/>
    <w:rsid w:val="00A417B3"/>
    <w:rsid w:val="00A41BF0"/>
    <w:rsid w:val="00A41C56"/>
    <w:rsid w:val="00A41DBF"/>
    <w:rsid w:val="00A41E89"/>
    <w:rsid w:val="00A42302"/>
    <w:rsid w:val="00A42885"/>
    <w:rsid w:val="00A429FE"/>
    <w:rsid w:val="00A42A71"/>
    <w:rsid w:val="00A42A8E"/>
    <w:rsid w:val="00A42DF3"/>
    <w:rsid w:val="00A4308C"/>
    <w:rsid w:val="00A43179"/>
    <w:rsid w:val="00A431FA"/>
    <w:rsid w:val="00A434F1"/>
    <w:rsid w:val="00A4359D"/>
    <w:rsid w:val="00A435F9"/>
    <w:rsid w:val="00A43688"/>
    <w:rsid w:val="00A43B99"/>
    <w:rsid w:val="00A43BF6"/>
    <w:rsid w:val="00A43C83"/>
    <w:rsid w:val="00A445C9"/>
    <w:rsid w:val="00A44678"/>
    <w:rsid w:val="00A447EB"/>
    <w:rsid w:val="00A44805"/>
    <w:rsid w:val="00A448CE"/>
    <w:rsid w:val="00A44BE2"/>
    <w:rsid w:val="00A44C2A"/>
    <w:rsid w:val="00A44CE9"/>
    <w:rsid w:val="00A4515E"/>
    <w:rsid w:val="00A453DE"/>
    <w:rsid w:val="00A458BF"/>
    <w:rsid w:val="00A459B6"/>
    <w:rsid w:val="00A45AF9"/>
    <w:rsid w:val="00A45C43"/>
    <w:rsid w:val="00A45D63"/>
    <w:rsid w:val="00A45E2E"/>
    <w:rsid w:val="00A45F41"/>
    <w:rsid w:val="00A461C9"/>
    <w:rsid w:val="00A46A75"/>
    <w:rsid w:val="00A46BF8"/>
    <w:rsid w:val="00A46D3C"/>
    <w:rsid w:val="00A46E2F"/>
    <w:rsid w:val="00A47004"/>
    <w:rsid w:val="00A47DE7"/>
    <w:rsid w:val="00A47F03"/>
    <w:rsid w:val="00A500A0"/>
    <w:rsid w:val="00A502A5"/>
    <w:rsid w:val="00A502AE"/>
    <w:rsid w:val="00A504A1"/>
    <w:rsid w:val="00A50DC2"/>
    <w:rsid w:val="00A51127"/>
    <w:rsid w:val="00A51322"/>
    <w:rsid w:val="00A515DA"/>
    <w:rsid w:val="00A5170E"/>
    <w:rsid w:val="00A5195F"/>
    <w:rsid w:val="00A51AEB"/>
    <w:rsid w:val="00A51DEF"/>
    <w:rsid w:val="00A51F4F"/>
    <w:rsid w:val="00A52652"/>
    <w:rsid w:val="00A5269A"/>
    <w:rsid w:val="00A52708"/>
    <w:rsid w:val="00A52995"/>
    <w:rsid w:val="00A52EEC"/>
    <w:rsid w:val="00A52F11"/>
    <w:rsid w:val="00A5302D"/>
    <w:rsid w:val="00A53D05"/>
    <w:rsid w:val="00A54506"/>
    <w:rsid w:val="00A54595"/>
    <w:rsid w:val="00A54660"/>
    <w:rsid w:val="00A546BC"/>
    <w:rsid w:val="00A54B3C"/>
    <w:rsid w:val="00A54BD1"/>
    <w:rsid w:val="00A54E39"/>
    <w:rsid w:val="00A54E46"/>
    <w:rsid w:val="00A55449"/>
    <w:rsid w:val="00A556E4"/>
    <w:rsid w:val="00A55C8B"/>
    <w:rsid w:val="00A55E0A"/>
    <w:rsid w:val="00A560C3"/>
    <w:rsid w:val="00A5672F"/>
    <w:rsid w:val="00A56862"/>
    <w:rsid w:val="00A56A7D"/>
    <w:rsid w:val="00A56B61"/>
    <w:rsid w:val="00A56BBC"/>
    <w:rsid w:val="00A56BC5"/>
    <w:rsid w:val="00A56C89"/>
    <w:rsid w:val="00A56E2A"/>
    <w:rsid w:val="00A56E65"/>
    <w:rsid w:val="00A57265"/>
    <w:rsid w:val="00A574DE"/>
    <w:rsid w:val="00A5789F"/>
    <w:rsid w:val="00A5797A"/>
    <w:rsid w:val="00A57BA2"/>
    <w:rsid w:val="00A607A0"/>
    <w:rsid w:val="00A609E6"/>
    <w:rsid w:val="00A60D87"/>
    <w:rsid w:val="00A60DC0"/>
    <w:rsid w:val="00A60E2B"/>
    <w:rsid w:val="00A60EA0"/>
    <w:rsid w:val="00A6112A"/>
    <w:rsid w:val="00A61376"/>
    <w:rsid w:val="00A61476"/>
    <w:rsid w:val="00A61A1E"/>
    <w:rsid w:val="00A622B9"/>
    <w:rsid w:val="00A622DE"/>
    <w:rsid w:val="00A62480"/>
    <w:rsid w:val="00A6253B"/>
    <w:rsid w:val="00A62681"/>
    <w:rsid w:val="00A62E9B"/>
    <w:rsid w:val="00A63060"/>
    <w:rsid w:val="00A630E7"/>
    <w:rsid w:val="00A632D8"/>
    <w:rsid w:val="00A636BE"/>
    <w:rsid w:val="00A637BA"/>
    <w:rsid w:val="00A63BE0"/>
    <w:rsid w:val="00A63D41"/>
    <w:rsid w:val="00A63DE6"/>
    <w:rsid w:val="00A63E2A"/>
    <w:rsid w:val="00A643A6"/>
    <w:rsid w:val="00A6467E"/>
    <w:rsid w:val="00A64752"/>
    <w:rsid w:val="00A6476A"/>
    <w:rsid w:val="00A65247"/>
    <w:rsid w:val="00A65795"/>
    <w:rsid w:val="00A659E9"/>
    <w:rsid w:val="00A65BD6"/>
    <w:rsid w:val="00A65C14"/>
    <w:rsid w:val="00A65D4E"/>
    <w:rsid w:val="00A65E67"/>
    <w:rsid w:val="00A66425"/>
    <w:rsid w:val="00A66B97"/>
    <w:rsid w:val="00A66BF0"/>
    <w:rsid w:val="00A66DCD"/>
    <w:rsid w:val="00A67101"/>
    <w:rsid w:val="00A6721C"/>
    <w:rsid w:val="00A67ACB"/>
    <w:rsid w:val="00A67D58"/>
    <w:rsid w:val="00A70130"/>
    <w:rsid w:val="00A703CE"/>
    <w:rsid w:val="00A7092B"/>
    <w:rsid w:val="00A70A8A"/>
    <w:rsid w:val="00A70FE3"/>
    <w:rsid w:val="00A7139C"/>
    <w:rsid w:val="00A7153C"/>
    <w:rsid w:val="00A715E6"/>
    <w:rsid w:val="00A71650"/>
    <w:rsid w:val="00A71A7B"/>
    <w:rsid w:val="00A71DA1"/>
    <w:rsid w:val="00A71DB2"/>
    <w:rsid w:val="00A71ED3"/>
    <w:rsid w:val="00A721EA"/>
    <w:rsid w:val="00A72700"/>
    <w:rsid w:val="00A72B80"/>
    <w:rsid w:val="00A72E01"/>
    <w:rsid w:val="00A72E61"/>
    <w:rsid w:val="00A73199"/>
    <w:rsid w:val="00A73242"/>
    <w:rsid w:val="00A7336D"/>
    <w:rsid w:val="00A73584"/>
    <w:rsid w:val="00A73664"/>
    <w:rsid w:val="00A737CA"/>
    <w:rsid w:val="00A73F7B"/>
    <w:rsid w:val="00A741A3"/>
    <w:rsid w:val="00A74502"/>
    <w:rsid w:val="00A7461B"/>
    <w:rsid w:val="00A74901"/>
    <w:rsid w:val="00A74C0D"/>
    <w:rsid w:val="00A74E81"/>
    <w:rsid w:val="00A74EB3"/>
    <w:rsid w:val="00A75300"/>
    <w:rsid w:val="00A7584F"/>
    <w:rsid w:val="00A75BD0"/>
    <w:rsid w:val="00A76020"/>
    <w:rsid w:val="00A761AB"/>
    <w:rsid w:val="00A76298"/>
    <w:rsid w:val="00A762B4"/>
    <w:rsid w:val="00A76356"/>
    <w:rsid w:val="00A76422"/>
    <w:rsid w:val="00A774B0"/>
    <w:rsid w:val="00A775AE"/>
    <w:rsid w:val="00A777B2"/>
    <w:rsid w:val="00A8003D"/>
    <w:rsid w:val="00A803A6"/>
    <w:rsid w:val="00A804D2"/>
    <w:rsid w:val="00A80BB7"/>
    <w:rsid w:val="00A80DFA"/>
    <w:rsid w:val="00A80EE5"/>
    <w:rsid w:val="00A81031"/>
    <w:rsid w:val="00A813D1"/>
    <w:rsid w:val="00A81F3D"/>
    <w:rsid w:val="00A82475"/>
    <w:rsid w:val="00A82480"/>
    <w:rsid w:val="00A8258D"/>
    <w:rsid w:val="00A82799"/>
    <w:rsid w:val="00A82B3B"/>
    <w:rsid w:val="00A82EDD"/>
    <w:rsid w:val="00A8323D"/>
    <w:rsid w:val="00A832BF"/>
    <w:rsid w:val="00A83603"/>
    <w:rsid w:val="00A8365E"/>
    <w:rsid w:val="00A83817"/>
    <w:rsid w:val="00A844B7"/>
    <w:rsid w:val="00A84529"/>
    <w:rsid w:val="00A847C2"/>
    <w:rsid w:val="00A84E53"/>
    <w:rsid w:val="00A84E73"/>
    <w:rsid w:val="00A84EA5"/>
    <w:rsid w:val="00A852FF"/>
    <w:rsid w:val="00A854D9"/>
    <w:rsid w:val="00A858EB"/>
    <w:rsid w:val="00A85D56"/>
    <w:rsid w:val="00A85E53"/>
    <w:rsid w:val="00A8623E"/>
    <w:rsid w:val="00A86D67"/>
    <w:rsid w:val="00A87250"/>
    <w:rsid w:val="00A87480"/>
    <w:rsid w:val="00A874D8"/>
    <w:rsid w:val="00A874D9"/>
    <w:rsid w:val="00A900C1"/>
    <w:rsid w:val="00A90165"/>
    <w:rsid w:val="00A90278"/>
    <w:rsid w:val="00A904B2"/>
    <w:rsid w:val="00A9054D"/>
    <w:rsid w:val="00A90C63"/>
    <w:rsid w:val="00A90CBB"/>
    <w:rsid w:val="00A90F02"/>
    <w:rsid w:val="00A915EC"/>
    <w:rsid w:val="00A91734"/>
    <w:rsid w:val="00A91A52"/>
    <w:rsid w:val="00A91AF7"/>
    <w:rsid w:val="00A91DFD"/>
    <w:rsid w:val="00A91F01"/>
    <w:rsid w:val="00A9215D"/>
    <w:rsid w:val="00A923AA"/>
    <w:rsid w:val="00A927C8"/>
    <w:rsid w:val="00A92C04"/>
    <w:rsid w:val="00A92C38"/>
    <w:rsid w:val="00A92CEC"/>
    <w:rsid w:val="00A92EDF"/>
    <w:rsid w:val="00A93492"/>
    <w:rsid w:val="00A938EF"/>
    <w:rsid w:val="00A9399C"/>
    <w:rsid w:val="00A93AD6"/>
    <w:rsid w:val="00A941CA"/>
    <w:rsid w:val="00A944D8"/>
    <w:rsid w:val="00A944E6"/>
    <w:rsid w:val="00A94502"/>
    <w:rsid w:val="00A94620"/>
    <w:rsid w:val="00A94BE4"/>
    <w:rsid w:val="00A94D77"/>
    <w:rsid w:val="00A94EC6"/>
    <w:rsid w:val="00A951BB"/>
    <w:rsid w:val="00A953DC"/>
    <w:rsid w:val="00A957BF"/>
    <w:rsid w:val="00A958E6"/>
    <w:rsid w:val="00A959A0"/>
    <w:rsid w:val="00A95ACA"/>
    <w:rsid w:val="00A95BFC"/>
    <w:rsid w:val="00A95D9F"/>
    <w:rsid w:val="00A96761"/>
    <w:rsid w:val="00A96C39"/>
    <w:rsid w:val="00A97168"/>
    <w:rsid w:val="00A97499"/>
    <w:rsid w:val="00A97771"/>
    <w:rsid w:val="00A979B9"/>
    <w:rsid w:val="00A97EB3"/>
    <w:rsid w:val="00A97F48"/>
    <w:rsid w:val="00AA03EC"/>
    <w:rsid w:val="00AA0A5B"/>
    <w:rsid w:val="00AA0B6E"/>
    <w:rsid w:val="00AA1005"/>
    <w:rsid w:val="00AA10C4"/>
    <w:rsid w:val="00AA139E"/>
    <w:rsid w:val="00AA156C"/>
    <w:rsid w:val="00AA183E"/>
    <w:rsid w:val="00AA1C5A"/>
    <w:rsid w:val="00AA2060"/>
    <w:rsid w:val="00AA22A8"/>
    <w:rsid w:val="00AA2534"/>
    <w:rsid w:val="00AA258D"/>
    <w:rsid w:val="00AA2866"/>
    <w:rsid w:val="00AA2E4E"/>
    <w:rsid w:val="00AA345E"/>
    <w:rsid w:val="00AA3632"/>
    <w:rsid w:val="00AA38D3"/>
    <w:rsid w:val="00AA396E"/>
    <w:rsid w:val="00AA3A35"/>
    <w:rsid w:val="00AA3A5B"/>
    <w:rsid w:val="00AA3AE3"/>
    <w:rsid w:val="00AA3BD2"/>
    <w:rsid w:val="00AA3DA9"/>
    <w:rsid w:val="00AA3F44"/>
    <w:rsid w:val="00AA414B"/>
    <w:rsid w:val="00AA42C4"/>
    <w:rsid w:val="00AA4315"/>
    <w:rsid w:val="00AA44B7"/>
    <w:rsid w:val="00AA44D0"/>
    <w:rsid w:val="00AA46E8"/>
    <w:rsid w:val="00AA4766"/>
    <w:rsid w:val="00AA49F8"/>
    <w:rsid w:val="00AA4A0A"/>
    <w:rsid w:val="00AA4AE8"/>
    <w:rsid w:val="00AA4B1E"/>
    <w:rsid w:val="00AA4BCA"/>
    <w:rsid w:val="00AA4FA3"/>
    <w:rsid w:val="00AA57B9"/>
    <w:rsid w:val="00AA5BA8"/>
    <w:rsid w:val="00AA6120"/>
    <w:rsid w:val="00AA620F"/>
    <w:rsid w:val="00AA6242"/>
    <w:rsid w:val="00AA643D"/>
    <w:rsid w:val="00AA66D2"/>
    <w:rsid w:val="00AA6A14"/>
    <w:rsid w:val="00AA6A74"/>
    <w:rsid w:val="00AA6C09"/>
    <w:rsid w:val="00AA7162"/>
    <w:rsid w:val="00AA725D"/>
    <w:rsid w:val="00AA73A0"/>
    <w:rsid w:val="00AA75FE"/>
    <w:rsid w:val="00AA7770"/>
    <w:rsid w:val="00AA7842"/>
    <w:rsid w:val="00AB028F"/>
    <w:rsid w:val="00AB03BE"/>
    <w:rsid w:val="00AB03FB"/>
    <w:rsid w:val="00AB0556"/>
    <w:rsid w:val="00AB06B2"/>
    <w:rsid w:val="00AB07E4"/>
    <w:rsid w:val="00AB07F7"/>
    <w:rsid w:val="00AB0B9B"/>
    <w:rsid w:val="00AB107A"/>
    <w:rsid w:val="00AB1157"/>
    <w:rsid w:val="00AB1786"/>
    <w:rsid w:val="00AB17C1"/>
    <w:rsid w:val="00AB1965"/>
    <w:rsid w:val="00AB1F02"/>
    <w:rsid w:val="00AB1F4B"/>
    <w:rsid w:val="00AB1FF5"/>
    <w:rsid w:val="00AB20A7"/>
    <w:rsid w:val="00AB2254"/>
    <w:rsid w:val="00AB286E"/>
    <w:rsid w:val="00AB2961"/>
    <w:rsid w:val="00AB2BAF"/>
    <w:rsid w:val="00AB30CF"/>
    <w:rsid w:val="00AB31B5"/>
    <w:rsid w:val="00AB322C"/>
    <w:rsid w:val="00AB3311"/>
    <w:rsid w:val="00AB3464"/>
    <w:rsid w:val="00AB36F9"/>
    <w:rsid w:val="00AB392F"/>
    <w:rsid w:val="00AB3F05"/>
    <w:rsid w:val="00AB47BF"/>
    <w:rsid w:val="00AB48BA"/>
    <w:rsid w:val="00AB495A"/>
    <w:rsid w:val="00AB49CD"/>
    <w:rsid w:val="00AB49CE"/>
    <w:rsid w:val="00AB4D76"/>
    <w:rsid w:val="00AB4D96"/>
    <w:rsid w:val="00AB4F0C"/>
    <w:rsid w:val="00AB53F0"/>
    <w:rsid w:val="00AB561E"/>
    <w:rsid w:val="00AB5AD0"/>
    <w:rsid w:val="00AB5B8E"/>
    <w:rsid w:val="00AB5EBA"/>
    <w:rsid w:val="00AB5FA0"/>
    <w:rsid w:val="00AB63EB"/>
    <w:rsid w:val="00AB667C"/>
    <w:rsid w:val="00AB732A"/>
    <w:rsid w:val="00AB75FA"/>
    <w:rsid w:val="00AB7852"/>
    <w:rsid w:val="00AB785C"/>
    <w:rsid w:val="00AB7884"/>
    <w:rsid w:val="00AC0083"/>
    <w:rsid w:val="00AC0370"/>
    <w:rsid w:val="00AC04C7"/>
    <w:rsid w:val="00AC07AB"/>
    <w:rsid w:val="00AC0C87"/>
    <w:rsid w:val="00AC0CF8"/>
    <w:rsid w:val="00AC0E11"/>
    <w:rsid w:val="00AC0F0E"/>
    <w:rsid w:val="00AC1282"/>
    <w:rsid w:val="00AC15FA"/>
    <w:rsid w:val="00AC1700"/>
    <w:rsid w:val="00AC1BB6"/>
    <w:rsid w:val="00AC1C4C"/>
    <w:rsid w:val="00AC1C77"/>
    <w:rsid w:val="00AC1F20"/>
    <w:rsid w:val="00AC214E"/>
    <w:rsid w:val="00AC25EE"/>
    <w:rsid w:val="00AC28AE"/>
    <w:rsid w:val="00AC29B9"/>
    <w:rsid w:val="00AC2BF6"/>
    <w:rsid w:val="00AC2BFA"/>
    <w:rsid w:val="00AC3784"/>
    <w:rsid w:val="00AC38AA"/>
    <w:rsid w:val="00AC39CD"/>
    <w:rsid w:val="00AC3A85"/>
    <w:rsid w:val="00AC3C15"/>
    <w:rsid w:val="00AC4672"/>
    <w:rsid w:val="00AC478F"/>
    <w:rsid w:val="00AC4C8C"/>
    <w:rsid w:val="00AC4EAD"/>
    <w:rsid w:val="00AC514E"/>
    <w:rsid w:val="00AC5597"/>
    <w:rsid w:val="00AC573A"/>
    <w:rsid w:val="00AC594D"/>
    <w:rsid w:val="00AC5C0A"/>
    <w:rsid w:val="00AC5F6A"/>
    <w:rsid w:val="00AC60E5"/>
    <w:rsid w:val="00AC6E1D"/>
    <w:rsid w:val="00AC6E20"/>
    <w:rsid w:val="00AC6F30"/>
    <w:rsid w:val="00AC7095"/>
    <w:rsid w:val="00AC7416"/>
    <w:rsid w:val="00AC755B"/>
    <w:rsid w:val="00AC775B"/>
    <w:rsid w:val="00AC7859"/>
    <w:rsid w:val="00AC7906"/>
    <w:rsid w:val="00AC7C5B"/>
    <w:rsid w:val="00AC7C90"/>
    <w:rsid w:val="00AC7CEF"/>
    <w:rsid w:val="00AC7E87"/>
    <w:rsid w:val="00AC7EF7"/>
    <w:rsid w:val="00AD003A"/>
    <w:rsid w:val="00AD0376"/>
    <w:rsid w:val="00AD0DEA"/>
    <w:rsid w:val="00AD104F"/>
    <w:rsid w:val="00AD14D6"/>
    <w:rsid w:val="00AD153B"/>
    <w:rsid w:val="00AD17D1"/>
    <w:rsid w:val="00AD1A2B"/>
    <w:rsid w:val="00AD1DB0"/>
    <w:rsid w:val="00AD1E5E"/>
    <w:rsid w:val="00AD1EDE"/>
    <w:rsid w:val="00AD2106"/>
    <w:rsid w:val="00AD222E"/>
    <w:rsid w:val="00AD24BF"/>
    <w:rsid w:val="00AD28E7"/>
    <w:rsid w:val="00AD29E8"/>
    <w:rsid w:val="00AD2B60"/>
    <w:rsid w:val="00AD30E4"/>
    <w:rsid w:val="00AD329B"/>
    <w:rsid w:val="00AD32BA"/>
    <w:rsid w:val="00AD3723"/>
    <w:rsid w:val="00AD3778"/>
    <w:rsid w:val="00AD3798"/>
    <w:rsid w:val="00AD3C58"/>
    <w:rsid w:val="00AD3DBC"/>
    <w:rsid w:val="00AD415C"/>
    <w:rsid w:val="00AD45E5"/>
    <w:rsid w:val="00AD4B18"/>
    <w:rsid w:val="00AD4B8D"/>
    <w:rsid w:val="00AD4CC9"/>
    <w:rsid w:val="00AD4F32"/>
    <w:rsid w:val="00AD4F56"/>
    <w:rsid w:val="00AD51EA"/>
    <w:rsid w:val="00AD56DA"/>
    <w:rsid w:val="00AD59AA"/>
    <w:rsid w:val="00AD59F7"/>
    <w:rsid w:val="00AD5A75"/>
    <w:rsid w:val="00AD5AB9"/>
    <w:rsid w:val="00AD6155"/>
    <w:rsid w:val="00AD646A"/>
    <w:rsid w:val="00AD66D7"/>
    <w:rsid w:val="00AD6B59"/>
    <w:rsid w:val="00AD6B89"/>
    <w:rsid w:val="00AD6CBC"/>
    <w:rsid w:val="00AD74DD"/>
    <w:rsid w:val="00AD75AA"/>
    <w:rsid w:val="00AD7808"/>
    <w:rsid w:val="00AE00FE"/>
    <w:rsid w:val="00AE04D6"/>
    <w:rsid w:val="00AE0515"/>
    <w:rsid w:val="00AE0558"/>
    <w:rsid w:val="00AE085B"/>
    <w:rsid w:val="00AE0D1D"/>
    <w:rsid w:val="00AE0DC6"/>
    <w:rsid w:val="00AE0EC2"/>
    <w:rsid w:val="00AE10E7"/>
    <w:rsid w:val="00AE1166"/>
    <w:rsid w:val="00AE1516"/>
    <w:rsid w:val="00AE17A5"/>
    <w:rsid w:val="00AE1893"/>
    <w:rsid w:val="00AE19B2"/>
    <w:rsid w:val="00AE1B2C"/>
    <w:rsid w:val="00AE1ED1"/>
    <w:rsid w:val="00AE2120"/>
    <w:rsid w:val="00AE214F"/>
    <w:rsid w:val="00AE2561"/>
    <w:rsid w:val="00AE26E1"/>
    <w:rsid w:val="00AE2FF8"/>
    <w:rsid w:val="00AE302B"/>
    <w:rsid w:val="00AE3483"/>
    <w:rsid w:val="00AE34BE"/>
    <w:rsid w:val="00AE365C"/>
    <w:rsid w:val="00AE3A65"/>
    <w:rsid w:val="00AE3C47"/>
    <w:rsid w:val="00AE3E08"/>
    <w:rsid w:val="00AE434E"/>
    <w:rsid w:val="00AE43AB"/>
    <w:rsid w:val="00AE43B0"/>
    <w:rsid w:val="00AE43F6"/>
    <w:rsid w:val="00AE47B1"/>
    <w:rsid w:val="00AE4E2F"/>
    <w:rsid w:val="00AE5005"/>
    <w:rsid w:val="00AE51C8"/>
    <w:rsid w:val="00AE5242"/>
    <w:rsid w:val="00AE5352"/>
    <w:rsid w:val="00AE5BBA"/>
    <w:rsid w:val="00AE5E11"/>
    <w:rsid w:val="00AE630A"/>
    <w:rsid w:val="00AE6318"/>
    <w:rsid w:val="00AE635B"/>
    <w:rsid w:val="00AE63CD"/>
    <w:rsid w:val="00AE64DB"/>
    <w:rsid w:val="00AE66FA"/>
    <w:rsid w:val="00AE6B14"/>
    <w:rsid w:val="00AE7026"/>
    <w:rsid w:val="00AE7211"/>
    <w:rsid w:val="00AF00B1"/>
    <w:rsid w:val="00AF00B8"/>
    <w:rsid w:val="00AF0410"/>
    <w:rsid w:val="00AF041E"/>
    <w:rsid w:val="00AF045E"/>
    <w:rsid w:val="00AF04A4"/>
    <w:rsid w:val="00AF04DA"/>
    <w:rsid w:val="00AF0594"/>
    <w:rsid w:val="00AF0909"/>
    <w:rsid w:val="00AF0BB2"/>
    <w:rsid w:val="00AF0BBE"/>
    <w:rsid w:val="00AF11A0"/>
    <w:rsid w:val="00AF12A3"/>
    <w:rsid w:val="00AF15BD"/>
    <w:rsid w:val="00AF184D"/>
    <w:rsid w:val="00AF1878"/>
    <w:rsid w:val="00AF1AAC"/>
    <w:rsid w:val="00AF1ADB"/>
    <w:rsid w:val="00AF21A8"/>
    <w:rsid w:val="00AF2E67"/>
    <w:rsid w:val="00AF2F2F"/>
    <w:rsid w:val="00AF2FD1"/>
    <w:rsid w:val="00AF2FF0"/>
    <w:rsid w:val="00AF3489"/>
    <w:rsid w:val="00AF35A3"/>
    <w:rsid w:val="00AF3653"/>
    <w:rsid w:val="00AF3DF1"/>
    <w:rsid w:val="00AF3E29"/>
    <w:rsid w:val="00AF3F9F"/>
    <w:rsid w:val="00AF43A5"/>
    <w:rsid w:val="00AF4A1A"/>
    <w:rsid w:val="00AF4D25"/>
    <w:rsid w:val="00AF5228"/>
    <w:rsid w:val="00AF5269"/>
    <w:rsid w:val="00AF52DA"/>
    <w:rsid w:val="00AF535C"/>
    <w:rsid w:val="00AF54B7"/>
    <w:rsid w:val="00AF563E"/>
    <w:rsid w:val="00AF5C4C"/>
    <w:rsid w:val="00AF5F79"/>
    <w:rsid w:val="00AF6548"/>
    <w:rsid w:val="00AF6825"/>
    <w:rsid w:val="00AF6C40"/>
    <w:rsid w:val="00AF6D17"/>
    <w:rsid w:val="00AF7107"/>
    <w:rsid w:val="00AF723D"/>
    <w:rsid w:val="00AF7563"/>
    <w:rsid w:val="00AF7BEC"/>
    <w:rsid w:val="00AF7F35"/>
    <w:rsid w:val="00B004D0"/>
    <w:rsid w:val="00B0061F"/>
    <w:rsid w:val="00B00621"/>
    <w:rsid w:val="00B01014"/>
    <w:rsid w:val="00B01034"/>
    <w:rsid w:val="00B010BC"/>
    <w:rsid w:val="00B0126A"/>
    <w:rsid w:val="00B014A8"/>
    <w:rsid w:val="00B01558"/>
    <w:rsid w:val="00B01577"/>
    <w:rsid w:val="00B01683"/>
    <w:rsid w:val="00B017CC"/>
    <w:rsid w:val="00B01931"/>
    <w:rsid w:val="00B0198C"/>
    <w:rsid w:val="00B019EE"/>
    <w:rsid w:val="00B028CF"/>
    <w:rsid w:val="00B028DC"/>
    <w:rsid w:val="00B02B33"/>
    <w:rsid w:val="00B02B6A"/>
    <w:rsid w:val="00B02D81"/>
    <w:rsid w:val="00B02EBC"/>
    <w:rsid w:val="00B03161"/>
    <w:rsid w:val="00B031E6"/>
    <w:rsid w:val="00B0366B"/>
    <w:rsid w:val="00B0370D"/>
    <w:rsid w:val="00B037FD"/>
    <w:rsid w:val="00B0380E"/>
    <w:rsid w:val="00B03CC2"/>
    <w:rsid w:val="00B03E33"/>
    <w:rsid w:val="00B04097"/>
    <w:rsid w:val="00B04307"/>
    <w:rsid w:val="00B0441E"/>
    <w:rsid w:val="00B0487B"/>
    <w:rsid w:val="00B0489A"/>
    <w:rsid w:val="00B04BD6"/>
    <w:rsid w:val="00B04C56"/>
    <w:rsid w:val="00B051F2"/>
    <w:rsid w:val="00B052BE"/>
    <w:rsid w:val="00B055E0"/>
    <w:rsid w:val="00B05680"/>
    <w:rsid w:val="00B05A89"/>
    <w:rsid w:val="00B05C18"/>
    <w:rsid w:val="00B05CA8"/>
    <w:rsid w:val="00B05D06"/>
    <w:rsid w:val="00B061CF"/>
    <w:rsid w:val="00B0648C"/>
    <w:rsid w:val="00B06584"/>
    <w:rsid w:val="00B066CC"/>
    <w:rsid w:val="00B06A38"/>
    <w:rsid w:val="00B06C13"/>
    <w:rsid w:val="00B06E68"/>
    <w:rsid w:val="00B0705F"/>
    <w:rsid w:val="00B07458"/>
    <w:rsid w:val="00B076F2"/>
    <w:rsid w:val="00B07B48"/>
    <w:rsid w:val="00B07CDE"/>
    <w:rsid w:val="00B07D7E"/>
    <w:rsid w:val="00B07E34"/>
    <w:rsid w:val="00B10059"/>
    <w:rsid w:val="00B1005C"/>
    <w:rsid w:val="00B106C0"/>
    <w:rsid w:val="00B10C5A"/>
    <w:rsid w:val="00B10D4D"/>
    <w:rsid w:val="00B10DCB"/>
    <w:rsid w:val="00B11543"/>
    <w:rsid w:val="00B1159F"/>
    <w:rsid w:val="00B119E8"/>
    <w:rsid w:val="00B11A3B"/>
    <w:rsid w:val="00B11BC4"/>
    <w:rsid w:val="00B11ED4"/>
    <w:rsid w:val="00B11F41"/>
    <w:rsid w:val="00B11FE6"/>
    <w:rsid w:val="00B122C0"/>
    <w:rsid w:val="00B122C1"/>
    <w:rsid w:val="00B123C5"/>
    <w:rsid w:val="00B12495"/>
    <w:rsid w:val="00B12A8A"/>
    <w:rsid w:val="00B12CFF"/>
    <w:rsid w:val="00B12D45"/>
    <w:rsid w:val="00B13137"/>
    <w:rsid w:val="00B1389D"/>
    <w:rsid w:val="00B138C6"/>
    <w:rsid w:val="00B13AB2"/>
    <w:rsid w:val="00B13C93"/>
    <w:rsid w:val="00B13EA9"/>
    <w:rsid w:val="00B13EE0"/>
    <w:rsid w:val="00B140AC"/>
    <w:rsid w:val="00B141BD"/>
    <w:rsid w:val="00B144DE"/>
    <w:rsid w:val="00B14569"/>
    <w:rsid w:val="00B148C2"/>
    <w:rsid w:val="00B150FF"/>
    <w:rsid w:val="00B152A2"/>
    <w:rsid w:val="00B15347"/>
    <w:rsid w:val="00B157A0"/>
    <w:rsid w:val="00B15970"/>
    <w:rsid w:val="00B15F63"/>
    <w:rsid w:val="00B15FC2"/>
    <w:rsid w:val="00B16134"/>
    <w:rsid w:val="00B162C3"/>
    <w:rsid w:val="00B162D4"/>
    <w:rsid w:val="00B16478"/>
    <w:rsid w:val="00B16C80"/>
    <w:rsid w:val="00B16CBC"/>
    <w:rsid w:val="00B17801"/>
    <w:rsid w:val="00B17824"/>
    <w:rsid w:val="00B1787C"/>
    <w:rsid w:val="00B17954"/>
    <w:rsid w:val="00B17ACA"/>
    <w:rsid w:val="00B17D55"/>
    <w:rsid w:val="00B2040D"/>
    <w:rsid w:val="00B20458"/>
    <w:rsid w:val="00B20467"/>
    <w:rsid w:val="00B209D4"/>
    <w:rsid w:val="00B2110E"/>
    <w:rsid w:val="00B212D7"/>
    <w:rsid w:val="00B21365"/>
    <w:rsid w:val="00B2140B"/>
    <w:rsid w:val="00B215EF"/>
    <w:rsid w:val="00B21EC8"/>
    <w:rsid w:val="00B21ED9"/>
    <w:rsid w:val="00B22165"/>
    <w:rsid w:val="00B222DA"/>
    <w:rsid w:val="00B22AD6"/>
    <w:rsid w:val="00B22D2B"/>
    <w:rsid w:val="00B22E53"/>
    <w:rsid w:val="00B2366F"/>
    <w:rsid w:val="00B237E9"/>
    <w:rsid w:val="00B237F6"/>
    <w:rsid w:val="00B23E69"/>
    <w:rsid w:val="00B23EA9"/>
    <w:rsid w:val="00B240F1"/>
    <w:rsid w:val="00B247AD"/>
    <w:rsid w:val="00B24C8E"/>
    <w:rsid w:val="00B24D6E"/>
    <w:rsid w:val="00B24EBC"/>
    <w:rsid w:val="00B25975"/>
    <w:rsid w:val="00B25CD5"/>
    <w:rsid w:val="00B25CD8"/>
    <w:rsid w:val="00B25DB1"/>
    <w:rsid w:val="00B25FF9"/>
    <w:rsid w:val="00B261DA"/>
    <w:rsid w:val="00B2625B"/>
    <w:rsid w:val="00B26485"/>
    <w:rsid w:val="00B26787"/>
    <w:rsid w:val="00B269EF"/>
    <w:rsid w:val="00B271E8"/>
    <w:rsid w:val="00B278C6"/>
    <w:rsid w:val="00B27A58"/>
    <w:rsid w:val="00B27B89"/>
    <w:rsid w:val="00B3042C"/>
    <w:rsid w:val="00B30506"/>
    <w:rsid w:val="00B30532"/>
    <w:rsid w:val="00B30C80"/>
    <w:rsid w:val="00B30CA1"/>
    <w:rsid w:val="00B310A6"/>
    <w:rsid w:val="00B320C0"/>
    <w:rsid w:val="00B324A4"/>
    <w:rsid w:val="00B32568"/>
    <w:rsid w:val="00B32579"/>
    <w:rsid w:val="00B327BD"/>
    <w:rsid w:val="00B327D8"/>
    <w:rsid w:val="00B32CF0"/>
    <w:rsid w:val="00B32D68"/>
    <w:rsid w:val="00B32F76"/>
    <w:rsid w:val="00B335C6"/>
    <w:rsid w:val="00B33632"/>
    <w:rsid w:val="00B33654"/>
    <w:rsid w:val="00B336B1"/>
    <w:rsid w:val="00B3384C"/>
    <w:rsid w:val="00B3414D"/>
    <w:rsid w:val="00B3417C"/>
    <w:rsid w:val="00B341D2"/>
    <w:rsid w:val="00B346C9"/>
    <w:rsid w:val="00B349B4"/>
    <w:rsid w:val="00B34A12"/>
    <w:rsid w:val="00B3542C"/>
    <w:rsid w:val="00B35446"/>
    <w:rsid w:val="00B35582"/>
    <w:rsid w:val="00B35827"/>
    <w:rsid w:val="00B35B46"/>
    <w:rsid w:val="00B36842"/>
    <w:rsid w:val="00B36B00"/>
    <w:rsid w:val="00B36D37"/>
    <w:rsid w:val="00B36DB0"/>
    <w:rsid w:val="00B36E57"/>
    <w:rsid w:val="00B370CD"/>
    <w:rsid w:val="00B37378"/>
    <w:rsid w:val="00B37720"/>
    <w:rsid w:val="00B3786A"/>
    <w:rsid w:val="00B37949"/>
    <w:rsid w:val="00B37A29"/>
    <w:rsid w:val="00B37CE7"/>
    <w:rsid w:val="00B37F34"/>
    <w:rsid w:val="00B40205"/>
    <w:rsid w:val="00B40330"/>
    <w:rsid w:val="00B40905"/>
    <w:rsid w:val="00B409F4"/>
    <w:rsid w:val="00B40A85"/>
    <w:rsid w:val="00B40E04"/>
    <w:rsid w:val="00B41071"/>
    <w:rsid w:val="00B41396"/>
    <w:rsid w:val="00B41B07"/>
    <w:rsid w:val="00B41B29"/>
    <w:rsid w:val="00B41B67"/>
    <w:rsid w:val="00B41C01"/>
    <w:rsid w:val="00B41E33"/>
    <w:rsid w:val="00B42140"/>
    <w:rsid w:val="00B422A4"/>
    <w:rsid w:val="00B42363"/>
    <w:rsid w:val="00B4249F"/>
    <w:rsid w:val="00B42963"/>
    <w:rsid w:val="00B42D9C"/>
    <w:rsid w:val="00B4339A"/>
    <w:rsid w:val="00B43589"/>
    <w:rsid w:val="00B435EC"/>
    <w:rsid w:val="00B43909"/>
    <w:rsid w:val="00B43A21"/>
    <w:rsid w:val="00B440D5"/>
    <w:rsid w:val="00B44B0F"/>
    <w:rsid w:val="00B44EC2"/>
    <w:rsid w:val="00B4547D"/>
    <w:rsid w:val="00B457A5"/>
    <w:rsid w:val="00B45827"/>
    <w:rsid w:val="00B45FBD"/>
    <w:rsid w:val="00B45FC2"/>
    <w:rsid w:val="00B465D6"/>
    <w:rsid w:val="00B46707"/>
    <w:rsid w:val="00B4670B"/>
    <w:rsid w:val="00B47069"/>
    <w:rsid w:val="00B4707A"/>
    <w:rsid w:val="00B47103"/>
    <w:rsid w:val="00B472AE"/>
    <w:rsid w:val="00B477FB"/>
    <w:rsid w:val="00B47E78"/>
    <w:rsid w:val="00B500CA"/>
    <w:rsid w:val="00B500E9"/>
    <w:rsid w:val="00B503BA"/>
    <w:rsid w:val="00B50598"/>
    <w:rsid w:val="00B508D1"/>
    <w:rsid w:val="00B50F12"/>
    <w:rsid w:val="00B5123D"/>
    <w:rsid w:val="00B51374"/>
    <w:rsid w:val="00B5251C"/>
    <w:rsid w:val="00B52647"/>
    <w:rsid w:val="00B52980"/>
    <w:rsid w:val="00B52CED"/>
    <w:rsid w:val="00B52D8E"/>
    <w:rsid w:val="00B53206"/>
    <w:rsid w:val="00B53435"/>
    <w:rsid w:val="00B53552"/>
    <w:rsid w:val="00B535F6"/>
    <w:rsid w:val="00B54002"/>
    <w:rsid w:val="00B544AA"/>
    <w:rsid w:val="00B544DC"/>
    <w:rsid w:val="00B548B7"/>
    <w:rsid w:val="00B54A04"/>
    <w:rsid w:val="00B54C17"/>
    <w:rsid w:val="00B54C65"/>
    <w:rsid w:val="00B54DA5"/>
    <w:rsid w:val="00B550D4"/>
    <w:rsid w:val="00B55252"/>
    <w:rsid w:val="00B552B3"/>
    <w:rsid w:val="00B55CA1"/>
    <w:rsid w:val="00B55EA1"/>
    <w:rsid w:val="00B56463"/>
    <w:rsid w:val="00B56783"/>
    <w:rsid w:val="00B56D82"/>
    <w:rsid w:val="00B56F3B"/>
    <w:rsid w:val="00B57136"/>
    <w:rsid w:val="00B573AF"/>
    <w:rsid w:val="00B5745E"/>
    <w:rsid w:val="00B575F8"/>
    <w:rsid w:val="00B577C2"/>
    <w:rsid w:val="00B57850"/>
    <w:rsid w:val="00B57B5A"/>
    <w:rsid w:val="00B605FD"/>
    <w:rsid w:val="00B60784"/>
    <w:rsid w:val="00B61652"/>
    <w:rsid w:val="00B61693"/>
    <w:rsid w:val="00B61B04"/>
    <w:rsid w:val="00B61C08"/>
    <w:rsid w:val="00B61E3D"/>
    <w:rsid w:val="00B61EEA"/>
    <w:rsid w:val="00B621C2"/>
    <w:rsid w:val="00B621C6"/>
    <w:rsid w:val="00B6283B"/>
    <w:rsid w:val="00B62C55"/>
    <w:rsid w:val="00B62C60"/>
    <w:rsid w:val="00B62DD2"/>
    <w:rsid w:val="00B62FAD"/>
    <w:rsid w:val="00B634E8"/>
    <w:rsid w:val="00B63903"/>
    <w:rsid w:val="00B6398A"/>
    <w:rsid w:val="00B639C7"/>
    <w:rsid w:val="00B63CB8"/>
    <w:rsid w:val="00B63F31"/>
    <w:rsid w:val="00B64031"/>
    <w:rsid w:val="00B64120"/>
    <w:rsid w:val="00B641C9"/>
    <w:rsid w:val="00B647FC"/>
    <w:rsid w:val="00B64ADA"/>
    <w:rsid w:val="00B64EDD"/>
    <w:rsid w:val="00B6541C"/>
    <w:rsid w:val="00B65663"/>
    <w:rsid w:val="00B656B0"/>
    <w:rsid w:val="00B65E77"/>
    <w:rsid w:val="00B65E86"/>
    <w:rsid w:val="00B65F59"/>
    <w:rsid w:val="00B666DF"/>
    <w:rsid w:val="00B66731"/>
    <w:rsid w:val="00B66A87"/>
    <w:rsid w:val="00B6764A"/>
    <w:rsid w:val="00B67D67"/>
    <w:rsid w:val="00B67E42"/>
    <w:rsid w:val="00B70059"/>
    <w:rsid w:val="00B70131"/>
    <w:rsid w:val="00B7017B"/>
    <w:rsid w:val="00B703D3"/>
    <w:rsid w:val="00B70420"/>
    <w:rsid w:val="00B70570"/>
    <w:rsid w:val="00B705CD"/>
    <w:rsid w:val="00B70827"/>
    <w:rsid w:val="00B70848"/>
    <w:rsid w:val="00B70A56"/>
    <w:rsid w:val="00B70C8E"/>
    <w:rsid w:val="00B70D3F"/>
    <w:rsid w:val="00B71635"/>
    <w:rsid w:val="00B71951"/>
    <w:rsid w:val="00B719DB"/>
    <w:rsid w:val="00B71DC1"/>
    <w:rsid w:val="00B720B4"/>
    <w:rsid w:val="00B725F9"/>
    <w:rsid w:val="00B728C7"/>
    <w:rsid w:val="00B7314E"/>
    <w:rsid w:val="00B73294"/>
    <w:rsid w:val="00B7332D"/>
    <w:rsid w:val="00B73472"/>
    <w:rsid w:val="00B735F6"/>
    <w:rsid w:val="00B73769"/>
    <w:rsid w:val="00B73AA2"/>
    <w:rsid w:val="00B73B64"/>
    <w:rsid w:val="00B73EA4"/>
    <w:rsid w:val="00B73FEA"/>
    <w:rsid w:val="00B742BC"/>
    <w:rsid w:val="00B748BB"/>
    <w:rsid w:val="00B749D7"/>
    <w:rsid w:val="00B74AD8"/>
    <w:rsid w:val="00B753E6"/>
    <w:rsid w:val="00B755B3"/>
    <w:rsid w:val="00B75D50"/>
    <w:rsid w:val="00B75F74"/>
    <w:rsid w:val="00B760E2"/>
    <w:rsid w:val="00B760EB"/>
    <w:rsid w:val="00B762B7"/>
    <w:rsid w:val="00B7647E"/>
    <w:rsid w:val="00B76505"/>
    <w:rsid w:val="00B76577"/>
    <w:rsid w:val="00B767D0"/>
    <w:rsid w:val="00B769D7"/>
    <w:rsid w:val="00B76AF7"/>
    <w:rsid w:val="00B76F65"/>
    <w:rsid w:val="00B77630"/>
    <w:rsid w:val="00B77CAA"/>
    <w:rsid w:val="00B800F0"/>
    <w:rsid w:val="00B8019E"/>
    <w:rsid w:val="00B8034A"/>
    <w:rsid w:val="00B80421"/>
    <w:rsid w:val="00B80504"/>
    <w:rsid w:val="00B806CC"/>
    <w:rsid w:val="00B80A6F"/>
    <w:rsid w:val="00B80BD8"/>
    <w:rsid w:val="00B80F76"/>
    <w:rsid w:val="00B81020"/>
    <w:rsid w:val="00B81112"/>
    <w:rsid w:val="00B81A8C"/>
    <w:rsid w:val="00B81C3A"/>
    <w:rsid w:val="00B821B4"/>
    <w:rsid w:val="00B82674"/>
    <w:rsid w:val="00B827A8"/>
    <w:rsid w:val="00B82954"/>
    <w:rsid w:val="00B82F97"/>
    <w:rsid w:val="00B83096"/>
    <w:rsid w:val="00B8309F"/>
    <w:rsid w:val="00B83200"/>
    <w:rsid w:val="00B83385"/>
    <w:rsid w:val="00B834AC"/>
    <w:rsid w:val="00B8367A"/>
    <w:rsid w:val="00B83BF5"/>
    <w:rsid w:val="00B84186"/>
    <w:rsid w:val="00B84866"/>
    <w:rsid w:val="00B849E3"/>
    <w:rsid w:val="00B84E15"/>
    <w:rsid w:val="00B85019"/>
    <w:rsid w:val="00B85067"/>
    <w:rsid w:val="00B8540D"/>
    <w:rsid w:val="00B8554B"/>
    <w:rsid w:val="00B8584E"/>
    <w:rsid w:val="00B8589D"/>
    <w:rsid w:val="00B85979"/>
    <w:rsid w:val="00B85A2B"/>
    <w:rsid w:val="00B85C2F"/>
    <w:rsid w:val="00B85EF2"/>
    <w:rsid w:val="00B86135"/>
    <w:rsid w:val="00B862A3"/>
    <w:rsid w:val="00B86422"/>
    <w:rsid w:val="00B8691B"/>
    <w:rsid w:val="00B86922"/>
    <w:rsid w:val="00B86E7D"/>
    <w:rsid w:val="00B8708C"/>
    <w:rsid w:val="00B870DD"/>
    <w:rsid w:val="00B87101"/>
    <w:rsid w:val="00B873FE"/>
    <w:rsid w:val="00B87932"/>
    <w:rsid w:val="00B87ECE"/>
    <w:rsid w:val="00B9002F"/>
    <w:rsid w:val="00B901AB"/>
    <w:rsid w:val="00B9031F"/>
    <w:rsid w:val="00B906FC"/>
    <w:rsid w:val="00B907F2"/>
    <w:rsid w:val="00B9096D"/>
    <w:rsid w:val="00B90B7C"/>
    <w:rsid w:val="00B90BE7"/>
    <w:rsid w:val="00B910BD"/>
    <w:rsid w:val="00B911A4"/>
    <w:rsid w:val="00B914D0"/>
    <w:rsid w:val="00B91611"/>
    <w:rsid w:val="00B91E83"/>
    <w:rsid w:val="00B9204B"/>
    <w:rsid w:val="00B92157"/>
    <w:rsid w:val="00B92199"/>
    <w:rsid w:val="00B925BF"/>
    <w:rsid w:val="00B92662"/>
    <w:rsid w:val="00B92FD3"/>
    <w:rsid w:val="00B930CC"/>
    <w:rsid w:val="00B931CA"/>
    <w:rsid w:val="00B9320F"/>
    <w:rsid w:val="00B9326A"/>
    <w:rsid w:val="00B9327D"/>
    <w:rsid w:val="00B93464"/>
    <w:rsid w:val="00B93892"/>
    <w:rsid w:val="00B93999"/>
    <w:rsid w:val="00B93B11"/>
    <w:rsid w:val="00B93D62"/>
    <w:rsid w:val="00B93EE0"/>
    <w:rsid w:val="00B94391"/>
    <w:rsid w:val="00B944AA"/>
    <w:rsid w:val="00B944E2"/>
    <w:rsid w:val="00B945B6"/>
    <w:rsid w:val="00B9461C"/>
    <w:rsid w:val="00B94939"/>
    <w:rsid w:val="00B9544B"/>
    <w:rsid w:val="00B9546D"/>
    <w:rsid w:val="00B95515"/>
    <w:rsid w:val="00B95530"/>
    <w:rsid w:val="00B95A8D"/>
    <w:rsid w:val="00B95D1F"/>
    <w:rsid w:val="00B95D5A"/>
    <w:rsid w:val="00B968EA"/>
    <w:rsid w:val="00B96A0C"/>
    <w:rsid w:val="00B96D6E"/>
    <w:rsid w:val="00B96D9B"/>
    <w:rsid w:val="00B96E5F"/>
    <w:rsid w:val="00B974C0"/>
    <w:rsid w:val="00B97BC5"/>
    <w:rsid w:val="00B97CDD"/>
    <w:rsid w:val="00BA042E"/>
    <w:rsid w:val="00BA08DF"/>
    <w:rsid w:val="00BA0A8C"/>
    <w:rsid w:val="00BA0AC4"/>
    <w:rsid w:val="00BA0E83"/>
    <w:rsid w:val="00BA114C"/>
    <w:rsid w:val="00BA16B9"/>
    <w:rsid w:val="00BA1B51"/>
    <w:rsid w:val="00BA1C0A"/>
    <w:rsid w:val="00BA1F00"/>
    <w:rsid w:val="00BA1F35"/>
    <w:rsid w:val="00BA20D7"/>
    <w:rsid w:val="00BA2270"/>
    <w:rsid w:val="00BA22B0"/>
    <w:rsid w:val="00BA2A1D"/>
    <w:rsid w:val="00BA2E1F"/>
    <w:rsid w:val="00BA32BE"/>
    <w:rsid w:val="00BA36FC"/>
    <w:rsid w:val="00BA3727"/>
    <w:rsid w:val="00BA4115"/>
    <w:rsid w:val="00BA413B"/>
    <w:rsid w:val="00BA431B"/>
    <w:rsid w:val="00BA439B"/>
    <w:rsid w:val="00BA4955"/>
    <w:rsid w:val="00BA4960"/>
    <w:rsid w:val="00BA4978"/>
    <w:rsid w:val="00BA4A30"/>
    <w:rsid w:val="00BA4B74"/>
    <w:rsid w:val="00BA4E0C"/>
    <w:rsid w:val="00BA5110"/>
    <w:rsid w:val="00BA5176"/>
    <w:rsid w:val="00BA57A4"/>
    <w:rsid w:val="00BA5C99"/>
    <w:rsid w:val="00BA5CCD"/>
    <w:rsid w:val="00BA5D0B"/>
    <w:rsid w:val="00BA5DEC"/>
    <w:rsid w:val="00BA5FB2"/>
    <w:rsid w:val="00BA6462"/>
    <w:rsid w:val="00BA6520"/>
    <w:rsid w:val="00BA6705"/>
    <w:rsid w:val="00BA6AB2"/>
    <w:rsid w:val="00BA6B35"/>
    <w:rsid w:val="00BA6B6E"/>
    <w:rsid w:val="00BA6F59"/>
    <w:rsid w:val="00BA7A44"/>
    <w:rsid w:val="00BA7AD5"/>
    <w:rsid w:val="00BA7F44"/>
    <w:rsid w:val="00BA7FF6"/>
    <w:rsid w:val="00BB0051"/>
    <w:rsid w:val="00BB0D66"/>
    <w:rsid w:val="00BB0D76"/>
    <w:rsid w:val="00BB0F06"/>
    <w:rsid w:val="00BB0F55"/>
    <w:rsid w:val="00BB0FDD"/>
    <w:rsid w:val="00BB11EA"/>
    <w:rsid w:val="00BB12B6"/>
    <w:rsid w:val="00BB1316"/>
    <w:rsid w:val="00BB15AA"/>
    <w:rsid w:val="00BB1638"/>
    <w:rsid w:val="00BB16FF"/>
    <w:rsid w:val="00BB183E"/>
    <w:rsid w:val="00BB18D3"/>
    <w:rsid w:val="00BB1DEC"/>
    <w:rsid w:val="00BB21EF"/>
    <w:rsid w:val="00BB232B"/>
    <w:rsid w:val="00BB2521"/>
    <w:rsid w:val="00BB2772"/>
    <w:rsid w:val="00BB2A3F"/>
    <w:rsid w:val="00BB2B4F"/>
    <w:rsid w:val="00BB2CDB"/>
    <w:rsid w:val="00BB2EAB"/>
    <w:rsid w:val="00BB305F"/>
    <w:rsid w:val="00BB31F8"/>
    <w:rsid w:val="00BB32CC"/>
    <w:rsid w:val="00BB36F1"/>
    <w:rsid w:val="00BB3B4C"/>
    <w:rsid w:val="00BB3FBB"/>
    <w:rsid w:val="00BB3FC9"/>
    <w:rsid w:val="00BB44D5"/>
    <w:rsid w:val="00BB4BB0"/>
    <w:rsid w:val="00BB4D3B"/>
    <w:rsid w:val="00BB4DCC"/>
    <w:rsid w:val="00BB5614"/>
    <w:rsid w:val="00BB5AB1"/>
    <w:rsid w:val="00BB5B07"/>
    <w:rsid w:val="00BB5B82"/>
    <w:rsid w:val="00BB5BE9"/>
    <w:rsid w:val="00BB5E5F"/>
    <w:rsid w:val="00BB6218"/>
    <w:rsid w:val="00BB63C9"/>
    <w:rsid w:val="00BB6484"/>
    <w:rsid w:val="00BB65FD"/>
    <w:rsid w:val="00BB6ACD"/>
    <w:rsid w:val="00BB6D06"/>
    <w:rsid w:val="00BB6D64"/>
    <w:rsid w:val="00BB6E93"/>
    <w:rsid w:val="00BB7176"/>
    <w:rsid w:val="00BB73C4"/>
    <w:rsid w:val="00BB7405"/>
    <w:rsid w:val="00BB77C3"/>
    <w:rsid w:val="00BB79A5"/>
    <w:rsid w:val="00BB7D49"/>
    <w:rsid w:val="00BB7D56"/>
    <w:rsid w:val="00BC00A1"/>
    <w:rsid w:val="00BC0E80"/>
    <w:rsid w:val="00BC16C2"/>
    <w:rsid w:val="00BC1BEE"/>
    <w:rsid w:val="00BC1F58"/>
    <w:rsid w:val="00BC2383"/>
    <w:rsid w:val="00BC2384"/>
    <w:rsid w:val="00BC24B2"/>
    <w:rsid w:val="00BC2A39"/>
    <w:rsid w:val="00BC2B46"/>
    <w:rsid w:val="00BC2E33"/>
    <w:rsid w:val="00BC2F99"/>
    <w:rsid w:val="00BC333E"/>
    <w:rsid w:val="00BC4275"/>
    <w:rsid w:val="00BC4302"/>
    <w:rsid w:val="00BC46B8"/>
    <w:rsid w:val="00BC48A5"/>
    <w:rsid w:val="00BC4F4E"/>
    <w:rsid w:val="00BC50F6"/>
    <w:rsid w:val="00BC5286"/>
    <w:rsid w:val="00BC5337"/>
    <w:rsid w:val="00BC583F"/>
    <w:rsid w:val="00BC5B0D"/>
    <w:rsid w:val="00BC5CAF"/>
    <w:rsid w:val="00BC5F4C"/>
    <w:rsid w:val="00BC60E2"/>
    <w:rsid w:val="00BC6A2A"/>
    <w:rsid w:val="00BC6D5F"/>
    <w:rsid w:val="00BC6F72"/>
    <w:rsid w:val="00BC6FAB"/>
    <w:rsid w:val="00BC72EA"/>
    <w:rsid w:val="00BC773C"/>
    <w:rsid w:val="00BC77D3"/>
    <w:rsid w:val="00BC79DB"/>
    <w:rsid w:val="00BC7A0D"/>
    <w:rsid w:val="00BC7A6B"/>
    <w:rsid w:val="00BC7B9D"/>
    <w:rsid w:val="00BC7C7D"/>
    <w:rsid w:val="00BC7E79"/>
    <w:rsid w:val="00BD0228"/>
    <w:rsid w:val="00BD04A5"/>
    <w:rsid w:val="00BD0D87"/>
    <w:rsid w:val="00BD110E"/>
    <w:rsid w:val="00BD1422"/>
    <w:rsid w:val="00BD146E"/>
    <w:rsid w:val="00BD17F0"/>
    <w:rsid w:val="00BD1C46"/>
    <w:rsid w:val="00BD1FE5"/>
    <w:rsid w:val="00BD22CF"/>
    <w:rsid w:val="00BD250C"/>
    <w:rsid w:val="00BD2718"/>
    <w:rsid w:val="00BD2867"/>
    <w:rsid w:val="00BD2B7C"/>
    <w:rsid w:val="00BD2C0C"/>
    <w:rsid w:val="00BD2C4F"/>
    <w:rsid w:val="00BD2D92"/>
    <w:rsid w:val="00BD2E0B"/>
    <w:rsid w:val="00BD2F80"/>
    <w:rsid w:val="00BD2FD0"/>
    <w:rsid w:val="00BD39BF"/>
    <w:rsid w:val="00BD3A25"/>
    <w:rsid w:val="00BD3AAC"/>
    <w:rsid w:val="00BD3FBE"/>
    <w:rsid w:val="00BD42EE"/>
    <w:rsid w:val="00BD44C7"/>
    <w:rsid w:val="00BD45FF"/>
    <w:rsid w:val="00BD4648"/>
    <w:rsid w:val="00BD491F"/>
    <w:rsid w:val="00BD4DDE"/>
    <w:rsid w:val="00BD4F14"/>
    <w:rsid w:val="00BD518D"/>
    <w:rsid w:val="00BD534E"/>
    <w:rsid w:val="00BD53CB"/>
    <w:rsid w:val="00BD55BA"/>
    <w:rsid w:val="00BD58B7"/>
    <w:rsid w:val="00BD5B58"/>
    <w:rsid w:val="00BD6929"/>
    <w:rsid w:val="00BD69D3"/>
    <w:rsid w:val="00BD6EF6"/>
    <w:rsid w:val="00BD6EFD"/>
    <w:rsid w:val="00BD6F52"/>
    <w:rsid w:val="00BD7525"/>
    <w:rsid w:val="00BD7773"/>
    <w:rsid w:val="00BD7901"/>
    <w:rsid w:val="00BD7A42"/>
    <w:rsid w:val="00BD7EE5"/>
    <w:rsid w:val="00BE0078"/>
    <w:rsid w:val="00BE0173"/>
    <w:rsid w:val="00BE017F"/>
    <w:rsid w:val="00BE01BD"/>
    <w:rsid w:val="00BE0271"/>
    <w:rsid w:val="00BE04A2"/>
    <w:rsid w:val="00BE08B0"/>
    <w:rsid w:val="00BE0B33"/>
    <w:rsid w:val="00BE0D89"/>
    <w:rsid w:val="00BE1181"/>
    <w:rsid w:val="00BE11ED"/>
    <w:rsid w:val="00BE1252"/>
    <w:rsid w:val="00BE148C"/>
    <w:rsid w:val="00BE180D"/>
    <w:rsid w:val="00BE1876"/>
    <w:rsid w:val="00BE1D4D"/>
    <w:rsid w:val="00BE1F57"/>
    <w:rsid w:val="00BE20EC"/>
    <w:rsid w:val="00BE22FE"/>
    <w:rsid w:val="00BE238C"/>
    <w:rsid w:val="00BE287F"/>
    <w:rsid w:val="00BE2A6F"/>
    <w:rsid w:val="00BE33CC"/>
    <w:rsid w:val="00BE341D"/>
    <w:rsid w:val="00BE3464"/>
    <w:rsid w:val="00BE348B"/>
    <w:rsid w:val="00BE3587"/>
    <w:rsid w:val="00BE39B9"/>
    <w:rsid w:val="00BE3A56"/>
    <w:rsid w:val="00BE3FBA"/>
    <w:rsid w:val="00BE45BC"/>
    <w:rsid w:val="00BE45DA"/>
    <w:rsid w:val="00BE4A6A"/>
    <w:rsid w:val="00BE5333"/>
    <w:rsid w:val="00BE550F"/>
    <w:rsid w:val="00BE58F3"/>
    <w:rsid w:val="00BE5CA6"/>
    <w:rsid w:val="00BE5D44"/>
    <w:rsid w:val="00BE5DE2"/>
    <w:rsid w:val="00BE5F03"/>
    <w:rsid w:val="00BE64EB"/>
    <w:rsid w:val="00BE665D"/>
    <w:rsid w:val="00BE6F2E"/>
    <w:rsid w:val="00BE6F8E"/>
    <w:rsid w:val="00BE74C9"/>
    <w:rsid w:val="00BE7B42"/>
    <w:rsid w:val="00BE7BAE"/>
    <w:rsid w:val="00BF006B"/>
    <w:rsid w:val="00BF04C1"/>
    <w:rsid w:val="00BF0995"/>
    <w:rsid w:val="00BF0AE3"/>
    <w:rsid w:val="00BF0CDE"/>
    <w:rsid w:val="00BF1697"/>
    <w:rsid w:val="00BF1B0C"/>
    <w:rsid w:val="00BF1E52"/>
    <w:rsid w:val="00BF1F55"/>
    <w:rsid w:val="00BF2065"/>
    <w:rsid w:val="00BF20E6"/>
    <w:rsid w:val="00BF23A5"/>
    <w:rsid w:val="00BF23E1"/>
    <w:rsid w:val="00BF2485"/>
    <w:rsid w:val="00BF2918"/>
    <w:rsid w:val="00BF2E0A"/>
    <w:rsid w:val="00BF3063"/>
    <w:rsid w:val="00BF3CC1"/>
    <w:rsid w:val="00BF3D73"/>
    <w:rsid w:val="00BF48DA"/>
    <w:rsid w:val="00BF4B82"/>
    <w:rsid w:val="00BF52D4"/>
    <w:rsid w:val="00BF58C0"/>
    <w:rsid w:val="00BF5B67"/>
    <w:rsid w:val="00BF5E2B"/>
    <w:rsid w:val="00BF6001"/>
    <w:rsid w:val="00BF653A"/>
    <w:rsid w:val="00BF6912"/>
    <w:rsid w:val="00BF6C82"/>
    <w:rsid w:val="00BF6E86"/>
    <w:rsid w:val="00BF74D0"/>
    <w:rsid w:val="00BF7956"/>
    <w:rsid w:val="00BF7BE2"/>
    <w:rsid w:val="00C000A3"/>
    <w:rsid w:val="00C00131"/>
    <w:rsid w:val="00C001FE"/>
    <w:rsid w:val="00C00322"/>
    <w:rsid w:val="00C00410"/>
    <w:rsid w:val="00C006B6"/>
    <w:rsid w:val="00C01165"/>
    <w:rsid w:val="00C013C3"/>
    <w:rsid w:val="00C0160E"/>
    <w:rsid w:val="00C01785"/>
    <w:rsid w:val="00C01B7A"/>
    <w:rsid w:val="00C01C34"/>
    <w:rsid w:val="00C022EC"/>
    <w:rsid w:val="00C022FF"/>
    <w:rsid w:val="00C02649"/>
    <w:rsid w:val="00C02B95"/>
    <w:rsid w:val="00C02E56"/>
    <w:rsid w:val="00C0309D"/>
    <w:rsid w:val="00C031DA"/>
    <w:rsid w:val="00C0351A"/>
    <w:rsid w:val="00C03564"/>
    <w:rsid w:val="00C0377A"/>
    <w:rsid w:val="00C0380A"/>
    <w:rsid w:val="00C03877"/>
    <w:rsid w:val="00C038ED"/>
    <w:rsid w:val="00C03937"/>
    <w:rsid w:val="00C03AF7"/>
    <w:rsid w:val="00C03C35"/>
    <w:rsid w:val="00C04096"/>
    <w:rsid w:val="00C045A0"/>
    <w:rsid w:val="00C046BD"/>
    <w:rsid w:val="00C0477B"/>
    <w:rsid w:val="00C04C2E"/>
    <w:rsid w:val="00C05169"/>
    <w:rsid w:val="00C0532C"/>
    <w:rsid w:val="00C053F0"/>
    <w:rsid w:val="00C0571D"/>
    <w:rsid w:val="00C05934"/>
    <w:rsid w:val="00C05975"/>
    <w:rsid w:val="00C05B46"/>
    <w:rsid w:val="00C05EA8"/>
    <w:rsid w:val="00C06232"/>
    <w:rsid w:val="00C0628C"/>
    <w:rsid w:val="00C062EF"/>
    <w:rsid w:val="00C064B5"/>
    <w:rsid w:val="00C067B3"/>
    <w:rsid w:val="00C06AC2"/>
    <w:rsid w:val="00C06B0D"/>
    <w:rsid w:val="00C06B4B"/>
    <w:rsid w:val="00C06DE8"/>
    <w:rsid w:val="00C0705B"/>
    <w:rsid w:val="00C071E1"/>
    <w:rsid w:val="00C07347"/>
    <w:rsid w:val="00C07943"/>
    <w:rsid w:val="00C079EA"/>
    <w:rsid w:val="00C07A07"/>
    <w:rsid w:val="00C07B22"/>
    <w:rsid w:val="00C07B83"/>
    <w:rsid w:val="00C07C05"/>
    <w:rsid w:val="00C07E1E"/>
    <w:rsid w:val="00C10112"/>
    <w:rsid w:val="00C10328"/>
    <w:rsid w:val="00C10953"/>
    <w:rsid w:val="00C10E4F"/>
    <w:rsid w:val="00C10FFC"/>
    <w:rsid w:val="00C112BA"/>
    <w:rsid w:val="00C114C7"/>
    <w:rsid w:val="00C11658"/>
    <w:rsid w:val="00C11893"/>
    <w:rsid w:val="00C11A92"/>
    <w:rsid w:val="00C11C46"/>
    <w:rsid w:val="00C121C6"/>
    <w:rsid w:val="00C1238A"/>
    <w:rsid w:val="00C125AD"/>
    <w:rsid w:val="00C12745"/>
    <w:rsid w:val="00C12761"/>
    <w:rsid w:val="00C127B7"/>
    <w:rsid w:val="00C1295B"/>
    <w:rsid w:val="00C12965"/>
    <w:rsid w:val="00C12D1C"/>
    <w:rsid w:val="00C12E84"/>
    <w:rsid w:val="00C13553"/>
    <w:rsid w:val="00C13D07"/>
    <w:rsid w:val="00C13D86"/>
    <w:rsid w:val="00C13FEF"/>
    <w:rsid w:val="00C1482C"/>
    <w:rsid w:val="00C14C5D"/>
    <w:rsid w:val="00C14C9C"/>
    <w:rsid w:val="00C150B0"/>
    <w:rsid w:val="00C151B2"/>
    <w:rsid w:val="00C15288"/>
    <w:rsid w:val="00C153EB"/>
    <w:rsid w:val="00C15414"/>
    <w:rsid w:val="00C1546E"/>
    <w:rsid w:val="00C15507"/>
    <w:rsid w:val="00C1597B"/>
    <w:rsid w:val="00C15ACD"/>
    <w:rsid w:val="00C15EC3"/>
    <w:rsid w:val="00C16122"/>
    <w:rsid w:val="00C16DE9"/>
    <w:rsid w:val="00C16F55"/>
    <w:rsid w:val="00C17026"/>
    <w:rsid w:val="00C1704A"/>
    <w:rsid w:val="00C17099"/>
    <w:rsid w:val="00C17203"/>
    <w:rsid w:val="00C177E6"/>
    <w:rsid w:val="00C17A30"/>
    <w:rsid w:val="00C17C8A"/>
    <w:rsid w:val="00C17ECB"/>
    <w:rsid w:val="00C17EFC"/>
    <w:rsid w:val="00C20018"/>
    <w:rsid w:val="00C205CC"/>
    <w:rsid w:val="00C20CBD"/>
    <w:rsid w:val="00C21029"/>
    <w:rsid w:val="00C21072"/>
    <w:rsid w:val="00C210ED"/>
    <w:rsid w:val="00C210F8"/>
    <w:rsid w:val="00C214D5"/>
    <w:rsid w:val="00C21A13"/>
    <w:rsid w:val="00C21E6F"/>
    <w:rsid w:val="00C21F73"/>
    <w:rsid w:val="00C22102"/>
    <w:rsid w:val="00C229AB"/>
    <w:rsid w:val="00C22B6F"/>
    <w:rsid w:val="00C22B77"/>
    <w:rsid w:val="00C22D4E"/>
    <w:rsid w:val="00C22FF4"/>
    <w:rsid w:val="00C2317F"/>
    <w:rsid w:val="00C23243"/>
    <w:rsid w:val="00C23589"/>
    <w:rsid w:val="00C235A9"/>
    <w:rsid w:val="00C2362E"/>
    <w:rsid w:val="00C23BD6"/>
    <w:rsid w:val="00C23D4E"/>
    <w:rsid w:val="00C23EB1"/>
    <w:rsid w:val="00C23EE1"/>
    <w:rsid w:val="00C243D9"/>
    <w:rsid w:val="00C2446B"/>
    <w:rsid w:val="00C253BC"/>
    <w:rsid w:val="00C2547E"/>
    <w:rsid w:val="00C2597B"/>
    <w:rsid w:val="00C259FE"/>
    <w:rsid w:val="00C25DD3"/>
    <w:rsid w:val="00C25FAC"/>
    <w:rsid w:val="00C2692C"/>
    <w:rsid w:val="00C26AF7"/>
    <w:rsid w:val="00C2701C"/>
    <w:rsid w:val="00C27109"/>
    <w:rsid w:val="00C271B8"/>
    <w:rsid w:val="00C274C6"/>
    <w:rsid w:val="00C275C9"/>
    <w:rsid w:val="00C27771"/>
    <w:rsid w:val="00C27828"/>
    <w:rsid w:val="00C27942"/>
    <w:rsid w:val="00C279D3"/>
    <w:rsid w:val="00C27A57"/>
    <w:rsid w:val="00C27AE7"/>
    <w:rsid w:val="00C27E19"/>
    <w:rsid w:val="00C300B1"/>
    <w:rsid w:val="00C30241"/>
    <w:rsid w:val="00C305E1"/>
    <w:rsid w:val="00C3064D"/>
    <w:rsid w:val="00C30FD8"/>
    <w:rsid w:val="00C31047"/>
    <w:rsid w:val="00C31270"/>
    <w:rsid w:val="00C312E2"/>
    <w:rsid w:val="00C31300"/>
    <w:rsid w:val="00C314B7"/>
    <w:rsid w:val="00C31600"/>
    <w:rsid w:val="00C3189D"/>
    <w:rsid w:val="00C318A8"/>
    <w:rsid w:val="00C318F6"/>
    <w:rsid w:val="00C31933"/>
    <w:rsid w:val="00C3196E"/>
    <w:rsid w:val="00C31A0E"/>
    <w:rsid w:val="00C31A19"/>
    <w:rsid w:val="00C31D4D"/>
    <w:rsid w:val="00C32505"/>
    <w:rsid w:val="00C32726"/>
    <w:rsid w:val="00C32A78"/>
    <w:rsid w:val="00C3317A"/>
    <w:rsid w:val="00C332B2"/>
    <w:rsid w:val="00C3354B"/>
    <w:rsid w:val="00C335AD"/>
    <w:rsid w:val="00C33818"/>
    <w:rsid w:val="00C33A9C"/>
    <w:rsid w:val="00C33E56"/>
    <w:rsid w:val="00C34241"/>
    <w:rsid w:val="00C342FC"/>
    <w:rsid w:val="00C34320"/>
    <w:rsid w:val="00C343EB"/>
    <w:rsid w:val="00C346BE"/>
    <w:rsid w:val="00C348A8"/>
    <w:rsid w:val="00C348F0"/>
    <w:rsid w:val="00C34A1E"/>
    <w:rsid w:val="00C34F2C"/>
    <w:rsid w:val="00C34FCF"/>
    <w:rsid w:val="00C35085"/>
    <w:rsid w:val="00C3523D"/>
    <w:rsid w:val="00C355C3"/>
    <w:rsid w:val="00C35862"/>
    <w:rsid w:val="00C35C04"/>
    <w:rsid w:val="00C35CF4"/>
    <w:rsid w:val="00C35D6D"/>
    <w:rsid w:val="00C35E4B"/>
    <w:rsid w:val="00C35ECA"/>
    <w:rsid w:val="00C36051"/>
    <w:rsid w:val="00C363FC"/>
    <w:rsid w:val="00C3665F"/>
    <w:rsid w:val="00C36817"/>
    <w:rsid w:val="00C36AAC"/>
    <w:rsid w:val="00C36BF1"/>
    <w:rsid w:val="00C36D51"/>
    <w:rsid w:val="00C36E79"/>
    <w:rsid w:val="00C36E97"/>
    <w:rsid w:val="00C36E9C"/>
    <w:rsid w:val="00C36EEC"/>
    <w:rsid w:val="00C37868"/>
    <w:rsid w:val="00C378E9"/>
    <w:rsid w:val="00C37D75"/>
    <w:rsid w:val="00C408C5"/>
    <w:rsid w:val="00C40D5C"/>
    <w:rsid w:val="00C41B3C"/>
    <w:rsid w:val="00C41D0D"/>
    <w:rsid w:val="00C4201C"/>
    <w:rsid w:val="00C42631"/>
    <w:rsid w:val="00C42951"/>
    <w:rsid w:val="00C42F32"/>
    <w:rsid w:val="00C4300E"/>
    <w:rsid w:val="00C435A6"/>
    <w:rsid w:val="00C43691"/>
    <w:rsid w:val="00C439C0"/>
    <w:rsid w:val="00C4473B"/>
    <w:rsid w:val="00C44794"/>
    <w:rsid w:val="00C44B21"/>
    <w:rsid w:val="00C45347"/>
    <w:rsid w:val="00C4539C"/>
    <w:rsid w:val="00C457DB"/>
    <w:rsid w:val="00C458AB"/>
    <w:rsid w:val="00C45AEF"/>
    <w:rsid w:val="00C45F4F"/>
    <w:rsid w:val="00C4620B"/>
    <w:rsid w:val="00C46516"/>
    <w:rsid w:val="00C47008"/>
    <w:rsid w:val="00C472E7"/>
    <w:rsid w:val="00C474FF"/>
    <w:rsid w:val="00C47685"/>
    <w:rsid w:val="00C47812"/>
    <w:rsid w:val="00C50E4E"/>
    <w:rsid w:val="00C50F17"/>
    <w:rsid w:val="00C51227"/>
    <w:rsid w:val="00C5187F"/>
    <w:rsid w:val="00C5192D"/>
    <w:rsid w:val="00C51BEF"/>
    <w:rsid w:val="00C51E95"/>
    <w:rsid w:val="00C52884"/>
    <w:rsid w:val="00C52BA6"/>
    <w:rsid w:val="00C52C00"/>
    <w:rsid w:val="00C52CC5"/>
    <w:rsid w:val="00C52D21"/>
    <w:rsid w:val="00C53763"/>
    <w:rsid w:val="00C5379F"/>
    <w:rsid w:val="00C53932"/>
    <w:rsid w:val="00C540D5"/>
    <w:rsid w:val="00C54400"/>
    <w:rsid w:val="00C54481"/>
    <w:rsid w:val="00C5455D"/>
    <w:rsid w:val="00C5469F"/>
    <w:rsid w:val="00C54802"/>
    <w:rsid w:val="00C54EFE"/>
    <w:rsid w:val="00C5537D"/>
    <w:rsid w:val="00C55844"/>
    <w:rsid w:val="00C5588A"/>
    <w:rsid w:val="00C559A6"/>
    <w:rsid w:val="00C55A21"/>
    <w:rsid w:val="00C55F7D"/>
    <w:rsid w:val="00C56AF7"/>
    <w:rsid w:val="00C56B6B"/>
    <w:rsid w:val="00C56BBC"/>
    <w:rsid w:val="00C56D75"/>
    <w:rsid w:val="00C56E2A"/>
    <w:rsid w:val="00C570F4"/>
    <w:rsid w:val="00C570FF"/>
    <w:rsid w:val="00C574AA"/>
    <w:rsid w:val="00C5780D"/>
    <w:rsid w:val="00C5781D"/>
    <w:rsid w:val="00C578E9"/>
    <w:rsid w:val="00C57A81"/>
    <w:rsid w:val="00C57C21"/>
    <w:rsid w:val="00C6054F"/>
    <w:rsid w:val="00C607E8"/>
    <w:rsid w:val="00C609D4"/>
    <w:rsid w:val="00C60B4C"/>
    <w:rsid w:val="00C60B51"/>
    <w:rsid w:val="00C60D31"/>
    <w:rsid w:val="00C60E7B"/>
    <w:rsid w:val="00C60EBD"/>
    <w:rsid w:val="00C61168"/>
    <w:rsid w:val="00C61372"/>
    <w:rsid w:val="00C61748"/>
    <w:rsid w:val="00C6186E"/>
    <w:rsid w:val="00C61C1B"/>
    <w:rsid w:val="00C61D28"/>
    <w:rsid w:val="00C61FE7"/>
    <w:rsid w:val="00C62139"/>
    <w:rsid w:val="00C62273"/>
    <w:rsid w:val="00C625B4"/>
    <w:rsid w:val="00C62E95"/>
    <w:rsid w:val="00C6350D"/>
    <w:rsid w:val="00C63562"/>
    <w:rsid w:val="00C6357D"/>
    <w:rsid w:val="00C638B9"/>
    <w:rsid w:val="00C63A97"/>
    <w:rsid w:val="00C63F4D"/>
    <w:rsid w:val="00C63FEE"/>
    <w:rsid w:val="00C649C2"/>
    <w:rsid w:val="00C64A2B"/>
    <w:rsid w:val="00C6521E"/>
    <w:rsid w:val="00C654A0"/>
    <w:rsid w:val="00C65A35"/>
    <w:rsid w:val="00C65BD4"/>
    <w:rsid w:val="00C65C36"/>
    <w:rsid w:val="00C65D1C"/>
    <w:rsid w:val="00C65E9E"/>
    <w:rsid w:val="00C65F9D"/>
    <w:rsid w:val="00C660DF"/>
    <w:rsid w:val="00C6624D"/>
    <w:rsid w:val="00C66553"/>
    <w:rsid w:val="00C6665E"/>
    <w:rsid w:val="00C66FB6"/>
    <w:rsid w:val="00C670A4"/>
    <w:rsid w:val="00C672CE"/>
    <w:rsid w:val="00C674B5"/>
    <w:rsid w:val="00C6754B"/>
    <w:rsid w:val="00C675FD"/>
    <w:rsid w:val="00C678A3"/>
    <w:rsid w:val="00C67D31"/>
    <w:rsid w:val="00C67DA3"/>
    <w:rsid w:val="00C70150"/>
    <w:rsid w:val="00C701FB"/>
    <w:rsid w:val="00C709B7"/>
    <w:rsid w:val="00C709BB"/>
    <w:rsid w:val="00C71D40"/>
    <w:rsid w:val="00C72082"/>
    <w:rsid w:val="00C72978"/>
    <w:rsid w:val="00C72B27"/>
    <w:rsid w:val="00C72D5E"/>
    <w:rsid w:val="00C72EB0"/>
    <w:rsid w:val="00C72FE2"/>
    <w:rsid w:val="00C73144"/>
    <w:rsid w:val="00C73431"/>
    <w:rsid w:val="00C73536"/>
    <w:rsid w:val="00C73D68"/>
    <w:rsid w:val="00C73D77"/>
    <w:rsid w:val="00C73FE5"/>
    <w:rsid w:val="00C745CB"/>
    <w:rsid w:val="00C74AD2"/>
    <w:rsid w:val="00C74FDA"/>
    <w:rsid w:val="00C75071"/>
    <w:rsid w:val="00C7557E"/>
    <w:rsid w:val="00C759FD"/>
    <w:rsid w:val="00C75CCE"/>
    <w:rsid w:val="00C75E33"/>
    <w:rsid w:val="00C7618A"/>
    <w:rsid w:val="00C763E7"/>
    <w:rsid w:val="00C76864"/>
    <w:rsid w:val="00C768D8"/>
    <w:rsid w:val="00C76B2D"/>
    <w:rsid w:val="00C76CA5"/>
    <w:rsid w:val="00C77160"/>
    <w:rsid w:val="00C7730E"/>
    <w:rsid w:val="00C775CF"/>
    <w:rsid w:val="00C77610"/>
    <w:rsid w:val="00C802D4"/>
    <w:rsid w:val="00C80328"/>
    <w:rsid w:val="00C80954"/>
    <w:rsid w:val="00C80F1B"/>
    <w:rsid w:val="00C81198"/>
    <w:rsid w:val="00C81346"/>
    <w:rsid w:val="00C815C0"/>
    <w:rsid w:val="00C81B00"/>
    <w:rsid w:val="00C81BF7"/>
    <w:rsid w:val="00C82329"/>
    <w:rsid w:val="00C82387"/>
    <w:rsid w:val="00C823D7"/>
    <w:rsid w:val="00C82563"/>
    <w:rsid w:val="00C8260C"/>
    <w:rsid w:val="00C8290D"/>
    <w:rsid w:val="00C82B80"/>
    <w:rsid w:val="00C82B96"/>
    <w:rsid w:val="00C82C99"/>
    <w:rsid w:val="00C82E31"/>
    <w:rsid w:val="00C82F13"/>
    <w:rsid w:val="00C8323F"/>
    <w:rsid w:val="00C8349A"/>
    <w:rsid w:val="00C834A0"/>
    <w:rsid w:val="00C8366C"/>
    <w:rsid w:val="00C836FF"/>
    <w:rsid w:val="00C83979"/>
    <w:rsid w:val="00C8399B"/>
    <w:rsid w:val="00C83D73"/>
    <w:rsid w:val="00C83EBB"/>
    <w:rsid w:val="00C84380"/>
    <w:rsid w:val="00C84D32"/>
    <w:rsid w:val="00C84DF1"/>
    <w:rsid w:val="00C84EA5"/>
    <w:rsid w:val="00C8543E"/>
    <w:rsid w:val="00C85865"/>
    <w:rsid w:val="00C85EB7"/>
    <w:rsid w:val="00C86207"/>
    <w:rsid w:val="00C863D3"/>
    <w:rsid w:val="00C86681"/>
    <w:rsid w:val="00C86872"/>
    <w:rsid w:val="00C868F9"/>
    <w:rsid w:val="00C86B89"/>
    <w:rsid w:val="00C8725F"/>
    <w:rsid w:val="00C87354"/>
    <w:rsid w:val="00C874A3"/>
    <w:rsid w:val="00C900FB"/>
    <w:rsid w:val="00C90111"/>
    <w:rsid w:val="00C904A8"/>
    <w:rsid w:val="00C9061A"/>
    <w:rsid w:val="00C9079D"/>
    <w:rsid w:val="00C90B5A"/>
    <w:rsid w:val="00C90B78"/>
    <w:rsid w:val="00C90C6C"/>
    <w:rsid w:val="00C91416"/>
    <w:rsid w:val="00C916DA"/>
    <w:rsid w:val="00C91BBE"/>
    <w:rsid w:val="00C91C0C"/>
    <w:rsid w:val="00C91D96"/>
    <w:rsid w:val="00C920C2"/>
    <w:rsid w:val="00C92306"/>
    <w:rsid w:val="00C924ED"/>
    <w:rsid w:val="00C9257F"/>
    <w:rsid w:val="00C92735"/>
    <w:rsid w:val="00C9288B"/>
    <w:rsid w:val="00C928A8"/>
    <w:rsid w:val="00C92BA4"/>
    <w:rsid w:val="00C92C0C"/>
    <w:rsid w:val="00C92E00"/>
    <w:rsid w:val="00C92F9C"/>
    <w:rsid w:val="00C93394"/>
    <w:rsid w:val="00C93A85"/>
    <w:rsid w:val="00C93C6F"/>
    <w:rsid w:val="00C93E78"/>
    <w:rsid w:val="00C93E9D"/>
    <w:rsid w:val="00C9423F"/>
    <w:rsid w:val="00C943B2"/>
    <w:rsid w:val="00C9449A"/>
    <w:rsid w:val="00C945C0"/>
    <w:rsid w:val="00C946C8"/>
    <w:rsid w:val="00C94913"/>
    <w:rsid w:val="00C94CC3"/>
    <w:rsid w:val="00C9508B"/>
    <w:rsid w:val="00C952F2"/>
    <w:rsid w:val="00C954C3"/>
    <w:rsid w:val="00C9578C"/>
    <w:rsid w:val="00C95A6C"/>
    <w:rsid w:val="00C95B17"/>
    <w:rsid w:val="00C95D6F"/>
    <w:rsid w:val="00C95EBD"/>
    <w:rsid w:val="00C960A8"/>
    <w:rsid w:val="00C96301"/>
    <w:rsid w:val="00C96499"/>
    <w:rsid w:val="00C96A1E"/>
    <w:rsid w:val="00C96D54"/>
    <w:rsid w:val="00C96DDE"/>
    <w:rsid w:val="00C97379"/>
    <w:rsid w:val="00C973D6"/>
    <w:rsid w:val="00C97456"/>
    <w:rsid w:val="00C9745D"/>
    <w:rsid w:val="00C976D4"/>
    <w:rsid w:val="00C97B6F"/>
    <w:rsid w:val="00C97F85"/>
    <w:rsid w:val="00CA00A3"/>
    <w:rsid w:val="00CA0316"/>
    <w:rsid w:val="00CA0A42"/>
    <w:rsid w:val="00CA0AF3"/>
    <w:rsid w:val="00CA1A10"/>
    <w:rsid w:val="00CA1EE8"/>
    <w:rsid w:val="00CA1F98"/>
    <w:rsid w:val="00CA1FB8"/>
    <w:rsid w:val="00CA2C9A"/>
    <w:rsid w:val="00CA2D15"/>
    <w:rsid w:val="00CA2E77"/>
    <w:rsid w:val="00CA334C"/>
    <w:rsid w:val="00CA3BF7"/>
    <w:rsid w:val="00CA3E0C"/>
    <w:rsid w:val="00CA3E0F"/>
    <w:rsid w:val="00CA431B"/>
    <w:rsid w:val="00CA45C0"/>
    <w:rsid w:val="00CA4952"/>
    <w:rsid w:val="00CA4A27"/>
    <w:rsid w:val="00CA4B09"/>
    <w:rsid w:val="00CA4CBB"/>
    <w:rsid w:val="00CA550A"/>
    <w:rsid w:val="00CA5EF7"/>
    <w:rsid w:val="00CA60FC"/>
    <w:rsid w:val="00CA627A"/>
    <w:rsid w:val="00CA6404"/>
    <w:rsid w:val="00CA64C4"/>
    <w:rsid w:val="00CA655B"/>
    <w:rsid w:val="00CA65FD"/>
    <w:rsid w:val="00CA676D"/>
    <w:rsid w:val="00CA694B"/>
    <w:rsid w:val="00CA6B2B"/>
    <w:rsid w:val="00CA6B6D"/>
    <w:rsid w:val="00CA6F73"/>
    <w:rsid w:val="00CA7334"/>
    <w:rsid w:val="00CA75D3"/>
    <w:rsid w:val="00CA7789"/>
    <w:rsid w:val="00CA7979"/>
    <w:rsid w:val="00CA7D04"/>
    <w:rsid w:val="00CA7D88"/>
    <w:rsid w:val="00CA7E73"/>
    <w:rsid w:val="00CB0433"/>
    <w:rsid w:val="00CB0983"/>
    <w:rsid w:val="00CB0D6D"/>
    <w:rsid w:val="00CB0E82"/>
    <w:rsid w:val="00CB0F77"/>
    <w:rsid w:val="00CB10B1"/>
    <w:rsid w:val="00CB12D7"/>
    <w:rsid w:val="00CB1591"/>
    <w:rsid w:val="00CB188C"/>
    <w:rsid w:val="00CB1B55"/>
    <w:rsid w:val="00CB1C1F"/>
    <w:rsid w:val="00CB2336"/>
    <w:rsid w:val="00CB24B2"/>
    <w:rsid w:val="00CB2655"/>
    <w:rsid w:val="00CB2CDF"/>
    <w:rsid w:val="00CB2D67"/>
    <w:rsid w:val="00CB35C4"/>
    <w:rsid w:val="00CB3822"/>
    <w:rsid w:val="00CB3E9A"/>
    <w:rsid w:val="00CB3F09"/>
    <w:rsid w:val="00CB3FB8"/>
    <w:rsid w:val="00CB42F0"/>
    <w:rsid w:val="00CB43A5"/>
    <w:rsid w:val="00CB459F"/>
    <w:rsid w:val="00CB46D8"/>
    <w:rsid w:val="00CB484C"/>
    <w:rsid w:val="00CB4A14"/>
    <w:rsid w:val="00CB4FF3"/>
    <w:rsid w:val="00CB503B"/>
    <w:rsid w:val="00CB51AE"/>
    <w:rsid w:val="00CB53CB"/>
    <w:rsid w:val="00CB5523"/>
    <w:rsid w:val="00CB56CA"/>
    <w:rsid w:val="00CB58ED"/>
    <w:rsid w:val="00CB5A1A"/>
    <w:rsid w:val="00CB5B0F"/>
    <w:rsid w:val="00CB5E58"/>
    <w:rsid w:val="00CB5FB8"/>
    <w:rsid w:val="00CB655F"/>
    <w:rsid w:val="00CB6DE5"/>
    <w:rsid w:val="00CB72F7"/>
    <w:rsid w:val="00CB7439"/>
    <w:rsid w:val="00CB743B"/>
    <w:rsid w:val="00CB7BF2"/>
    <w:rsid w:val="00CB7E84"/>
    <w:rsid w:val="00CC00F9"/>
    <w:rsid w:val="00CC03B8"/>
    <w:rsid w:val="00CC04E7"/>
    <w:rsid w:val="00CC0746"/>
    <w:rsid w:val="00CC0888"/>
    <w:rsid w:val="00CC0D65"/>
    <w:rsid w:val="00CC0DBA"/>
    <w:rsid w:val="00CC0E3D"/>
    <w:rsid w:val="00CC16ED"/>
    <w:rsid w:val="00CC170C"/>
    <w:rsid w:val="00CC1767"/>
    <w:rsid w:val="00CC18B1"/>
    <w:rsid w:val="00CC18C3"/>
    <w:rsid w:val="00CC19F2"/>
    <w:rsid w:val="00CC1B20"/>
    <w:rsid w:val="00CC1E34"/>
    <w:rsid w:val="00CC1F2A"/>
    <w:rsid w:val="00CC254C"/>
    <w:rsid w:val="00CC26FA"/>
    <w:rsid w:val="00CC29A4"/>
    <w:rsid w:val="00CC2D59"/>
    <w:rsid w:val="00CC2D83"/>
    <w:rsid w:val="00CC30FA"/>
    <w:rsid w:val="00CC3906"/>
    <w:rsid w:val="00CC3E7E"/>
    <w:rsid w:val="00CC42E4"/>
    <w:rsid w:val="00CC44AE"/>
    <w:rsid w:val="00CC4694"/>
    <w:rsid w:val="00CC46B0"/>
    <w:rsid w:val="00CC4778"/>
    <w:rsid w:val="00CC4866"/>
    <w:rsid w:val="00CC4885"/>
    <w:rsid w:val="00CC492C"/>
    <w:rsid w:val="00CC50E9"/>
    <w:rsid w:val="00CC52F2"/>
    <w:rsid w:val="00CC52FF"/>
    <w:rsid w:val="00CC54D4"/>
    <w:rsid w:val="00CC5522"/>
    <w:rsid w:val="00CC55FB"/>
    <w:rsid w:val="00CC57BA"/>
    <w:rsid w:val="00CC581B"/>
    <w:rsid w:val="00CC5934"/>
    <w:rsid w:val="00CC5DDD"/>
    <w:rsid w:val="00CC61D4"/>
    <w:rsid w:val="00CC63EF"/>
    <w:rsid w:val="00CC6595"/>
    <w:rsid w:val="00CC66F0"/>
    <w:rsid w:val="00CC6AF5"/>
    <w:rsid w:val="00CC6E9D"/>
    <w:rsid w:val="00CC6EBA"/>
    <w:rsid w:val="00CC7754"/>
    <w:rsid w:val="00CC791D"/>
    <w:rsid w:val="00CC7E02"/>
    <w:rsid w:val="00CC7F91"/>
    <w:rsid w:val="00CD04D9"/>
    <w:rsid w:val="00CD0969"/>
    <w:rsid w:val="00CD0989"/>
    <w:rsid w:val="00CD0B11"/>
    <w:rsid w:val="00CD0D7A"/>
    <w:rsid w:val="00CD0EB1"/>
    <w:rsid w:val="00CD116A"/>
    <w:rsid w:val="00CD1748"/>
    <w:rsid w:val="00CD17A7"/>
    <w:rsid w:val="00CD1C1C"/>
    <w:rsid w:val="00CD1F00"/>
    <w:rsid w:val="00CD21A4"/>
    <w:rsid w:val="00CD243A"/>
    <w:rsid w:val="00CD24A8"/>
    <w:rsid w:val="00CD262C"/>
    <w:rsid w:val="00CD2B4D"/>
    <w:rsid w:val="00CD2E02"/>
    <w:rsid w:val="00CD2E87"/>
    <w:rsid w:val="00CD36BC"/>
    <w:rsid w:val="00CD3CA0"/>
    <w:rsid w:val="00CD428E"/>
    <w:rsid w:val="00CD4573"/>
    <w:rsid w:val="00CD46F0"/>
    <w:rsid w:val="00CD47D2"/>
    <w:rsid w:val="00CD48F3"/>
    <w:rsid w:val="00CD4F00"/>
    <w:rsid w:val="00CD5008"/>
    <w:rsid w:val="00CD50A3"/>
    <w:rsid w:val="00CD539E"/>
    <w:rsid w:val="00CD5545"/>
    <w:rsid w:val="00CD5813"/>
    <w:rsid w:val="00CD5EF2"/>
    <w:rsid w:val="00CD6362"/>
    <w:rsid w:val="00CD637C"/>
    <w:rsid w:val="00CD6872"/>
    <w:rsid w:val="00CD6BE3"/>
    <w:rsid w:val="00CD766A"/>
    <w:rsid w:val="00CD7832"/>
    <w:rsid w:val="00CD7AE6"/>
    <w:rsid w:val="00CD7C8A"/>
    <w:rsid w:val="00CE0281"/>
    <w:rsid w:val="00CE02A7"/>
    <w:rsid w:val="00CE02D3"/>
    <w:rsid w:val="00CE062A"/>
    <w:rsid w:val="00CE07B2"/>
    <w:rsid w:val="00CE09D2"/>
    <w:rsid w:val="00CE0E12"/>
    <w:rsid w:val="00CE0E85"/>
    <w:rsid w:val="00CE101C"/>
    <w:rsid w:val="00CE1867"/>
    <w:rsid w:val="00CE1869"/>
    <w:rsid w:val="00CE1AE6"/>
    <w:rsid w:val="00CE1DCB"/>
    <w:rsid w:val="00CE208F"/>
    <w:rsid w:val="00CE228B"/>
    <w:rsid w:val="00CE25F7"/>
    <w:rsid w:val="00CE2887"/>
    <w:rsid w:val="00CE2A7B"/>
    <w:rsid w:val="00CE2BDA"/>
    <w:rsid w:val="00CE2D85"/>
    <w:rsid w:val="00CE338D"/>
    <w:rsid w:val="00CE35C8"/>
    <w:rsid w:val="00CE3A3C"/>
    <w:rsid w:val="00CE3EB3"/>
    <w:rsid w:val="00CE440C"/>
    <w:rsid w:val="00CE44CD"/>
    <w:rsid w:val="00CE4555"/>
    <w:rsid w:val="00CE4869"/>
    <w:rsid w:val="00CE489C"/>
    <w:rsid w:val="00CE492B"/>
    <w:rsid w:val="00CE4C6C"/>
    <w:rsid w:val="00CE4D9E"/>
    <w:rsid w:val="00CE4F59"/>
    <w:rsid w:val="00CE50E0"/>
    <w:rsid w:val="00CE542D"/>
    <w:rsid w:val="00CE54AF"/>
    <w:rsid w:val="00CE56BA"/>
    <w:rsid w:val="00CE5B98"/>
    <w:rsid w:val="00CE5CDE"/>
    <w:rsid w:val="00CE5D46"/>
    <w:rsid w:val="00CE67C0"/>
    <w:rsid w:val="00CE680C"/>
    <w:rsid w:val="00CE6D00"/>
    <w:rsid w:val="00CE716B"/>
    <w:rsid w:val="00CE736A"/>
    <w:rsid w:val="00CE73E2"/>
    <w:rsid w:val="00CE778E"/>
    <w:rsid w:val="00CE78A8"/>
    <w:rsid w:val="00CE7BCA"/>
    <w:rsid w:val="00CE7CAE"/>
    <w:rsid w:val="00CE7D1B"/>
    <w:rsid w:val="00CE7DD3"/>
    <w:rsid w:val="00CE7FC8"/>
    <w:rsid w:val="00CF020A"/>
    <w:rsid w:val="00CF05EB"/>
    <w:rsid w:val="00CF082C"/>
    <w:rsid w:val="00CF0A4A"/>
    <w:rsid w:val="00CF0C1C"/>
    <w:rsid w:val="00CF0DBF"/>
    <w:rsid w:val="00CF0E07"/>
    <w:rsid w:val="00CF13DF"/>
    <w:rsid w:val="00CF17B2"/>
    <w:rsid w:val="00CF180F"/>
    <w:rsid w:val="00CF1971"/>
    <w:rsid w:val="00CF1AFB"/>
    <w:rsid w:val="00CF1B62"/>
    <w:rsid w:val="00CF1BF0"/>
    <w:rsid w:val="00CF1C17"/>
    <w:rsid w:val="00CF2481"/>
    <w:rsid w:val="00CF2587"/>
    <w:rsid w:val="00CF279D"/>
    <w:rsid w:val="00CF2A56"/>
    <w:rsid w:val="00CF2E79"/>
    <w:rsid w:val="00CF33E9"/>
    <w:rsid w:val="00CF3511"/>
    <w:rsid w:val="00CF3583"/>
    <w:rsid w:val="00CF35B6"/>
    <w:rsid w:val="00CF3BFF"/>
    <w:rsid w:val="00CF4138"/>
    <w:rsid w:val="00CF43EF"/>
    <w:rsid w:val="00CF43FB"/>
    <w:rsid w:val="00CF4700"/>
    <w:rsid w:val="00CF4793"/>
    <w:rsid w:val="00CF4989"/>
    <w:rsid w:val="00CF4B8A"/>
    <w:rsid w:val="00CF4D52"/>
    <w:rsid w:val="00CF4D5A"/>
    <w:rsid w:val="00CF5100"/>
    <w:rsid w:val="00CF57D9"/>
    <w:rsid w:val="00CF5833"/>
    <w:rsid w:val="00CF5863"/>
    <w:rsid w:val="00CF5F42"/>
    <w:rsid w:val="00CF60C8"/>
    <w:rsid w:val="00CF6301"/>
    <w:rsid w:val="00CF67DE"/>
    <w:rsid w:val="00CF6A09"/>
    <w:rsid w:val="00CF6F1D"/>
    <w:rsid w:val="00CF7853"/>
    <w:rsid w:val="00CF7D53"/>
    <w:rsid w:val="00CF7ED0"/>
    <w:rsid w:val="00CF7FC0"/>
    <w:rsid w:val="00D0048F"/>
    <w:rsid w:val="00D00711"/>
    <w:rsid w:val="00D009C8"/>
    <w:rsid w:val="00D00B16"/>
    <w:rsid w:val="00D00BC3"/>
    <w:rsid w:val="00D00F20"/>
    <w:rsid w:val="00D0107D"/>
    <w:rsid w:val="00D01151"/>
    <w:rsid w:val="00D0135F"/>
    <w:rsid w:val="00D019C4"/>
    <w:rsid w:val="00D01AA7"/>
    <w:rsid w:val="00D02053"/>
    <w:rsid w:val="00D0218E"/>
    <w:rsid w:val="00D0228A"/>
    <w:rsid w:val="00D02356"/>
    <w:rsid w:val="00D0248B"/>
    <w:rsid w:val="00D025B4"/>
    <w:rsid w:val="00D02807"/>
    <w:rsid w:val="00D02AE4"/>
    <w:rsid w:val="00D02AF4"/>
    <w:rsid w:val="00D030C1"/>
    <w:rsid w:val="00D03105"/>
    <w:rsid w:val="00D0315F"/>
    <w:rsid w:val="00D035FA"/>
    <w:rsid w:val="00D03773"/>
    <w:rsid w:val="00D03892"/>
    <w:rsid w:val="00D03D71"/>
    <w:rsid w:val="00D043B1"/>
    <w:rsid w:val="00D043D5"/>
    <w:rsid w:val="00D04508"/>
    <w:rsid w:val="00D047B3"/>
    <w:rsid w:val="00D048C0"/>
    <w:rsid w:val="00D049AE"/>
    <w:rsid w:val="00D04E6F"/>
    <w:rsid w:val="00D0506A"/>
    <w:rsid w:val="00D054DB"/>
    <w:rsid w:val="00D05522"/>
    <w:rsid w:val="00D05761"/>
    <w:rsid w:val="00D05D90"/>
    <w:rsid w:val="00D0682B"/>
    <w:rsid w:val="00D068B0"/>
    <w:rsid w:val="00D06A29"/>
    <w:rsid w:val="00D06B03"/>
    <w:rsid w:val="00D06C74"/>
    <w:rsid w:val="00D07468"/>
    <w:rsid w:val="00D07627"/>
    <w:rsid w:val="00D077A3"/>
    <w:rsid w:val="00D0799C"/>
    <w:rsid w:val="00D07C58"/>
    <w:rsid w:val="00D103BC"/>
    <w:rsid w:val="00D1072C"/>
    <w:rsid w:val="00D108B1"/>
    <w:rsid w:val="00D10A27"/>
    <w:rsid w:val="00D10D8D"/>
    <w:rsid w:val="00D1168C"/>
    <w:rsid w:val="00D11FB3"/>
    <w:rsid w:val="00D12515"/>
    <w:rsid w:val="00D12776"/>
    <w:rsid w:val="00D1281C"/>
    <w:rsid w:val="00D12950"/>
    <w:rsid w:val="00D12AED"/>
    <w:rsid w:val="00D1312C"/>
    <w:rsid w:val="00D1314C"/>
    <w:rsid w:val="00D134F3"/>
    <w:rsid w:val="00D134F4"/>
    <w:rsid w:val="00D13804"/>
    <w:rsid w:val="00D145A4"/>
    <w:rsid w:val="00D14628"/>
    <w:rsid w:val="00D14A05"/>
    <w:rsid w:val="00D14A3F"/>
    <w:rsid w:val="00D14A7C"/>
    <w:rsid w:val="00D14F0F"/>
    <w:rsid w:val="00D15557"/>
    <w:rsid w:val="00D159BA"/>
    <w:rsid w:val="00D15A3C"/>
    <w:rsid w:val="00D15B40"/>
    <w:rsid w:val="00D1603D"/>
    <w:rsid w:val="00D160A4"/>
    <w:rsid w:val="00D16563"/>
    <w:rsid w:val="00D1664C"/>
    <w:rsid w:val="00D16822"/>
    <w:rsid w:val="00D169D7"/>
    <w:rsid w:val="00D16B58"/>
    <w:rsid w:val="00D16BED"/>
    <w:rsid w:val="00D16F5B"/>
    <w:rsid w:val="00D17775"/>
    <w:rsid w:val="00D17A5C"/>
    <w:rsid w:val="00D17B9C"/>
    <w:rsid w:val="00D20015"/>
    <w:rsid w:val="00D20814"/>
    <w:rsid w:val="00D20C67"/>
    <w:rsid w:val="00D20ECF"/>
    <w:rsid w:val="00D210F0"/>
    <w:rsid w:val="00D2167C"/>
    <w:rsid w:val="00D216EC"/>
    <w:rsid w:val="00D217CB"/>
    <w:rsid w:val="00D21A8F"/>
    <w:rsid w:val="00D21E32"/>
    <w:rsid w:val="00D22271"/>
    <w:rsid w:val="00D2230E"/>
    <w:rsid w:val="00D2237E"/>
    <w:rsid w:val="00D227B9"/>
    <w:rsid w:val="00D2288A"/>
    <w:rsid w:val="00D22BD8"/>
    <w:rsid w:val="00D22C54"/>
    <w:rsid w:val="00D22DB0"/>
    <w:rsid w:val="00D22DB3"/>
    <w:rsid w:val="00D22E1D"/>
    <w:rsid w:val="00D235E3"/>
    <w:rsid w:val="00D23662"/>
    <w:rsid w:val="00D23E3A"/>
    <w:rsid w:val="00D24472"/>
    <w:rsid w:val="00D24498"/>
    <w:rsid w:val="00D24699"/>
    <w:rsid w:val="00D24858"/>
    <w:rsid w:val="00D24FE4"/>
    <w:rsid w:val="00D253C1"/>
    <w:rsid w:val="00D2557F"/>
    <w:rsid w:val="00D257A0"/>
    <w:rsid w:val="00D259AC"/>
    <w:rsid w:val="00D25A76"/>
    <w:rsid w:val="00D25ED9"/>
    <w:rsid w:val="00D2602D"/>
    <w:rsid w:val="00D261D4"/>
    <w:rsid w:val="00D262D8"/>
    <w:rsid w:val="00D26853"/>
    <w:rsid w:val="00D26B0D"/>
    <w:rsid w:val="00D26B23"/>
    <w:rsid w:val="00D26B86"/>
    <w:rsid w:val="00D26CBE"/>
    <w:rsid w:val="00D271A8"/>
    <w:rsid w:val="00D2734F"/>
    <w:rsid w:val="00D274A2"/>
    <w:rsid w:val="00D27D66"/>
    <w:rsid w:val="00D27DA4"/>
    <w:rsid w:val="00D301BA"/>
    <w:rsid w:val="00D30403"/>
    <w:rsid w:val="00D30438"/>
    <w:rsid w:val="00D308A8"/>
    <w:rsid w:val="00D310DD"/>
    <w:rsid w:val="00D31353"/>
    <w:rsid w:val="00D3145E"/>
    <w:rsid w:val="00D316FA"/>
    <w:rsid w:val="00D31AB4"/>
    <w:rsid w:val="00D31C78"/>
    <w:rsid w:val="00D320D8"/>
    <w:rsid w:val="00D3218B"/>
    <w:rsid w:val="00D322AD"/>
    <w:rsid w:val="00D32528"/>
    <w:rsid w:val="00D325BD"/>
    <w:rsid w:val="00D329FB"/>
    <w:rsid w:val="00D32C8D"/>
    <w:rsid w:val="00D32DC9"/>
    <w:rsid w:val="00D32E94"/>
    <w:rsid w:val="00D331AE"/>
    <w:rsid w:val="00D335F3"/>
    <w:rsid w:val="00D33BFD"/>
    <w:rsid w:val="00D33EB6"/>
    <w:rsid w:val="00D33F4F"/>
    <w:rsid w:val="00D3408E"/>
    <w:rsid w:val="00D345CD"/>
    <w:rsid w:val="00D34643"/>
    <w:rsid w:val="00D34685"/>
    <w:rsid w:val="00D34712"/>
    <w:rsid w:val="00D3486A"/>
    <w:rsid w:val="00D349B5"/>
    <w:rsid w:val="00D34B6E"/>
    <w:rsid w:val="00D34BBE"/>
    <w:rsid w:val="00D34CD4"/>
    <w:rsid w:val="00D34DF6"/>
    <w:rsid w:val="00D35080"/>
    <w:rsid w:val="00D35307"/>
    <w:rsid w:val="00D35335"/>
    <w:rsid w:val="00D3572B"/>
    <w:rsid w:val="00D35748"/>
    <w:rsid w:val="00D35C3B"/>
    <w:rsid w:val="00D35E12"/>
    <w:rsid w:val="00D3606C"/>
    <w:rsid w:val="00D365F3"/>
    <w:rsid w:val="00D36AA2"/>
    <w:rsid w:val="00D36ECB"/>
    <w:rsid w:val="00D37561"/>
    <w:rsid w:val="00D37685"/>
    <w:rsid w:val="00D3768E"/>
    <w:rsid w:val="00D37753"/>
    <w:rsid w:val="00D378E7"/>
    <w:rsid w:val="00D378FE"/>
    <w:rsid w:val="00D37B7E"/>
    <w:rsid w:val="00D37DF9"/>
    <w:rsid w:val="00D40056"/>
    <w:rsid w:val="00D40326"/>
    <w:rsid w:val="00D404BA"/>
    <w:rsid w:val="00D408CC"/>
    <w:rsid w:val="00D40CE1"/>
    <w:rsid w:val="00D40D6F"/>
    <w:rsid w:val="00D40EB9"/>
    <w:rsid w:val="00D412C9"/>
    <w:rsid w:val="00D4193C"/>
    <w:rsid w:val="00D41951"/>
    <w:rsid w:val="00D41BD7"/>
    <w:rsid w:val="00D42272"/>
    <w:rsid w:val="00D42744"/>
    <w:rsid w:val="00D4278B"/>
    <w:rsid w:val="00D428B7"/>
    <w:rsid w:val="00D42C70"/>
    <w:rsid w:val="00D42DD9"/>
    <w:rsid w:val="00D42F2F"/>
    <w:rsid w:val="00D4307C"/>
    <w:rsid w:val="00D43DA4"/>
    <w:rsid w:val="00D43E0A"/>
    <w:rsid w:val="00D440EA"/>
    <w:rsid w:val="00D44503"/>
    <w:rsid w:val="00D4453A"/>
    <w:rsid w:val="00D44EA0"/>
    <w:rsid w:val="00D44F95"/>
    <w:rsid w:val="00D45330"/>
    <w:rsid w:val="00D45424"/>
    <w:rsid w:val="00D45832"/>
    <w:rsid w:val="00D45B23"/>
    <w:rsid w:val="00D45BDD"/>
    <w:rsid w:val="00D45CE3"/>
    <w:rsid w:val="00D45DAE"/>
    <w:rsid w:val="00D460CF"/>
    <w:rsid w:val="00D46167"/>
    <w:rsid w:val="00D46533"/>
    <w:rsid w:val="00D465F9"/>
    <w:rsid w:val="00D46AF5"/>
    <w:rsid w:val="00D46DD5"/>
    <w:rsid w:val="00D46DD8"/>
    <w:rsid w:val="00D46F10"/>
    <w:rsid w:val="00D4713C"/>
    <w:rsid w:val="00D471B3"/>
    <w:rsid w:val="00D471FD"/>
    <w:rsid w:val="00D4737D"/>
    <w:rsid w:val="00D47433"/>
    <w:rsid w:val="00D4753C"/>
    <w:rsid w:val="00D477C3"/>
    <w:rsid w:val="00D47BCC"/>
    <w:rsid w:val="00D47C41"/>
    <w:rsid w:val="00D47D3B"/>
    <w:rsid w:val="00D50005"/>
    <w:rsid w:val="00D501C0"/>
    <w:rsid w:val="00D501C8"/>
    <w:rsid w:val="00D50510"/>
    <w:rsid w:val="00D505C4"/>
    <w:rsid w:val="00D507DB"/>
    <w:rsid w:val="00D508E4"/>
    <w:rsid w:val="00D50AB2"/>
    <w:rsid w:val="00D50CE8"/>
    <w:rsid w:val="00D50F17"/>
    <w:rsid w:val="00D50F1C"/>
    <w:rsid w:val="00D5106F"/>
    <w:rsid w:val="00D516BD"/>
    <w:rsid w:val="00D516D9"/>
    <w:rsid w:val="00D516ED"/>
    <w:rsid w:val="00D51A6D"/>
    <w:rsid w:val="00D52864"/>
    <w:rsid w:val="00D52968"/>
    <w:rsid w:val="00D52E9F"/>
    <w:rsid w:val="00D530A0"/>
    <w:rsid w:val="00D535D8"/>
    <w:rsid w:val="00D535ED"/>
    <w:rsid w:val="00D53640"/>
    <w:rsid w:val="00D536E6"/>
    <w:rsid w:val="00D53821"/>
    <w:rsid w:val="00D53A01"/>
    <w:rsid w:val="00D53EFE"/>
    <w:rsid w:val="00D5465C"/>
    <w:rsid w:val="00D546CA"/>
    <w:rsid w:val="00D546EA"/>
    <w:rsid w:val="00D54733"/>
    <w:rsid w:val="00D5498E"/>
    <w:rsid w:val="00D54B49"/>
    <w:rsid w:val="00D54B7F"/>
    <w:rsid w:val="00D54BC2"/>
    <w:rsid w:val="00D54F7F"/>
    <w:rsid w:val="00D54FFA"/>
    <w:rsid w:val="00D54FFE"/>
    <w:rsid w:val="00D55381"/>
    <w:rsid w:val="00D55B17"/>
    <w:rsid w:val="00D55BAF"/>
    <w:rsid w:val="00D55D6D"/>
    <w:rsid w:val="00D560A2"/>
    <w:rsid w:val="00D560FE"/>
    <w:rsid w:val="00D56251"/>
    <w:rsid w:val="00D56537"/>
    <w:rsid w:val="00D5662F"/>
    <w:rsid w:val="00D568A7"/>
    <w:rsid w:val="00D5742C"/>
    <w:rsid w:val="00D5754F"/>
    <w:rsid w:val="00D576FC"/>
    <w:rsid w:val="00D57793"/>
    <w:rsid w:val="00D579BE"/>
    <w:rsid w:val="00D57A2D"/>
    <w:rsid w:val="00D57CB8"/>
    <w:rsid w:val="00D6045F"/>
    <w:rsid w:val="00D6052B"/>
    <w:rsid w:val="00D605A2"/>
    <w:rsid w:val="00D60632"/>
    <w:rsid w:val="00D608C1"/>
    <w:rsid w:val="00D60AE3"/>
    <w:rsid w:val="00D61C24"/>
    <w:rsid w:val="00D61CDB"/>
    <w:rsid w:val="00D61EAA"/>
    <w:rsid w:val="00D6200D"/>
    <w:rsid w:val="00D622AE"/>
    <w:rsid w:val="00D6236F"/>
    <w:rsid w:val="00D62BB2"/>
    <w:rsid w:val="00D62BDD"/>
    <w:rsid w:val="00D6310E"/>
    <w:rsid w:val="00D63551"/>
    <w:rsid w:val="00D636EC"/>
    <w:rsid w:val="00D63A71"/>
    <w:rsid w:val="00D63D80"/>
    <w:rsid w:val="00D63DD2"/>
    <w:rsid w:val="00D63E91"/>
    <w:rsid w:val="00D64043"/>
    <w:rsid w:val="00D642A4"/>
    <w:rsid w:val="00D64324"/>
    <w:rsid w:val="00D64492"/>
    <w:rsid w:val="00D64572"/>
    <w:rsid w:val="00D645BD"/>
    <w:rsid w:val="00D645ED"/>
    <w:rsid w:val="00D64AA6"/>
    <w:rsid w:val="00D64C3D"/>
    <w:rsid w:val="00D64D93"/>
    <w:rsid w:val="00D650CF"/>
    <w:rsid w:val="00D65179"/>
    <w:rsid w:val="00D654E8"/>
    <w:rsid w:val="00D6564B"/>
    <w:rsid w:val="00D65B36"/>
    <w:rsid w:val="00D65C90"/>
    <w:rsid w:val="00D65CE3"/>
    <w:rsid w:val="00D65D76"/>
    <w:rsid w:val="00D65E0C"/>
    <w:rsid w:val="00D664CD"/>
    <w:rsid w:val="00D66725"/>
    <w:rsid w:val="00D66843"/>
    <w:rsid w:val="00D668DD"/>
    <w:rsid w:val="00D66A7C"/>
    <w:rsid w:val="00D66C4D"/>
    <w:rsid w:val="00D66D27"/>
    <w:rsid w:val="00D67C7D"/>
    <w:rsid w:val="00D70062"/>
    <w:rsid w:val="00D7041E"/>
    <w:rsid w:val="00D704E9"/>
    <w:rsid w:val="00D70608"/>
    <w:rsid w:val="00D7064B"/>
    <w:rsid w:val="00D706E2"/>
    <w:rsid w:val="00D7070B"/>
    <w:rsid w:val="00D70A68"/>
    <w:rsid w:val="00D70B70"/>
    <w:rsid w:val="00D713CA"/>
    <w:rsid w:val="00D71B2C"/>
    <w:rsid w:val="00D71D19"/>
    <w:rsid w:val="00D7203A"/>
    <w:rsid w:val="00D72309"/>
    <w:rsid w:val="00D72782"/>
    <w:rsid w:val="00D72B3A"/>
    <w:rsid w:val="00D72CF9"/>
    <w:rsid w:val="00D72D2B"/>
    <w:rsid w:val="00D72DFD"/>
    <w:rsid w:val="00D73044"/>
    <w:rsid w:val="00D730F3"/>
    <w:rsid w:val="00D73151"/>
    <w:rsid w:val="00D731D5"/>
    <w:rsid w:val="00D73287"/>
    <w:rsid w:val="00D73450"/>
    <w:rsid w:val="00D7373A"/>
    <w:rsid w:val="00D73B9B"/>
    <w:rsid w:val="00D74257"/>
    <w:rsid w:val="00D74581"/>
    <w:rsid w:val="00D74651"/>
    <w:rsid w:val="00D746CC"/>
    <w:rsid w:val="00D74A56"/>
    <w:rsid w:val="00D74C94"/>
    <w:rsid w:val="00D7503F"/>
    <w:rsid w:val="00D755E1"/>
    <w:rsid w:val="00D758CD"/>
    <w:rsid w:val="00D75BEE"/>
    <w:rsid w:val="00D75D81"/>
    <w:rsid w:val="00D7630D"/>
    <w:rsid w:val="00D76489"/>
    <w:rsid w:val="00D7655B"/>
    <w:rsid w:val="00D768B9"/>
    <w:rsid w:val="00D76D83"/>
    <w:rsid w:val="00D76DA5"/>
    <w:rsid w:val="00D76EFF"/>
    <w:rsid w:val="00D76F85"/>
    <w:rsid w:val="00D772CC"/>
    <w:rsid w:val="00D774DF"/>
    <w:rsid w:val="00D778B9"/>
    <w:rsid w:val="00D779BB"/>
    <w:rsid w:val="00D77DC9"/>
    <w:rsid w:val="00D800B7"/>
    <w:rsid w:val="00D80120"/>
    <w:rsid w:val="00D80159"/>
    <w:rsid w:val="00D801BA"/>
    <w:rsid w:val="00D8028D"/>
    <w:rsid w:val="00D804C8"/>
    <w:rsid w:val="00D8092A"/>
    <w:rsid w:val="00D8098D"/>
    <w:rsid w:val="00D80A64"/>
    <w:rsid w:val="00D80B3A"/>
    <w:rsid w:val="00D80D63"/>
    <w:rsid w:val="00D81085"/>
    <w:rsid w:val="00D81340"/>
    <w:rsid w:val="00D8138A"/>
    <w:rsid w:val="00D8141F"/>
    <w:rsid w:val="00D816CC"/>
    <w:rsid w:val="00D8171A"/>
    <w:rsid w:val="00D81B21"/>
    <w:rsid w:val="00D81CE8"/>
    <w:rsid w:val="00D8205B"/>
    <w:rsid w:val="00D82118"/>
    <w:rsid w:val="00D822C8"/>
    <w:rsid w:val="00D826F7"/>
    <w:rsid w:val="00D82830"/>
    <w:rsid w:val="00D82995"/>
    <w:rsid w:val="00D82A32"/>
    <w:rsid w:val="00D82F7C"/>
    <w:rsid w:val="00D837F9"/>
    <w:rsid w:val="00D83D75"/>
    <w:rsid w:val="00D83EDA"/>
    <w:rsid w:val="00D83FF3"/>
    <w:rsid w:val="00D84234"/>
    <w:rsid w:val="00D84240"/>
    <w:rsid w:val="00D844AE"/>
    <w:rsid w:val="00D847F2"/>
    <w:rsid w:val="00D84AD0"/>
    <w:rsid w:val="00D84C1B"/>
    <w:rsid w:val="00D84D0F"/>
    <w:rsid w:val="00D84DF1"/>
    <w:rsid w:val="00D84F6F"/>
    <w:rsid w:val="00D84FDA"/>
    <w:rsid w:val="00D85328"/>
    <w:rsid w:val="00D85635"/>
    <w:rsid w:val="00D85A99"/>
    <w:rsid w:val="00D86016"/>
    <w:rsid w:val="00D86264"/>
    <w:rsid w:val="00D86848"/>
    <w:rsid w:val="00D869D7"/>
    <w:rsid w:val="00D869D9"/>
    <w:rsid w:val="00D86C1C"/>
    <w:rsid w:val="00D86D1B"/>
    <w:rsid w:val="00D870A7"/>
    <w:rsid w:val="00D870F2"/>
    <w:rsid w:val="00D87237"/>
    <w:rsid w:val="00D877F3"/>
    <w:rsid w:val="00D87D66"/>
    <w:rsid w:val="00D90316"/>
    <w:rsid w:val="00D905E6"/>
    <w:rsid w:val="00D9067F"/>
    <w:rsid w:val="00D9077A"/>
    <w:rsid w:val="00D90A18"/>
    <w:rsid w:val="00D90ABC"/>
    <w:rsid w:val="00D90F96"/>
    <w:rsid w:val="00D9157E"/>
    <w:rsid w:val="00D915A2"/>
    <w:rsid w:val="00D91822"/>
    <w:rsid w:val="00D91B01"/>
    <w:rsid w:val="00D91DD7"/>
    <w:rsid w:val="00D91EF4"/>
    <w:rsid w:val="00D91F3C"/>
    <w:rsid w:val="00D92257"/>
    <w:rsid w:val="00D92276"/>
    <w:rsid w:val="00D92577"/>
    <w:rsid w:val="00D936FC"/>
    <w:rsid w:val="00D93936"/>
    <w:rsid w:val="00D93C4E"/>
    <w:rsid w:val="00D93D28"/>
    <w:rsid w:val="00D940C2"/>
    <w:rsid w:val="00D9423D"/>
    <w:rsid w:val="00D945B3"/>
    <w:rsid w:val="00D946B9"/>
    <w:rsid w:val="00D949BB"/>
    <w:rsid w:val="00D9548B"/>
    <w:rsid w:val="00D9555D"/>
    <w:rsid w:val="00D955F1"/>
    <w:rsid w:val="00D95699"/>
    <w:rsid w:val="00D956C0"/>
    <w:rsid w:val="00D957E3"/>
    <w:rsid w:val="00D95C39"/>
    <w:rsid w:val="00D95C40"/>
    <w:rsid w:val="00D95D00"/>
    <w:rsid w:val="00D95E60"/>
    <w:rsid w:val="00D96149"/>
    <w:rsid w:val="00D9634D"/>
    <w:rsid w:val="00D96789"/>
    <w:rsid w:val="00D96A74"/>
    <w:rsid w:val="00D96C84"/>
    <w:rsid w:val="00D96C9B"/>
    <w:rsid w:val="00D9722B"/>
    <w:rsid w:val="00D97362"/>
    <w:rsid w:val="00D97527"/>
    <w:rsid w:val="00D979DD"/>
    <w:rsid w:val="00D97AE3"/>
    <w:rsid w:val="00D97F5C"/>
    <w:rsid w:val="00DA0094"/>
    <w:rsid w:val="00DA0147"/>
    <w:rsid w:val="00DA0482"/>
    <w:rsid w:val="00DA0CA3"/>
    <w:rsid w:val="00DA0CD7"/>
    <w:rsid w:val="00DA0D96"/>
    <w:rsid w:val="00DA0F6D"/>
    <w:rsid w:val="00DA1594"/>
    <w:rsid w:val="00DA1733"/>
    <w:rsid w:val="00DA1874"/>
    <w:rsid w:val="00DA18F2"/>
    <w:rsid w:val="00DA1B14"/>
    <w:rsid w:val="00DA1BAD"/>
    <w:rsid w:val="00DA1C10"/>
    <w:rsid w:val="00DA1D61"/>
    <w:rsid w:val="00DA21CE"/>
    <w:rsid w:val="00DA2819"/>
    <w:rsid w:val="00DA2B82"/>
    <w:rsid w:val="00DA2B94"/>
    <w:rsid w:val="00DA2E9E"/>
    <w:rsid w:val="00DA33BA"/>
    <w:rsid w:val="00DA33F4"/>
    <w:rsid w:val="00DA3503"/>
    <w:rsid w:val="00DA39C2"/>
    <w:rsid w:val="00DA3DB1"/>
    <w:rsid w:val="00DA419E"/>
    <w:rsid w:val="00DA42A1"/>
    <w:rsid w:val="00DA48E2"/>
    <w:rsid w:val="00DA49CA"/>
    <w:rsid w:val="00DA4D08"/>
    <w:rsid w:val="00DA504C"/>
    <w:rsid w:val="00DA5082"/>
    <w:rsid w:val="00DA5151"/>
    <w:rsid w:val="00DA53A3"/>
    <w:rsid w:val="00DA53FB"/>
    <w:rsid w:val="00DA568B"/>
    <w:rsid w:val="00DA56F9"/>
    <w:rsid w:val="00DA57B5"/>
    <w:rsid w:val="00DA5898"/>
    <w:rsid w:val="00DA611B"/>
    <w:rsid w:val="00DA624E"/>
    <w:rsid w:val="00DA66B4"/>
    <w:rsid w:val="00DA66CF"/>
    <w:rsid w:val="00DA67F8"/>
    <w:rsid w:val="00DA6C2E"/>
    <w:rsid w:val="00DA6CB2"/>
    <w:rsid w:val="00DA6CDC"/>
    <w:rsid w:val="00DA6DD8"/>
    <w:rsid w:val="00DA6E3D"/>
    <w:rsid w:val="00DA718E"/>
    <w:rsid w:val="00DA73F5"/>
    <w:rsid w:val="00DA7524"/>
    <w:rsid w:val="00DA757A"/>
    <w:rsid w:val="00DA7A5A"/>
    <w:rsid w:val="00DA7BEE"/>
    <w:rsid w:val="00DA7C2E"/>
    <w:rsid w:val="00DA7D25"/>
    <w:rsid w:val="00DA7E62"/>
    <w:rsid w:val="00DB0249"/>
    <w:rsid w:val="00DB0473"/>
    <w:rsid w:val="00DB0815"/>
    <w:rsid w:val="00DB0D42"/>
    <w:rsid w:val="00DB0E15"/>
    <w:rsid w:val="00DB0E9C"/>
    <w:rsid w:val="00DB0EB3"/>
    <w:rsid w:val="00DB0EE3"/>
    <w:rsid w:val="00DB0F6D"/>
    <w:rsid w:val="00DB16DF"/>
    <w:rsid w:val="00DB181A"/>
    <w:rsid w:val="00DB19B9"/>
    <w:rsid w:val="00DB25BD"/>
    <w:rsid w:val="00DB2956"/>
    <w:rsid w:val="00DB2BE4"/>
    <w:rsid w:val="00DB2EED"/>
    <w:rsid w:val="00DB301F"/>
    <w:rsid w:val="00DB3105"/>
    <w:rsid w:val="00DB327C"/>
    <w:rsid w:val="00DB3469"/>
    <w:rsid w:val="00DB39D4"/>
    <w:rsid w:val="00DB3A9C"/>
    <w:rsid w:val="00DB3B0C"/>
    <w:rsid w:val="00DB3C6D"/>
    <w:rsid w:val="00DB4040"/>
    <w:rsid w:val="00DB4570"/>
    <w:rsid w:val="00DB4755"/>
    <w:rsid w:val="00DB4875"/>
    <w:rsid w:val="00DB4928"/>
    <w:rsid w:val="00DB4931"/>
    <w:rsid w:val="00DB4BF9"/>
    <w:rsid w:val="00DB4CA8"/>
    <w:rsid w:val="00DB4FA9"/>
    <w:rsid w:val="00DB5147"/>
    <w:rsid w:val="00DB5244"/>
    <w:rsid w:val="00DB56CE"/>
    <w:rsid w:val="00DB5A57"/>
    <w:rsid w:val="00DB5C0C"/>
    <w:rsid w:val="00DB5C14"/>
    <w:rsid w:val="00DB5DE5"/>
    <w:rsid w:val="00DB5EE2"/>
    <w:rsid w:val="00DB5FFC"/>
    <w:rsid w:val="00DB61D2"/>
    <w:rsid w:val="00DB667C"/>
    <w:rsid w:val="00DB6714"/>
    <w:rsid w:val="00DB6809"/>
    <w:rsid w:val="00DB6976"/>
    <w:rsid w:val="00DB6C0A"/>
    <w:rsid w:val="00DB6D84"/>
    <w:rsid w:val="00DB7185"/>
    <w:rsid w:val="00DB7393"/>
    <w:rsid w:val="00DB78BF"/>
    <w:rsid w:val="00DB7C6C"/>
    <w:rsid w:val="00DC041D"/>
    <w:rsid w:val="00DC1006"/>
    <w:rsid w:val="00DC1013"/>
    <w:rsid w:val="00DC10DC"/>
    <w:rsid w:val="00DC1131"/>
    <w:rsid w:val="00DC145B"/>
    <w:rsid w:val="00DC15F3"/>
    <w:rsid w:val="00DC19EB"/>
    <w:rsid w:val="00DC1A29"/>
    <w:rsid w:val="00DC1DAB"/>
    <w:rsid w:val="00DC1EF4"/>
    <w:rsid w:val="00DC21F0"/>
    <w:rsid w:val="00DC22B2"/>
    <w:rsid w:val="00DC2534"/>
    <w:rsid w:val="00DC2637"/>
    <w:rsid w:val="00DC2B95"/>
    <w:rsid w:val="00DC2D0A"/>
    <w:rsid w:val="00DC2FA2"/>
    <w:rsid w:val="00DC358B"/>
    <w:rsid w:val="00DC368B"/>
    <w:rsid w:val="00DC3856"/>
    <w:rsid w:val="00DC3BEC"/>
    <w:rsid w:val="00DC460F"/>
    <w:rsid w:val="00DC4A82"/>
    <w:rsid w:val="00DC4D04"/>
    <w:rsid w:val="00DC522D"/>
    <w:rsid w:val="00DC52CB"/>
    <w:rsid w:val="00DC547A"/>
    <w:rsid w:val="00DC6158"/>
    <w:rsid w:val="00DC6211"/>
    <w:rsid w:val="00DC64A6"/>
    <w:rsid w:val="00DC6802"/>
    <w:rsid w:val="00DC68F6"/>
    <w:rsid w:val="00DC6960"/>
    <w:rsid w:val="00DC69C7"/>
    <w:rsid w:val="00DC69F5"/>
    <w:rsid w:val="00DC7040"/>
    <w:rsid w:val="00DC71D9"/>
    <w:rsid w:val="00DC7288"/>
    <w:rsid w:val="00DC7301"/>
    <w:rsid w:val="00DC74C2"/>
    <w:rsid w:val="00DC7C28"/>
    <w:rsid w:val="00DD00EC"/>
    <w:rsid w:val="00DD0178"/>
    <w:rsid w:val="00DD02D3"/>
    <w:rsid w:val="00DD06C4"/>
    <w:rsid w:val="00DD0C84"/>
    <w:rsid w:val="00DD0F76"/>
    <w:rsid w:val="00DD10B7"/>
    <w:rsid w:val="00DD1281"/>
    <w:rsid w:val="00DD1582"/>
    <w:rsid w:val="00DD189D"/>
    <w:rsid w:val="00DD1C57"/>
    <w:rsid w:val="00DD1CE0"/>
    <w:rsid w:val="00DD1D56"/>
    <w:rsid w:val="00DD1E20"/>
    <w:rsid w:val="00DD21CB"/>
    <w:rsid w:val="00DD2984"/>
    <w:rsid w:val="00DD2A29"/>
    <w:rsid w:val="00DD2E65"/>
    <w:rsid w:val="00DD31DA"/>
    <w:rsid w:val="00DD36A9"/>
    <w:rsid w:val="00DD3CD0"/>
    <w:rsid w:val="00DD41C6"/>
    <w:rsid w:val="00DD4D70"/>
    <w:rsid w:val="00DD543D"/>
    <w:rsid w:val="00DD576D"/>
    <w:rsid w:val="00DD59D8"/>
    <w:rsid w:val="00DD5C1B"/>
    <w:rsid w:val="00DD5DBC"/>
    <w:rsid w:val="00DD6BEA"/>
    <w:rsid w:val="00DD6D03"/>
    <w:rsid w:val="00DD6E09"/>
    <w:rsid w:val="00DD7461"/>
    <w:rsid w:val="00DD7477"/>
    <w:rsid w:val="00DD782D"/>
    <w:rsid w:val="00DD7AED"/>
    <w:rsid w:val="00DE0045"/>
    <w:rsid w:val="00DE0354"/>
    <w:rsid w:val="00DE0592"/>
    <w:rsid w:val="00DE0852"/>
    <w:rsid w:val="00DE096C"/>
    <w:rsid w:val="00DE0B86"/>
    <w:rsid w:val="00DE0EDA"/>
    <w:rsid w:val="00DE0FCB"/>
    <w:rsid w:val="00DE119C"/>
    <w:rsid w:val="00DE11E4"/>
    <w:rsid w:val="00DE17CB"/>
    <w:rsid w:val="00DE181C"/>
    <w:rsid w:val="00DE191F"/>
    <w:rsid w:val="00DE1F7F"/>
    <w:rsid w:val="00DE26B0"/>
    <w:rsid w:val="00DE2733"/>
    <w:rsid w:val="00DE27C7"/>
    <w:rsid w:val="00DE2849"/>
    <w:rsid w:val="00DE2A5D"/>
    <w:rsid w:val="00DE2E02"/>
    <w:rsid w:val="00DE2E33"/>
    <w:rsid w:val="00DE3324"/>
    <w:rsid w:val="00DE34B7"/>
    <w:rsid w:val="00DE3A27"/>
    <w:rsid w:val="00DE3C99"/>
    <w:rsid w:val="00DE3D14"/>
    <w:rsid w:val="00DE3DC4"/>
    <w:rsid w:val="00DE4073"/>
    <w:rsid w:val="00DE429B"/>
    <w:rsid w:val="00DE443B"/>
    <w:rsid w:val="00DE4489"/>
    <w:rsid w:val="00DE4902"/>
    <w:rsid w:val="00DE4A06"/>
    <w:rsid w:val="00DE5203"/>
    <w:rsid w:val="00DE5333"/>
    <w:rsid w:val="00DE53C8"/>
    <w:rsid w:val="00DE543E"/>
    <w:rsid w:val="00DE5999"/>
    <w:rsid w:val="00DE60E3"/>
    <w:rsid w:val="00DE67F0"/>
    <w:rsid w:val="00DE6851"/>
    <w:rsid w:val="00DE6B67"/>
    <w:rsid w:val="00DE6BDC"/>
    <w:rsid w:val="00DE6D08"/>
    <w:rsid w:val="00DE6DE0"/>
    <w:rsid w:val="00DE723C"/>
    <w:rsid w:val="00DE75B9"/>
    <w:rsid w:val="00DE7752"/>
    <w:rsid w:val="00DE775E"/>
    <w:rsid w:val="00DE7BD6"/>
    <w:rsid w:val="00DE7C11"/>
    <w:rsid w:val="00DE7CCE"/>
    <w:rsid w:val="00DF0BD4"/>
    <w:rsid w:val="00DF0D0B"/>
    <w:rsid w:val="00DF0D6C"/>
    <w:rsid w:val="00DF0E72"/>
    <w:rsid w:val="00DF18EF"/>
    <w:rsid w:val="00DF1A11"/>
    <w:rsid w:val="00DF1CE2"/>
    <w:rsid w:val="00DF2205"/>
    <w:rsid w:val="00DF2385"/>
    <w:rsid w:val="00DF2868"/>
    <w:rsid w:val="00DF2D3D"/>
    <w:rsid w:val="00DF2FDF"/>
    <w:rsid w:val="00DF35D6"/>
    <w:rsid w:val="00DF37C5"/>
    <w:rsid w:val="00DF3B9E"/>
    <w:rsid w:val="00DF407E"/>
    <w:rsid w:val="00DF422D"/>
    <w:rsid w:val="00DF48AF"/>
    <w:rsid w:val="00DF498C"/>
    <w:rsid w:val="00DF4D08"/>
    <w:rsid w:val="00DF4EEC"/>
    <w:rsid w:val="00DF5062"/>
    <w:rsid w:val="00DF5069"/>
    <w:rsid w:val="00DF5359"/>
    <w:rsid w:val="00DF5B1F"/>
    <w:rsid w:val="00DF5E1B"/>
    <w:rsid w:val="00DF5EB4"/>
    <w:rsid w:val="00DF5EDA"/>
    <w:rsid w:val="00DF6396"/>
    <w:rsid w:val="00DF6E68"/>
    <w:rsid w:val="00DF6EB2"/>
    <w:rsid w:val="00DF6F97"/>
    <w:rsid w:val="00DF7300"/>
    <w:rsid w:val="00DF77E1"/>
    <w:rsid w:val="00DF7930"/>
    <w:rsid w:val="00DF79B3"/>
    <w:rsid w:val="00DF7B52"/>
    <w:rsid w:val="00DF7BB2"/>
    <w:rsid w:val="00E00128"/>
    <w:rsid w:val="00E003C5"/>
    <w:rsid w:val="00E00558"/>
    <w:rsid w:val="00E00575"/>
    <w:rsid w:val="00E0079F"/>
    <w:rsid w:val="00E00802"/>
    <w:rsid w:val="00E00835"/>
    <w:rsid w:val="00E00B13"/>
    <w:rsid w:val="00E0107A"/>
    <w:rsid w:val="00E011ED"/>
    <w:rsid w:val="00E0134F"/>
    <w:rsid w:val="00E015AC"/>
    <w:rsid w:val="00E01853"/>
    <w:rsid w:val="00E01972"/>
    <w:rsid w:val="00E01A0B"/>
    <w:rsid w:val="00E01AE9"/>
    <w:rsid w:val="00E01B38"/>
    <w:rsid w:val="00E01D0A"/>
    <w:rsid w:val="00E01D86"/>
    <w:rsid w:val="00E01FD5"/>
    <w:rsid w:val="00E0263A"/>
    <w:rsid w:val="00E02892"/>
    <w:rsid w:val="00E029C0"/>
    <w:rsid w:val="00E02A6C"/>
    <w:rsid w:val="00E02B53"/>
    <w:rsid w:val="00E02C47"/>
    <w:rsid w:val="00E02CE9"/>
    <w:rsid w:val="00E02D7A"/>
    <w:rsid w:val="00E02E10"/>
    <w:rsid w:val="00E02FF2"/>
    <w:rsid w:val="00E03962"/>
    <w:rsid w:val="00E039DA"/>
    <w:rsid w:val="00E039E8"/>
    <w:rsid w:val="00E039F7"/>
    <w:rsid w:val="00E042E3"/>
    <w:rsid w:val="00E045E3"/>
    <w:rsid w:val="00E049CD"/>
    <w:rsid w:val="00E04CA4"/>
    <w:rsid w:val="00E04DA5"/>
    <w:rsid w:val="00E053A7"/>
    <w:rsid w:val="00E05520"/>
    <w:rsid w:val="00E05D4B"/>
    <w:rsid w:val="00E05D61"/>
    <w:rsid w:val="00E0635E"/>
    <w:rsid w:val="00E06480"/>
    <w:rsid w:val="00E069E5"/>
    <w:rsid w:val="00E06C04"/>
    <w:rsid w:val="00E06D44"/>
    <w:rsid w:val="00E06DC3"/>
    <w:rsid w:val="00E06FD1"/>
    <w:rsid w:val="00E071AC"/>
    <w:rsid w:val="00E07530"/>
    <w:rsid w:val="00E07734"/>
    <w:rsid w:val="00E077BA"/>
    <w:rsid w:val="00E07F72"/>
    <w:rsid w:val="00E10606"/>
    <w:rsid w:val="00E106B1"/>
    <w:rsid w:val="00E10826"/>
    <w:rsid w:val="00E108E0"/>
    <w:rsid w:val="00E109AA"/>
    <w:rsid w:val="00E10AD9"/>
    <w:rsid w:val="00E11322"/>
    <w:rsid w:val="00E1140F"/>
    <w:rsid w:val="00E11F6B"/>
    <w:rsid w:val="00E12215"/>
    <w:rsid w:val="00E12709"/>
    <w:rsid w:val="00E130CA"/>
    <w:rsid w:val="00E1310B"/>
    <w:rsid w:val="00E134B4"/>
    <w:rsid w:val="00E13841"/>
    <w:rsid w:val="00E13B6B"/>
    <w:rsid w:val="00E13DA6"/>
    <w:rsid w:val="00E13DC4"/>
    <w:rsid w:val="00E14188"/>
    <w:rsid w:val="00E14417"/>
    <w:rsid w:val="00E1468E"/>
    <w:rsid w:val="00E14FC4"/>
    <w:rsid w:val="00E15658"/>
    <w:rsid w:val="00E158C5"/>
    <w:rsid w:val="00E1593A"/>
    <w:rsid w:val="00E15C80"/>
    <w:rsid w:val="00E16134"/>
    <w:rsid w:val="00E16405"/>
    <w:rsid w:val="00E1648D"/>
    <w:rsid w:val="00E164CB"/>
    <w:rsid w:val="00E16567"/>
    <w:rsid w:val="00E1658B"/>
    <w:rsid w:val="00E16E75"/>
    <w:rsid w:val="00E17393"/>
    <w:rsid w:val="00E17787"/>
    <w:rsid w:val="00E20753"/>
    <w:rsid w:val="00E209EB"/>
    <w:rsid w:val="00E20B21"/>
    <w:rsid w:val="00E20B37"/>
    <w:rsid w:val="00E20B3C"/>
    <w:rsid w:val="00E20CF4"/>
    <w:rsid w:val="00E20D9C"/>
    <w:rsid w:val="00E20E64"/>
    <w:rsid w:val="00E218AF"/>
    <w:rsid w:val="00E21DA1"/>
    <w:rsid w:val="00E225AA"/>
    <w:rsid w:val="00E2267D"/>
    <w:rsid w:val="00E228FF"/>
    <w:rsid w:val="00E22AAF"/>
    <w:rsid w:val="00E23190"/>
    <w:rsid w:val="00E231D7"/>
    <w:rsid w:val="00E2352F"/>
    <w:rsid w:val="00E236CF"/>
    <w:rsid w:val="00E23A0A"/>
    <w:rsid w:val="00E23ACC"/>
    <w:rsid w:val="00E23F57"/>
    <w:rsid w:val="00E24441"/>
    <w:rsid w:val="00E24759"/>
    <w:rsid w:val="00E24D70"/>
    <w:rsid w:val="00E24D90"/>
    <w:rsid w:val="00E24F48"/>
    <w:rsid w:val="00E25603"/>
    <w:rsid w:val="00E25681"/>
    <w:rsid w:val="00E256BB"/>
    <w:rsid w:val="00E2570A"/>
    <w:rsid w:val="00E2578D"/>
    <w:rsid w:val="00E259F4"/>
    <w:rsid w:val="00E25C09"/>
    <w:rsid w:val="00E261B7"/>
    <w:rsid w:val="00E261F7"/>
    <w:rsid w:val="00E263DE"/>
    <w:rsid w:val="00E264C9"/>
    <w:rsid w:val="00E26C77"/>
    <w:rsid w:val="00E26E62"/>
    <w:rsid w:val="00E27AB9"/>
    <w:rsid w:val="00E27C42"/>
    <w:rsid w:val="00E27E33"/>
    <w:rsid w:val="00E27FD8"/>
    <w:rsid w:val="00E300AA"/>
    <w:rsid w:val="00E30553"/>
    <w:rsid w:val="00E30E88"/>
    <w:rsid w:val="00E30EC3"/>
    <w:rsid w:val="00E30F2F"/>
    <w:rsid w:val="00E312F0"/>
    <w:rsid w:val="00E31452"/>
    <w:rsid w:val="00E315BC"/>
    <w:rsid w:val="00E31E42"/>
    <w:rsid w:val="00E31E49"/>
    <w:rsid w:val="00E31ED3"/>
    <w:rsid w:val="00E32074"/>
    <w:rsid w:val="00E323CB"/>
    <w:rsid w:val="00E32B5A"/>
    <w:rsid w:val="00E32DA3"/>
    <w:rsid w:val="00E33085"/>
    <w:rsid w:val="00E33702"/>
    <w:rsid w:val="00E33F4D"/>
    <w:rsid w:val="00E34062"/>
    <w:rsid w:val="00E34717"/>
    <w:rsid w:val="00E34909"/>
    <w:rsid w:val="00E349F6"/>
    <w:rsid w:val="00E34D16"/>
    <w:rsid w:val="00E34F19"/>
    <w:rsid w:val="00E355CB"/>
    <w:rsid w:val="00E35643"/>
    <w:rsid w:val="00E35A90"/>
    <w:rsid w:val="00E35B26"/>
    <w:rsid w:val="00E35FBF"/>
    <w:rsid w:val="00E361EC"/>
    <w:rsid w:val="00E36439"/>
    <w:rsid w:val="00E365F8"/>
    <w:rsid w:val="00E366A1"/>
    <w:rsid w:val="00E368A6"/>
    <w:rsid w:val="00E36F35"/>
    <w:rsid w:val="00E371A2"/>
    <w:rsid w:val="00E37ADD"/>
    <w:rsid w:val="00E37B84"/>
    <w:rsid w:val="00E37D88"/>
    <w:rsid w:val="00E37D98"/>
    <w:rsid w:val="00E37FC8"/>
    <w:rsid w:val="00E401CB"/>
    <w:rsid w:val="00E4022B"/>
    <w:rsid w:val="00E4074B"/>
    <w:rsid w:val="00E409EE"/>
    <w:rsid w:val="00E40ADD"/>
    <w:rsid w:val="00E40E46"/>
    <w:rsid w:val="00E40E4A"/>
    <w:rsid w:val="00E41073"/>
    <w:rsid w:val="00E41176"/>
    <w:rsid w:val="00E414B2"/>
    <w:rsid w:val="00E41585"/>
    <w:rsid w:val="00E4184B"/>
    <w:rsid w:val="00E41A93"/>
    <w:rsid w:val="00E4228E"/>
    <w:rsid w:val="00E422AA"/>
    <w:rsid w:val="00E42315"/>
    <w:rsid w:val="00E42A94"/>
    <w:rsid w:val="00E42B2A"/>
    <w:rsid w:val="00E42EF1"/>
    <w:rsid w:val="00E430A1"/>
    <w:rsid w:val="00E432A8"/>
    <w:rsid w:val="00E43844"/>
    <w:rsid w:val="00E43AF2"/>
    <w:rsid w:val="00E43D23"/>
    <w:rsid w:val="00E43FF4"/>
    <w:rsid w:val="00E4416C"/>
    <w:rsid w:val="00E44213"/>
    <w:rsid w:val="00E44294"/>
    <w:rsid w:val="00E4468F"/>
    <w:rsid w:val="00E44B7C"/>
    <w:rsid w:val="00E44BC4"/>
    <w:rsid w:val="00E4513F"/>
    <w:rsid w:val="00E4526F"/>
    <w:rsid w:val="00E45662"/>
    <w:rsid w:val="00E4580B"/>
    <w:rsid w:val="00E45EF5"/>
    <w:rsid w:val="00E4612B"/>
    <w:rsid w:val="00E46171"/>
    <w:rsid w:val="00E464A3"/>
    <w:rsid w:val="00E46646"/>
    <w:rsid w:val="00E46860"/>
    <w:rsid w:val="00E46912"/>
    <w:rsid w:val="00E46B0B"/>
    <w:rsid w:val="00E46FDB"/>
    <w:rsid w:val="00E474D1"/>
    <w:rsid w:val="00E47505"/>
    <w:rsid w:val="00E47C51"/>
    <w:rsid w:val="00E47E0D"/>
    <w:rsid w:val="00E47F2D"/>
    <w:rsid w:val="00E47F7B"/>
    <w:rsid w:val="00E5094B"/>
    <w:rsid w:val="00E50AC6"/>
    <w:rsid w:val="00E50B57"/>
    <w:rsid w:val="00E50C71"/>
    <w:rsid w:val="00E50FC2"/>
    <w:rsid w:val="00E5106E"/>
    <w:rsid w:val="00E51183"/>
    <w:rsid w:val="00E5127E"/>
    <w:rsid w:val="00E514CA"/>
    <w:rsid w:val="00E514F6"/>
    <w:rsid w:val="00E5198E"/>
    <w:rsid w:val="00E51E55"/>
    <w:rsid w:val="00E522FA"/>
    <w:rsid w:val="00E52CF4"/>
    <w:rsid w:val="00E52FA7"/>
    <w:rsid w:val="00E5301A"/>
    <w:rsid w:val="00E53853"/>
    <w:rsid w:val="00E53A88"/>
    <w:rsid w:val="00E53F25"/>
    <w:rsid w:val="00E53F89"/>
    <w:rsid w:val="00E5442E"/>
    <w:rsid w:val="00E54696"/>
    <w:rsid w:val="00E54A69"/>
    <w:rsid w:val="00E54C8D"/>
    <w:rsid w:val="00E54F0F"/>
    <w:rsid w:val="00E554A4"/>
    <w:rsid w:val="00E556A1"/>
    <w:rsid w:val="00E55904"/>
    <w:rsid w:val="00E55FFF"/>
    <w:rsid w:val="00E56124"/>
    <w:rsid w:val="00E5675F"/>
    <w:rsid w:val="00E56E20"/>
    <w:rsid w:val="00E56EB1"/>
    <w:rsid w:val="00E5713B"/>
    <w:rsid w:val="00E57375"/>
    <w:rsid w:val="00E575EE"/>
    <w:rsid w:val="00E57963"/>
    <w:rsid w:val="00E57AB8"/>
    <w:rsid w:val="00E57C0C"/>
    <w:rsid w:val="00E57CDA"/>
    <w:rsid w:val="00E57E31"/>
    <w:rsid w:val="00E60062"/>
    <w:rsid w:val="00E600FD"/>
    <w:rsid w:val="00E6027F"/>
    <w:rsid w:val="00E60588"/>
    <w:rsid w:val="00E605E4"/>
    <w:rsid w:val="00E60744"/>
    <w:rsid w:val="00E61096"/>
    <w:rsid w:val="00E6116C"/>
    <w:rsid w:val="00E6187A"/>
    <w:rsid w:val="00E6190F"/>
    <w:rsid w:val="00E61BD2"/>
    <w:rsid w:val="00E61C83"/>
    <w:rsid w:val="00E61E51"/>
    <w:rsid w:val="00E62368"/>
    <w:rsid w:val="00E62596"/>
    <w:rsid w:val="00E6262B"/>
    <w:rsid w:val="00E62858"/>
    <w:rsid w:val="00E628DF"/>
    <w:rsid w:val="00E62A25"/>
    <w:rsid w:val="00E62F31"/>
    <w:rsid w:val="00E62FA5"/>
    <w:rsid w:val="00E630C1"/>
    <w:rsid w:val="00E6316B"/>
    <w:rsid w:val="00E63D36"/>
    <w:rsid w:val="00E63EF1"/>
    <w:rsid w:val="00E6408D"/>
    <w:rsid w:val="00E640F4"/>
    <w:rsid w:val="00E64382"/>
    <w:rsid w:val="00E64714"/>
    <w:rsid w:val="00E647E6"/>
    <w:rsid w:val="00E64BE7"/>
    <w:rsid w:val="00E6512F"/>
    <w:rsid w:val="00E655B6"/>
    <w:rsid w:val="00E656A9"/>
    <w:rsid w:val="00E657C7"/>
    <w:rsid w:val="00E65A41"/>
    <w:rsid w:val="00E65A5E"/>
    <w:rsid w:val="00E65DEF"/>
    <w:rsid w:val="00E65FCA"/>
    <w:rsid w:val="00E6603E"/>
    <w:rsid w:val="00E66D6F"/>
    <w:rsid w:val="00E66ED6"/>
    <w:rsid w:val="00E66FA1"/>
    <w:rsid w:val="00E672D6"/>
    <w:rsid w:val="00E67627"/>
    <w:rsid w:val="00E676C2"/>
    <w:rsid w:val="00E679D3"/>
    <w:rsid w:val="00E67E3B"/>
    <w:rsid w:val="00E70265"/>
    <w:rsid w:val="00E702C3"/>
    <w:rsid w:val="00E7099C"/>
    <w:rsid w:val="00E70A0B"/>
    <w:rsid w:val="00E70AF0"/>
    <w:rsid w:val="00E70C1A"/>
    <w:rsid w:val="00E70DC8"/>
    <w:rsid w:val="00E70F39"/>
    <w:rsid w:val="00E7111F"/>
    <w:rsid w:val="00E7115C"/>
    <w:rsid w:val="00E711BD"/>
    <w:rsid w:val="00E71393"/>
    <w:rsid w:val="00E71501"/>
    <w:rsid w:val="00E716EE"/>
    <w:rsid w:val="00E71724"/>
    <w:rsid w:val="00E71B2B"/>
    <w:rsid w:val="00E72557"/>
    <w:rsid w:val="00E7264E"/>
    <w:rsid w:val="00E728B5"/>
    <w:rsid w:val="00E72A77"/>
    <w:rsid w:val="00E72F4E"/>
    <w:rsid w:val="00E73361"/>
    <w:rsid w:val="00E739F3"/>
    <w:rsid w:val="00E73CC0"/>
    <w:rsid w:val="00E741A4"/>
    <w:rsid w:val="00E7493C"/>
    <w:rsid w:val="00E74A22"/>
    <w:rsid w:val="00E74ED3"/>
    <w:rsid w:val="00E75037"/>
    <w:rsid w:val="00E752B6"/>
    <w:rsid w:val="00E7540C"/>
    <w:rsid w:val="00E75ABA"/>
    <w:rsid w:val="00E75B76"/>
    <w:rsid w:val="00E75BAA"/>
    <w:rsid w:val="00E75C26"/>
    <w:rsid w:val="00E75D23"/>
    <w:rsid w:val="00E75F03"/>
    <w:rsid w:val="00E760DD"/>
    <w:rsid w:val="00E76134"/>
    <w:rsid w:val="00E766F9"/>
    <w:rsid w:val="00E76957"/>
    <w:rsid w:val="00E77362"/>
    <w:rsid w:val="00E77543"/>
    <w:rsid w:val="00E77AD4"/>
    <w:rsid w:val="00E77B94"/>
    <w:rsid w:val="00E80029"/>
    <w:rsid w:val="00E800E0"/>
    <w:rsid w:val="00E8038D"/>
    <w:rsid w:val="00E8052E"/>
    <w:rsid w:val="00E807A4"/>
    <w:rsid w:val="00E8094E"/>
    <w:rsid w:val="00E80B2B"/>
    <w:rsid w:val="00E80D74"/>
    <w:rsid w:val="00E81139"/>
    <w:rsid w:val="00E813F7"/>
    <w:rsid w:val="00E814A8"/>
    <w:rsid w:val="00E8156E"/>
    <w:rsid w:val="00E81C54"/>
    <w:rsid w:val="00E81D61"/>
    <w:rsid w:val="00E8200C"/>
    <w:rsid w:val="00E8227A"/>
    <w:rsid w:val="00E8279D"/>
    <w:rsid w:val="00E82854"/>
    <w:rsid w:val="00E82A43"/>
    <w:rsid w:val="00E82B97"/>
    <w:rsid w:val="00E83188"/>
    <w:rsid w:val="00E831F2"/>
    <w:rsid w:val="00E836C6"/>
    <w:rsid w:val="00E8414A"/>
    <w:rsid w:val="00E8498E"/>
    <w:rsid w:val="00E84D10"/>
    <w:rsid w:val="00E84D55"/>
    <w:rsid w:val="00E84DA1"/>
    <w:rsid w:val="00E84E26"/>
    <w:rsid w:val="00E85214"/>
    <w:rsid w:val="00E85422"/>
    <w:rsid w:val="00E85710"/>
    <w:rsid w:val="00E85C6D"/>
    <w:rsid w:val="00E85D27"/>
    <w:rsid w:val="00E85D51"/>
    <w:rsid w:val="00E85F49"/>
    <w:rsid w:val="00E86072"/>
    <w:rsid w:val="00E862ED"/>
    <w:rsid w:val="00E866B9"/>
    <w:rsid w:val="00E8670C"/>
    <w:rsid w:val="00E86E9E"/>
    <w:rsid w:val="00E87019"/>
    <w:rsid w:val="00E87607"/>
    <w:rsid w:val="00E87B87"/>
    <w:rsid w:val="00E90083"/>
    <w:rsid w:val="00E900C0"/>
    <w:rsid w:val="00E90137"/>
    <w:rsid w:val="00E90167"/>
    <w:rsid w:val="00E9048B"/>
    <w:rsid w:val="00E906DA"/>
    <w:rsid w:val="00E906ED"/>
    <w:rsid w:val="00E90EB1"/>
    <w:rsid w:val="00E91605"/>
    <w:rsid w:val="00E9171F"/>
    <w:rsid w:val="00E9196B"/>
    <w:rsid w:val="00E91DE5"/>
    <w:rsid w:val="00E92499"/>
    <w:rsid w:val="00E927CB"/>
    <w:rsid w:val="00E92A01"/>
    <w:rsid w:val="00E92E45"/>
    <w:rsid w:val="00E92E8F"/>
    <w:rsid w:val="00E92F20"/>
    <w:rsid w:val="00E93169"/>
    <w:rsid w:val="00E9325A"/>
    <w:rsid w:val="00E9360F"/>
    <w:rsid w:val="00E93806"/>
    <w:rsid w:val="00E9383D"/>
    <w:rsid w:val="00E9385A"/>
    <w:rsid w:val="00E93B3A"/>
    <w:rsid w:val="00E93E3C"/>
    <w:rsid w:val="00E942C3"/>
    <w:rsid w:val="00E947A1"/>
    <w:rsid w:val="00E950C6"/>
    <w:rsid w:val="00E950E0"/>
    <w:rsid w:val="00E952AF"/>
    <w:rsid w:val="00E9547C"/>
    <w:rsid w:val="00E95A24"/>
    <w:rsid w:val="00E95AD7"/>
    <w:rsid w:val="00E95D92"/>
    <w:rsid w:val="00E960B9"/>
    <w:rsid w:val="00E963F0"/>
    <w:rsid w:val="00E9650C"/>
    <w:rsid w:val="00E96545"/>
    <w:rsid w:val="00E96648"/>
    <w:rsid w:val="00E966B2"/>
    <w:rsid w:val="00E969A8"/>
    <w:rsid w:val="00E96A41"/>
    <w:rsid w:val="00E96D68"/>
    <w:rsid w:val="00E96F75"/>
    <w:rsid w:val="00E97071"/>
    <w:rsid w:val="00E97465"/>
    <w:rsid w:val="00E976C8"/>
    <w:rsid w:val="00E977E6"/>
    <w:rsid w:val="00E97C09"/>
    <w:rsid w:val="00E97E62"/>
    <w:rsid w:val="00EA07D1"/>
    <w:rsid w:val="00EA0897"/>
    <w:rsid w:val="00EA0A0F"/>
    <w:rsid w:val="00EA0A16"/>
    <w:rsid w:val="00EA0BB0"/>
    <w:rsid w:val="00EA0EC8"/>
    <w:rsid w:val="00EA0F22"/>
    <w:rsid w:val="00EA157F"/>
    <w:rsid w:val="00EA15F5"/>
    <w:rsid w:val="00EA19B3"/>
    <w:rsid w:val="00EA1AB6"/>
    <w:rsid w:val="00EA1E3E"/>
    <w:rsid w:val="00EA1E6C"/>
    <w:rsid w:val="00EA20BC"/>
    <w:rsid w:val="00EA2446"/>
    <w:rsid w:val="00EA28EB"/>
    <w:rsid w:val="00EA2AEB"/>
    <w:rsid w:val="00EA2BF3"/>
    <w:rsid w:val="00EA2CA1"/>
    <w:rsid w:val="00EA2D6E"/>
    <w:rsid w:val="00EA2E7F"/>
    <w:rsid w:val="00EA2EB1"/>
    <w:rsid w:val="00EA32C3"/>
    <w:rsid w:val="00EA35E4"/>
    <w:rsid w:val="00EA3757"/>
    <w:rsid w:val="00EA38FA"/>
    <w:rsid w:val="00EA39F2"/>
    <w:rsid w:val="00EA3A2E"/>
    <w:rsid w:val="00EA3DE7"/>
    <w:rsid w:val="00EA3E97"/>
    <w:rsid w:val="00EA3ECC"/>
    <w:rsid w:val="00EA439B"/>
    <w:rsid w:val="00EA4801"/>
    <w:rsid w:val="00EA4B52"/>
    <w:rsid w:val="00EA4BB1"/>
    <w:rsid w:val="00EA55AA"/>
    <w:rsid w:val="00EA572F"/>
    <w:rsid w:val="00EA5730"/>
    <w:rsid w:val="00EA5736"/>
    <w:rsid w:val="00EA58AD"/>
    <w:rsid w:val="00EA5A9B"/>
    <w:rsid w:val="00EA5B3C"/>
    <w:rsid w:val="00EA5D8F"/>
    <w:rsid w:val="00EA5EFB"/>
    <w:rsid w:val="00EA5F3F"/>
    <w:rsid w:val="00EA5F8E"/>
    <w:rsid w:val="00EA6186"/>
    <w:rsid w:val="00EA627B"/>
    <w:rsid w:val="00EA6373"/>
    <w:rsid w:val="00EA63D2"/>
    <w:rsid w:val="00EA640F"/>
    <w:rsid w:val="00EA643B"/>
    <w:rsid w:val="00EA69F4"/>
    <w:rsid w:val="00EA6D66"/>
    <w:rsid w:val="00EA719F"/>
    <w:rsid w:val="00EA7556"/>
    <w:rsid w:val="00EA77C6"/>
    <w:rsid w:val="00EA78DD"/>
    <w:rsid w:val="00EA7AC7"/>
    <w:rsid w:val="00EA7AF1"/>
    <w:rsid w:val="00EA7C69"/>
    <w:rsid w:val="00EA7CAF"/>
    <w:rsid w:val="00EA7CDB"/>
    <w:rsid w:val="00EB0540"/>
    <w:rsid w:val="00EB06D8"/>
    <w:rsid w:val="00EB0717"/>
    <w:rsid w:val="00EB0971"/>
    <w:rsid w:val="00EB0FBD"/>
    <w:rsid w:val="00EB1682"/>
    <w:rsid w:val="00EB1B43"/>
    <w:rsid w:val="00EB2236"/>
    <w:rsid w:val="00EB232E"/>
    <w:rsid w:val="00EB2577"/>
    <w:rsid w:val="00EB293A"/>
    <w:rsid w:val="00EB2ABC"/>
    <w:rsid w:val="00EB2CDB"/>
    <w:rsid w:val="00EB2D3C"/>
    <w:rsid w:val="00EB321F"/>
    <w:rsid w:val="00EB3345"/>
    <w:rsid w:val="00EB3667"/>
    <w:rsid w:val="00EB373D"/>
    <w:rsid w:val="00EB39BF"/>
    <w:rsid w:val="00EB3D76"/>
    <w:rsid w:val="00EB3E67"/>
    <w:rsid w:val="00EB489A"/>
    <w:rsid w:val="00EB4C8D"/>
    <w:rsid w:val="00EB52DB"/>
    <w:rsid w:val="00EB54B1"/>
    <w:rsid w:val="00EB56BF"/>
    <w:rsid w:val="00EB5C60"/>
    <w:rsid w:val="00EB62C6"/>
    <w:rsid w:val="00EB63C3"/>
    <w:rsid w:val="00EB63F5"/>
    <w:rsid w:val="00EB6442"/>
    <w:rsid w:val="00EB65ED"/>
    <w:rsid w:val="00EB6A97"/>
    <w:rsid w:val="00EB6EF1"/>
    <w:rsid w:val="00EB6F02"/>
    <w:rsid w:val="00EB6F11"/>
    <w:rsid w:val="00EB709D"/>
    <w:rsid w:val="00EB7175"/>
    <w:rsid w:val="00EB7331"/>
    <w:rsid w:val="00EB76FD"/>
    <w:rsid w:val="00EB7AD5"/>
    <w:rsid w:val="00EB7C53"/>
    <w:rsid w:val="00EB7DB4"/>
    <w:rsid w:val="00EB7E18"/>
    <w:rsid w:val="00EC00FA"/>
    <w:rsid w:val="00EC0314"/>
    <w:rsid w:val="00EC0A15"/>
    <w:rsid w:val="00EC0D40"/>
    <w:rsid w:val="00EC1011"/>
    <w:rsid w:val="00EC136E"/>
    <w:rsid w:val="00EC1398"/>
    <w:rsid w:val="00EC1DC1"/>
    <w:rsid w:val="00EC1EC0"/>
    <w:rsid w:val="00EC2070"/>
    <w:rsid w:val="00EC265F"/>
    <w:rsid w:val="00EC2A35"/>
    <w:rsid w:val="00EC2AEB"/>
    <w:rsid w:val="00EC2BAB"/>
    <w:rsid w:val="00EC2CB8"/>
    <w:rsid w:val="00EC2EDF"/>
    <w:rsid w:val="00EC2F38"/>
    <w:rsid w:val="00EC3226"/>
    <w:rsid w:val="00EC3305"/>
    <w:rsid w:val="00EC3399"/>
    <w:rsid w:val="00EC3DB6"/>
    <w:rsid w:val="00EC3E79"/>
    <w:rsid w:val="00EC3FF4"/>
    <w:rsid w:val="00EC4AA5"/>
    <w:rsid w:val="00EC4D22"/>
    <w:rsid w:val="00EC4E05"/>
    <w:rsid w:val="00EC4EC6"/>
    <w:rsid w:val="00EC5150"/>
    <w:rsid w:val="00EC5507"/>
    <w:rsid w:val="00EC59FC"/>
    <w:rsid w:val="00EC5A3D"/>
    <w:rsid w:val="00EC5A92"/>
    <w:rsid w:val="00EC627C"/>
    <w:rsid w:val="00EC65C1"/>
    <w:rsid w:val="00EC69CF"/>
    <w:rsid w:val="00EC69D1"/>
    <w:rsid w:val="00EC6B0F"/>
    <w:rsid w:val="00EC6FD2"/>
    <w:rsid w:val="00EC721F"/>
    <w:rsid w:val="00EC759A"/>
    <w:rsid w:val="00EC767A"/>
    <w:rsid w:val="00EC7753"/>
    <w:rsid w:val="00EC7870"/>
    <w:rsid w:val="00EC799D"/>
    <w:rsid w:val="00EC7AAA"/>
    <w:rsid w:val="00EC7DB0"/>
    <w:rsid w:val="00EC7EDE"/>
    <w:rsid w:val="00EC7F82"/>
    <w:rsid w:val="00ED0180"/>
    <w:rsid w:val="00ED057B"/>
    <w:rsid w:val="00ED06E0"/>
    <w:rsid w:val="00ED0780"/>
    <w:rsid w:val="00ED0E1E"/>
    <w:rsid w:val="00ED0F64"/>
    <w:rsid w:val="00ED1106"/>
    <w:rsid w:val="00ED17B7"/>
    <w:rsid w:val="00ED1B96"/>
    <w:rsid w:val="00ED1C29"/>
    <w:rsid w:val="00ED2010"/>
    <w:rsid w:val="00ED21BE"/>
    <w:rsid w:val="00ED2307"/>
    <w:rsid w:val="00ED2486"/>
    <w:rsid w:val="00ED2712"/>
    <w:rsid w:val="00ED2A43"/>
    <w:rsid w:val="00ED2CEE"/>
    <w:rsid w:val="00ED30FF"/>
    <w:rsid w:val="00ED3373"/>
    <w:rsid w:val="00ED3839"/>
    <w:rsid w:val="00ED39D9"/>
    <w:rsid w:val="00ED3CE1"/>
    <w:rsid w:val="00ED4275"/>
    <w:rsid w:val="00ED4579"/>
    <w:rsid w:val="00ED468C"/>
    <w:rsid w:val="00ED579A"/>
    <w:rsid w:val="00ED5B56"/>
    <w:rsid w:val="00ED5BF9"/>
    <w:rsid w:val="00ED5E8F"/>
    <w:rsid w:val="00ED5E98"/>
    <w:rsid w:val="00ED622B"/>
    <w:rsid w:val="00ED64EB"/>
    <w:rsid w:val="00ED6985"/>
    <w:rsid w:val="00ED6CB1"/>
    <w:rsid w:val="00ED6D54"/>
    <w:rsid w:val="00ED70DF"/>
    <w:rsid w:val="00ED71F4"/>
    <w:rsid w:val="00ED74F6"/>
    <w:rsid w:val="00ED75DC"/>
    <w:rsid w:val="00ED78B3"/>
    <w:rsid w:val="00ED7AD8"/>
    <w:rsid w:val="00ED7BFA"/>
    <w:rsid w:val="00ED7D6D"/>
    <w:rsid w:val="00ED7F24"/>
    <w:rsid w:val="00EE013E"/>
    <w:rsid w:val="00EE0191"/>
    <w:rsid w:val="00EE02A2"/>
    <w:rsid w:val="00EE0309"/>
    <w:rsid w:val="00EE0354"/>
    <w:rsid w:val="00EE041E"/>
    <w:rsid w:val="00EE0854"/>
    <w:rsid w:val="00EE0CCB"/>
    <w:rsid w:val="00EE15BE"/>
    <w:rsid w:val="00EE1C4F"/>
    <w:rsid w:val="00EE1C60"/>
    <w:rsid w:val="00EE1EA8"/>
    <w:rsid w:val="00EE2075"/>
    <w:rsid w:val="00EE21CB"/>
    <w:rsid w:val="00EE241F"/>
    <w:rsid w:val="00EE25D4"/>
    <w:rsid w:val="00EE2ABC"/>
    <w:rsid w:val="00EE2F70"/>
    <w:rsid w:val="00EE306D"/>
    <w:rsid w:val="00EE36A1"/>
    <w:rsid w:val="00EE373B"/>
    <w:rsid w:val="00EE3A39"/>
    <w:rsid w:val="00EE3CFF"/>
    <w:rsid w:val="00EE4488"/>
    <w:rsid w:val="00EE4555"/>
    <w:rsid w:val="00EE4B86"/>
    <w:rsid w:val="00EE4C90"/>
    <w:rsid w:val="00EE4D7A"/>
    <w:rsid w:val="00EE4E0E"/>
    <w:rsid w:val="00EE4F7F"/>
    <w:rsid w:val="00EE4FA8"/>
    <w:rsid w:val="00EE5105"/>
    <w:rsid w:val="00EE5EF3"/>
    <w:rsid w:val="00EE5FF3"/>
    <w:rsid w:val="00EE6269"/>
    <w:rsid w:val="00EE6381"/>
    <w:rsid w:val="00EE65D0"/>
    <w:rsid w:val="00EE67C0"/>
    <w:rsid w:val="00EE6E52"/>
    <w:rsid w:val="00EE72BF"/>
    <w:rsid w:val="00EE7DE7"/>
    <w:rsid w:val="00EE7FA9"/>
    <w:rsid w:val="00EF01C5"/>
    <w:rsid w:val="00EF0300"/>
    <w:rsid w:val="00EF031F"/>
    <w:rsid w:val="00EF0654"/>
    <w:rsid w:val="00EF09CE"/>
    <w:rsid w:val="00EF0B05"/>
    <w:rsid w:val="00EF0B26"/>
    <w:rsid w:val="00EF0C78"/>
    <w:rsid w:val="00EF0FFB"/>
    <w:rsid w:val="00EF11A7"/>
    <w:rsid w:val="00EF13DB"/>
    <w:rsid w:val="00EF141A"/>
    <w:rsid w:val="00EF15FB"/>
    <w:rsid w:val="00EF160E"/>
    <w:rsid w:val="00EF1766"/>
    <w:rsid w:val="00EF1A8E"/>
    <w:rsid w:val="00EF1BC4"/>
    <w:rsid w:val="00EF1CEF"/>
    <w:rsid w:val="00EF1D50"/>
    <w:rsid w:val="00EF1DFA"/>
    <w:rsid w:val="00EF2027"/>
    <w:rsid w:val="00EF2518"/>
    <w:rsid w:val="00EF251A"/>
    <w:rsid w:val="00EF2527"/>
    <w:rsid w:val="00EF263D"/>
    <w:rsid w:val="00EF267D"/>
    <w:rsid w:val="00EF2EA2"/>
    <w:rsid w:val="00EF2EAE"/>
    <w:rsid w:val="00EF3213"/>
    <w:rsid w:val="00EF36D5"/>
    <w:rsid w:val="00EF38EC"/>
    <w:rsid w:val="00EF4074"/>
    <w:rsid w:val="00EF42ED"/>
    <w:rsid w:val="00EF4452"/>
    <w:rsid w:val="00EF487C"/>
    <w:rsid w:val="00EF4936"/>
    <w:rsid w:val="00EF4A31"/>
    <w:rsid w:val="00EF4CB7"/>
    <w:rsid w:val="00EF4CE3"/>
    <w:rsid w:val="00EF4CED"/>
    <w:rsid w:val="00EF56C3"/>
    <w:rsid w:val="00EF599A"/>
    <w:rsid w:val="00EF6439"/>
    <w:rsid w:val="00EF735B"/>
    <w:rsid w:val="00EF76FC"/>
    <w:rsid w:val="00EF790F"/>
    <w:rsid w:val="00EF7AB8"/>
    <w:rsid w:val="00EF7B51"/>
    <w:rsid w:val="00F00064"/>
    <w:rsid w:val="00F0079C"/>
    <w:rsid w:val="00F00A17"/>
    <w:rsid w:val="00F00F28"/>
    <w:rsid w:val="00F01080"/>
    <w:rsid w:val="00F01621"/>
    <w:rsid w:val="00F0217E"/>
    <w:rsid w:val="00F021D4"/>
    <w:rsid w:val="00F02314"/>
    <w:rsid w:val="00F02830"/>
    <w:rsid w:val="00F02A4D"/>
    <w:rsid w:val="00F02FC5"/>
    <w:rsid w:val="00F0313D"/>
    <w:rsid w:val="00F034EF"/>
    <w:rsid w:val="00F0360A"/>
    <w:rsid w:val="00F037EA"/>
    <w:rsid w:val="00F03879"/>
    <w:rsid w:val="00F04814"/>
    <w:rsid w:val="00F053C5"/>
    <w:rsid w:val="00F0559A"/>
    <w:rsid w:val="00F05E7B"/>
    <w:rsid w:val="00F05FF9"/>
    <w:rsid w:val="00F0636E"/>
    <w:rsid w:val="00F0687C"/>
    <w:rsid w:val="00F06D7C"/>
    <w:rsid w:val="00F0715B"/>
    <w:rsid w:val="00F07274"/>
    <w:rsid w:val="00F07781"/>
    <w:rsid w:val="00F07A0F"/>
    <w:rsid w:val="00F07B79"/>
    <w:rsid w:val="00F100F0"/>
    <w:rsid w:val="00F104FD"/>
    <w:rsid w:val="00F10901"/>
    <w:rsid w:val="00F10A55"/>
    <w:rsid w:val="00F10CCD"/>
    <w:rsid w:val="00F10CFC"/>
    <w:rsid w:val="00F10D4D"/>
    <w:rsid w:val="00F11087"/>
    <w:rsid w:val="00F110D8"/>
    <w:rsid w:val="00F114A5"/>
    <w:rsid w:val="00F114EF"/>
    <w:rsid w:val="00F11671"/>
    <w:rsid w:val="00F1184F"/>
    <w:rsid w:val="00F11950"/>
    <w:rsid w:val="00F11ACD"/>
    <w:rsid w:val="00F11F0F"/>
    <w:rsid w:val="00F128AC"/>
    <w:rsid w:val="00F129DF"/>
    <w:rsid w:val="00F12ED3"/>
    <w:rsid w:val="00F12EE1"/>
    <w:rsid w:val="00F1354A"/>
    <w:rsid w:val="00F138E3"/>
    <w:rsid w:val="00F13A42"/>
    <w:rsid w:val="00F13B65"/>
    <w:rsid w:val="00F13F3C"/>
    <w:rsid w:val="00F14008"/>
    <w:rsid w:val="00F14704"/>
    <w:rsid w:val="00F14D72"/>
    <w:rsid w:val="00F14E55"/>
    <w:rsid w:val="00F15436"/>
    <w:rsid w:val="00F156A2"/>
    <w:rsid w:val="00F15A60"/>
    <w:rsid w:val="00F15BEF"/>
    <w:rsid w:val="00F15EFC"/>
    <w:rsid w:val="00F15FFA"/>
    <w:rsid w:val="00F1651D"/>
    <w:rsid w:val="00F166B2"/>
    <w:rsid w:val="00F16711"/>
    <w:rsid w:val="00F16856"/>
    <w:rsid w:val="00F16B72"/>
    <w:rsid w:val="00F16E27"/>
    <w:rsid w:val="00F16EE6"/>
    <w:rsid w:val="00F16F7C"/>
    <w:rsid w:val="00F1726D"/>
    <w:rsid w:val="00F1766B"/>
    <w:rsid w:val="00F2000E"/>
    <w:rsid w:val="00F20161"/>
    <w:rsid w:val="00F207CD"/>
    <w:rsid w:val="00F20A7C"/>
    <w:rsid w:val="00F20C41"/>
    <w:rsid w:val="00F20EEA"/>
    <w:rsid w:val="00F211F2"/>
    <w:rsid w:val="00F212C1"/>
    <w:rsid w:val="00F212FF"/>
    <w:rsid w:val="00F216BA"/>
    <w:rsid w:val="00F21B25"/>
    <w:rsid w:val="00F21D43"/>
    <w:rsid w:val="00F22578"/>
    <w:rsid w:val="00F226A6"/>
    <w:rsid w:val="00F22B93"/>
    <w:rsid w:val="00F22E63"/>
    <w:rsid w:val="00F22F37"/>
    <w:rsid w:val="00F22F4B"/>
    <w:rsid w:val="00F23030"/>
    <w:rsid w:val="00F236A9"/>
    <w:rsid w:val="00F23977"/>
    <w:rsid w:val="00F23C60"/>
    <w:rsid w:val="00F23D01"/>
    <w:rsid w:val="00F24033"/>
    <w:rsid w:val="00F241FD"/>
    <w:rsid w:val="00F247FA"/>
    <w:rsid w:val="00F24AF0"/>
    <w:rsid w:val="00F24BDD"/>
    <w:rsid w:val="00F24DD1"/>
    <w:rsid w:val="00F24E8D"/>
    <w:rsid w:val="00F24EB7"/>
    <w:rsid w:val="00F24F41"/>
    <w:rsid w:val="00F25580"/>
    <w:rsid w:val="00F2559A"/>
    <w:rsid w:val="00F257C9"/>
    <w:rsid w:val="00F26349"/>
    <w:rsid w:val="00F263B1"/>
    <w:rsid w:val="00F26503"/>
    <w:rsid w:val="00F26AF6"/>
    <w:rsid w:val="00F26C7A"/>
    <w:rsid w:val="00F26D3C"/>
    <w:rsid w:val="00F2705C"/>
    <w:rsid w:val="00F274A0"/>
    <w:rsid w:val="00F27650"/>
    <w:rsid w:val="00F278BE"/>
    <w:rsid w:val="00F2799F"/>
    <w:rsid w:val="00F27AA4"/>
    <w:rsid w:val="00F27BBF"/>
    <w:rsid w:val="00F27CFE"/>
    <w:rsid w:val="00F27E73"/>
    <w:rsid w:val="00F27E7E"/>
    <w:rsid w:val="00F27F38"/>
    <w:rsid w:val="00F30245"/>
    <w:rsid w:val="00F304A0"/>
    <w:rsid w:val="00F3083A"/>
    <w:rsid w:val="00F30929"/>
    <w:rsid w:val="00F30AF2"/>
    <w:rsid w:val="00F30B88"/>
    <w:rsid w:val="00F31206"/>
    <w:rsid w:val="00F31947"/>
    <w:rsid w:val="00F32150"/>
    <w:rsid w:val="00F3215F"/>
    <w:rsid w:val="00F32429"/>
    <w:rsid w:val="00F326C0"/>
    <w:rsid w:val="00F32A28"/>
    <w:rsid w:val="00F32DEF"/>
    <w:rsid w:val="00F32EE6"/>
    <w:rsid w:val="00F33047"/>
    <w:rsid w:val="00F33696"/>
    <w:rsid w:val="00F33C43"/>
    <w:rsid w:val="00F33ECB"/>
    <w:rsid w:val="00F3408A"/>
    <w:rsid w:val="00F34221"/>
    <w:rsid w:val="00F343A3"/>
    <w:rsid w:val="00F34DE0"/>
    <w:rsid w:val="00F34E23"/>
    <w:rsid w:val="00F34EE6"/>
    <w:rsid w:val="00F351B3"/>
    <w:rsid w:val="00F352DA"/>
    <w:rsid w:val="00F35A96"/>
    <w:rsid w:val="00F35C6A"/>
    <w:rsid w:val="00F360E9"/>
    <w:rsid w:val="00F3636D"/>
    <w:rsid w:val="00F36420"/>
    <w:rsid w:val="00F36553"/>
    <w:rsid w:val="00F36793"/>
    <w:rsid w:val="00F36854"/>
    <w:rsid w:val="00F3691D"/>
    <w:rsid w:val="00F370FE"/>
    <w:rsid w:val="00F37334"/>
    <w:rsid w:val="00F37634"/>
    <w:rsid w:val="00F3765D"/>
    <w:rsid w:val="00F378B9"/>
    <w:rsid w:val="00F37974"/>
    <w:rsid w:val="00F3799D"/>
    <w:rsid w:val="00F37B9D"/>
    <w:rsid w:val="00F37C4F"/>
    <w:rsid w:val="00F37C79"/>
    <w:rsid w:val="00F37E24"/>
    <w:rsid w:val="00F40363"/>
    <w:rsid w:val="00F4044C"/>
    <w:rsid w:val="00F40639"/>
    <w:rsid w:val="00F4064D"/>
    <w:rsid w:val="00F409B3"/>
    <w:rsid w:val="00F40F6F"/>
    <w:rsid w:val="00F410E8"/>
    <w:rsid w:val="00F4154C"/>
    <w:rsid w:val="00F41B95"/>
    <w:rsid w:val="00F42CC8"/>
    <w:rsid w:val="00F432C8"/>
    <w:rsid w:val="00F4354C"/>
    <w:rsid w:val="00F43741"/>
    <w:rsid w:val="00F4431E"/>
    <w:rsid w:val="00F44A54"/>
    <w:rsid w:val="00F44B47"/>
    <w:rsid w:val="00F44D52"/>
    <w:rsid w:val="00F45171"/>
    <w:rsid w:val="00F452FC"/>
    <w:rsid w:val="00F4540C"/>
    <w:rsid w:val="00F454A4"/>
    <w:rsid w:val="00F455B9"/>
    <w:rsid w:val="00F45F9F"/>
    <w:rsid w:val="00F46076"/>
    <w:rsid w:val="00F460F9"/>
    <w:rsid w:val="00F46615"/>
    <w:rsid w:val="00F46662"/>
    <w:rsid w:val="00F46F6D"/>
    <w:rsid w:val="00F47207"/>
    <w:rsid w:val="00F47576"/>
    <w:rsid w:val="00F475BB"/>
    <w:rsid w:val="00F476BF"/>
    <w:rsid w:val="00F476DF"/>
    <w:rsid w:val="00F47877"/>
    <w:rsid w:val="00F47ACC"/>
    <w:rsid w:val="00F47EC9"/>
    <w:rsid w:val="00F50284"/>
    <w:rsid w:val="00F503FD"/>
    <w:rsid w:val="00F50B69"/>
    <w:rsid w:val="00F50F3C"/>
    <w:rsid w:val="00F51049"/>
    <w:rsid w:val="00F5106F"/>
    <w:rsid w:val="00F5185A"/>
    <w:rsid w:val="00F51AFF"/>
    <w:rsid w:val="00F51CA6"/>
    <w:rsid w:val="00F521D6"/>
    <w:rsid w:val="00F52425"/>
    <w:rsid w:val="00F52938"/>
    <w:rsid w:val="00F52A34"/>
    <w:rsid w:val="00F52AB5"/>
    <w:rsid w:val="00F52B1D"/>
    <w:rsid w:val="00F52ED1"/>
    <w:rsid w:val="00F530B7"/>
    <w:rsid w:val="00F532FF"/>
    <w:rsid w:val="00F53395"/>
    <w:rsid w:val="00F535E1"/>
    <w:rsid w:val="00F539BD"/>
    <w:rsid w:val="00F53EFE"/>
    <w:rsid w:val="00F53FD3"/>
    <w:rsid w:val="00F54069"/>
    <w:rsid w:val="00F5439B"/>
    <w:rsid w:val="00F54758"/>
    <w:rsid w:val="00F54826"/>
    <w:rsid w:val="00F54848"/>
    <w:rsid w:val="00F5488B"/>
    <w:rsid w:val="00F548D4"/>
    <w:rsid w:val="00F548F0"/>
    <w:rsid w:val="00F549B0"/>
    <w:rsid w:val="00F54AF7"/>
    <w:rsid w:val="00F54C65"/>
    <w:rsid w:val="00F54E50"/>
    <w:rsid w:val="00F5524F"/>
    <w:rsid w:val="00F55355"/>
    <w:rsid w:val="00F553C8"/>
    <w:rsid w:val="00F554B2"/>
    <w:rsid w:val="00F55511"/>
    <w:rsid w:val="00F5576B"/>
    <w:rsid w:val="00F55F76"/>
    <w:rsid w:val="00F5649B"/>
    <w:rsid w:val="00F5661C"/>
    <w:rsid w:val="00F5668C"/>
    <w:rsid w:val="00F56739"/>
    <w:rsid w:val="00F567E9"/>
    <w:rsid w:val="00F56A1C"/>
    <w:rsid w:val="00F56B4B"/>
    <w:rsid w:val="00F574C0"/>
    <w:rsid w:val="00F57992"/>
    <w:rsid w:val="00F57AFD"/>
    <w:rsid w:val="00F60190"/>
    <w:rsid w:val="00F60615"/>
    <w:rsid w:val="00F60683"/>
    <w:rsid w:val="00F6098C"/>
    <w:rsid w:val="00F60D68"/>
    <w:rsid w:val="00F61520"/>
    <w:rsid w:val="00F61AFB"/>
    <w:rsid w:val="00F61D02"/>
    <w:rsid w:val="00F61DB5"/>
    <w:rsid w:val="00F621E7"/>
    <w:rsid w:val="00F62272"/>
    <w:rsid w:val="00F6294A"/>
    <w:rsid w:val="00F629EF"/>
    <w:rsid w:val="00F62A1B"/>
    <w:rsid w:val="00F62ADB"/>
    <w:rsid w:val="00F62B7A"/>
    <w:rsid w:val="00F63025"/>
    <w:rsid w:val="00F635AC"/>
    <w:rsid w:val="00F63D61"/>
    <w:rsid w:val="00F642E6"/>
    <w:rsid w:val="00F644EA"/>
    <w:rsid w:val="00F64588"/>
    <w:rsid w:val="00F64A0D"/>
    <w:rsid w:val="00F64B9D"/>
    <w:rsid w:val="00F64BDC"/>
    <w:rsid w:val="00F650E3"/>
    <w:rsid w:val="00F656EC"/>
    <w:rsid w:val="00F65723"/>
    <w:rsid w:val="00F659B0"/>
    <w:rsid w:val="00F659E6"/>
    <w:rsid w:val="00F65A06"/>
    <w:rsid w:val="00F65AD1"/>
    <w:rsid w:val="00F65B09"/>
    <w:rsid w:val="00F65C2A"/>
    <w:rsid w:val="00F65CCF"/>
    <w:rsid w:val="00F65E67"/>
    <w:rsid w:val="00F65E95"/>
    <w:rsid w:val="00F669B7"/>
    <w:rsid w:val="00F669F6"/>
    <w:rsid w:val="00F66BB6"/>
    <w:rsid w:val="00F66E32"/>
    <w:rsid w:val="00F66E38"/>
    <w:rsid w:val="00F67301"/>
    <w:rsid w:val="00F673EA"/>
    <w:rsid w:val="00F67434"/>
    <w:rsid w:val="00F6773E"/>
    <w:rsid w:val="00F678BB"/>
    <w:rsid w:val="00F678BF"/>
    <w:rsid w:val="00F67BA0"/>
    <w:rsid w:val="00F67C26"/>
    <w:rsid w:val="00F67FF2"/>
    <w:rsid w:val="00F70172"/>
    <w:rsid w:val="00F706C9"/>
    <w:rsid w:val="00F70E1F"/>
    <w:rsid w:val="00F70EA2"/>
    <w:rsid w:val="00F70F87"/>
    <w:rsid w:val="00F71084"/>
    <w:rsid w:val="00F713CB"/>
    <w:rsid w:val="00F71455"/>
    <w:rsid w:val="00F71949"/>
    <w:rsid w:val="00F71BE0"/>
    <w:rsid w:val="00F7209D"/>
    <w:rsid w:val="00F7218F"/>
    <w:rsid w:val="00F721FE"/>
    <w:rsid w:val="00F72240"/>
    <w:rsid w:val="00F723BA"/>
    <w:rsid w:val="00F72687"/>
    <w:rsid w:val="00F72697"/>
    <w:rsid w:val="00F7289D"/>
    <w:rsid w:val="00F72EF0"/>
    <w:rsid w:val="00F731B3"/>
    <w:rsid w:val="00F73489"/>
    <w:rsid w:val="00F739C2"/>
    <w:rsid w:val="00F73D15"/>
    <w:rsid w:val="00F74175"/>
    <w:rsid w:val="00F74276"/>
    <w:rsid w:val="00F748EB"/>
    <w:rsid w:val="00F74BF3"/>
    <w:rsid w:val="00F74EFD"/>
    <w:rsid w:val="00F74F23"/>
    <w:rsid w:val="00F75097"/>
    <w:rsid w:val="00F7520A"/>
    <w:rsid w:val="00F75214"/>
    <w:rsid w:val="00F7561F"/>
    <w:rsid w:val="00F756DE"/>
    <w:rsid w:val="00F75707"/>
    <w:rsid w:val="00F757A4"/>
    <w:rsid w:val="00F75D6A"/>
    <w:rsid w:val="00F75ED5"/>
    <w:rsid w:val="00F75F37"/>
    <w:rsid w:val="00F761CF"/>
    <w:rsid w:val="00F762DF"/>
    <w:rsid w:val="00F76792"/>
    <w:rsid w:val="00F768B8"/>
    <w:rsid w:val="00F769D4"/>
    <w:rsid w:val="00F76B4A"/>
    <w:rsid w:val="00F76C93"/>
    <w:rsid w:val="00F76CD5"/>
    <w:rsid w:val="00F76CE8"/>
    <w:rsid w:val="00F77293"/>
    <w:rsid w:val="00F773BB"/>
    <w:rsid w:val="00F77584"/>
    <w:rsid w:val="00F777A6"/>
    <w:rsid w:val="00F7781C"/>
    <w:rsid w:val="00F778C6"/>
    <w:rsid w:val="00F77C5B"/>
    <w:rsid w:val="00F77EC4"/>
    <w:rsid w:val="00F77EDF"/>
    <w:rsid w:val="00F77EE0"/>
    <w:rsid w:val="00F801C5"/>
    <w:rsid w:val="00F80417"/>
    <w:rsid w:val="00F80555"/>
    <w:rsid w:val="00F81002"/>
    <w:rsid w:val="00F8125B"/>
    <w:rsid w:val="00F813E2"/>
    <w:rsid w:val="00F81781"/>
    <w:rsid w:val="00F818D7"/>
    <w:rsid w:val="00F81B2A"/>
    <w:rsid w:val="00F81BCE"/>
    <w:rsid w:val="00F81EC2"/>
    <w:rsid w:val="00F822E7"/>
    <w:rsid w:val="00F82325"/>
    <w:rsid w:val="00F8253F"/>
    <w:rsid w:val="00F82628"/>
    <w:rsid w:val="00F8282C"/>
    <w:rsid w:val="00F829D9"/>
    <w:rsid w:val="00F82BE9"/>
    <w:rsid w:val="00F82DB8"/>
    <w:rsid w:val="00F82FE6"/>
    <w:rsid w:val="00F83550"/>
    <w:rsid w:val="00F836DE"/>
    <w:rsid w:val="00F839B5"/>
    <w:rsid w:val="00F83BBF"/>
    <w:rsid w:val="00F83C68"/>
    <w:rsid w:val="00F83F28"/>
    <w:rsid w:val="00F83FC0"/>
    <w:rsid w:val="00F84169"/>
    <w:rsid w:val="00F84302"/>
    <w:rsid w:val="00F843CA"/>
    <w:rsid w:val="00F84413"/>
    <w:rsid w:val="00F846C3"/>
    <w:rsid w:val="00F84A05"/>
    <w:rsid w:val="00F84B8B"/>
    <w:rsid w:val="00F84FE6"/>
    <w:rsid w:val="00F85041"/>
    <w:rsid w:val="00F85277"/>
    <w:rsid w:val="00F8527B"/>
    <w:rsid w:val="00F85286"/>
    <w:rsid w:val="00F85DAB"/>
    <w:rsid w:val="00F86253"/>
    <w:rsid w:val="00F8661C"/>
    <w:rsid w:val="00F86C03"/>
    <w:rsid w:val="00F87100"/>
    <w:rsid w:val="00F8710B"/>
    <w:rsid w:val="00F87733"/>
    <w:rsid w:val="00F877BD"/>
    <w:rsid w:val="00F90A72"/>
    <w:rsid w:val="00F90C71"/>
    <w:rsid w:val="00F90F24"/>
    <w:rsid w:val="00F9111D"/>
    <w:rsid w:val="00F91533"/>
    <w:rsid w:val="00F91BB1"/>
    <w:rsid w:val="00F91BB7"/>
    <w:rsid w:val="00F91C5C"/>
    <w:rsid w:val="00F91C63"/>
    <w:rsid w:val="00F9233A"/>
    <w:rsid w:val="00F92D80"/>
    <w:rsid w:val="00F92F7B"/>
    <w:rsid w:val="00F93464"/>
    <w:rsid w:val="00F93598"/>
    <w:rsid w:val="00F935CE"/>
    <w:rsid w:val="00F93C89"/>
    <w:rsid w:val="00F93F56"/>
    <w:rsid w:val="00F94318"/>
    <w:rsid w:val="00F944C5"/>
    <w:rsid w:val="00F944E1"/>
    <w:rsid w:val="00F949B1"/>
    <w:rsid w:val="00F94D20"/>
    <w:rsid w:val="00F9502D"/>
    <w:rsid w:val="00F95357"/>
    <w:rsid w:val="00F953BE"/>
    <w:rsid w:val="00F95420"/>
    <w:rsid w:val="00F95509"/>
    <w:rsid w:val="00F958B2"/>
    <w:rsid w:val="00F95DCD"/>
    <w:rsid w:val="00F96399"/>
    <w:rsid w:val="00F9682F"/>
    <w:rsid w:val="00F968BD"/>
    <w:rsid w:val="00F96BB4"/>
    <w:rsid w:val="00F96BFB"/>
    <w:rsid w:val="00F96EFB"/>
    <w:rsid w:val="00F9715B"/>
    <w:rsid w:val="00F97374"/>
    <w:rsid w:val="00F9765A"/>
    <w:rsid w:val="00F97C48"/>
    <w:rsid w:val="00F97C60"/>
    <w:rsid w:val="00FA0267"/>
    <w:rsid w:val="00FA02EC"/>
    <w:rsid w:val="00FA0506"/>
    <w:rsid w:val="00FA0599"/>
    <w:rsid w:val="00FA06E5"/>
    <w:rsid w:val="00FA0F64"/>
    <w:rsid w:val="00FA0FFF"/>
    <w:rsid w:val="00FA13AC"/>
    <w:rsid w:val="00FA155A"/>
    <w:rsid w:val="00FA19BD"/>
    <w:rsid w:val="00FA1D0E"/>
    <w:rsid w:val="00FA2172"/>
    <w:rsid w:val="00FA2917"/>
    <w:rsid w:val="00FA2A49"/>
    <w:rsid w:val="00FA2E75"/>
    <w:rsid w:val="00FA34A4"/>
    <w:rsid w:val="00FA3514"/>
    <w:rsid w:val="00FA3EE5"/>
    <w:rsid w:val="00FA45F5"/>
    <w:rsid w:val="00FA4CFA"/>
    <w:rsid w:val="00FA4E37"/>
    <w:rsid w:val="00FA51BE"/>
    <w:rsid w:val="00FA5581"/>
    <w:rsid w:val="00FA6050"/>
    <w:rsid w:val="00FA63D2"/>
    <w:rsid w:val="00FA682A"/>
    <w:rsid w:val="00FA6D62"/>
    <w:rsid w:val="00FA72B5"/>
    <w:rsid w:val="00FA7590"/>
    <w:rsid w:val="00FA77F1"/>
    <w:rsid w:val="00FA78F7"/>
    <w:rsid w:val="00FA7AB5"/>
    <w:rsid w:val="00FB026F"/>
    <w:rsid w:val="00FB02EB"/>
    <w:rsid w:val="00FB04E0"/>
    <w:rsid w:val="00FB0984"/>
    <w:rsid w:val="00FB115A"/>
    <w:rsid w:val="00FB14F4"/>
    <w:rsid w:val="00FB1780"/>
    <w:rsid w:val="00FB18B4"/>
    <w:rsid w:val="00FB19E1"/>
    <w:rsid w:val="00FB1B73"/>
    <w:rsid w:val="00FB1D4B"/>
    <w:rsid w:val="00FB1D74"/>
    <w:rsid w:val="00FB1DFF"/>
    <w:rsid w:val="00FB26BA"/>
    <w:rsid w:val="00FB28D4"/>
    <w:rsid w:val="00FB28E8"/>
    <w:rsid w:val="00FB2EE4"/>
    <w:rsid w:val="00FB331C"/>
    <w:rsid w:val="00FB34F4"/>
    <w:rsid w:val="00FB3681"/>
    <w:rsid w:val="00FB3A79"/>
    <w:rsid w:val="00FB3C06"/>
    <w:rsid w:val="00FB3F45"/>
    <w:rsid w:val="00FB428C"/>
    <w:rsid w:val="00FB434B"/>
    <w:rsid w:val="00FB44DE"/>
    <w:rsid w:val="00FB45D6"/>
    <w:rsid w:val="00FB47A1"/>
    <w:rsid w:val="00FB4F35"/>
    <w:rsid w:val="00FB4F61"/>
    <w:rsid w:val="00FB5031"/>
    <w:rsid w:val="00FB519D"/>
    <w:rsid w:val="00FB52A8"/>
    <w:rsid w:val="00FB52E8"/>
    <w:rsid w:val="00FB5604"/>
    <w:rsid w:val="00FB5ACC"/>
    <w:rsid w:val="00FB5BA6"/>
    <w:rsid w:val="00FB5BC5"/>
    <w:rsid w:val="00FB66D9"/>
    <w:rsid w:val="00FB6905"/>
    <w:rsid w:val="00FB69F5"/>
    <w:rsid w:val="00FB6BA7"/>
    <w:rsid w:val="00FB6C34"/>
    <w:rsid w:val="00FB7520"/>
    <w:rsid w:val="00FB757F"/>
    <w:rsid w:val="00FB7604"/>
    <w:rsid w:val="00FB7625"/>
    <w:rsid w:val="00FB763C"/>
    <w:rsid w:val="00FB76DD"/>
    <w:rsid w:val="00FC0031"/>
    <w:rsid w:val="00FC009D"/>
    <w:rsid w:val="00FC01EE"/>
    <w:rsid w:val="00FC02FD"/>
    <w:rsid w:val="00FC03B8"/>
    <w:rsid w:val="00FC08DC"/>
    <w:rsid w:val="00FC0F57"/>
    <w:rsid w:val="00FC0F59"/>
    <w:rsid w:val="00FC13BA"/>
    <w:rsid w:val="00FC17B0"/>
    <w:rsid w:val="00FC1FC8"/>
    <w:rsid w:val="00FC2146"/>
    <w:rsid w:val="00FC2499"/>
    <w:rsid w:val="00FC2C0A"/>
    <w:rsid w:val="00FC2CC4"/>
    <w:rsid w:val="00FC2F67"/>
    <w:rsid w:val="00FC3112"/>
    <w:rsid w:val="00FC3160"/>
    <w:rsid w:val="00FC33E5"/>
    <w:rsid w:val="00FC346C"/>
    <w:rsid w:val="00FC3707"/>
    <w:rsid w:val="00FC393C"/>
    <w:rsid w:val="00FC3A53"/>
    <w:rsid w:val="00FC3DC5"/>
    <w:rsid w:val="00FC3FF7"/>
    <w:rsid w:val="00FC42CB"/>
    <w:rsid w:val="00FC435B"/>
    <w:rsid w:val="00FC4392"/>
    <w:rsid w:val="00FC45D1"/>
    <w:rsid w:val="00FC46CE"/>
    <w:rsid w:val="00FC46F8"/>
    <w:rsid w:val="00FC498E"/>
    <w:rsid w:val="00FC49EC"/>
    <w:rsid w:val="00FC4CBD"/>
    <w:rsid w:val="00FC4D0E"/>
    <w:rsid w:val="00FC50F3"/>
    <w:rsid w:val="00FC52B4"/>
    <w:rsid w:val="00FC5538"/>
    <w:rsid w:val="00FC559F"/>
    <w:rsid w:val="00FC575F"/>
    <w:rsid w:val="00FC5774"/>
    <w:rsid w:val="00FC5D80"/>
    <w:rsid w:val="00FC5E4A"/>
    <w:rsid w:val="00FC6180"/>
    <w:rsid w:val="00FC61DA"/>
    <w:rsid w:val="00FC62B1"/>
    <w:rsid w:val="00FC637F"/>
    <w:rsid w:val="00FC6516"/>
    <w:rsid w:val="00FC6535"/>
    <w:rsid w:val="00FC65E2"/>
    <w:rsid w:val="00FC6641"/>
    <w:rsid w:val="00FC6863"/>
    <w:rsid w:val="00FC68C7"/>
    <w:rsid w:val="00FC6A1F"/>
    <w:rsid w:val="00FC6DD2"/>
    <w:rsid w:val="00FD022F"/>
    <w:rsid w:val="00FD02A1"/>
    <w:rsid w:val="00FD0320"/>
    <w:rsid w:val="00FD09C8"/>
    <w:rsid w:val="00FD0A27"/>
    <w:rsid w:val="00FD0BDF"/>
    <w:rsid w:val="00FD0C97"/>
    <w:rsid w:val="00FD0DE2"/>
    <w:rsid w:val="00FD1367"/>
    <w:rsid w:val="00FD1544"/>
    <w:rsid w:val="00FD173F"/>
    <w:rsid w:val="00FD1806"/>
    <w:rsid w:val="00FD1C5D"/>
    <w:rsid w:val="00FD2200"/>
    <w:rsid w:val="00FD25F9"/>
    <w:rsid w:val="00FD26BC"/>
    <w:rsid w:val="00FD359A"/>
    <w:rsid w:val="00FD36AD"/>
    <w:rsid w:val="00FD3D16"/>
    <w:rsid w:val="00FD3D4D"/>
    <w:rsid w:val="00FD43FC"/>
    <w:rsid w:val="00FD4571"/>
    <w:rsid w:val="00FD4B72"/>
    <w:rsid w:val="00FD5515"/>
    <w:rsid w:val="00FD57E2"/>
    <w:rsid w:val="00FD58CC"/>
    <w:rsid w:val="00FD5CBC"/>
    <w:rsid w:val="00FD61D0"/>
    <w:rsid w:val="00FD6346"/>
    <w:rsid w:val="00FD637D"/>
    <w:rsid w:val="00FD6911"/>
    <w:rsid w:val="00FD6C55"/>
    <w:rsid w:val="00FD6D6B"/>
    <w:rsid w:val="00FD7052"/>
    <w:rsid w:val="00FD7166"/>
    <w:rsid w:val="00FD72EC"/>
    <w:rsid w:val="00FD734E"/>
    <w:rsid w:val="00FD74DA"/>
    <w:rsid w:val="00FD7C9B"/>
    <w:rsid w:val="00FD7FC6"/>
    <w:rsid w:val="00FE02CF"/>
    <w:rsid w:val="00FE06A5"/>
    <w:rsid w:val="00FE088A"/>
    <w:rsid w:val="00FE0EF3"/>
    <w:rsid w:val="00FE1012"/>
    <w:rsid w:val="00FE105B"/>
    <w:rsid w:val="00FE15D7"/>
    <w:rsid w:val="00FE1882"/>
    <w:rsid w:val="00FE1AF4"/>
    <w:rsid w:val="00FE1E19"/>
    <w:rsid w:val="00FE2192"/>
    <w:rsid w:val="00FE265E"/>
    <w:rsid w:val="00FE26EE"/>
    <w:rsid w:val="00FE2CA9"/>
    <w:rsid w:val="00FE30C0"/>
    <w:rsid w:val="00FE32B9"/>
    <w:rsid w:val="00FE37F7"/>
    <w:rsid w:val="00FE38D0"/>
    <w:rsid w:val="00FE41CC"/>
    <w:rsid w:val="00FE41F4"/>
    <w:rsid w:val="00FE430D"/>
    <w:rsid w:val="00FE4313"/>
    <w:rsid w:val="00FE4524"/>
    <w:rsid w:val="00FE459D"/>
    <w:rsid w:val="00FE4654"/>
    <w:rsid w:val="00FE47BC"/>
    <w:rsid w:val="00FE4ADE"/>
    <w:rsid w:val="00FE4B26"/>
    <w:rsid w:val="00FE4BD0"/>
    <w:rsid w:val="00FE4DC2"/>
    <w:rsid w:val="00FE51E6"/>
    <w:rsid w:val="00FE552B"/>
    <w:rsid w:val="00FE571D"/>
    <w:rsid w:val="00FE5FB2"/>
    <w:rsid w:val="00FE6098"/>
    <w:rsid w:val="00FE60ED"/>
    <w:rsid w:val="00FE65DB"/>
    <w:rsid w:val="00FE6878"/>
    <w:rsid w:val="00FE6DAA"/>
    <w:rsid w:val="00FE6DEA"/>
    <w:rsid w:val="00FE74AF"/>
    <w:rsid w:val="00FE77D4"/>
    <w:rsid w:val="00FE7F1F"/>
    <w:rsid w:val="00FF052B"/>
    <w:rsid w:val="00FF05AC"/>
    <w:rsid w:val="00FF068B"/>
    <w:rsid w:val="00FF0696"/>
    <w:rsid w:val="00FF06EA"/>
    <w:rsid w:val="00FF0A8D"/>
    <w:rsid w:val="00FF1107"/>
    <w:rsid w:val="00FF1B8F"/>
    <w:rsid w:val="00FF1EAC"/>
    <w:rsid w:val="00FF1F66"/>
    <w:rsid w:val="00FF2441"/>
    <w:rsid w:val="00FF2778"/>
    <w:rsid w:val="00FF302F"/>
    <w:rsid w:val="00FF30F1"/>
    <w:rsid w:val="00FF3116"/>
    <w:rsid w:val="00FF37EC"/>
    <w:rsid w:val="00FF396C"/>
    <w:rsid w:val="00FF39CB"/>
    <w:rsid w:val="00FF3A93"/>
    <w:rsid w:val="00FF3F52"/>
    <w:rsid w:val="00FF4173"/>
    <w:rsid w:val="00FF42AF"/>
    <w:rsid w:val="00FF44DE"/>
    <w:rsid w:val="00FF4902"/>
    <w:rsid w:val="00FF4C94"/>
    <w:rsid w:val="00FF5333"/>
    <w:rsid w:val="00FF5676"/>
    <w:rsid w:val="00FF5959"/>
    <w:rsid w:val="00FF5BE0"/>
    <w:rsid w:val="00FF5C50"/>
    <w:rsid w:val="00FF5DF9"/>
    <w:rsid w:val="00FF6422"/>
    <w:rsid w:val="00FF648F"/>
    <w:rsid w:val="00FF64AC"/>
    <w:rsid w:val="00FF695D"/>
    <w:rsid w:val="00FF6A3A"/>
    <w:rsid w:val="00FF6D98"/>
    <w:rsid w:val="00FF6F9E"/>
    <w:rsid w:val="00FF714F"/>
    <w:rsid w:val="00FF7500"/>
    <w:rsid w:val="00FF751A"/>
    <w:rsid w:val="00FF7537"/>
    <w:rsid w:val="00FF794B"/>
    <w:rsid w:val="00FF7C70"/>
    <w:rsid w:val="00FF7D28"/>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34E607"/>
  <w15:docId w15:val="{75D307F5-E458-4F8D-BD49-F826703C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FA"/>
    <w:pPr>
      <w:spacing w:after="240" w:line="360" w:lineRule="auto"/>
    </w:pPr>
  </w:style>
  <w:style w:type="paragraph" w:styleId="Heading1">
    <w:name w:val="heading 1"/>
    <w:basedOn w:val="Normal"/>
    <w:next w:val="Normal"/>
    <w:link w:val="Heading1Char"/>
    <w:uiPriority w:val="9"/>
    <w:qFormat/>
    <w:rsid w:val="00D55BAF"/>
    <w:pPr>
      <w:tabs>
        <w:tab w:val="center" w:pos="4680"/>
        <w:tab w:val="right" w:pos="9360"/>
      </w:tabs>
      <w:spacing w:before="480" w:after="0"/>
      <w:contextualSpacing/>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D55BAF"/>
    <w:pPr>
      <w:tabs>
        <w:tab w:val="right" w:pos="9360"/>
      </w:tabs>
      <w:spacing w:before="200" w:after="120" w:line="480" w:lineRule="auto"/>
      <w:outlineLvl w:val="1"/>
    </w:pPr>
    <w:rPr>
      <w:rFonts w:eastAsiaTheme="majorEastAsia" w:cstheme="minorHAnsi"/>
      <w:b/>
      <w:bCs/>
      <w:sz w:val="26"/>
      <w:szCs w:val="26"/>
    </w:rPr>
  </w:style>
  <w:style w:type="paragraph" w:styleId="Heading3">
    <w:name w:val="heading 3"/>
    <w:basedOn w:val="Normal"/>
    <w:next w:val="Normal"/>
    <w:link w:val="Heading3Char"/>
    <w:uiPriority w:val="9"/>
    <w:unhideWhenUsed/>
    <w:qFormat/>
    <w:rsid w:val="00D55BAF"/>
    <w:pPr>
      <w:spacing w:before="120" w:after="120" w:line="480" w:lineRule="auto"/>
      <w:outlineLvl w:val="2"/>
    </w:pPr>
    <w:rPr>
      <w:rFonts w:eastAsiaTheme="majorEastAsia" w:cstheme="minorHAnsi"/>
      <w:b/>
      <w:bCs/>
    </w:rPr>
  </w:style>
  <w:style w:type="paragraph" w:styleId="Heading4">
    <w:name w:val="heading 4"/>
    <w:basedOn w:val="Normal"/>
    <w:next w:val="Normal"/>
    <w:link w:val="Heading4Char"/>
    <w:uiPriority w:val="9"/>
    <w:unhideWhenUsed/>
    <w:qFormat/>
    <w:rsid w:val="00D54B49"/>
    <w:pPr>
      <w:spacing w:before="200"/>
      <w:outlineLvl w:val="3"/>
    </w:pPr>
    <w:rPr>
      <w:rFonts w:eastAsiaTheme="majorEastAsia" w:cstheme="minorHAnsi"/>
      <w:bCs/>
      <w:i/>
      <w:iCs/>
    </w:rPr>
  </w:style>
  <w:style w:type="paragraph" w:styleId="Heading5">
    <w:name w:val="heading 5"/>
    <w:basedOn w:val="Normal"/>
    <w:next w:val="Normal"/>
    <w:link w:val="Heading5Char"/>
    <w:uiPriority w:val="9"/>
    <w:semiHidden/>
    <w:unhideWhenUsed/>
    <w:qFormat/>
    <w:rsid w:val="001700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700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700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700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700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FA"/>
    <w:pPr>
      <w:ind w:left="720"/>
      <w:contextualSpacing/>
    </w:pPr>
  </w:style>
  <w:style w:type="paragraph" w:styleId="BalloonText">
    <w:name w:val="Balloon Text"/>
    <w:basedOn w:val="Normal"/>
    <w:link w:val="BalloonTextChar"/>
    <w:uiPriority w:val="99"/>
    <w:semiHidden/>
    <w:unhideWhenUsed/>
    <w:rsid w:val="00AB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F7"/>
    <w:rPr>
      <w:rFonts w:ascii="Tahoma" w:hAnsi="Tahoma" w:cs="Tahoma"/>
      <w:sz w:val="16"/>
      <w:szCs w:val="16"/>
    </w:rPr>
  </w:style>
  <w:style w:type="table" w:styleId="TableGrid">
    <w:name w:val="Table Grid"/>
    <w:basedOn w:val="TableNormal"/>
    <w:uiPriority w:val="59"/>
    <w:rsid w:val="003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677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179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D55BAF"/>
    <w:rPr>
      <w:rFonts w:eastAsiaTheme="majorEastAsia" w:cstheme="minorHAnsi"/>
      <w:b/>
      <w:bCs/>
      <w:sz w:val="28"/>
      <w:szCs w:val="28"/>
    </w:rPr>
  </w:style>
  <w:style w:type="character" w:customStyle="1" w:styleId="Heading2Char">
    <w:name w:val="Heading 2 Char"/>
    <w:basedOn w:val="DefaultParagraphFont"/>
    <w:link w:val="Heading2"/>
    <w:uiPriority w:val="9"/>
    <w:rsid w:val="00D55BAF"/>
    <w:rPr>
      <w:rFonts w:eastAsiaTheme="majorEastAsia" w:cstheme="minorHAnsi"/>
      <w:b/>
      <w:bCs/>
      <w:sz w:val="26"/>
      <w:szCs w:val="26"/>
    </w:rPr>
  </w:style>
  <w:style w:type="character" w:customStyle="1" w:styleId="Heading3Char">
    <w:name w:val="Heading 3 Char"/>
    <w:basedOn w:val="DefaultParagraphFont"/>
    <w:link w:val="Heading3"/>
    <w:uiPriority w:val="9"/>
    <w:rsid w:val="00D55BAF"/>
    <w:rPr>
      <w:rFonts w:eastAsiaTheme="majorEastAsia" w:cstheme="minorHAnsi"/>
      <w:b/>
      <w:bCs/>
    </w:rPr>
  </w:style>
  <w:style w:type="character" w:customStyle="1" w:styleId="Heading4Char">
    <w:name w:val="Heading 4 Char"/>
    <w:basedOn w:val="DefaultParagraphFont"/>
    <w:link w:val="Heading4"/>
    <w:uiPriority w:val="9"/>
    <w:rsid w:val="00D54B49"/>
    <w:rPr>
      <w:rFonts w:eastAsiaTheme="majorEastAsia" w:cstheme="minorHAnsi"/>
      <w:bCs/>
      <w:i/>
      <w:iCs/>
    </w:rPr>
  </w:style>
  <w:style w:type="character" w:customStyle="1" w:styleId="Heading5Char">
    <w:name w:val="Heading 5 Char"/>
    <w:basedOn w:val="DefaultParagraphFont"/>
    <w:link w:val="Heading5"/>
    <w:uiPriority w:val="9"/>
    <w:semiHidden/>
    <w:rsid w:val="001700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700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700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700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700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700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700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700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700FA"/>
    <w:rPr>
      <w:rFonts w:asciiTheme="majorHAnsi" w:eastAsiaTheme="majorEastAsia" w:hAnsiTheme="majorHAnsi" w:cstheme="majorBidi"/>
      <w:i/>
      <w:iCs/>
      <w:spacing w:val="13"/>
      <w:sz w:val="24"/>
      <w:szCs w:val="24"/>
    </w:rPr>
  </w:style>
  <w:style w:type="character" w:styleId="Strong">
    <w:name w:val="Strong"/>
    <w:uiPriority w:val="22"/>
    <w:qFormat/>
    <w:rsid w:val="001700FA"/>
    <w:rPr>
      <w:b/>
      <w:bCs/>
    </w:rPr>
  </w:style>
  <w:style w:type="character" w:styleId="Emphasis">
    <w:name w:val="Emphasis"/>
    <w:uiPriority w:val="20"/>
    <w:qFormat/>
    <w:rsid w:val="001700FA"/>
    <w:rPr>
      <w:b/>
      <w:bCs/>
      <w:i/>
      <w:iCs/>
      <w:spacing w:val="10"/>
      <w:bdr w:val="none" w:sz="0" w:space="0" w:color="auto"/>
      <w:shd w:val="clear" w:color="auto" w:fill="auto"/>
    </w:rPr>
  </w:style>
  <w:style w:type="paragraph" w:styleId="NoSpacing">
    <w:name w:val="No Spacing"/>
    <w:basedOn w:val="Normal"/>
    <w:uiPriority w:val="1"/>
    <w:qFormat/>
    <w:rsid w:val="001700FA"/>
    <w:pPr>
      <w:spacing w:after="0" w:line="240" w:lineRule="auto"/>
    </w:pPr>
  </w:style>
  <w:style w:type="paragraph" w:styleId="Quote">
    <w:name w:val="Quote"/>
    <w:basedOn w:val="Normal"/>
    <w:next w:val="Normal"/>
    <w:link w:val="QuoteChar"/>
    <w:uiPriority w:val="29"/>
    <w:qFormat/>
    <w:rsid w:val="001700FA"/>
    <w:pPr>
      <w:spacing w:before="200" w:after="0"/>
      <w:ind w:left="360" w:right="360"/>
    </w:pPr>
    <w:rPr>
      <w:i/>
      <w:iCs/>
    </w:rPr>
  </w:style>
  <w:style w:type="character" w:customStyle="1" w:styleId="QuoteChar">
    <w:name w:val="Quote Char"/>
    <w:basedOn w:val="DefaultParagraphFont"/>
    <w:link w:val="Quote"/>
    <w:uiPriority w:val="29"/>
    <w:rsid w:val="001700FA"/>
    <w:rPr>
      <w:i/>
      <w:iCs/>
    </w:rPr>
  </w:style>
  <w:style w:type="paragraph" w:styleId="IntenseQuote">
    <w:name w:val="Intense Quote"/>
    <w:basedOn w:val="Normal"/>
    <w:next w:val="Normal"/>
    <w:link w:val="IntenseQuoteChar"/>
    <w:uiPriority w:val="30"/>
    <w:qFormat/>
    <w:rsid w:val="001700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00FA"/>
    <w:rPr>
      <w:b/>
      <w:bCs/>
      <w:i/>
      <w:iCs/>
    </w:rPr>
  </w:style>
  <w:style w:type="character" w:styleId="SubtleEmphasis">
    <w:name w:val="Subtle Emphasis"/>
    <w:uiPriority w:val="19"/>
    <w:qFormat/>
    <w:rsid w:val="001700FA"/>
    <w:rPr>
      <w:i/>
      <w:iCs/>
    </w:rPr>
  </w:style>
  <w:style w:type="character" w:styleId="IntenseEmphasis">
    <w:name w:val="Intense Emphasis"/>
    <w:uiPriority w:val="21"/>
    <w:qFormat/>
    <w:rsid w:val="001700FA"/>
    <w:rPr>
      <w:b/>
      <w:bCs/>
    </w:rPr>
  </w:style>
  <w:style w:type="character" w:styleId="SubtleReference">
    <w:name w:val="Subtle Reference"/>
    <w:uiPriority w:val="31"/>
    <w:qFormat/>
    <w:rsid w:val="001700FA"/>
    <w:rPr>
      <w:smallCaps/>
    </w:rPr>
  </w:style>
  <w:style w:type="character" w:styleId="IntenseReference">
    <w:name w:val="Intense Reference"/>
    <w:uiPriority w:val="32"/>
    <w:qFormat/>
    <w:rsid w:val="001700FA"/>
    <w:rPr>
      <w:smallCaps/>
      <w:spacing w:val="5"/>
      <w:u w:val="single"/>
    </w:rPr>
  </w:style>
  <w:style w:type="character" w:styleId="BookTitle">
    <w:name w:val="Book Title"/>
    <w:uiPriority w:val="33"/>
    <w:qFormat/>
    <w:rsid w:val="001700FA"/>
    <w:rPr>
      <w:i/>
      <w:iCs/>
      <w:smallCaps/>
      <w:spacing w:val="5"/>
    </w:rPr>
  </w:style>
  <w:style w:type="paragraph" w:styleId="TOCHeading">
    <w:name w:val="TOC Heading"/>
    <w:basedOn w:val="Heading1"/>
    <w:next w:val="Normal"/>
    <w:uiPriority w:val="39"/>
    <w:semiHidden/>
    <w:unhideWhenUsed/>
    <w:qFormat/>
    <w:rsid w:val="001700FA"/>
    <w:pPr>
      <w:outlineLvl w:val="9"/>
    </w:pPr>
    <w:rPr>
      <w:lang w:bidi="en-US"/>
    </w:rPr>
  </w:style>
  <w:style w:type="paragraph" w:styleId="Header">
    <w:name w:val="header"/>
    <w:basedOn w:val="Normal"/>
    <w:link w:val="HeaderChar"/>
    <w:uiPriority w:val="99"/>
    <w:unhideWhenUsed/>
    <w:rsid w:val="007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09"/>
  </w:style>
  <w:style w:type="paragraph" w:styleId="Footer">
    <w:name w:val="footer"/>
    <w:basedOn w:val="Normal"/>
    <w:link w:val="FooterChar"/>
    <w:uiPriority w:val="99"/>
    <w:unhideWhenUsed/>
    <w:rsid w:val="007C0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09"/>
  </w:style>
  <w:style w:type="paragraph" w:customStyle="1" w:styleId="Tableleft">
    <w:name w:val="Table left"/>
    <w:link w:val="TableleftChar"/>
    <w:qFormat/>
    <w:rsid w:val="000A3E7E"/>
    <w:pPr>
      <w:spacing w:before="20" w:after="20" w:line="240" w:lineRule="auto"/>
    </w:pPr>
    <w:rPr>
      <w:rFonts w:ascii="Calibri" w:eastAsia="Calibri" w:hAnsi="Calibri" w:cstheme="minorHAnsi"/>
      <w:szCs w:val="20"/>
      <w:lang w:eastAsia="en-GB"/>
    </w:rPr>
  </w:style>
  <w:style w:type="paragraph" w:customStyle="1" w:styleId="Tablecentre">
    <w:name w:val="Table centre"/>
    <w:link w:val="TablecentreChar"/>
    <w:qFormat/>
    <w:rsid w:val="000A3E7E"/>
    <w:pPr>
      <w:spacing w:before="20" w:after="20" w:line="240" w:lineRule="auto"/>
      <w:jc w:val="center"/>
    </w:pPr>
    <w:rPr>
      <w:rFonts w:ascii="Calibri" w:eastAsia="Calibri" w:hAnsi="Calibri" w:cstheme="minorHAnsi"/>
      <w:szCs w:val="20"/>
      <w:lang w:eastAsia="en-GB"/>
    </w:rPr>
  </w:style>
  <w:style w:type="character" w:customStyle="1" w:styleId="TableleftChar">
    <w:name w:val="Table left Char"/>
    <w:basedOn w:val="DefaultParagraphFont"/>
    <w:link w:val="Tableleft"/>
    <w:rsid w:val="000A3E7E"/>
    <w:rPr>
      <w:rFonts w:ascii="Calibri" w:eastAsia="Calibri" w:hAnsi="Calibri" w:cstheme="minorHAnsi"/>
      <w:szCs w:val="20"/>
      <w:lang w:eastAsia="en-GB"/>
    </w:rPr>
  </w:style>
  <w:style w:type="paragraph" w:customStyle="1" w:styleId="Tableheading">
    <w:name w:val="Table heading"/>
    <w:basedOn w:val="Tablecentre"/>
    <w:link w:val="TableheadingChar"/>
    <w:qFormat/>
    <w:rsid w:val="000A3E7E"/>
    <w:rPr>
      <w:b/>
    </w:rPr>
  </w:style>
  <w:style w:type="character" w:customStyle="1" w:styleId="TablecentreChar">
    <w:name w:val="Table centre Char"/>
    <w:basedOn w:val="TableleftChar"/>
    <w:link w:val="Tablecentre"/>
    <w:rsid w:val="000A3E7E"/>
    <w:rPr>
      <w:rFonts w:ascii="Calibri" w:eastAsia="Calibri" w:hAnsi="Calibri" w:cstheme="minorHAnsi"/>
      <w:szCs w:val="20"/>
      <w:lang w:eastAsia="en-GB"/>
    </w:rPr>
  </w:style>
  <w:style w:type="character" w:customStyle="1" w:styleId="TableheadingChar">
    <w:name w:val="Table heading Char"/>
    <w:basedOn w:val="TablecentreChar"/>
    <w:link w:val="Tableheading"/>
    <w:rsid w:val="000A3E7E"/>
    <w:rPr>
      <w:rFonts w:ascii="Calibri" w:eastAsia="Calibri" w:hAnsi="Calibri" w:cstheme="minorHAnsi"/>
      <w:b/>
      <w:szCs w:val="20"/>
      <w:lang w:eastAsia="en-GB"/>
    </w:rPr>
  </w:style>
  <w:style w:type="paragraph" w:styleId="DocumentMap">
    <w:name w:val="Document Map"/>
    <w:basedOn w:val="Normal"/>
    <w:link w:val="DocumentMapChar"/>
    <w:uiPriority w:val="99"/>
    <w:semiHidden/>
    <w:unhideWhenUsed/>
    <w:rsid w:val="00F15B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5BEF"/>
    <w:rPr>
      <w:rFonts w:ascii="Tahoma" w:hAnsi="Tahoma" w:cs="Tahoma"/>
      <w:sz w:val="16"/>
      <w:szCs w:val="16"/>
    </w:rPr>
  </w:style>
  <w:style w:type="character" w:customStyle="1" w:styleId="apple-converted-space">
    <w:name w:val="apple-converted-space"/>
    <w:basedOn w:val="DefaultParagraphFont"/>
    <w:rsid w:val="003F7BE5"/>
  </w:style>
  <w:style w:type="character" w:styleId="CommentReference">
    <w:name w:val="annotation reference"/>
    <w:basedOn w:val="DefaultParagraphFont"/>
    <w:uiPriority w:val="99"/>
    <w:semiHidden/>
    <w:unhideWhenUsed/>
    <w:rsid w:val="008D030E"/>
    <w:rPr>
      <w:sz w:val="16"/>
      <w:szCs w:val="16"/>
    </w:rPr>
  </w:style>
  <w:style w:type="paragraph" w:styleId="CommentText">
    <w:name w:val="annotation text"/>
    <w:basedOn w:val="Normal"/>
    <w:link w:val="CommentTextChar"/>
    <w:uiPriority w:val="99"/>
    <w:unhideWhenUsed/>
    <w:rsid w:val="008D030E"/>
    <w:pPr>
      <w:spacing w:line="240" w:lineRule="auto"/>
    </w:pPr>
    <w:rPr>
      <w:sz w:val="20"/>
      <w:szCs w:val="20"/>
    </w:rPr>
  </w:style>
  <w:style w:type="character" w:customStyle="1" w:styleId="CommentTextChar">
    <w:name w:val="Comment Text Char"/>
    <w:basedOn w:val="DefaultParagraphFont"/>
    <w:link w:val="CommentText"/>
    <w:uiPriority w:val="99"/>
    <w:rsid w:val="008D030E"/>
    <w:rPr>
      <w:sz w:val="20"/>
      <w:szCs w:val="20"/>
    </w:rPr>
  </w:style>
  <w:style w:type="paragraph" w:styleId="CommentSubject">
    <w:name w:val="annotation subject"/>
    <w:basedOn w:val="CommentText"/>
    <w:next w:val="CommentText"/>
    <w:link w:val="CommentSubjectChar"/>
    <w:uiPriority w:val="99"/>
    <w:semiHidden/>
    <w:unhideWhenUsed/>
    <w:rsid w:val="008D030E"/>
    <w:rPr>
      <w:b/>
      <w:bCs/>
    </w:rPr>
  </w:style>
  <w:style w:type="character" w:customStyle="1" w:styleId="CommentSubjectChar">
    <w:name w:val="Comment Subject Char"/>
    <w:basedOn w:val="CommentTextChar"/>
    <w:link w:val="CommentSubject"/>
    <w:uiPriority w:val="99"/>
    <w:semiHidden/>
    <w:rsid w:val="008D030E"/>
    <w:rPr>
      <w:b/>
      <w:bCs/>
      <w:sz w:val="20"/>
      <w:szCs w:val="20"/>
    </w:rPr>
  </w:style>
  <w:style w:type="character" w:styleId="Hyperlink">
    <w:name w:val="Hyperlink"/>
    <w:basedOn w:val="DefaultParagraphFont"/>
    <w:uiPriority w:val="99"/>
    <w:unhideWhenUsed/>
    <w:rsid w:val="000D4374"/>
    <w:rPr>
      <w:color w:val="0000FF"/>
      <w:u w:val="single"/>
    </w:rPr>
  </w:style>
  <w:style w:type="character" w:customStyle="1" w:styleId="interref">
    <w:name w:val="interref"/>
    <w:basedOn w:val="DefaultParagraphFont"/>
    <w:rsid w:val="000D4374"/>
  </w:style>
  <w:style w:type="paragraph" w:styleId="Bibliography">
    <w:name w:val="Bibliography"/>
    <w:basedOn w:val="Normal"/>
    <w:next w:val="Normal"/>
    <w:uiPriority w:val="37"/>
    <w:unhideWhenUsed/>
    <w:rsid w:val="00C64A2B"/>
    <w:pPr>
      <w:tabs>
        <w:tab w:val="left" w:pos="504"/>
      </w:tabs>
      <w:spacing w:line="240" w:lineRule="auto"/>
      <w:ind w:left="504" w:hanging="504"/>
    </w:pPr>
  </w:style>
  <w:style w:type="paragraph" w:styleId="FootnoteText">
    <w:name w:val="footnote text"/>
    <w:basedOn w:val="Normal"/>
    <w:link w:val="FootnoteTextChar"/>
    <w:uiPriority w:val="99"/>
    <w:semiHidden/>
    <w:unhideWhenUsed/>
    <w:rsid w:val="003F2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E2E"/>
    <w:rPr>
      <w:sz w:val="20"/>
      <w:szCs w:val="20"/>
    </w:rPr>
  </w:style>
  <w:style w:type="character" w:styleId="FootnoteReference">
    <w:name w:val="footnote reference"/>
    <w:basedOn w:val="DefaultParagraphFont"/>
    <w:uiPriority w:val="99"/>
    <w:semiHidden/>
    <w:unhideWhenUsed/>
    <w:rsid w:val="003F2E2E"/>
    <w:rPr>
      <w:vertAlign w:val="superscript"/>
    </w:rPr>
  </w:style>
  <w:style w:type="character" w:styleId="PlaceholderText">
    <w:name w:val="Placeholder Text"/>
    <w:basedOn w:val="DefaultParagraphFont"/>
    <w:uiPriority w:val="99"/>
    <w:semiHidden/>
    <w:rsid w:val="00ED1C29"/>
    <w:rPr>
      <w:color w:val="808080"/>
    </w:rPr>
  </w:style>
  <w:style w:type="paragraph" w:styleId="NormalWeb">
    <w:name w:val="Normal (Web)"/>
    <w:basedOn w:val="Normal"/>
    <w:uiPriority w:val="99"/>
    <w:unhideWhenUsed/>
    <w:rsid w:val="00D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A5151"/>
    <w:pPr>
      <w:spacing w:after="0" w:line="240" w:lineRule="auto"/>
    </w:pPr>
  </w:style>
  <w:style w:type="paragraph" w:customStyle="1" w:styleId="last">
    <w:name w:val="last"/>
    <w:basedOn w:val="Normal"/>
    <w:rsid w:val="00712D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E14B5"/>
    <w:rPr>
      <w:i/>
      <w:iCs/>
    </w:rPr>
  </w:style>
  <w:style w:type="character" w:customStyle="1" w:styleId="paragraph">
    <w:name w:val="paragraph"/>
    <w:basedOn w:val="DefaultParagraphFont"/>
    <w:rsid w:val="00B43A21"/>
  </w:style>
  <w:style w:type="character" w:customStyle="1" w:styleId="abstract">
    <w:name w:val="abstract"/>
    <w:basedOn w:val="DefaultParagraphFont"/>
    <w:rsid w:val="00B43A21"/>
  </w:style>
  <w:style w:type="character" w:customStyle="1" w:styleId="mb">
    <w:name w:val="mb"/>
    <w:basedOn w:val="DefaultParagraphFont"/>
    <w:rsid w:val="00B43A21"/>
  </w:style>
  <w:style w:type="paragraph" w:customStyle="1" w:styleId="Beforetables">
    <w:name w:val="Before tables"/>
    <w:basedOn w:val="Normal"/>
    <w:link w:val="BeforetablesChar"/>
    <w:qFormat/>
    <w:rsid w:val="00B92662"/>
    <w:pPr>
      <w:spacing w:after="0"/>
    </w:pPr>
    <w:rPr>
      <w:sz w:val="8"/>
      <w:szCs w:val="8"/>
    </w:rPr>
  </w:style>
  <w:style w:type="paragraph" w:customStyle="1" w:styleId="Aftertables">
    <w:name w:val="After tables"/>
    <w:basedOn w:val="Normal"/>
    <w:link w:val="AftertablesChar"/>
    <w:qFormat/>
    <w:rsid w:val="007B3B22"/>
    <w:pPr>
      <w:spacing w:after="0"/>
    </w:pPr>
  </w:style>
  <w:style w:type="character" w:customStyle="1" w:styleId="BeforetablesChar">
    <w:name w:val="Before tables Char"/>
    <w:basedOn w:val="DefaultParagraphFont"/>
    <w:link w:val="Beforetables"/>
    <w:rsid w:val="00B92662"/>
    <w:rPr>
      <w:sz w:val="8"/>
      <w:szCs w:val="8"/>
    </w:rPr>
  </w:style>
  <w:style w:type="character" w:customStyle="1" w:styleId="AftertablesChar">
    <w:name w:val="After tables Char"/>
    <w:basedOn w:val="DefaultParagraphFont"/>
    <w:link w:val="Aftertables"/>
    <w:rsid w:val="007B3B22"/>
  </w:style>
  <w:style w:type="character" w:customStyle="1" w:styleId="scp">
    <w:name w:val="scp"/>
    <w:basedOn w:val="DefaultParagraphFont"/>
    <w:rsid w:val="00C574AA"/>
  </w:style>
  <w:style w:type="paragraph" w:customStyle="1" w:styleId="follows-h4">
    <w:name w:val="follows-h4"/>
    <w:basedOn w:val="Normal"/>
    <w:rsid w:val="00C57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634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D62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1925"/>
    <w:rPr>
      <w:color w:val="800080" w:themeColor="followedHyperlink"/>
      <w:u w:val="single"/>
    </w:rPr>
  </w:style>
  <w:style w:type="character" w:customStyle="1" w:styleId="UnresolvedMention1">
    <w:name w:val="Unresolved Mention1"/>
    <w:basedOn w:val="DefaultParagraphFont"/>
    <w:uiPriority w:val="99"/>
    <w:semiHidden/>
    <w:unhideWhenUsed/>
    <w:rsid w:val="00300EF5"/>
    <w:rPr>
      <w:color w:val="605E5C"/>
      <w:shd w:val="clear" w:color="auto" w:fill="E1DFDD"/>
    </w:rPr>
  </w:style>
  <w:style w:type="character" w:customStyle="1" w:styleId="current-selection">
    <w:name w:val="current-selection"/>
    <w:basedOn w:val="DefaultParagraphFont"/>
    <w:rsid w:val="00B45827"/>
  </w:style>
  <w:style w:type="character" w:customStyle="1" w:styleId="highlight">
    <w:name w:val="highlight"/>
    <w:basedOn w:val="DefaultParagraphFont"/>
    <w:rsid w:val="005E6B7D"/>
  </w:style>
  <w:style w:type="paragraph" w:customStyle="1" w:styleId="Title1">
    <w:name w:val="Title1"/>
    <w:basedOn w:val="Normal"/>
    <w:rsid w:val="007173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7173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7173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7173D4"/>
  </w:style>
  <w:style w:type="character" w:customStyle="1" w:styleId="label">
    <w:name w:val="label"/>
    <w:basedOn w:val="DefaultParagraphFont"/>
    <w:rsid w:val="00CB743B"/>
  </w:style>
  <w:style w:type="character" w:customStyle="1" w:styleId="separator">
    <w:name w:val="separator"/>
    <w:basedOn w:val="DefaultParagraphFont"/>
    <w:rsid w:val="00CB743B"/>
  </w:style>
  <w:style w:type="character" w:customStyle="1" w:styleId="value">
    <w:name w:val="value"/>
    <w:basedOn w:val="DefaultParagraphFont"/>
    <w:rsid w:val="00CB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113">
      <w:bodyDiv w:val="1"/>
      <w:marLeft w:val="0"/>
      <w:marRight w:val="0"/>
      <w:marTop w:val="0"/>
      <w:marBottom w:val="0"/>
      <w:divBdr>
        <w:top w:val="none" w:sz="0" w:space="0" w:color="auto"/>
        <w:left w:val="none" w:sz="0" w:space="0" w:color="auto"/>
        <w:bottom w:val="none" w:sz="0" w:space="0" w:color="auto"/>
        <w:right w:val="none" w:sz="0" w:space="0" w:color="auto"/>
      </w:divBdr>
    </w:div>
    <w:div w:id="184562450">
      <w:bodyDiv w:val="1"/>
      <w:marLeft w:val="0"/>
      <w:marRight w:val="0"/>
      <w:marTop w:val="0"/>
      <w:marBottom w:val="0"/>
      <w:divBdr>
        <w:top w:val="none" w:sz="0" w:space="0" w:color="auto"/>
        <w:left w:val="none" w:sz="0" w:space="0" w:color="auto"/>
        <w:bottom w:val="none" w:sz="0" w:space="0" w:color="auto"/>
        <w:right w:val="none" w:sz="0" w:space="0" w:color="auto"/>
      </w:divBdr>
      <w:divsChild>
        <w:div w:id="172036291">
          <w:marLeft w:val="0"/>
          <w:marRight w:val="0"/>
          <w:marTop w:val="0"/>
          <w:marBottom w:val="0"/>
          <w:divBdr>
            <w:top w:val="none" w:sz="0" w:space="0" w:color="auto"/>
            <w:left w:val="none" w:sz="0" w:space="0" w:color="auto"/>
            <w:bottom w:val="none" w:sz="0" w:space="0" w:color="auto"/>
            <w:right w:val="none" w:sz="0" w:space="0" w:color="auto"/>
          </w:divBdr>
          <w:divsChild>
            <w:div w:id="1639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2210">
      <w:bodyDiv w:val="1"/>
      <w:marLeft w:val="0"/>
      <w:marRight w:val="0"/>
      <w:marTop w:val="0"/>
      <w:marBottom w:val="0"/>
      <w:divBdr>
        <w:top w:val="none" w:sz="0" w:space="0" w:color="auto"/>
        <w:left w:val="none" w:sz="0" w:space="0" w:color="auto"/>
        <w:bottom w:val="none" w:sz="0" w:space="0" w:color="auto"/>
        <w:right w:val="none" w:sz="0" w:space="0" w:color="auto"/>
      </w:divBdr>
      <w:divsChild>
        <w:div w:id="688916467">
          <w:marLeft w:val="0"/>
          <w:marRight w:val="0"/>
          <w:marTop w:val="0"/>
          <w:marBottom w:val="0"/>
          <w:divBdr>
            <w:top w:val="none" w:sz="0" w:space="0" w:color="auto"/>
            <w:left w:val="none" w:sz="0" w:space="0" w:color="auto"/>
            <w:bottom w:val="none" w:sz="0" w:space="0" w:color="auto"/>
            <w:right w:val="none" w:sz="0" w:space="0" w:color="auto"/>
          </w:divBdr>
        </w:div>
        <w:div w:id="1533568332">
          <w:marLeft w:val="0"/>
          <w:marRight w:val="0"/>
          <w:marTop w:val="0"/>
          <w:marBottom w:val="0"/>
          <w:divBdr>
            <w:top w:val="none" w:sz="0" w:space="0" w:color="auto"/>
            <w:left w:val="none" w:sz="0" w:space="0" w:color="auto"/>
            <w:bottom w:val="none" w:sz="0" w:space="0" w:color="auto"/>
            <w:right w:val="none" w:sz="0" w:space="0" w:color="auto"/>
          </w:divBdr>
        </w:div>
      </w:divsChild>
    </w:div>
    <w:div w:id="261035681">
      <w:bodyDiv w:val="1"/>
      <w:marLeft w:val="0"/>
      <w:marRight w:val="0"/>
      <w:marTop w:val="0"/>
      <w:marBottom w:val="0"/>
      <w:divBdr>
        <w:top w:val="none" w:sz="0" w:space="0" w:color="auto"/>
        <w:left w:val="none" w:sz="0" w:space="0" w:color="auto"/>
        <w:bottom w:val="none" w:sz="0" w:space="0" w:color="auto"/>
        <w:right w:val="none" w:sz="0" w:space="0" w:color="auto"/>
      </w:divBdr>
      <w:divsChild>
        <w:div w:id="601036047">
          <w:marLeft w:val="0"/>
          <w:marRight w:val="0"/>
          <w:marTop w:val="240"/>
          <w:marBottom w:val="0"/>
          <w:divBdr>
            <w:top w:val="none" w:sz="0" w:space="0" w:color="auto"/>
            <w:left w:val="none" w:sz="0" w:space="0" w:color="auto"/>
            <w:bottom w:val="none" w:sz="0" w:space="0" w:color="auto"/>
            <w:right w:val="none" w:sz="0" w:space="0" w:color="auto"/>
          </w:divBdr>
        </w:div>
        <w:div w:id="1390955878">
          <w:marLeft w:val="0"/>
          <w:marRight w:val="0"/>
          <w:marTop w:val="240"/>
          <w:marBottom w:val="0"/>
          <w:divBdr>
            <w:top w:val="none" w:sz="0" w:space="0" w:color="auto"/>
            <w:left w:val="none" w:sz="0" w:space="0" w:color="auto"/>
            <w:bottom w:val="none" w:sz="0" w:space="0" w:color="auto"/>
            <w:right w:val="none" w:sz="0" w:space="0" w:color="auto"/>
          </w:divBdr>
        </w:div>
        <w:div w:id="1706372710">
          <w:marLeft w:val="0"/>
          <w:marRight w:val="0"/>
          <w:marTop w:val="240"/>
          <w:marBottom w:val="0"/>
          <w:divBdr>
            <w:top w:val="none" w:sz="0" w:space="0" w:color="auto"/>
            <w:left w:val="none" w:sz="0" w:space="0" w:color="auto"/>
            <w:bottom w:val="none" w:sz="0" w:space="0" w:color="auto"/>
            <w:right w:val="none" w:sz="0" w:space="0" w:color="auto"/>
          </w:divBdr>
        </w:div>
        <w:div w:id="1812940100">
          <w:marLeft w:val="0"/>
          <w:marRight w:val="0"/>
          <w:marTop w:val="240"/>
          <w:marBottom w:val="0"/>
          <w:divBdr>
            <w:top w:val="none" w:sz="0" w:space="0" w:color="auto"/>
            <w:left w:val="none" w:sz="0" w:space="0" w:color="auto"/>
            <w:bottom w:val="none" w:sz="0" w:space="0" w:color="auto"/>
            <w:right w:val="none" w:sz="0" w:space="0" w:color="auto"/>
          </w:divBdr>
        </w:div>
      </w:divsChild>
    </w:div>
    <w:div w:id="310522309">
      <w:bodyDiv w:val="1"/>
      <w:marLeft w:val="0"/>
      <w:marRight w:val="0"/>
      <w:marTop w:val="0"/>
      <w:marBottom w:val="0"/>
      <w:divBdr>
        <w:top w:val="none" w:sz="0" w:space="0" w:color="auto"/>
        <w:left w:val="none" w:sz="0" w:space="0" w:color="auto"/>
        <w:bottom w:val="none" w:sz="0" w:space="0" w:color="auto"/>
        <w:right w:val="none" w:sz="0" w:space="0" w:color="auto"/>
      </w:divBdr>
    </w:div>
    <w:div w:id="321545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2517">
          <w:marLeft w:val="0"/>
          <w:marRight w:val="0"/>
          <w:marTop w:val="0"/>
          <w:marBottom w:val="0"/>
          <w:divBdr>
            <w:top w:val="none" w:sz="0" w:space="0" w:color="auto"/>
            <w:left w:val="none" w:sz="0" w:space="0" w:color="auto"/>
            <w:bottom w:val="none" w:sz="0" w:space="0" w:color="auto"/>
            <w:right w:val="none" w:sz="0" w:space="0" w:color="auto"/>
          </w:divBdr>
          <w:divsChild>
            <w:div w:id="721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4398">
      <w:bodyDiv w:val="1"/>
      <w:marLeft w:val="0"/>
      <w:marRight w:val="0"/>
      <w:marTop w:val="0"/>
      <w:marBottom w:val="0"/>
      <w:divBdr>
        <w:top w:val="none" w:sz="0" w:space="0" w:color="auto"/>
        <w:left w:val="none" w:sz="0" w:space="0" w:color="auto"/>
        <w:bottom w:val="none" w:sz="0" w:space="0" w:color="auto"/>
        <w:right w:val="none" w:sz="0" w:space="0" w:color="auto"/>
      </w:divBdr>
    </w:div>
    <w:div w:id="411392673">
      <w:bodyDiv w:val="1"/>
      <w:marLeft w:val="0"/>
      <w:marRight w:val="0"/>
      <w:marTop w:val="0"/>
      <w:marBottom w:val="0"/>
      <w:divBdr>
        <w:top w:val="none" w:sz="0" w:space="0" w:color="auto"/>
        <w:left w:val="none" w:sz="0" w:space="0" w:color="auto"/>
        <w:bottom w:val="none" w:sz="0" w:space="0" w:color="auto"/>
        <w:right w:val="none" w:sz="0" w:space="0" w:color="auto"/>
      </w:divBdr>
    </w:div>
    <w:div w:id="456023504">
      <w:bodyDiv w:val="1"/>
      <w:marLeft w:val="0"/>
      <w:marRight w:val="0"/>
      <w:marTop w:val="0"/>
      <w:marBottom w:val="0"/>
      <w:divBdr>
        <w:top w:val="none" w:sz="0" w:space="0" w:color="auto"/>
        <w:left w:val="none" w:sz="0" w:space="0" w:color="auto"/>
        <w:bottom w:val="none" w:sz="0" w:space="0" w:color="auto"/>
        <w:right w:val="none" w:sz="0" w:space="0" w:color="auto"/>
      </w:divBdr>
      <w:divsChild>
        <w:div w:id="2437895">
          <w:marLeft w:val="0"/>
          <w:marRight w:val="0"/>
          <w:marTop w:val="0"/>
          <w:marBottom w:val="0"/>
          <w:divBdr>
            <w:top w:val="none" w:sz="0" w:space="0" w:color="auto"/>
            <w:left w:val="none" w:sz="0" w:space="0" w:color="auto"/>
            <w:bottom w:val="none" w:sz="0" w:space="0" w:color="auto"/>
            <w:right w:val="none" w:sz="0" w:space="0" w:color="auto"/>
          </w:divBdr>
        </w:div>
        <w:div w:id="48844454">
          <w:marLeft w:val="0"/>
          <w:marRight w:val="0"/>
          <w:marTop w:val="0"/>
          <w:marBottom w:val="0"/>
          <w:divBdr>
            <w:top w:val="none" w:sz="0" w:space="0" w:color="auto"/>
            <w:left w:val="none" w:sz="0" w:space="0" w:color="auto"/>
            <w:bottom w:val="none" w:sz="0" w:space="0" w:color="auto"/>
            <w:right w:val="none" w:sz="0" w:space="0" w:color="auto"/>
          </w:divBdr>
        </w:div>
        <w:div w:id="858659314">
          <w:marLeft w:val="0"/>
          <w:marRight w:val="0"/>
          <w:marTop w:val="0"/>
          <w:marBottom w:val="0"/>
          <w:divBdr>
            <w:top w:val="none" w:sz="0" w:space="0" w:color="auto"/>
            <w:left w:val="none" w:sz="0" w:space="0" w:color="auto"/>
            <w:bottom w:val="none" w:sz="0" w:space="0" w:color="auto"/>
            <w:right w:val="none" w:sz="0" w:space="0" w:color="auto"/>
          </w:divBdr>
        </w:div>
        <w:div w:id="1460999432">
          <w:marLeft w:val="0"/>
          <w:marRight w:val="0"/>
          <w:marTop w:val="0"/>
          <w:marBottom w:val="0"/>
          <w:divBdr>
            <w:top w:val="none" w:sz="0" w:space="0" w:color="auto"/>
            <w:left w:val="none" w:sz="0" w:space="0" w:color="auto"/>
            <w:bottom w:val="none" w:sz="0" w:space="0" w:color="auto"/>
            <w:right w:val="none" w:sz="0" w:space="0" w:color="auto"/>
          </w:divBdr>
        </w:div>
        <w:div w:id="1571233691">
          <w:marLeft w:val="0"/>
          <w:marRight w:val="0"/>
          <w:marTop w:val="0"/>
          <w:marBottom w:val="0"/>
          <w:divBdr>
            <w:top w:val="none" w:sz="0" w:space="0" w:color="auto"/>
            <w:left w:val="none" w:sz="0" w:space="0" w:color="auto"/>
            <w:bottom w:val="none" w:sz="0" w:space="0" w:color="auto"/>
            <w:right w:val="none" w:sz="0" w:space="0" w:color="auto"/>
          </w:divBdr>
        </w:div>
        <w:div w:id="1660890467">
          <w:marLeft w:val="0"/>
          <w:marRight w:val="0"/>
          <w:marTop w:val="0"/>
          <w:marBottom w:val="0"/>
          <w:divBdr>
            <w:top w:val="none" w:sz="0" w:space="0" w:color="auto"/>
            <w:left w:val="none" w:sz="0" w:space="0" w:color="auto"/>
            <w:bottom w:val="none" w:sz="0" w:space="0" w:color="auto"/>
            <w:right w:val="none" w:sz="0" w:space="0" w:color="auto"/>
          </w:divBdr>
        </w:div>
      </w:divsChild>
    </w:div>
    <w:div w:id="531965485">
      <w:bodyDiv w:val="1"/>
      <w:marLeft w:val="0"/>
      <w:marRight w:val="0"/>
      <w:marTop w:val="0"/>
      <w:marBottom w:val="0"/>
      <w:divBdr>
        <w:top w:val="none" w:sz="0" w:space="0" w:color="auto"/>
        <w:left w:val="none" w:sz="0" w:space="0" w:color="auto"/>
        <w:bottom w:val="none" w:sz="0" w:space="0" w:color="auto"/>
        <w:right w:val="none" w:sz="0" w:space="0" w:color="auto"/>
      </w:divBdr>
    </w:div>
    <w:div w:id="586427571">
      <w:bodyDiv w:val="1"/>
      <w:marLeft w:val="0"/>
      <w:marRight w:val="0"/>
      <w:marTop w:val="0"/>
      <w:marBottom w:val="0"/>
      <w:divBdr>
        <w:top w:val="none" w:sz="0" w:space="0" w:color="auto"/>
        <w:left w:val="none" w:sz="0" w:space="0" w:color="auto"/>
        <w:bottom w:val="none" w:sz="0" w:space="0" w:color="auto"/>
        <w:right w:val="none" w:sz="0" w:space="0" w:color="auto"/>
      </w:divBdr>
      <w:divsChild>
        <w:div w:id="49965286">
          <w:marLeft w:val="0"/>
          <w:marRight w:val="0"/>
          <w:marTop w:val="0"/>
          <w:marBottom w:val="0"/>
          <w:divBdr>
            <w:top w:val="none" w:sz="0" w:space="0" w:color="auto"/>
            <w:left w:val="none" w:sz="0" w:space="0" w:color="auto"/>
            <w:bottom w:val="none" w:sz="0" w:space="0" w:color="auto"/>
            <w:right w:val="none" w:sz="0" w:space="0" w:color="auto"/>
          </w:divBdr>
        </w:div>
        <w:div w:id="347291936">
          <w:marLeft w:val="0"/>
          <w:marRight w:val="0"/>
          <w:marTop w:val="0"/>
          <w:marBottom w:val="0"/>
          <w:divBdr>
            <w:top w:val="none" w:sz="0" w:space="0" w:color="auto"/>
            <w:left w:val="none" w:sz="0" w:space="0" w:color="auto"/>
            <w:bottom w:val="none" w:sz="0" w:space="0" w:color="auto"/>
            <w:right w:val="none" w:sz="0" w:space="0" w:color="auto"/>
          </w:divBdr>
        </w:div>
        <w:div w:id="535043269">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594098895">
          <w:marLeft w:val="0"/>
          <w:marRight w:val="0"/>
          <w:marTop w:val="0"/>
          <w:marBottom w:val="0"/>
          <w:divBdr>
            <w:top w:val="none" w:sz="0" w:space="0" w:color="auto"/>
            <w:left w:val="none" w:sz="0" w:space="0" w:color="auto"/>
            <w:bottom w:val="none" w:sz="0" w:space="0" w:color="auto"/>
            <w:right w:val="none" w:sz="0" w:space="0" w:color="auto"/>
          </w:divBdr>
        </w:div>
        <w:div w:id="730037435">
          <w:marLeft w:val="0"/>
          <w:marRight w:val="0"/>
          <w:marTop w:val="0"/>
          <w:marBottom w:val="0"/>
          <w:divBdr>
            <w:top w:val="none" w:sz="0" w:space="0" w:color="auto"/>
            <w:left w:val="none" w:sz="0" w:space="0" w:color="auto"/>
            <w:bottom w:val="none" w:sz="0" w:space="0" w:color="auto"/>
            <w:right w:val="none" w:sz="0" w:space="0" w:color="auto"/>
          </w:divBdr>
        </w:div>
        <w:div w:id="807086024">
          <w:marLeft w:val="0"/>
          <w:marRight w:val="0"/>
          <w:marTop w:val="0"/>
          <w:marBottom w:val="0"/>
          <w:divBdr>
            <w:top w:val="none" w:sz="0" w:space="0" w:color="auto"/>
            <w:left w:val="none" w:sz="0" w:space="0" w:color="auto"/>
            <w:bottom w:val="none" w:sz="0" w:space="0" w:color="auto"/>
            <w:right w:val="none" w:sz="0" w:space="0" w:color="auto"/>
          </w:divBdr>
        </w:div>
        <w:div w:id="847407036">
          <w:marLeft w:val="0"/>
          <w:marRight w:val="0"/>
          <w:marTop w:val="0"/>
          <w:marBottom w:val="0"/>
          <w:divBdr>
            <w:top w:val="none" w:sz="0" w:space="0" w:color="auto"/>
            <w:left w:val="none" w:sz="0" w:space="0" w:color="auto"/>
            <w:bottom w:val="none" w:sz="0" w:space="0" w:color="auto"/>
            <w:right w:val="none" w:sz="0" w:space="0" w:color="auto"/>
          </w:divBdr>
        </w:div>
        <w:div w:id="894974300">
          <w:marLeft w:val="0"/>
          <w:marRight w:val="0"/>
          <w:marTop w:val="0"/>
          <w:marBottom w:val="0"/>
          <w:divBdr>
            <w:top w:val="none" w:sz="0" w:space="0" w:color="auto"/>
            <w:left w:val="none" w:sz="0" w:space="0" w:color="auto"/>
            <w:bottom w:val="none" w:sz="0" w:space="0" w:color="auto"/>
            <w:right w:val="none" w:sz="0" w:space="0" w:color="auto"/>
          </w:divBdr>
        </w:div>
        <w:div w:id="911499752">
          <w:marLeft w:val="0"/>
          <w:marRight w:val="0"/>
          <w:marTop w:val="0"/>
          <w:marBottom w:val="0"/>
          <w:divBdr>
            <w:top w:val="none" w:sz="0" w:space="0" w:color="auto"/>
            <w:left w:val="none" w:sz="0" w:space="0" w:color="auto"/>
            <w:bottom w:val="none" w:sz="0" w:space="0" w:color="auto"/>
            <w:right w:val="none" w:sz="0" w:space="0" w:color="auto"/>
          </w:divBdr>
        </w:div>
        <w:div w:id="1008798136">
          <w:marLeft w:val="0"/>
          <w:marRight w:val="0"/>
          <w:marTop w:val="0"/>
          <w:marBottom w:val="0"/>
          <w:divBdr>
            <w:top w:val="none" w:sz="0" w:space="0" w:color="auto"/>
            <w:left w:val="none" w:sz="0" w:space="0" w:color="auto"/>
            <w:bottom w:val="none" w:sz="0" w:space="0" w:color="auto"/>
            <w:right w:val="none" w:sz="0" w:space="0" w:color="auto"/>
          </w:divBdr>
        </w:div>
        <w:div w:id="1115633325">
          <w:marLeft w:val="0"/>
          <w:marRight w:val="0"/>
          <w:marTop w:val="0"/>
          <w:marBottom w:val="0"/>
          <w:divBdr>
            <w:top w:val="none" w:sz="0" w:space="0" w:color="auto"/>
            <w:left w:val="none" w:sz="0" w:space="0" w:color="auto"/>
            <w:bottom w:val="none" w:sz="0" w:space="0" w:color="auto"/>
            <w:right w:val="none" w:sz="0" w:space="0" w:color="auto"/>
          </w:divBdr>
        </w:div>
        <w:div w:id="1149513066">
          <w:marLeft w:val="0"/>
          <w:marRight w:val="0"/>
          <w:marTop w:val="0"/>
          <w:marBottom w:val="0"/>
          <w:divBdr>
            <w:top w:val="none" w:sz="0" w:space="0" w:color="auto"/>
            <w:left w:val="none" w:sz="0" w:space="0" w:color="auto"/>
            <w:bottom w:val="none" w:sz="0" w:space="0" w:color="auto"/>
            <w:right w:val="none" w:sz="0" w:space="0" w:color="auto"/>
          </w:divBdr>
        </w:div>
        <w:div w:id="1335645611">
          <w:marLeft w:val="0"/>
          <w:marRight w:val="0"/>
          <w:marTop w:val="0"/>
          <w:marBottom w:val="0"/>
          <w:divBdr>
            <w:top w:val="none" w:sz="0" w:space="0" w:color="auto"/>
            <w:left w:val="none" w:sz="0" w:space="0" w:color="auto"/>
            <w:bottom w:val="none" w:sz="0" w:space="0" w:color="auto"/>
            <w:right w:val="none" w:sz="0" w:space="0" w:color="auto"/>
          </w:divBdr>
        </w:div>
        <w:div w:id="1374379965">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1702247060">
          <w:marLeft w:val="0"/>
          <w:marRight w:val="0"/>
          <w:marTop w:val="0"/>
          <w:marBottom w:val="0"/>
          <w:divBdr>
            <w:top w:val="none" w:sz="0" w:space="0" w:color="auto"/>
            <w:left w:val="none" w:sz="0" w:space="0" w:color="auto"/>
            <w:bottom w:val="none" w:sz="0" w:space="0" w:color="auto"/>
            <w:right w:val="none" w:sz="0" w:space="0" w:color="auto"/>
          </w:divBdr>
        </w:div>
        <w:div w:id="1793403269">
          <w:marLeft w:val="0"/>
          <w:marRight w:val="0"/>
          <w:marTop w:val="0"/>
          <w:marBottom w:val="0"/>
          <w:divBdr>
            <w:top w:val="none" w:sz="0" w:space="0" w:color="auto"/>
            <w:left w:val="none" w:sz="0" w:space="0" w:color="auto"/>
            <w:bottom w:val="none" w:sz="0" w:space="0" w:color="auto"/>
            <w:right w:val="none" w:sz="0" w:space="0" w:color="auto"/>
          </w:divBdr>
        </w:div>
        <w:div w:id="1822190006">
          <w:marLeft w:val="0"/>
          <w:marRight w:val="0"/>
          <w:marTop w:val="0"/>
          <w:marBottom w:val="0"/>
          <w:divBdr>
            <w:top w:val="none" w:sz="0" w:space="0" w:color="auto"/>
            <w:left w:val="none" w:sz="0" w:space="0" w:color="auto"/>
            <w:bottom w:val="none" w:sz="0" w:space="0" w:color="auto"/>
            <w:right w:val="none" w:sz="0" w:space="0" w:color="auto"/>
          </w:divBdr>
        </w:div>
        <w:div w:id="1947152790">
          <w:marLeft w:val="0"/>
          <w:marRight w:val="0"/>
          <w:marTop w:val="0"/>
          <w:marBottom w:val="0"/>
          <w:divBdr>
            <w:top w:val="none" w:sz="0" w:space="0" w:color="auto"/>
            <w:left w:val="none" w:sz="0" w:space="0" w:color="auto"/>
            <w:bottom w:val="none" w:sz="0" w:space="0" w:color="auto"/>
            <w:right w:val="none" w:sz="0" w:space="0" w:color="auto"/>
          </w:divBdr>
        </w:div>
        <w:div w:id="2036687354">
          <w:marLeft w:val="0"/>
          <w:marRight w:val="0"/>
          <w:marTop w:val="0"/>
          <w:marBottom w:val="0"/>
          <w:divBdr>
            <w:top w:val="none" w:sz="0" w:space="0" w:color="auto"/>
            <w:left w:val="none" w:sz="0" w:space="0" w:color="auto"/>
            <w:bottom w:val="none" w:sz="0" w:space="0" w:color="auto"/>
            <w:right w:val="none" w:sz="0" w:space="0" w:color="auto"/>
          </w:divBdr>
        </w:div>
        <w:div w:id="2043896907">
          <w:marLeft w:val="0"/>
          <w:marRight w:val="0"/>
          <w:marTop w:val="0"/>
          <w:marBottom w:val="0"/>
          <w:divBdr>
            <w:top w:val="none" w:sz="0" w:space="0" w:color="auto"/>
            <w:left w:val="none" w:sz="0" w:space="0" w:color="auto"/>
            <w:bottom w:val="none" w:sz="0" w:space="0" w:color="auto"/>
            <w:right w:val="none" w:sz="0" w:space="0" w:color="auto"/>
          </w:divBdr>
        </w:div>
      </w:divsChild>
    </w:div>
    <w:div w:id="629242253">
      <w:bodyDiv w:val="1"/>
      <w:marLeft w:val="0"/>
      <w:marRight w:val="0"/>
      <w:marTop w:val="0"/>
      <w:marBottom w:val="0"/>
      <w:divBdr>
        <w:top w:val="none" w:sz="0" w:space="0" w:color="auto"/>
        <w:left w:val="none" w:sz="0" w:space="0" w:color="auto"/>
        <w:bottom w:val="none" w:sz="0" w:space="0" w:color="auto"/>
        <w:right w:val="none" w:sz="0" w:space="0" w:color="auto"/>
      </w:divBdr>
      <w:divsChild>
        <w:div w:id="1914774244">
          <w:marLeft w:val="0"/>
          <w:marRight w:val="0"/>
          <w:marTop w:val="0"/>
          <w:marBottom w:val="0"/>
          <w:divBdr>
            <w:top w:val="none" w:sz="0" w:space="0" w:color="auto"/>
            <w:left w:val="none" w:sz="0" w:space="0" w:color="auto"/>
            <w:bottom w:val="none" w:sz="0" w:space="0" w:color="auto"/>
            <w:right w:val="none" w:sz="0" w:space="0" w:color="auto"/>
          </w:divBdr>
          <w:divsChild>
            <w:div w:id="637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318">
      <w:bodyDiv w:val="1"/>
      <w:marLeft w:val="0"/>
      <w:marRight w:val="0"/>
      <w:marTop w:val="0"/>
      <w:marBottom w:val="0"/>
      <w:divBdr>
        <w:top w:val="none" w:sz="0" w:space="0" w:color="auto"/>
        <w:left w:val="none" w:sz="0" w:space="0" w:color="auto"/>
        <w:bottom w:val="none" w:sz="0" w:space="0" w:color="auto"/>
        <w:right w:val="none" w:sz="0" w:space="0" w:color="auto"/>
      </w:divBdr>
      <w:divsChild>
        <w:div w:id="386537868">
          <w:marLeft w:val="0"/>
          <w:marRight w:val="0"/>
          <w:marTop w:val="0"/>
          <w:marBottom w:val="0"/>
          <w:divBdr>
            <w:top w:val="none" w:sz="0" w:space="0" w:color="auto"/>
            <w:left w:val="none" w:sz="0" w:space="0" w:color="auto"/>
            <w:bottom w:val="none" w:sz="0" w:space="0" w:color="auto"/>
            <w:right w:val="none" w:sz="0" w:space="0" w:color="auto"/>
          </w:divBdr>
          <w:divsChild>
            <w:div w:id="4991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0496">
      <w:bodyDiv w:val="1"/>
      <w:marLeft w:val="0"/>
      <w:marRight w:val="0"/>
      <w:marTop w:val="0"/>
      <w:marBottom w:val="0"/>
      <w:divBdr>
        <w:top w:val="none" w:sz="0" w:space="0" w:color="auto"/>
        <w:left w:val="none" w:sz="0" w:space="0" w:color="auto"/>
        <w:bottom w:val="none" w:sz="0" w:space="0" w:color="auto"/>
        <w:right w:val="none" w:sz="0" w:space="0" w:color="auto"/>
      </w:divBdr>
    </w:div>
    <w:div w:id="1045258360">
      <w:bodyDiv w:val="1"/>
      <w:marLeft w:val="0"/>
      <w:marRight w:val="0"/>
      <w:marTop w:val="0"/>
      <w:marBottom w:val="0"/>
      <w:divBdr>
        <w:top w:val="none" w:sz="0" w:space="0" w:color="auto"/>
        <w:left w:val="none" w:sz="0" w:space="0" w:color="auto"/>
        <w:bottom w:val="none" w:sz="0" w:space="0" w:color="auto"/>
        <w:right w:val="none" w:sz="0" w:space="0" w:color="auto"/>
      </w:divBdr>
    </w:div>
    <w:div w:id="1119031460">
      <w:bodyDiv w:val="1"/>
      <w:marLeft w:val="0"/>
      <w:marRight w:val="0"/>
      <w:marTop w:val="0"/>
      <w:marBottom w:val="0"/>
      <w:divBdr>
        <w:top w:val="none" w:sz="0" w:space="0" w:color="auto"/>
        <w:left w:val="none" w:sz="0" w:space="0" w:color="auto"/>
        <w:bottom w:val="none" w:sz="0" w:space="0" w:color="auto"/>
        <w:right w:val="none" w:sz="0" w:space="0" w:color="auto"/>
      </w:divBdr>
    </w:div>
    <w:div w:id="1128282702">
      <w:bodyDiv w:val="1"/>
      <w:marLeft w:val="0"/>
      <w:marRight w:val="0"/>
      <w:marTop w:val="0"/>
      <w:marBottom w:val="0"/>
      <w:divBdr>
        <w:top w:val="none" w:sz="0" w:space="0" w:color="auto"/>
        <w:left w:val="none" w:sz="0" w:space="0" w:color="auto"/>
        <w:bottom w:val="none" w:sz="0" w:space="0" w:color="auto"/>
        <w:right w:val="none" w:sz="0" w:space="0" w:color="auto"/>
      </w:divBdr>
      <w:divsChild>
        <w:div w:id="1565139375">
          <w:marLeft w:val="0"/>
          <w:marRight w:val="0"/>
          <w:marTop w:val="0"/>
          <w:marBottom w:val="0"/>
          <w:divBdr>
            <w:top w:val="none" w:sz="0" w:space="0" w:color="auto"/>
            <w:left w:val="none" w:sz="0" w:space="0" w:color="auto"/>
            <w:bottom w:val="none" w:sz="0" w:space="0" w:color="auto"/>
            <w:right w:val="none" w:sz="0" w:space="0" w:color="auto"/>
          </w:divBdr>
          <w:divsChild>
            <w:div w:id="1673988773">
              <w:marLeft w:val="0"/>
              <w:marRight w:val="0"/>
              <w:marTop w:val="0"/>
              <w:marBottom w:val="0"/>
              <w:divBdr>
                <w:top w:val="none" w:sz="0" w:space="0" w:color="auto"/>
                <w:left w:val="none" w:sz="0" w:space="0" w:color="auto"/>
                <w:bottom w:val="none" w:sz="0" w:space="0" w:color="auto"/>
                <w:right w:val="none" w:sz="0" w:space="0" w:color="auto"/>
              </w:divBdr>
              <w:divsChild>
                <w:div w:id="547911804">
                  <w:marLeft w:val="0"/>
                  <w:marRight w:val="0"/>
                  <w:marTop w:val="0"/>
                  <w:marBottom w:val="0"/>
                  <w:divBdr>
                    <w:top w:val="none" w:sz="0" w:space="0" w:color="auto"/>
                    <w:left w:val="none" w:sz="0" w:space="0" w:color="auto"/>
                    <w:bottom w:val="none" w:sz="0" w:space="0" w:color="auto"/>
                    <w:right w:val="none" w:sz="0" w:space="0" w:color="auto"/>
                  </w:divBdr>
                </w:div>
                <w:div w:id="576136028">
                  <w:marLeft w:val="0"/>
                  <w:marRight w:val="0"/>
                  <w:marTop w:val="0"/>
                  <w:marBottom w:val="0"/>
                  <w:divBdr>
                    <w:top w:val="none" w:sz="0" w:space="0" w:color="auto"/>
                    <w:left w:val="none" w:sz="0" w:space="0" w:color="auto"/>
                    <w:bottom w:val="none" w:sz="0" w:space="0" w:color="auto"/>
                    <w:right w:val="none" w:sz="0" w:space="0" w:color="auto"/>
                  </w:divBdr>
                </w:div>
                <w:div w:id="946235228">
                  <w:marLeft w:val="0"/>
                  <w:marRight w:val="0"/>
                  <w:marTop w:val="0"/>
                  <w:marBottom w:val="0"/>
                  <w:divBdr>
                    <w:top w:val="none" w:sz="0" w:space="0" w:color="auto"/>
                    <w:left w:val="none" w:sz="0" w:space="0" w:color="auto"/>
                    <w:bottom w:val="none" w:sz="0" w:space="0" w:color="auto"/>
                    <w:right w:val="none" w:sz="0" w:space="0" w:color="auto"/>
                  </w:divBdr>
                </w:div>
                <w:div w:id="977224297">
                  <w:marLeft w:val="0"/>
                  <w:marRight w:val="0"/>
                  <w:marTop w:val="0"/>
                  <w:marBottom w:val="0"/>
                  <w:divBdr>
                    <w:top w:val="none" w:sz="0" w:space="0" w:color="auto"/>
                    <w:left w:val="none" w:sz="0" w:space="0" w:color="auto"/>
                    <w:bottom w:val="none" w:sz="0" w:space="0" w:color="auto"/>
                    <w:right w:val="none" w:sz="0" w:space="0" w:color="auto"/>
                  </w:divBdr>
                </w:div>
                <w:div w:id="1000356918">
                  <w:marLeft w:val="0"/>
                  <w:marRight w:val="0"/>
                  <w:marTop w:val="0"/>
                  <w:marBottom w:val="0"/>
                  <w:divBdr>
                    <w:top w:val="none" w:sz="0" w:space="0" w:color="auto"/>
                    <w:left w:val="none" w:sz="0" w:space="0" w:color="auto"/>
                    <w:bottom w:val="none" w:sz="0" w:space="0" w:color="auto"/>
                    <w:right w:val="none" w:sz="0" w:space="0" w:color="auto"/>
                  </w:divBdr>
                </w:div>
                <w:div w:id="1052999327">
                  <w:marLeft w:val="0"/>
                  <w:marRight w:val="0"/>
                  <w:marTop w:val="0"/>
                  <w:marBottom w:val="0"/>
                  <w:divBdr>
                    <w:top w:val="none" w:sz="0" w:space="0" w:color="auto"/>
                    <w:left w:val="none" w:sz="0" w:space="0" w:color="auto"/>
                    <w:bottom w:val="none" w:sz="0" w:space="0" w:color="auto"/>
                    <w:right w:val="none" w:sz="0" w:space="0" w:color="auto"/>
                  </w:divBdr>
                </w:div>
                <w:div w:id="1210916323">
                  <w:marLeft w:val="0"/>
                  <w:marRight w:val="0"/>
                  <w:marTop w:val="0"/>
                  <w:marBottom w:val="0"/>
                  <w:divBdr>
                    <w:top w:val="none" w:sz="0" w:space="0" w:color="auto"/>
                    <w:left w:val="none" w:sz="0" w:space="0" w:color="auto"/>
                    <w:bottom w:val="none" w:sz="0" w:space="0" w:color="auto"/>
                    <w:right w:val="none" w:sz="0" w:space="0" w:color="auto"/>
                  </w:divBdr>
                </w:div>
                <w:div w:id="1328090455">
                  <w:marLeft w:val="0"/>
                  <w:marRight w:val="0"/>
                  <w:marTop w:val="0"/>
                  <w:marBottom w:val="0"/>
                  <w:divBdr>
                    <w:top w:val="none" w:sz="0" w:space="0" w:color="auto"/>
                    <w:left w:val="none" w:sz="0" w:space="0" w:color="auto"/>
                    <w:bottom w:val="none" w:sz="0" w:space="0" w:color="auto"/>
                    <w:right w:val="none" w:sz="0" w:space="0" w:color="auto"/>
                  </w:divBdr>
                </w:div>
                <w:div w:id="1366101245">
                  <w:marLeft w:val="0"/>
                  <w:marRight w:val="0"/>
                  <w:marTop w:val="0"/>
                  <w:marBottom w:val="0"/>
                  <w:divBdr>
                    <w:top w:val="none" w:sz="0" w:space="0" w:color="auto"/>
                    <w:left w:val="none" w:sz="0" w:space="0" w:color="auto"/>
                    <w:bottom w:val="none" w:sz="0" w:space="0" w:color="auto"/>
                    <w:right w:val="none" w:sz="0" w:space="0" w:color="auto"/>
                  </w:divBdr>
                </w:div>
                <w:div w:id="1394160261">
                  <w:marLeft w:val="0"/>
                  <w:marRight w:val="0"/>
                  <w:marTop w:val="0"/>
                  <w:marBottom w:val="0"/>
                  <w:divBdr>
                    <w:top w:val="none" w:sz="0" w:space="0" w:color="auto"/>
                    <w:left w:val="none" w:sz="0" w:space="0" w:color="auto"/>
                    <w:bottom w:val="none" w:sz="0" w:space="0" w:color="auto"/>
                    <w:right w:val="none" w:sz="0" w:space="0" w:color="auto"/>
                  </w:divBdr>
                </w:div>
                <w:div w:id="1509061522">
                  <w:marLeft w:val="0"/>
                  <w:marRight w:val="0"/>
                  <w:marTop w:val="0"/>
                  <w:marBottom w:val="0"/>
                  <w:divBdr>
                    <w:top w:val="none" w:sz="0" w:space="0" w:color="auto"/>
                    <w:left w:val="none" w:sz="0" w:space="0" w:color="auto"/>
                    <w:bottom w:val="none" w:sz="0" w:space="0" w:color="auto"/>
                    <w:right w:val="none" w:sz="0" w:space="0" w:color="auto"/>
                  </w:divBdr>
                </w:div>
                <w:div w:id="1583025084">
                  <w:marLeft w:val="0"/>
                  <w:marRight w:val="0"/>
                  <w:marTop w:val="0"/>
                  <w:marBottom w:val="0"/>
                  <w:divBdr>
                    <w:top w:val="none" w:sz="0" w:space="0" w:color="auto"/>
                    <w:left w:val="none" w:sz="0" w:space="0" w:color="auto"/>
                    <w:bottom w:val="none" w:sz="0" w:space="0" w:color="auto"/>
                    <w:right w:val="none" w:sz="0" w:space="0" w:color="auto"/>
                  </w:divBdr>
                </w:div>
                <w:div w:id="1585608252">
                  <w:marLeft w:val="0"/>
                  <w:marRight w:val="0"/>
                  <w:marTop w:val="0"/>
                  <w:marBottom w:val="0"/>
                  <w:divBdr>
                    <w:top w:val="none" w:sz="0" w:space="0" w:color="auto"/>
                    <w:left w:val="none" w:sz="0" w:space="0" w:color="auto"/>
                    <w:bottom w:val="none" w:sz="0" w:space="0" w:color="auto"/>
                    <w:right w:val="none" w:sz="0" w:space="0" w:color="auto"/>
                  </w:divBdr>
                </w:div>
                <w:div w:id="1598292777">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799376453">
                  <w:marLeft w:val="0"/>
                  <w:marRight w:val="0"/>
                  <w:marTop w:val="0"/>
                  <w:marBottom w:val="0"/>
                  <w:divBdr>
                    <w:top w:val="none" w:sz="0" w:space="0" w:color="auto"/>
                    <w:left w:val="none" w:sz="0" w:space="0" w:color="auto"/>
                    <w:bottom w:val="none" w:sz="0" w:space="0" w:color="auto"/>
                    <w:right w:val="none" w:sz="0" w:space="0" w:color="auto"/>
                  </w:divBdr>
                </w:div>
                <w:div w:id="1849178983">
                  <w:marLeft w:val="0"/>
                  <w:marRight w:val="0"/>
                  <w:marTop w:val="0"/>
                  <w:marBottom w:val="0"/>
                  <w:divBdr>
                    <w:top w:val="none" w:sz="0" w:space="0" w:color="auto"/>
                    <w:left w:val="none" w:sz="0" w:space="0" w:color="auto"/>
                    <w:bottom w:val="none" w:sz="0" w:space="0" w:color="auto"/>
                    <w:right w:val="none" w:sz="0" w:space="0" w:color="auto"/>
                  </w:divBdr>
                </w:div>
                <w:div w:id="1984773776">
                  <w:marLeft w:val="0"/>
                  <w:marRight w:val="0"/>
                  <w:marTop w:val="0"/>
                  <w:marBottom w:val="0"/>
                  <w:divBdr>
                    <w:top w:val="none" w:sz="0" w:space="0" w:color="auto"/>
                    <w:left w:val="none" w:sz="0" w:space="0" w:color="auto"/>
                    <w:bottom w:val="none" w:sz="0" w:space="0" w:color="auto"/>
                    <w:right w:val="none" w:sz="0" w:space="0" w:color="auto"/>
                  </w:divBdr>
                </w:div>
                <w:div w:id="21099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471">
          <w:marLeft w:val="0"/>
          <w:marRight w:val="0"/>
          <w:marTop w:val="0"/>
          <w:marBottom w:val="0"/>
          <w:divBdr>
            <w:top w:val="none" w:sz="0" w:space="0" w:color="auto"/>
            <w:left w:val="none" w:sz="0" w:space="0" w:color="auto"/>
            <w:bottom w:val="none" w:sz="0" w:space="0" w:color="auto"/>
            <w:right w:val="none" w:sz="0" w:space="0" w:color="auto"/>
          </w:divBdr>
          <w:divsChild>
            <w:div w:id="1178882433">
              <w:marLeft w:val="0"/>
              <w:marRight w:val="0"/>
              <w:marTop w:val="0"/>
              <w:marBottom w:val="0"/>
              <w:divBdr>
                <w:top w:val="none" w:sz="0" w:space="0" w:color="auto"/>
                <w:left w:val="none" w:sz="0" w:space="0" w:color="auto"/>
                <w:bottom w:val="none" w:sz="0" w:space="0" w:color="auto"/>
                <w:right w:val="none" w:sz="0" w:space="0" w:color="auto"/>
              </w:divBdr>
              <w:divsChild>
                <w:div w:id="41368298">
                  <w:marLeft w:val="0"/>
                  <w:marRight w:val="0"/>
                  <w:marTop w:val="0"/>
                  <w:marBottom w:val="0"/>
                  <w:divBdr>
                    <w:top w:val="none" w:sz="0" w:space="0" w:color="auto"/>
                    <w:left w:val="none" w:sz="0" w:space="0" w:color="auto"/>
                    <w:bottom w:val="none" w:sz="0" w:space="0" w:color="auto"/>
                    <w:right w:val="none" w:sz="0" w:space="0" w:color="auto"/>
                  </w:divBdr>
                </w:div>
                <w:div w:id="116683969">
                  <w:marLeft w:val="0"/>
                  <w:marRight w:val="0"/>
                  <w:marTop w:val="0"/>
                  <w:marBottom w:val="0"/>
                  <w:divBdr>
                    <w:top w:val="none" w:sz="0" w:space="0" w:color="auto"/>
                    <w:left w:val="none" w:sz="0" w:space="0" w:color="auto"/>
                    <w:bottom w:val="none" w:sz="0" w:space="0" w:color="auto"/>
                    <w:right w:val="none" w:sz="0" w:space="0" w:color="auto"/>
                  </w:divBdr>
                </w:div>
                <w:div w:id="173350860">
                  <w:marLeft w:val="0"/>
                  <w:marRight w:val="0"/>
                  <w:marTop w:val="0"/>
                  <w:marBottom w:val="0"/>
                  <w:divBdr>
                    <w:top w:val="none" w:sz="0" w:space="0" w:color="auto"/>
                    <w:left w:val="none" w:sz="0" w:space="0" w:color="auto"/>
                    <w:bottom w:val="none" w:sz="0" w:space="0" w:color="auto"/>
                    <w:right w:val="none" w:sz="0" w:space="0" w:color="auto"/>
                  </w:divBdr>
                </w:div>
                <w:div w:id="217324773">
                  <w:marLeft w:val="0"/>
                  <w:marRight w:val="0"/>
                  <w:marTop w:val="0"/>
                  <w:marBottom w:val="0"/>
                  <w:divBdr>
                    <w:top w:val="none" w:sz="0" w:space="0" w:color="auto"/>
                    <w:left w:val="none" w:sz="0" w:space="0" w:color="auto"/>
                    <w:bottom w:val="none" w:sz="0" w:space="0" w:color="auto"/>
                    <w:right w:val="none" w:sz="0" w:space="0" w:color="auto"/>
                  </w:divBdr>
                </w:div>
                <w:div w:id="329866295">
                  <w:marLeft w:val="0"/>
                  <w:marRight w:val="0"/>
                  <w:marTop w:val="0"/>
                  <w:marBottom w:val="0"/>
                  <w:divBdr>
                    <w:top w:val="none" w:sz="0" w:space="0" w:color="auto"/>
                    <w:left w:val="none" w:sz="0" w:space="0" w:color="auto"/>
                    <w:bottom w:val="none" w:sz="0" w:space="0" w:color="auto"/>
                    <w:right w:val="none" w:sz="0" w:space="0" w:color="auto"/>
                  </w:divBdr>
                </w:div>
                <w:div w:id="430006259">
                  <w:marLeft w:val="0"/>
                  <w:marRight w:val="0"/>
                  <w:marTop w:val="0"/>
                  <w:marBottom w:val="0"/>
                  <w:divBdr>
                    <w:top w:val="none" w:sz="0" w:space="0" w:color="auto"/>
                    <w:left w:val="none" w:sz="0" w:space="0" w:color="auto"/>
                    <w:bottom w:val="none" w:sz="0" w:space="0" w:color="auto"/>
                    <w:right w:val="none" w:sz="0" w:space="0" w:color="auto"/>
                  </w:divBdr>
                </w:div>
                <w:div w:id="528567832">
                  <w:marLeft w:val="0"/>
                  <w:marRight w:val="0"/>
                  <w:marTop w:val="0"/>
                  <w:marBottom w:val="0"/>
                  <w:divBdr>
                    <w:top w:val="none" w:sz="0" w:space="0" w:color="auto"/>
                    <w:left w:val="none" w:sz="0" w:space="0" w:color="auto"/>
                    <w:bottom w:val="none" w:sz="0" w:space="0" w:color="auto"/>
                    <w:right w:val="none" w:sz="0" w:space="0" w:color="auto"/>
                  </w:divBdr>
                </w:div>
                <w:div w:id="1156217441">
                  <w:marLeft w:val="0"/>
                  <w:marRight w:val="0"/>
                  <w:marTop w:val="0"/>
                  <w:marBottom w:val="0"/>
                  <w:divBdr>
                    <w:top w:val="none" w:sz="0" w:space="0" w:color="auto"/>
                    <w:left w:val="none" w:sz="0" w:space="0" w:color="auto"/>
                    <w:bottom w:val="none" w:sz="0" w:space="0" w:color="auto"/>
                    <w:right w:val="none" w:sz="0" w:space="0" w:color="auto"/>
                  </w:divBdr>
                </w:div>
                <w:div w:id="1161771459">
                  <w:marLeft w:val="0"/>
                  <w:marRight w:val="0"/>
                  <w:marTop w:val="0"/>
                  <w:marBottom w:val="0"/>
                  <w:divBdr>
                    <w:top w:val="none" w:sz="0" w:space="0" w:color="auto"/>
                    <w:left w:val="none" w:sz="0" w:space="0" w:color="auto"/>
                    <w:bottom w:val="none" w:sz="0" w:space="0" w:color="auto"/>
                    <w:right w:val="none" w:sz="0" w:space="0" w:color="auto"/>
                  </w:divBdr>
                </w:div>
                <w:div w:id="1199666460">
                  <w:marLeft w:val="0"/>
                  <w:marRight w:val="0"/>
                  <w:marTop w:val="0"/>
                  <w:marBottom w:val="0"/>
                  <w:divBdr>
                    <w:top w:val="none" w:sz="0" w:space="0" w:color="auto"/>
                    <w:left w:val="none" w:sz="0" w:space="0" w:color="auto"/>
                    <w:bottom w:val="none" w:sz="0" w:space="0" w:color="auto"/>
                    <w:right w:val="none" w:sz="0" w:space="0" w:color="auto"/>
                  </w:divBdr>
                </w:div>
                <w:div w:id="1404718176">
                  <w:marLeft w:val="0"/>
                  <w:marRight w:val="0"/>
                  <w:marTop w:val="0"/>
                  <w:marBottom w:val="0"/>
                  <w:divBdr>
                    <w:top w:val="none" w:sz="0" w:space="0" w:color="auto"/>
                    <w:left w:val="none" w:sz="0" w:space="0" w:color="auto"/>
                    <w:bottom w:val="none" w:sz="0" w:space="0" w:color="auto"/>
                    <w:right w:val="none" w:sz="0" w:space="0" w:color="auto"/>
                  </w:divBdr>
                </w:div>
                <w:div w:id="1445005111">
                  <w:marLeft w:val="0"/>
                  <w:marRight w:val="0"/>
                  <w:marTop w:val="0"/>
                  <w:marBottom w:val="0"/>
                  <w:divBdr>
                    <w:top w:val="none" w:sz="0" w:space="0" w:color="auto"/>
                    <w:left w:val="none" w:sz="0" w:space="0" w:color="auto"/>
                    <w:bottom w:val="none" w:sz="0" w:space="0" w:color="auto"/>
                    <w:right w:val="none" w:sz="0" w:space="0" w:color="auto"/>
                  </w:divBdr>
                </w:div>
                <w:div w:id="1473600579">
                  <w:marLeft w:val="0"/>
                  <w:marRight w:val="0"/>
                  <w:marTop w:val="0"/>
                  <w:marBottom w:val="0"/>
                  <w:divBdr>
                    <w:top w:val="none" w:sz="0" w:space="0" w:color="auto"/>
                    <w:left w:val="none" w:sz="0" w:space="0" w:color="auto"/>
                    <w:bottom w:val="none" w:sz="0" w:space="0" w:color="auto"/>
                    <w:right w:val="none" w:sz="0" w:space="0" w:color="auto"/>
                  </w:divBdr>
                </w:div>
                <w:div w:id="18907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254">
      <w:bodyDiv w:val="1"/>
      <w:marLeft w:val="0"/>
      <w:marRight w:val="0"/>
      <w:marTop w:val="0"/>
      <w:marBottom w:val="0"/>
      <w:divBdr>
        <w:top w:val="none" w:sz="0" w:space="0" w:color="auto"/>
        <w:left w:val="none" w:sz="0" w:space="0" w:color="auto"/>
        <w:bottom w:val="none" w:sz="0" w:space="0" w:color="auto"/>
        <w:right w:val="none" w:sz="0" w:space="0" w:color="auto"/>
      </w:divBdr>
      <w:divsChild>
        <w:div w:id="459223383">
          <w:marLeft w:val="0"/>
          <w:marRight w:val="0"/>
          <w:marTop w:val="0"/>
          <w:marBottom w:val="0"/>
          <w:divBdr>
            <w:top w:val="none" w:sz="0" w:space="0" w:color="auto"/>
            <w:left w:val="none" w:sz="0" w:space="0" w:color="auto"/>
            <w:bottom w:val="none" w:sz="0" w:space="0" w:color="auto"/>
            <w:right w:val="none" w:sz="0" w:space="0" w:color="auto"/>
          </w:divBdr>
        </w:div>
        <w:div w:id="763232991">
          <w:marLeft w:val="0"/>
          <w:marRight w:val="0"/>
          <w:marTop w:val="0"/>
          <w:marBottom w:val="0"/>
          <w:divBdr>
            <w:top w:val="none" w:sz="0" w:space="0" w:color="auto"/>
            <w:left w:val="none" w:sz="0" w:space="0" w:color="auto"/>
            <w:bottom w:val="none" w:sz="0" w:space="0" w:color="auto"/>
            <w:right w:val="none" w:sz="0" w:space="0" w:color="auto"/>
          </w:divBdr>
        </w:div>
        <w:div w:id="1682852808">
          <w:marLeft w:val="0"/>
          <w:marRight w:val="0"/>
          <w:marTop w:val="0"/>
          <w:marBottom w:val="0"/>
          <w:divBdr>
            <w:top w:val="none" w:sz="0" w:space="0" w:color="auto"/>
            <w:left w:val="none" w:sz="0" w:space="0" w:color="auto"/>
            <w:bottom w:val="none" w:sz="0" w:space="0" w:color="auto"/>
            <w:right w:val="none" w:sz="0" w:space="0" w:color="auto"/>
          </w:divBdr>
        </w:div>
      </w:divsChild>
    </w:div>
    <w:div w:id="1218513408">
      <w:bodyDiv w:val="1"/>
      <w:marLeft w:val="0"/>
      <w:marRight w:val="0"/>
      <w:marTop w:val="0"/>
      <w:marBottom w:val="0"/>
      <w:divBdr>
        <w:top w:val="none" w:sz="0" w:space="0" w:color="auto"/>
        <w:left w:val="none" w:sz="0" w:space="0" w:color="auto"/>
        <w:bottom w:val="none" w:sz="0" w:space="0" w:color="auto"/>
        <w:right w:val="none" w:sz="0" w:space="0" w:color="auto"/>
      </w:divBdr>
    </w:div>
    <w:div w:id="1286817332">
      <w:bodyDiv w:val="1"/>
      <w:marLeft w:val="0"/>
      <w:marRight w:val="0"/>
      <w:marTop w:val="0"/>
      <w:marBottom w:val="0"/>
      <w:divBdr>
        <w:top w:val="none" w:sz="0" w:space="0" w:color="auto"/>
        <w:left w:val="none" w:sz="0" w:space="0" w:color="auto"/>
        <w:bottom w:val="none" w:sz="0" w:space="0" w:color="auto"/>
        <w:right w:val="none" w:sz="0" w:space="0" w:color="auto"/>
      </w:divBdr>
    </w:div>
    <w:div w:id="1397167325">
      <w:bodyDiv w:val="1"/>
      <w:marLeft w:val="0"/>
      <w:marRight w:val="0"/>
      <w:marTop w:val="0"/>
      <w:marBottom w:val="0"/>
      <w:divBdr>
        <w:top w:val="none" w:sz="0" w:space="0" w:color="auto"/>
        <w:left w:val="none" w:sz="0" w:space="0" w:color="auto"/>
        <w:bottom w:val="none" w:sz="0" w:space="0" w:color="auto"/>
        <w:right w:val="none" w:sz="0" w:space="0" w:color="auto"/>
      </w:divBdr>
    </w:div>
    <w:div w:id="1610551040">
      <w:bodyDiv w:val="1"/>
      <w:marLeft w:val="0"/>
      <w:marRight w:val="0"/>
      <w:marTop w:val="0"/>
      <w:marBottom w:val="0"/>
      <w:divBdr>
        <w:top w:val="none" w:sz="0" w:space="0" w:color="auto"/>
        <w:left w:val="none" w:sz="0" w:space="0" w:color="auto"/>
        <w:bottom w:val="none" w:sz="0" w:space="0" w:color="auto"/>
        <w:right w:val="none" w:sz="0" w:space="0" w:color="auto"/>
      </w:divBdr>
    </w:div>
    <w:div w:id="1652909889">
      <w:bodyDiv w:val="1"/>
      <w:marLeft w:val="0"/>
      <w:marRight w:val="0"/>
      <w:marTop w:val="0"/>
      <w:marBottom w:val="0"/>
      <w:divBdr>
        <w:top w:val="none" w:sz="0" w:space="0" w:color="auto"/>
        <w:left w:val="none" w:sz="0" w:space="0" w:color="auto"/>
        <w:bottom w:val="none" w:sz="0" w:space="0" w:color="auto"/>
        <w:right w:val="none" w:sz="0" w:space="0" w:color="auto"/>
      </w:divBdr>
    </w:div>
    <w:div w:id="1689140605">
      <w:bodyDiv w:val="1"/>
      <w:marLeft w:val="0"/>
      <w:marRight w:val="0"/>
      <w:marTop w:val="0"/>
      <w:marBottom w:val="0"/>
      <w:divBdr>
        <w:top w:val="none" w:sz="0" w:space="0" w:color="auto"/>
        <w:left w:val="none" w:sz="0" w:space="0" w:color="auto"/>
        <w:bottom w:val="none" w:sz="0" w:space="0" w:color="auto"/>
        <w:right w:val="none" w:sz="0" w:space="0" w:color="auto"/>
      </w:divBdr>
      <w:divsChild>
        <w:div w:id="1345328852">
          <w:marLeft w:val="0"/>
          <w:marRight w:val="0"/>
          <w:marTop w:val="0"/>
          <w:marBottom w:val="0"/>
          <w:divBdr>
            <w:top w:val="none" w:sz="0" w:space="0" w:color="auto"/>
            <w:left w:val="none" w:sz="0" w:space="0" w:color="auto"/>
            <w:bottom w:val="none" w:sz="0" w:space="0" w:color="auto"/>
            <w:right w:val="none" w:sz="0" w:space="0" w:color="auto"/>
          </w:divBdr>
        </w:div>
        <w:div w:id="1409309425">
          <w:marLeft w:val="0"/>
          <w:marRight w:val="0"/>
          <w:marTop w:val="0"/>
          <w:marBottom w:val="0"/>
          <w:divBdr>
            <w:top w:val="none" w:sz="0" w:space="0" w:color="auto"/>
            <w:left w:val="none" w:sz="0" w:space="0" w:color="auto"/>
            <w:bottom w:val="none" w:sz="0" w:space="0" w:color="auto"/>
            <w:right w:val="none" w:sz="0" w:space="0" w:color="auto"/>
          </w:divBdr>
          <w:divsChild>
            <w:div w:id="2064329676">
              <w:marLeft w:val="0"/>
              <w:marRight w:val="0"/>
              <w:marTop w:val="0"/>
              <w:marBottom w:val="0"/>
              <w:divBdr>
                <w:top w:val="none" w:sz="0" w:space="0" w:color="auto"/>
                <w:left w:val="none" w:sz="0" w:space="0" w:color="auto"/>
                <w:bottom w:val="none" w:sz="0" w:space="0" w:color="auto"/>
                <w:right w:val="none" w:sz="0" w:space="0" w:color="auto"/>
              </w:divBdr>
              <w:divsChild>
                <w:div w:id="1550144231">
                  <w:marLeft w:val="0"/>
                  <w:marRight w:val="0"/>
                  <w:marTop w:val="0"/>
                  <w:marBottom w:val="0"/>
                  <w:divBdr>
                    <w:top w:val="none" w:sz="0" w:space="0" w:color="auto"/>
                    <w:left w:val="none" w:sz="0" w:space="0" w:color="auto"/>
                    <w:bottom w:val="none" w:sz="0" w:space="0" w:color="auto"/>
                    <w:right w:val="none" w:sz="0" w:space="0" w:color="auto"/>
                  </w:divBdr>
                </w:div>
                <w:div w:id="20280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60896">
      <w:bodyDiv w:val="1"/>
      <w:marLeft w:val="0"/>
      <w:marRight w:val="0"/>
      <w:marTop w:val="0"/>
      <w:marBottom w:val="0"/>
      <w:divBdr>
        <w:top w:val="none" w:sz="0" w:space="0" w:color="auto"/>
        <w:left w:val="none" w:sz="0" w:space="0" w:color="auto"/>
        <w:bottom w:val="none" w:sz="0" w:space="0" w:color="auto"/>
        <w:right w:val="none" w:sz="0" w:space="0" w:color="auto"/>
      </w:divBdr>
      <w:divsChild>
        <w:div w:id="131599727">
          <w:marLeft w:val="0"/>
          <w:marRight w:val="0"/>
          <w:marTop w:val="0"/>
          <w:marBottom w:val="0"/>
          <w:divBdr>
            <w:top w:val="none" w:sz="0" w:space="0" w:color="auto"/>
            <w:left w:val="none" w:sz="0" w:space="0" w:color="auto"/>
            <w:bottom w:val="none" w:sz="0" w:space="0" w:color="auto"/>
            <w:right w:val="none" w:sz="0" w:space="0" w:color="auto"/>
          </w:divBdr>
          <w:divsChild>
            <w:div w:id="1601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448">
      <w:bodyDiv w:val="1"/>
      <w:marLeft w:val="0"/>
      <w:marRight w:val="0"/>
      <w:marTop w:val="0"/>
      <w:marBottom w:val="0"/>
      <w:divBdr>
        <w:top w:val="none" w:sz="0" w:space="0" w:color="auto"/>
        <w:left w:val="none" w:sz="0" w:space="0" w:color="auto"/>
        <w:bottom w:val="none" w:sz="0" w:space="0" w:color="auto"/>
        <w:right w:val="none" w:sz="0" w:space="0" w:color="auto"/>
      </w:divBdr>
      <w:divsChild>
        <w:div w:id="1097824915">
          <w:marLeft w:val="0"/>
          <w:marRight w:val="0"/>
          <w:marTop w:val="0"/>
          <w:marBottom w:val="0"/>
          <w:divBdr>
            <w:top w:val="none" w:sz="0" w:space="0" w:color="auto"/>
            <w:left w:val="none" w:sz="0" w:space="0" w:color="auto"/>
            <w:bottom w:val="none" w:sz="0" w:space="0" w:color="auto"/>
            <w:right w:val="none" w:sz="0" w:space="0" w:color="auto"/>
          </w:divBdr>
          <w:divsChild>
            <w:div w:id="171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jackson@u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f.io/g9p2b/" TargetMode="External"/><Relationship Id="rId4" Type="http://schemas.openxmlformats.org/officeDocument/2006/relationships/settings" Target="settings.xml"/><Relationship Id="rId9" Type="http://schemas.openxmlformats.org/officeDocument/2006/relationships/hyperlink" Target="http://journals.plos.org/plosone/article?id=10.1371/journal.pone.01045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277A-C3F9-41FF-BC03-CE9D4CDC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33943</Words>
  <Characters>193476</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Jackson, Sarah</cp:lastModifiedBy>
  <cp:revision>4</cp:revision>
  <cp:lastPrinted>2019-03-19T10:00:00Z</cp:lastPrinted>
  <dcterms:created xsi:type="dcterms:W3CDTF">2019-10-10T12:05:00Z</dcterms:created>
  <dcterms:modified xsi:type="dcterms:W3CDTF">2019-10-12T16:48:00Z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zotero-version="5.0.45"&gt;&lt;session id="dxu6TYzy"/&gt;&lt;style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name="dontAskDelayCitationUpdates" value="true"/&gt;&lt;/prefs&gt;&lt;/data&gt;</vt:lpwstr>
  </property>
</Properties>
</file>