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FD7E3" w14:textId="43E73B60" w:rsidR="00E16A41" w:rsidRPr="00F83596" w:rsidRDefault="005F55BE" w:rsidP="007073FD">
      <w:r>
        <w:t>Epilepsy deaths: l</w:t>
      </w:r>
      <w:r w:rsidR="00C4122E" w:rsidRPr="00F83596">
        <w:t>earning from health service delivery and trying to reduce risk</w:t>
      </w:r>
    </w:p>
    <w:p w14:paraId="5DAD7B69" w14:textId="2F666241" w:rsidR="00603C14" w:rsidRPr="00F83596" w:rsidRDefault="00603C14" w:rsidP="007073FD">
      <w:r w:rsidRPr="00F83596">
        <w:t>Paul Morrish</w:t>
      </w:r>
      <w:r w:rsidR="00727780" w:rsidRPr="00F83596">
        <w:rPr>
          <w:vertAlign w:val="superscript"/>
        </w:rPr>
        <w:t>1</w:t>
      </w:r>
      <w:r w:rsidRPr="00F83596">
        <w:t>, Susan Duncan</w:t>
      </w:r>
      <w:r w:rsidR="00727780" w:rsidRPr="00F83596">
        <w:rPr>
          <w:vertAlign w:val="superscript"/>
        </w:rPr>
        <w:t>2</w:t>
      </w:r>
      <w:r w:rsidRPr="00F83596">
        <w:t>, Hannah Cock</w:t>
      </w:r>
      <w:r w:rsidR="00727780" w:rsidRPr="00F83596">
        <w:rPr>
          <w:vertAlign w:val="superscript"/>
        </w:rPr>
        <w:t>3</w:t>
      </w:r>
    </w:p>
    <w:p w14:paraId="1C99E813" w14:textId="48674F3E" w:rsidR="00C4122E" w:rsidRPr="00EA7398" w:rsidRDefault="00727780" w:rsidP="007073FD">
      <w:r w:rsidRPr="00F83596">
        <w:rPr>
          <w:vertAlign w:val="superscript"/>
        </w:rPr>
        <w:t>1</w:t>
      </w:r>
      <w:r w:rsidR="00AE395D">
        <w:t xml:space="preserve"> </w:t>
      </w:r>
      <w:r w:rsidR="007E6EDB" w:rsidRPr="00EA7398">
        <w:t xml:space="preserve">Consultant Neurologist, Great Western Hospital, Swindon, SN3 6BB and Clinical Advisor to Public Health England </w:t>
      </w:r>
    </w:p>
    <w:p w14:paraId="3896BF85" w14:textId="78F6AA1F" w:rsidR="00727780" w:rsidRPr="00F00372" w:rsidRDefault="00727780" w:rsidP="007073FD">
      <w:r w:rsidRPr="00F83596">
        <w:rPr>
          <w:vertAlign w:val="superscript"/>
        </w:rPr>
        <w:t>2</w:t>
      </w:r>
      <w:r w:rsidR="00F00372">
        <w:t xml:space="preserve"> Consultant Neurologist, Department of Clinical Neurosciences, Western General Hospital Edinburgh EH4 2XU, and Honorary Clinical Senior Lecturer Muir Maxwell Epilepsy Centre University of Edinburgh.</w:t>
      </w:r>
    </w:p>
    <w:p w14:paraId="0C37C93B" w14:textId="76CB18AB" w:rsidR="00727780" w:rsidRPr="00F83596" w:rsidRDefault="00727780" w:rsidP="007073FD">
      <w:r w:rsidRPr="00F83596">
        <w:rPr>
          <w:vertAlign w:val="superscript"/>
        </w:rPr>
        <w:t>3</w:t>
      </w:r>
      <w:r w:rsidRPr="00F83596">
        <w:t xml:space="preserve"> Professor of Epilepsy &amp; Medical Education, St George’s University of London and Consultant Neurologist, Atkinson Morley Regional Epilepsy Network, St George’s University Hospitals NHS Foundation Trust, London, UK. </w:t>
      </w:r>
      <w:hyperlink r:id="rId6" w:history="1">
        <w:r w:rsidRPr="00F83596">
          <w:rPr>
            <w:rStyle w:val="Hyperlink"/>
            <w:sz w:val="24"/>
            <w:szCs w:val="24"/>
          </w:rPr>
          <w:t>hannahrc@sgul.ac.uk</w:t>
        </w:r>
      </w:hyperlink>
      <w:r w:rsidRPr="00F83596">
        <w:t xml:space="preserve"> </w:t>
      </w:r>
    </w:p>
    <w:p w14:paraId="7F7D1E99" w14:textId="7E0BD67A" w:rsidR="00727780" w:rsidRPr="00F83596" w:rsidRDefault="00727780" w:rsidP="007073FD"/>
    <w:p w14:paraId="2730131D" w14:textId="26BCD606" w:rsidR="00727780" w:rsidRPr="00F83596" w:rsidRDefault="00727780" w:rsidP="007073FD">
      <w:r w:rsidRPr="00F83596">
        <w:t xml:space="preserve">Corresponding author: Prof. Hannah </w:t>
      </w:r>
      <w:r w:rsidR="006E6BDF">
        <w:t>C</w:t>
      </w:r>
      <w:r w:rsidRPr="00F83596">
        <w:t xml:space="preserve">ock </w:t>
      </w:r>
      <w:hyperlink r:id="rId7" w:history="1">
        <w:r w:rsidRPr="00F83596">
          <w:rPr>
            <w:rStyle w:val="Hyperlink"/>
            <w:sz w:val="24"/>
            <w:szCs w:val="24"/>
          </w:rPr>
          <w:t>hannahrc@sgul.ac.uk</w:t>
        </w:r>
      </w:hyperlink>
      <w:r w:rsidRPr="00F83596">
        <w:t xml:space="preserve"> </w:t>
      </w:r>
    </w:p>
    <w:p w14:paraId="458556A6" w14:textId="40C6D5B5" w:rsidR="00727780" w:rsidRPr="00F83596" w:rsidRDefault="00F83596" w:rsidP="007073FD">
      <w:r w:rsidRPr="00F83596">
        <w:t xml:space="preserve">Professor of Epilepsy &amp; Medical Education, St George’s University of London and Consultant Neurologist, Atkinson Morley Regional Epilepsy Network, St George’s University Hospitals NHS Foundation Trust, </w:t>
      </w:r>
      <w:proofErr w:type="spellStart"/>
      <w:r w:rsidRPr="00F83596">
        <w:t>Blackshaw</w:t>
      </w:r>
      <w:proofErr w:type="spellEnd"/>
      <w:r w:rsidRPr="00F83596">
        <w:t xml:space="preserve"> Road, London SW17 0QT, UK. </w:t>
      </w:r>
      <w:hyperlink r:id="rId8" w:history="1">
        <w:r w:rsidRPr="00F83596">
          <w:rPr>
            <w:rStyle w:val="Hyperlink"/>
            <w:sz w:val="24"/>
            <w:szCs w:val="24"/>
          </w:rPr>
          <w:t>hannahrc@sgul.ac.uk</w:t>
        </w:r>
      </w:hyperlink>
    </w:p>
    <w:p w14:paraId="3E2F9365" w14:textId="42365EE3" w:rsidR="00727780" w:rsidRPr="00F83596" w:rsidRDefault="00727780" w:rsidP="007073FD"/>
    <w:p w14:paraId="3AE2F219" w14:textId="6BC2F93E" w:rsidR="00727780" w:rsidRPr="00F83596" w:rsidRDefault="00727780" w:rsidP="007073FD">
      <w:r w:rsidRPr="00F83596">
        <w:br/>
        <w:t xml:space="preserve">Word count (Excluding references/tables): </w:t>
      </w:r>
      <w:r w:rsidR="009C42B8">
        <w:t>4781</w:t>
      </w:r>
    </w:p>
    <w:p w14:paraId="55A297D3" w14:textId="59A7597C" w:rsidR="00727780" w:rsidRPr="00F83596" w:rsidRDefault="00727780" w:rsidP="007073FD"/>
    <w:p w14:paraId="0420D01A" w14:textId="32B4235B" w:rsidR="00727780" w:rsidRDefault="00727780" w:rsidP="007073FD"/>
    <w:p w14:paraId="43BD3625" w14:textId="4CD30C59" w:rsidR="00D60E5A" w:rsidRDefault="00D60E5A" w:rsidP="007073FD"/>
    <w:p w14:paraId="53057B1A" w14:textId="77777777" w:rsidR="00411A11" w:rsidRDefault="00411A11" w:rsidP="00411A11">
      <w:pPr>
        <w:rPr>
          <w:rFonts w:asciiTheme="minorHAnsi" w:hAnsiTheme="minorHAnsi" w:cstheme="minorBidi"/>
        </w:rPr>
      </w:pPr>
      <w:r>
        <w:t>Highlights</w:t>
      </w:r>
    </w:p>
    <w:p w14:paraId="14507BED" w14:textId="77777777" w:rsidR="00411A11" w:rsidRDefault="00411A11" w:rsidP="00411A11">
      <w:pPr>
        <w:pStyle w:val="ListParagraph"/>
        <w:numPr>
          <w:ilvl w:val="0"/>
          <w:numId w:val="10"/>
        </w:numPr>
        <w:spacing w:line="256" w:lineRule="auto"/>
      </w:pPr>
      <w:r>
        <w:t xml:space="preserve">Epilepsy associated deaths in England are rising, despite falling </w:t>
      </w:r>
      <w:proofErr w:type="spellStart"/>
      <w:r>
        <w:t>all cause</w:t>
      </w:r>
      <w:proofErr w:type="spellEnd"/>
      <w:r>
        <w:t xml:space="preserve"> mortality</w:t>
      </w:r>
    </w:p>
    <w:p w14:paraId="6EAEE0A7" w14:textId="77777777" w:rsidR="00411A11" w:rsidRDefault="00411A11" w:rsidP="00411A11">
      <w:pPr>
        <w:pStyle w:val="ListParagraph"/>
        <w:numPr>
          <w:ilvl w:val="0"/>
          <w:numId w:val="10"/>
        </w:numPr>
        <w:spacing w:line="256" w:lineRule="auto"/>
      </w:pPr>
      <w:r>
        <w:t>Preventable premature deaths are occurring in men and women especially under 50</w:t>
      </w:r>
    </w:p>
    <w:p w14:paraId="45ED514A" w14:textId="77777777" w:rsidR="00411A11" w:rsidRDefault="00411A11" w:rsidP="00411A11">
      <w:pPr>
        <w:pStyle w:val="ListParagraph"/>
        <w:numPr>
          <w:ilvl w:val="0"/>
          <w:numId w:val="10"/>
        </w:numPr>
        <w:spacing w:line="256" w:lineRule="auto"/>
      </w:pPr>
      <w:r>
        <w:t>Social deprivation is strongly associated with the likelihood of dying with epilepsy</w:t>
      </w:r>
    </w:p>
    <w:p w14:paraId="3C547001" w14:textId="77777777" w:rsidR="00411A11" w:rsidRDefault="00411A11" w:rsidP="00411A11">
      <w:pPr>
        <w:pStyle w:val="ListParagraph"/>
        <w:numPr>
          <w:ilvl w:val="0"/>
          <w:numId w:val="10"/>
        </w:numPr>
        <w:spacing w:line="256" w:lineRule="auto"/>
      </w:pPr>
      <w:r>
        <w:t>Variability in access to specialists and missed opportunities for intervention are contributing</w:t>
      </w:r>
    </w:p>
    <w:p w14:paraId="0E59B454" w14:textId="77777777" w:rsidR="00411A11" w:rsidRDefault="00411A11" w:rsidP="00411A11">
      <w:pPr>
        <w:pStyle w:val="ListParagraph"/>
        <w:numPr>
          <w:ilvl w:val="0"/>
          <w:numId w:val="10"/>
        </w:numPr>
        <w:spacing w:line="256" w:lineRule="auto"/>
      </w:pPr>
      <w:r>
        <w:t>Investment in services and improved education about risks and SUDEP are essential</w:t>
      </w:r>
    </w:p>
    <w:p w14:paraId="578D832E" w14:textId="6AEE552C" w:rsidR="00D60E5A" w:rsidRDefault="00D60E5A" w:rsidP="007073FD"/>
    <w:p w14:paraId="5446748A" w14:textId="2DF1C034" w:rsidR="00D60E5A" w:rsidRDefault="00D60E5A" w:rsidP="007073FD"/>
    <w:p w14:paraId="2E675E36" w14:textId="4E9616DB" w:rsidR="00D60E5A" w:rsidRDefault="00D60E5A" w:rsidP="007073FD"/>
    <w:p w14:paraId="3953F297" w14:textId="2CF0F76A" w:rsidR="00727780" w:rsidRPr="00D60E5A" w:rsidRDefault="00727780" w:rsidP="007073FD">
      <w:pPr>
        <w:rPr>
          <w:b/>
        </w:rPr>
      </w:pPr>
      <w:bookmarkStart w:id="0" w:name="_GoBack"/>
      <w:bookmarkEnd w:id="0"/>
      <w:r w:rsidRPr="00D60E5A">
        <w:rPr>
          <w:b/>
        </w:rPr>
        <w:lastRenderedPageBreak/>
        <w:t>Abstract</w:t>
      </w:r>
    </w:p>
    <w:p w14:paraId="3877CF3A" w14:textId="693EA2CD" w:rsidR="00493D0B" w:rsidRDefault="00493D0B" w:rsidP="00493D0B">
      <w:r>
        <w:t xml:space="preserve">Two recent UK reports have highlighted data of concern in relation to potentially preventable epilepsy deaths. Public Health England, an executive agency of the Government Department of Health, using National Health Service Data from 2001-2014 reported a rise in direct age-standardised mortality for epilepsy-associated deaths, in contrast to </w:t>
      </w:r>
      <w:r w:rsidR="00AE02E2">
        <w:t xml:space="preserve">a </w:t>
      </w:r>
      <w:r>
        <w:t>reduction in all cause deaths over the same period. Premature death was seen in people aged below 50 years, especially in men, and where epilepsy</w:t>
      </w:r>
      <w:r w:rsidR="00A06F01">
        <w:t xml:space="preserve"> </w:t>
      </w:r>
      <w:r>
        <w:t>was a contributory cause rather than an association. The Scottish Epilepsy Deaths Study, analysing deaths between 2009 and 2016, similarly found death in those with epilepsy was significantly higher than the matched population below the age of 54, especially between the ages of 16 and 24 (6 times higher). Sudden Unexpected Death in Epilepsy accounted for 38% of epilepsy related deaths under the age of 45. Both studies found a strong relationship between risk of death and deprivation</w:t>
      </w:r>
      <w:r w:rsidR="00D92B7D">
        <w:t>; w</w:t>
      </w:r>
      <w:r>
        <w:t>e discuss the implications of th</w:t>
      </w:r>
      <w:r w:rsidR="00AE02E2">
        <w:t>ese</w:t>
      </w:r>
      <w:r w:rsidR="00D92B7D">
        <w:t xml:space="preserve"> and other</w:t>
      </w:r>
      <w:r>
        <w:t xml:space="preserve"> data for planning service delivery and improving epilepsy care. </w:t>
      </w:r>
    </w:p>
    <w:p w14:paraId="6FDEA1CA" w14:textId="7A762812" w:rsidR="00727780" w:rsidRPr="00F83596" w:rsidRDefault="00727780" w:rsidP="007073FD">
      <w:r w:rsidRPr="00F83596">
        <w:t xml:space="preserve">Keywords: </w:t>
      </w:r>
      <w:r w:rsidR="00AF4E4E">
        <w:t xml:space="preserve">SUDEP; </w:t>
      </w:r>
      <w:r w:rsidR="00307004">
        <w:t xml:space="preserve">Epilepsy; Service Provision; Epilepsy nurses; </w:t>
      </w:r>
      <w:r w:rsidR="00E96EF5">
        <w:t>Deprivation</w:t>
      </w:r>
    </w:p>
    <w:p w14:paraId="1976C4E5" w14:textId="773412DB" w:rsidR="00727780" w:rsidRPr="00F83596" w:rsidRDefault="00727780" w:rsidP="007073FD">
      <w:r w:rsidRPr="00790415">
        <w:rPr>
          <w:b/>
        </w:rPr>
        <w:t>Funding:</w:t>
      </w:r>
      <w:r w:rsidRPr="00F83596">
        <w:t xml:space="preserve"> HC</w:t>
      </w:r>
      <w:r w:rsidR="00C75F58">
        <w:t xml:space="preserve"> and PM</w:t>
      </w:r>
      <w:r w:rsidRPr="00F83596">
        <w:t xml:space="preserve"> did not receive any specific grant from funding agencies in the public, commercial, or not-for-profit sectors related to this work. </w:t>
      </w:r>
      <w:r w:rsidR="00F00372">
        <w:t>SD is PI of the Scottish Epilepsy Deaths Study</w:t>
      </w:r>
      <w:r w:rsidR="00AF4E4E">
        <w:t xml:space="preserve"> </w:t>
      </w:r>
      <w:r w:rsidR="00F00372">
        <w:t>(Epilepsy Research UK Grant Number R44007)</w:t>
      </w:r>
    </w:p>
    <w:p w14:paraId="312F4354" w14:textId="09BB17F8" w:rsidR="00727780" w:rsidRPr="00D60E5A" w:rsidRDefault="00F83596" w:rsidP="007073FD">
      <w:pPr>
        <w:rPr>
          <w:b/>
        </w:rPr>
      </w:pPr>
      <w:r w:rsidRPr="00D60E5A">
        <w:rPr>
          <w:b/>
        </w:rPr>
        <w:t xml:space="preserve">Declaration of interests: </w:t>
      </w:r>
    </w:p>
    <w:p w14:paraId="3C976A09" w14:textId="7975AD3F" w:rsidR="00727780" w:rsidRDefault="00F83596" w:rsidP="007073FD">
      <w:r w:rsidRPr="00F83596">
        <w:t xml:space="preserve">Prof. Cock reports personal fees from Sage Pharmaceuticals Ltd, personal fees from Eisai Europe Ltd, personal fees from UCB Pharma Ltd, personal fees from European Medicines Agency, personal fees from UK Epilepsy Nurse Specialist Association, non-financial support from Special Products Ltd, grants from U.S NIH Institute of Neurological Disorders and Stroke, non-financial support from International League Against Epilepsy, Status Epilepticus Classification Task Force, non-financial support from International League Against Epilepsy, Epilepsy Certification (education) Task Force, non-financial support from European Academy of Neurology, personal fees from </w:t>
      </w:r>
      <w:proofErr w:type="spellStart"/>
      <w:r w:rsidRPr="00F83596">
        <w:t>Bial</w:t>
      </w:r>
      <w:proofErr w:type="spellEnd"/>
      <w:r w:rsidRPr="00F83596">
        <w:t xml:space="preserve"> and Eisai,</w:t>
      </w:r>
      <w:r w:rsidR="00480051">
        <w:t xml:space="preserve"> </w:t>
      </w:r>
      <w:r w:rsidRPr="00F83596">
        <w:t>outside the submitted work.</w:t>
      </w:r>
      <w:r w:rsidR="00F00372">
        <w:t xml:space="preserve"> Dr Duncan declares </w:t>
      </w:r>
      <w:proofErr w:type="gramStart"/>
      <w:r w:rsidR="00F00372">
        <w:t>speakers</w:t>
      </w:r>
      <w:proofErr w:type="gramEnd"/>
      <w:r w:rsidR="00F00372">
        <w:t xml:space="preserve"> fees from UCB Pharma.</w:t>
      </w:r>
      <w:r w:rsidR="007E6EDB">
        <w:t xml:space="preserve">  Dr </w:t>
      </w:r>
      <w:proofErr w:type="spellStart"/>
      <w:r w:rsidR="007E6EDB">
        <w:t>Morrish</w:t>
      </w:r>
      <w:proofErr w:type="spellEnd"/>
      <w:r w:rsidR="007E6EDB">
        <w:t xml:space="preserve"> has no interests to declare.</w:t>
      </w:r>
    </w:p>
    <w:p w14:paraId="36320836" w14:textId="64F7C23D" w:rsidR="00480051" w:rsidRDefault="00480051" w:rsidP="007073FD"/>
    <w:p w14:paraId="0FE39034" w14:textId="281FDFE7" w:rsidR="00707A77" w:rsidRDefault="00707A77" w:rsidP="007073FD"/>
    <w:p w14:paraId="69DD5F8E" w14:textId="6CA7C517" w:rsidR="00707A77" w:rsidRDefault="00707A77" w:rsidP="007073FD"/>
    <w:p w14:paraId="7B4102E1" w14:textId="77777777" w:rsidR="00707A77" w:rsidRDefault="00707A77" w:rsidP="007073FD"/>
    <w:p w14:paraId="4B880741" w14:textId="3C8B1D95" w:rsidR="00480051" w:rsidRDefault="00480051" w:rsidP="007073FD"/>
    <w:p w14:paraId="6F711353" w14:textId="565F43E0" w:rsidR="00C4122E" w:rsidRPr="00F83596" w:rsidRDefault="00C4122E" w:rsidP="00C953A6">
      <w:pPr>
        <w:pStyle w:val="Heading1"/>
      </w:pPr>
      <w:r w:rsidRPr="00F83596">
        <w:lastRenderedPageBreak/>
        <w:t>Introduction:</w:t>
      </w:r>
    </w:p>
    <w:p w14:paraId="7095F230" w14:textId="3233AE43" w:rsidR="009C53EE" w:rsidRPr="00F83596" w:rsidRDefault="000A58A4" w:rsidP="007073FD">
      <w:r>
        <w:t xml:space="preserve">In the United Kingdom politics and health care are </w:t>
      </w:r>
      <w:r w:rsidR="00A06F01">
        <w:t xml:space="preserve">intentionally and </w:t>
      </w:r>
      <w:r>
        <w:t>inextricably linked</w:t>
      </w:r>
      <w:r w:rsidR="00A06F01">
        <w:t xml:space="preserve"> </w:t>
      </w:r>
      <w:r>
        <w:t xml:space="preserve">through </w:t>
      </w:r>
      <w:r w:rsidR="00A06F01">
        <w:t>a</w:t>
      </w:r>
      <w:r>
        <w:t xml:space="preserve"> National Health Service.</w:t>
      </w:r>
      <w:r w:rsidR="004116BE">
        <w:t xml:space="preserve">  We</w:t>
      </w:r>
      <w:r w:rsidR="00C4122E" w:rsidRPr="00F83596">
        <w:t xml:space="preserve"> present and discuss nationally collected data</w:t>
      </w:r>
      <w:r w:rsidR="004116BE">
        <w:t xml:space="preserve"> </w:t>
      </w:r>
      <w:r w:rsidR="00C4122E" w:rsidRPr="00F83596">
        <w:t xml:space="preserve">that </w:t>
      </w:r>
      <w:r w:rsidR="004B1F31" w:rsidRPr="00F83596">
        <w:t>s</w:t>
      </w:r>
      <w:r w:rsidR="009C53EE" w:rsidRPr="00F83596">
        <w:t>h</w:t>
      </w:r>
      <w:r w:rsidR="001B7B63" w:rsidRPr="00F83596">
        <w:t>ed</w:t>
      </w:r>
      <w:r w:rsidR="009C53EE" w:rsidRPr="00F83596">
        <w:t xml:space="preserve"> light on life and</w:t>
      </w:r>
      <w:r w:rsidR="00C4122E" w:rsidRPr="00F83596">
        <w:t xml:space="preserve"> death with epilepsy</w:t>
      </w:r>
      <w:r w:rsidR="00C16EB5" w:rsidRPr="00F83596">
        <w:t>, how services are delivered</w:t>
      </w:r>
      <w:r w:rsidR="00A07719" w:rsidRPr="00F83596">
        <w:t>,</w:t>
      </w:r>
      <w:r w:rsidR="00C16EB5" w:rsidRPr="00F83596">
        <w:t xml:space="preserve"> and how that affect</w:t>
      </w:r>
      <w:r w:rsidR="00603C14" w:rsidRPr="00F83596">
        <w:t>s</w:t>
      </w:r>
      <w:r w:rsidR="00C16EB5" w:rsidRPr="00F83596">
        <w:t xml:space="preserve"> </w:t>
      </w:r>
      <w:r w:rsidR="002B7673" w:rsidRPr="00F83596">
        <w:t>people</w:t>
      </w:r>
      <w:r w:rsidR="00C16EB5" w:rsidRPr="00F83596">
        <w:t xml:space="preserve"> with epilepsy</w:t>
      </w:r>
      <w:r w:rsidR="00A87910">
        <w:t xml:space="preserve"> (PWE)</w:t>
      </w:r>
      <w:r w:rsidR="00C4122E" w:rsidRPr="00F83596">
        <w:t>.</w:t>
      </w:r>
      <w:r w:rsidR="00AB229D" w:rsidRPr="00F83596">
        <w:t xml:space="preserve"> </w:t>
      </w:r>
      <w:r w:rsidR="004116BE">
        <w:t>We</w:t>
      </w:r>
      <w:r w:rsidR="001C0A6D" w:rsidRPr="00F83596">
        <w:t xml:space="preserve"> consider how </w:t>
      </w:r>
      <w:r w:rsidR="004116BE">
        <w:t xml:space="preserve">this </w:t>
      </w:r>
      <w:r w:rsidR="001C0A6D" w:rsidRPr="00F83596">
        <w:t xml:space="preserve">information </w:t>
      </w:r>
      <w:r w:rsidR="004116BE">
        <w:t xml:space="preserve">can </w:t>
      </w:r>
      <w:r w:rsidR="001C0A6D" w:rsidRPr="00F83596">
        <w:t>inform the planning of a health system to reduce avoidable death, from a</w:t>
      </w:r>
      <w:r w:rsidR="00F83A8D" w:rsidRPr="00F83596">
        <w:t>ll</w:t>
      </w:r>
      <w:r w:rsidR="001C0A6D" w:rsidRPr="00F83596">
        <w:t xml:space="preserve"> cause</w:t>
      </w:r>
      <w:r w:rsidR="00F83A8D" w:rsidRPr="00F83596">
        <w:t>s</w:t>
      </w:r>
      <w:r w:rsidR="001C0A6D" w:rsidRPr="00F83596">
        <w:t xml:space="preserve">, in </w:t>
      </w:r>
      <w:r w:rsidR="004B1F31" w:rsidRPr="00F83596">
        <w:t xml:space="preserve">people with </w:t>
      </w:r>
      <w:r w:rsidR="001C0A6D" w:rsidRPr="00F83596">
        <w:t>epilepsy.</w:t>
      </w:r>
      <w:r w:rsidR="00642C11" w:rsidRPr="00F83596">
        <w:t xml:space="preserve"> </w:t>
      </w:r>
      <w:r w:rsidR="004116BE">
        <w:t>We</w:t>
      </w:r>
      <w:r w:rsidR="00642C11" w:rsidRPr="00F83596">
        <w:t xml:space="preserve"> conclude with </w:t>
      </w:r>
      <w:r w:rsidR="00311295" w:rsidRPr="00F83596">
        <w:t>suggestions</w:t>
      </w:r>
      <w:r w:rsidR="004116BE">
        <w:t xml:space="preserve"> for service improvement that will</w:t>
      </w:r>
      <w:r w:rsidR="00642C11" w:rsidRPr="00F83596">
        <w:t xml:space="preserve"> improve epilepsy care</w:t>
      </w:r>
      <w:r w:rsidR="00FE1097" w:rsidRPr="00F83596">
        <w:t xml:space="preserve"> in the UK</w:t>
      </w:r>
      <w:r w:rsidR="00642C11" w:rsidRPr="00F83596">
        <w:t>.</w:t>
      </w:r>
      <w:r w:rsidR="00480051">
        <w:t xml:space="preserve">  </w:t>
      </w:r>
    </w:p>
    <w:p w14:paraId="5AABA530" w14:textId="5E8A4AE3" w:rsidR="004116BE" w:rsidRDefault="00642C11" w:rsidP="004116BE">
      <w:r w:rsidRPr="00F83596">
        <w:t>T</w:t>
      </w:r>
      <w:r w:rsidR="00AB229D" w:rsidRPr="00F83596">
        <w:t xml:space="preserve">he medical system </w:t>
      </w:r>
      <w:r w:rsidR="000A58A4">
        <w:t xml:space="preserve">in the UK </w:t>
      </w:r>
      <w:r w:rsidR="00AB229D" w:rsidRPr="00F83596">
        <w:t>is divided between primary (General practitioners), secondary (General hospitals) and tertiary care (specialist services within hospitals).</w:t>
      </w:r>
      <w:r w:rsidRPr="00F83596">
        <w:t xml:space="preserve"> </w:t>
      </w:r>
      <w:r w:rsidR="004116BE">
        <w:t>Whilst</w:t>
      </w:r>
      <w:r w:rsidRPr="00F83596">
        <w:t xml:space="preserve"> s</w:t>
      </w:r>
      <w:r w:rsidR="004116BE">
        <w:t>imilar</w:t>
      </w:r>
      <w:r w:rsidRPr="00F83596">
        <w:t xml:space="preserve"> throughout the UK</w:t>
      </w:r>
      <w:r w:rsidR="004116BE">
        <w:t>, t</w:t>
      </w:r>
      <w:r w:rsidRPr="00F83596">
        <w:t xml:space="preserve">he </w:t>
      </w:r>
      <w:r w:rsidR="000A58A4" w:rsidRPr="00F83596">
        <w:t xml:space="preserve">constituent </w:t>
      </w:r>
      <w:r w:rsidR="000A58A4">
        <w:t>nations</w:t>
      </w:r>
      <w:r w:rsidR="000A58A4" w:rsidRPr="00F83596">
        <w:t xml:space="preserve"> </w:t>
      </w:r>
      <w:r w:rsidR="000A58A4">
        <w:t xml:space="preserve">vary in </w:t>
      </w:r>
      <w:r w:rsidRPr="00F83596">
        <w:t>management and funding</w:t>
      </w:r>
      <w:r w:rsidR="000A58A4">
        <w:t>.</w:t>
      </w:r>
      <w:r w:rsidR="004116BE">
        <w:t xml:space="preserve">  </w:t>
      </w:r>
      <w:r w:rsidR="001C0A6D" w:rsidRPr="00F83596">
        <w:t xml:space="preserve">Health care in the wider community </w:t>
      </w:r>
      <w:r w:rsidR="0024296B" w:rsidRPr="00F83596">
        <w:t xml:space="preserve">in England </w:t>
      </w:r>
      <w:r w:rsidR="001C0A6D" w:rsidRPr="00F83596">
        <w:t>is</w:t>
      </w:r>
      <w:r w:rsidR="0024296B" w:rsidRPr="00F83596">
        <w:t xml:space="preserve"> managed and</w:t>
      </w:r>
      <w:r w:rsidR="001C0A6D" w:rsidRPr="00F83596">
        <w:t xml:space="preserve"> funded through </w:t>
      </w:r>
      <w:r w:rsidRPr="00F83596">
        <w:t xml:space="preserve">211 </w:t>
      </w:r>
      <w:r w:rsidR="001B7B63" w:rsidRPr="00F83596">
        <w:t xml:space="preserve">regional </w:t>
      </w:r>
      <w:r w:rsidR="001C0A6D" w:rsidRPr="00F83596">
        <w:t xml:space="preserve">Clinical </w:t>
      </w:r>
      <w:r w:rsidR="00FE1097" w:rsidRPr="00F83596">
        <w:t>C</w:t>
      </w:r>
      <w:r w:rsidR="001C0A6D" w:rsidRPr="00F83596">
        <w:t xml:space="preserve">ommissioning </w:t>
      </w:r>
      <w:r w:rsidR="00FE1097" w:rsidRPr="00F83596">
        <w:t>G</w:t>
      </w:r>
      <w:r w:rsidR="001C0A6D" w:rsidRPr="00F83596">
        <w:t>roups (CCGs)</w:t>
      </w:r>
      <w:r w:rsidR="004116BE">
        <w:t xml:space="preserve"> </w:t>
      </w:r>
      <w:r w:rsidR="001C0A6D" w:rsidRPr="00F83596">
        <w:t>includ</w:t>
      </w:r>
      <w:r w:rsidR="004116BE">
        <w:t>ing, since 2015,</w:t>
      </w:r>
      <w:r w:rsidR="001C0A6D" w:rsidRPr="00F83596">
        <w:t xml:space="preserve"> the provision of </w:t>
      </w:r>
      <w:r w:rsidR="0024296B" w:rsidRPr="00F83596">
        <w:t xml:space="preserve">general </w:t>
      </w:r>
      <w:r w:rsidR="001C0A6D" w:rsidRPr="00F83596">
        <w:t>neurology outpatient services.</w:t>
      </w:r>
      <w:r w:rsidR="00480051">
        <w:t xml:space="preserve"> </w:t>
      </w:r>
      <w:r w:rsidR="00F83A8D" w:rsidRPr="00F83596">
        <w:t>N</w:t>
      </w:r>
      <w:r w:rsidR="001C0A6D" w:rsidRPr="00F83596">
        <w:t xml:space="preserve">eurology services </w:t>
      </w:r>
      <w:r w:rsidR="00F83A8D" w:rsidRPr="00F83596">
        <w:t>with</w:t>
      </w:r>
      <w:r w:rsidR="001C0A6D" w:rsidRPr="00F83596">
        <w:t>in</w:t>
      </w:r>
      <w:r w:rsidR="000C4D9F" w:rsidRPr="00F83596">
        <w:t xml:space="preserve"> neuroscience centres, those specialist hospitals with neurosurgery on site,</w:t>
      </w:r>
      <w:r w:rsidR="0024296B" w:rsidRPr="00F83596">
        <w:t xml:space="preserve"> </w:t>
      </w:r>
      <w:r w:rsidR="001C0A6D" w:rsidRPr="00F83596">
        <w:t xml:space="preserve">are funded </w:t>
      </w:r>
      <w:r w:rsidR="00F83A8D" w:rsidRPr="00F83596">
        <w:t>differently,</w:t>
      </w:r>
      <w:r w:rsidR="001C0A6D" w:rsidRPr="00F83596">
        <w:t xml:space="preserve"> through the Specialised </w:t>
      </w:r>
      <w:r w:rsidR="005D056C">
        <w:t>S</w:t>
      </w:r>
      <w:r w:rsidR="005D056C" w:rsidRPr="00F83596">
        <w:t xml:space="preserve">ervices </w:t>
      </w:r>
      <w:r w:rsidR="001C0A6D" w:rsidRPr="00F83596">
        <w:t>route funded directly by NHS England.</w:t>
      </w:r>
      <w:r w:rsidR="00480051">
        <w:t xml:space="preserve"> </w:t>
      </w:r>
      <w:r w:rsidR="0024296B" w:rsidRPr="00F83596">
        <w:t>Specialised services are</w:t>
      </w:r>
      <w:r w:rsidRPr="00F83596">
        <w:t>, according to NHS England</w:t>
      </w:r>
      <w:r w:rsidR="00F83A8D" w:rsidRPr="00F83596">
        <w:t>’s definition</w:t>
      </w:r>
      <w:r w:rsidRPr="00F83596">
        <w:t xml:space="preserve">, </w:t>
      </w:r>
      <w:r w:rsidR="0024296B" w:rsidRPr="00F83596">
        <w:t>those provided in relatively few hospitals, accessed by comparatively small numbers of patients.</w:t>
      </w:r>
      <w:r w:rsidR="00480051">
        <w:t xml:space="preserve"> </w:t>
      </w:r>
      <w:r w:rsidR="0050400B" w:rsidRPr="00F83596">
        <w:t xml:space="preserve">In Scotland, funding for </w:t>
      </w:r>
      <w:r w:rsidRPr="00F83596">
        <w:t>all medical</w:t>
      </w:r>
      <w:r w:rsidR="0050400B" w:rsidRPr="00F83596">
        <w:t xml:space="preserve"> care comes through a single route</w:t>
      </w:r>
      <w:r w:rsidRPr="00F83596">
        <w:t>, 14 geographically-based NHS boards, each responsible for community and hospital services within its territory</w:t>
      </w:r>
      <w:r w:rsidRPr="00C75F58">
        <w:t>.</w:t>
      </w:r>
      <w:r w:rsidR="00480051" w:rsidRPr="00C75F58">
        <w:t xml:space="preserve"> </w:t>
      </w:r>
      <w:r w:rsidRPr="00C75F58">
        <w:t xml:space="preserve">NHS </w:t>
      </w:r>
      <w:r w:rsidR="00AF4E4E" w:rsidRPr="00C75F58">
        <w:t xml:space="preserve">services in </w:t>
      </w:r>
      <w:r w:rsidRPr="00C75F58">
        <w:t>Scotland</w:t>
      </w:r>
      <w:r w:rsidR="00D61A52" w:rsidRPr="00C75F58">
        <w:t xml:space="preserve"> are devolved, being administered separately from the rest of the UK by </w:t>
      </w:r>
      <w:r w:rsidR="00AF4E4E" w:rsidRPr="00C75F58">
        <w:t>local Parliaments.</w:t>
      </w:r>
      <w:r w:rsidR="00B817D5">
        <w:t xml:space="preserve">  </w:t>
      </w:r>
      <w:r w:rsidR="00B817D5" w:rsidRPr="00F83596">
        <w:t xml:space="preserve">The total NHS budget for England in 2015-6 was £101.3 billion of which £9.6 billion went to CCGs </w:t>
      </w:r>
      <w:r w:rsidR="00B817D5">
        <w:fldChar w:fldCharType="begin"/>
      </w:r>
      <w:r w:rsidR="008B2939">
        <w:instrText xml:space="preserve"> ADDIN EN.CITE &lt;EndNote&gt;&lt;Cite&gt;&lt;Author&gt;NHS England&lt;/Author&gt;&lt;Year&gt;2016&lt;/Year&gt;&lt;RecNum&gt;9789&lt;/RecNum&gt;&lt;DisplayText&gt;[1]&lt;/DisplayText&gt;&lt;record&gt;&lt;rec-number&gt;9789&lt;/rec-number&gt;&lt;foreign-keys&gt;&lt;key app="EN" db-id="ppttsszxnv29r1e2adav29tz00fr95zpdazv" timestamp="1552830015"&gt;9789&lt;/key&gt;&lt;/foreign-keys&gt;&lt;ref-type name="Report"&gt;27&lt;/ref-type&gt;&lt;contributors&gt;&lt;authors&gt;&lt;author&gt;NHS England, &lt;/author&gt;&lt;/authors&gt;&lt;tertiary-authors&gt;&lt;author&gt;HMSO&lt;/author&gt;&lt;/tertiary-authors&gt;&lt;/contributors&gt;&lt;titles&gt;&lt;title&gt;NHS England Annual Report 2015/16&lt;/title&gt;&lt;secondary-title&gt;NHS England Annual Report and Accounts&lt;/secondary-title&gt;&lt;/titles&gt;&lt;pages&gt;https://www.england.nhs.uk/wp-content/uploads/2016/07/nhse-annual-rep-201516.pdf&lt;/pages&gt;&lt;number&gt;ID 16021605  07/17&lt;/number&gt;&lt;dates&gt;&lt;year&gt;2016&lt;/year&gt;&lt;/dates&gt;&lt;pub-location&gt;Leeds, UK&lt;/pub-location&gt;&lt;publisher&gt;NHS England&lt;/publisher&gt;&lt;accession-num&gt;ISBN 9781474128803&lt;/accession-num&gt;&lt;urls&gt;&lt;related-urls&gt;&lt;url&gt;https://www.england.nhs.uk/wp-content/uploads/2016/07/nhse-annual-rep-201516.pdf&lt;/url&gt;&lt;/related-urls&gt;&lt;/urls&gt;&lt;access-date&gt;30/12/2018&lt;/access-date&gt;&lt;/record&gt;&lt;/Cite&gt;&lt;/EndNote&gt;</w:instrText>
      </w:r>
      <w:r w:rsidR="00B817D5">
        <w:fldChar w:fldCharType="separate"/>
      </w:r>
      <w:r w:rsidR="00B817D5">
        <w:rPr>
          <w:noProof/>
        </w:rPr>
        <w:t>[1]</w:t>
      </w:r>
      <w:r w:rsidR="00B817D5">
        <w:fldChar w:fldCharType="end"/>
      </w:r>
      <w:r w:rsidR="006E6BDF">
        <w:t>, and</w:t>
      </w:r>
      <w:r w:rsidR="00AE02E2">
        <w:t xml:space="preserve"> </w:t>
      </w:r>
      <w:r w:rsidR="006E6BDF">
        <w:t>NHS Scotland</w:t>
      </w:r>
      <w:r w:rsidR="006E6BDF" w:rsidRPr="00C75F58">
        <w:t xml:space="preserve"> had an operating budget of £12.2 billion in 2015-6 </w:t>
      </w:r>
      <w:r w:rsidR="006E6BDF" w:rsidRPr="00C75F58">
        <w:fldChar w:fldCharType="begin"/>
      </w:r>
      <w:r w:rsidR="008B2939">
        <w:instrText xml:space="preserve"> ADDIN EN.CITE &lt;EndNote&gt;&lt;Cite&gt;&lt;Author&gt;Scotland&lt;/Author&gt;&lt;Year&gt;2016&lt;/Year&gt;&lt;RecNum&gt;9794&lt;/RecNum&gt;&lt;DisplayText&gt;[2]&lt;/DisplayText&gt;&lt;record&gt;&lt;rec-number&gt;9794&lt;/rec-number&gt;&lt;foreign-keys&gt;&lt;key app="EN" db-id="ppttsszxnv29r1e2adav29tz00fr95zpdazv" timestamp="1552830019"&gt;9794&lt;/key&gt;&lt;/foreign-keys&gt;&lt;ref-type name="Report"&gt;27&lt;/ref-type&gt;&lt;contributors&gt;&lt;authors&gt;&lt;author&gt;Audit Scotland&lt;/author&gt;&lt;/authors&gt;&lt;/contributors&gt;&lt;titles&gt;&lt;title&gt;NHS in Scotland 2016&lt;/title&gt;&lt;/titles&gt;&lt;pages&gt;1-48,&lt;/pages&gt;&lt;edition&gt;AGS/2016/9&lt;/edition&gt;&lt;keywords&gt;&lt;keyword&gt;NHS&lt;/keyword&gt;&lt;keyword&gt;Scotland&lt;/keyword&gt;&lt;keyword&gt;Report&lt;/keyword&gt;&lt;/keywords&gt;&lt;dates&gt;&lt;year&gt;2016&lt;/year&gt;&lt;pub-dates&gt;&lt;date&gt;October 2016&lt;/date&gt;&lt;/pub-dates&gt;&lt;/dates&gt;&lt;pub-location&gt;Edinburgh, Scotland&lt;/pub-location&gt;&lt;accession-num&gt;ISBN 978 1 911494 09 6&lt;/accession-num&gt;&lt;urls&gt;&lt;related-urls&gt;&lt;url&gt;http://www.audit-scotland.gov.uk/uploads/docs/report/2016/nr_161027_nhs_overview.pdf &lt;/url&gt;&lt;/related-urls&gt;&lt;/urls&gt;&lt;/record&gt;&lt;/Cite&gt;&lt;/EndNote&gt;</w:instrText>
      </w:r>
      <w:r w:rsidR="006E6BDF" w:rsidRPr="00C75F58">
        <w:fldChar w:fldCharType="separate"/>
      </w:r>
      <w:r w:rsidR="006E6BDF" w:rsidRPr="00C75F58">
        <w:rPr>
          <w:noProof/>
        </w:rPr>
        <w:t>[2]</w:t>
      </w:r>
      <w:r w:rsidR="006E6BDF" w:rsidRPr="00C75F58">
        <w:fldChar w:fldCharType="end"/>
      </w:r>
      <w:r w:rsidR="006E6BDF">
        <w:t>.</w:t>
      </w:r>
    </w:p>
    <w:p w14:paraId="12E33B98" w14:textId="64842119" w:rsidR="00C4122E" w:rsidRPr="00F83596" w:rsidRDefault="00C4122E" w:rsidP="004116BE">
      <w:pPr>
        <w:pStyle w:val="Heading1"/>
      </w:pPr>
      <w:r w:rsidRPr="00F83596">
        <w:t>Methods:</w:t>
      </w:r>
    </w:p>
    <w:p w14:paraId="0660B1E8" w14:textId="7A0ECBAD" w:rsidR="00AB229D" w:rsidRPr="00F83596" w:rsidRDefault="000A58A4" w:rsidP="007073FD">
      <w:r>
        <w:t xml:space="preserve">In 2018 </w:t>
      </w:r>
      <w:r w:rsidR="00C4122E" w:rsidRPr="00F83596">
        <w:t>Public Health England</w:t>
      </w:r>
      <w:r w:rsidR="00A07719" w:rsidRPr="00F83596">
        <w:t xml:space="preserve"> (PHE)</w:t>
      </w:r>
      <w:r w:rsidR="00F83A8D" w:rsidRPr="00F83596">
        <w:t>, an executive agency of the Government Department of Health,</w:t>
      </w:r>
      <w:r w:rsidR="00C4122E" w:rsidRPr="00F83596">
        <w:t xml:space="preserve"> report</w:t>
      </w:r>
      <w:r w:rsidR="00AE02E2">
        <w:t>ed</w:t>
      </w:r>
      <w:r w:rsidR="00C4122E" w:rsidRPr="00F83596">
        <w:t xml:space="preserve"> on </w:t>
      </w:r>
      <w:r w:rsidR="005D056C">
        <w:t>d</w:t>
      </w:r>
      <w:r w:rsidR="005D056C" w:rsidRPr="00F83596">
        <w:t xml:space="preserve">eath </w:t>
      </w:r>
      <w:r w:rsidR="005D056C">
        <w:t>associated with n</w:t>
      </w:r>
      <w:r w:rsidR="00C4122E" w:rsidRPr="00F83596">
        <w:t>eurological conditions in England</w:t>
      </w:r>
      <w:r w:rsidR="00C16EB5" w:rsidRPr="00F83596">
        <w:t xml:space="preserve"> </w:t>
      </w:r>
      <w:r w:rsidR="00D3482F">
        <w:fldChar w:fldCharType="begin"/>
      </w:r>
      <w:r w:rsidR="00D3482F">
        <w:instrText xml:space="preserve"> ADDIN EN.CITE &lt;EndNote&gt;&lt;Cite&gt;&lt;Author&gt;Public Health England&lt;/Author&gt;&lt;Year&gt;2018&lt;/Year&gt;&lt;RecNum&gt;9381&lt;/RecNum&gt;&lt;DisplayText&gt;[3]&lt;/DisplayText&gt;&lt;record&gt;&lt;rec-number&gt;9381&lt;/rec-number&gt;&lt;foreign-keys&gt;&lt;key app="EN" db-id="z2zrfeav5war9dew9xqxd9tjsff2xpxz5ett" timestamp="1521999461"&gt;9381&lt;/key&gt;&lt;/foreign-keys&gt;&lt;ref-type name="Report"&gt;27&lt;/ref-type&gt;&lt;contributors&gt;&lt;authors&gt;&lt;author&gt;Public Health England,&lt;/author&gt;&lt;/authors&gt;&lt;tertiary-authors&gt;&lt;author&gt;PHE Publications&lt;/author&gt;&lt;/tertiary-authors&gt;&lt;/contributors&gt;&lt;titles&gt;&lt;title&gt;Deaths associated with neurological conditions in England 2001-2014&lt;/title&gt;&lt;/titles&gt;&lt;pages&gt;https://www.gov.uk/government/uploads/system/uploads/attachment_data/file/683998/Deaths_associated_with_neurological_conditions_data_briefing.pdf&lt;/pages&gt;&lt;keywords&gt;&lt;keyword&gt;mortality&lt;/keyword&gt;&lt;keyword&gt;deprivation&lt;/keyword&gt;&lt;keyword&gt;socio-economic class&lt;/keyword&gt;&lt;keyword&gt;epilepsy&lt;/keyword&gt;&lt;keyword&gt;neurology&lt;/keyword&gt;&lt;keyword&gt;epidemiology&lt;/keyword&gt;&lt;/keywords&gt;&lt;dates&gt;&lt;year&gt;2018&lt;/year&gt;&lt;pub-dates&gt;&lt;date&gt;January 2018&lt;/date&gt;&lt;/pub-dates&gt;&lt;/dates&gt;&lt;pub-location&gt;London, UK&lt;/pub-location&gt;&lt;publisher&gt;Public Health England&lt;/publisher&gt;&lt;urls&gt;&lt;related-urls&gt;&lt;url&gt;https://www.gov.uk/government/uploads/system/uploads/attachment_data/file/683998/Deaths_associated_with_neurological_conditions_data_briefing.pdf&lt;/url&gt;&lt;/related-urls&gt;&lt;/urls&gt;&lt;/record&gt;&lt;/Cite&gt;&lt;/EndNote&gt;</w:instrText>
      </w:r>
      <w:r w:rsidR="00D3482F">
        <w:fldChar w:fldCharType="separate"/>
      </w:r>
      <w:r w:rsidR="00D3482F">
        <w:rPr>
          <w:noProof/>
        </w:rPr>
        <w:t>[3]</w:t>
      </w:r>
      <w:r w:rsidR="00D3482F">
        <w:fldChar w:fldCharType="end"/>
      </w:r>
      <w:r w:rsidR="00667602" w:rsidRPr="00F83596">
        <w:t>.</w:t>
      </w:r>
      <w:r w:rsidR="00480051">
        <w:t xml:space="preserve"> </w:t>
      </w:r>
      <w:r w:rsidR="00C4122E" w:rsidRPr="00F83596">
        <w:t xml:space="preserve">In </w:t>
      </w:r>
      <w:r w:rsidR="005D056C">
        <w:t>England and Wales</w:t>
      </w:r>
      <w:r w:rsidR="00C4122E" w:rsidRPr="00F83596">
        <w:t>, cause of death must be certified</w:t>
      </w:r>
      <w:r w:rsidR="005732DD" w:rsidRPr="00F83596">
        <w:t>,</w:t>
      </w:r>
      <w:r w:rsidR="00C4122E" w:rsidRPr="00F83596">
        <w:t xml:space="preserve"> by a registered medical practitioner </w:t>
      </w:r>
      <w:r w:rsidR="00C16EB5" w:rsidRPr="00F83596">
        <w:t>that has attended the deceased’s final illness.</w:t>
      </w:r>
      <w:r w:rsidR="00480051">
        <w:t xml:space="preserve"> </w:t>
      </w:r>
      <w:r w:rsidR="00C16EB5" w:rsidRPr="00F83596">
        <w:t>Their responsibility is to</w:t>
      </w:r>
      <w:r w:rsidR="00C4122E" w:rsidRPr="00F83596">
        <w:t xml:space="preserve"> complete </w:t>
      </w:r>
      <w:r w:rsidR="00C16EB5" w:rsidRPr="00F83596">
        <w:t>a certificate that asks the disease thought to be the underlying cause of the death</w:t>
      </w:r>
      <w:r w:rsidR="00CA0085" w:rsidRPr="00F83596">
        <w:t xml:space="preserve"> (</w:t>
      </w:r>
      <w:r w:rsidR="005732DD" w:rsidRPr="00F83596">
        <w:t xml:space="preserve">UCOD, </w:t>
      </w:r>
      <w:r w:rsidR="00CA0085" w:rsidRPr="00F83596">
        <w:t>the disease or injury that initiated the train of events leading directly to death)</w:t>
      </w:r>
      <w:r w:rsidR="00C16EB5" w:rsidRPr="00F83596">
        <w:t xml:space="preserve"> as well as other conditions considered to have contributed to the death.</w:t>
      </w:r>
      <w:r w:rsidR="005D056C">
        <w:t xml:space="preserve"> Since 2015 certificates are also scrutinized by local medical examiners. Where this is not achievable, and in a range of other circumstances, cases </w:t>
      </w:r>
      <w:r w:rsidR="00A3669C">
        <w:t xml:space="preserve">may </w:t>
      </w:r>
      <w:r w:rsidR="0021278A">
        <w:t xml:space="preserve">be </w:t>
      </w:r>
      <w:r w:rsidR="005D056C">
        <w:t>referred to a coroner for certification</w:t>
      </w:r>
      <w:r w:rsidR="00A3669C">
        <w:t xml:space="preserve">. </w:t>
      </w:r>
      <w:r w:rsidR="00C16EB5" w:rsidRPr="00F83596">
        <w:t>This information is coded using ICD-10 and</w:t>
      </w:r>
      <w:r w:rsidR="0050400B" w:rsidRPr="00F83596">
        <w:t xml:space="preserve"> </w:t>
      </w:r>
      <w:r w:rsidR="00C16EB5" w:rsidRPr="00F83596">
        <w:t xml:space="preserve">forwarded to the </w:t>
      </w:r>
      <w:r w:rsidR="0050400B" w:rsidRPr="00F83596">
        <w:t xml:space="preserve">UK Government </w:t>
      </w:r>
      <w:r w:rsidR="00C16EB5" w:rsidRPr="00F83596">
        <w:t>Office of National Statistics.</w:t>
      </w:r>
      <w:r w:rsidR="00480051">
        <w:t xml:space="preserve"> </w:t>
      </w:r>
      <w:r w:rsidR="00A07719" w:rsidRPr="00F83596">
        <w:t>PHE</w:t>
      </w:r>
      <w:r w:rsidR="006E6BDF">
        <w:t xml:space="preserve"> </w:t>
      </w:r>
      <w:r w:rsidR="00CA0085" w:rsidRPr="00F83596">
        <w:t>used this information to report on the 366,728 recorded deaths in neurological illness (excluding stroke and dementia) in England in those over 20 years old between 2001 and 2014.</w:t>
      </w:r>
      <w:r w:rsidR="00480051">
        <w:t xml:space="preserve"> </w:t>
      </w:r>
      <w:r w:rsidR="00CA0085" w:rsidRPr="00F83596">
        <w:t xml:space="preserve">Of these, 34,121 were associated (either </w:t>
      </w:r>
      <w:r w:rsidR="005732DD" w:rsidRPr="00F83596">
        <w:t>UCOD</w:t>
      </w:r>
      <w:r w:rsidR="00CA0085" w:rsidRPr="00F83596">
        <w:t xml:space="preserve"> or contributor) with epilepsy.</w:t>
      </w:r>
      <w:r w:rsidR="00480051">
        <w:t xml:space="preserve"> </w:t>
      </w:r>
      <w:r w:rsidR="00CA0085" w:rsidRPr="00F83596">
        <w:t xml:space="preserve">The report interprets these deaths in comparison with death from all causes and death from other </w:t>
      </w:r>
      <w:r w:rsidR="00CA0085" w:rsidRPr="00F83596">
        <w:lastRenderedPageBreak/>
        <w:t>neurological conditions.</w:t>
      </w:r>
      <w:r w:rsidR="00885D87" w:rsidRPr="00F83596">
        <w:t xml:space="preserve"> </w:t>
      </w:r>
      <w:r w:rsidR="007C3C10" w:rsidRPr="00F83596">
        <w:t>Data about death</w:t>
      </w:r>
      <w:r w:rsidR="00885D87" w:rsidRPr="00F83596">
        <w:t xml:space="preserve"> can be correlated with other nationally collected information</w:t>
      </w:r>
      <w:r w:rsidR="0050400B" w:rsidRPr="00F83596">
        <w:t>, such as deprivation</w:t>
      </w:r>
      <w:r w:rsidR="00885D87" w:rsidRPr="00F83596">
        <w:t>.</w:t>
      </w:r>
      <w:r w:rsidR="00480051">
        <w:t xml:space="preserve"> </w:t>
      </w:r>
      <w:r w:rsidR="0050400B" w:rsidRPr="00F83596">
        <w:t>Deprivation</w:t>
      </w:r>
      <w:r w:rsidR="00885D87" w:rsidRPr="00F83596">
        <w:t xml:space="preserve"> is quantified by a </w:t>
      </w:r>
      <w:r w:rsidR="0050400B" w:rsidRPr="00F83596">
        <w:t xml:space="preserve">single </w:t>
      </w:r>
      <w:r w:rsidR="00885D87" w:rsidRPr="00F83596">
        <w:t>statistic, the index of multiple deprivation</w:t>
      </w:r>
      <w:r w:rsidR="00F83A8D" w:rsidRPr="00F83596">
        <w:t xml:space="preserve"> (IMD)</w:t>
      </w:r>
      <w:r w:rsidR="00885D87" w:rsidRPr="00F83596">
        <w:t>, that quantif</w:t>
      </w:r>
      <w:r>
        <w:t>ies</w:t>
      </w:r>
      <w:r w:rsidR="00885D87" w:rsidRPr="00F83596">
        <w:t xml:space="preserve"> deprivation in </w:t>
      </w:r>
      <w:r w:rsidR="0050400B" w:rsidRPr="00F83596">
        <w:t>all small neighbourhoods</w:t>
      </w:r>
      <w:r w:rsidR="00885D87" w:rsidRPr="00F83596">
        <w:t xml:space="preserve"> of </w:t>
      </w:r>
      <w:r w:rsidR="0050400B" w:rsidRPr="00F83596">
        <w:t>England</w:t>
      </w:r>
      <w:r w:rsidR="00885D87" w:rsidRPr="00F83596">
        <w:t xml:space="preserve">; it </w:t>
      </w:r>
      <w:r w:rsidR="00AE02E2">
        <w:t>is a composite derived</w:t>
      </w:r>
      <w:r w:rsidR="00AE02E2" w:rsidRPr="00F83596">
        <w:t xml:space="preserve"> </w:t>
      </w:r>
      <w:r w:rsidR="00885D87" w:rsidRPr="00F83596">
        <w:t xml:space="preserve">from 37 indicators </w:t>
      </w:r>
      <w:r w:rsidR="0050400B" w:rsidRPr="00F83596">
        <w:t xml:space="preserve">concerning </w:t>
      </w:r>
      <w:r w:rsidR="00AE02E2">
        <w:t>seven</w:t>
      </w:r>
      <w:r w:rsidR="0050400B" w:rsidRPr="00F83596">
        <w:t xml:space="preserve"> domains of deprivation;</w:t>
      </w:r>
      <w:r w:rsidR="00885D87" w:rsidRPr="00F83596">
        <w:t xml:space="preserve"> income, employment, education, health, crime, barriers to housing and services, and the living environment.</w:t>
      </w:r>
      <w:r w:rsidR="00480051">
        <w:t xml:space="preserve"> </w:t>
      </w:r>
      <w:r w:rsidR="005376B6" w:rsidRPr="00F83596">
        <w:t xml:space="preserve">For this report </w:t>
      </w:r>
      <w:r w:rsidR="00443063" w:rsidRPr="00F83596">
        <w:t xml:space="preserve">the </w:t>
      </w:r>
      <w:r w:rsidR="005376B6" w:rsidRPr="00F83596">
        <w:t>32,482 neighbourhoods</w:t>
      </w:r>
      <w:r w:rsidR="00885D87" w:rsidRPr="00F83596">
        <w:t xml:space="preserve"> </w:t>
      </w:r>
      <w:r w:rsidR="00443063" w:rsidRPr="00F83596">
        <w:t xml:space="preserve">in England </w:t>
      </w:r>
      <w:r w:rsidR="0050400B" w:rsidRPr="00F83596">
        <w:t xml:space="preserve">were </w:t>
      </w:r>
      <w:r w:rsidR="005376B6" w:rsidRPr="00F83596">
        <w:t>given an index of deprivation</w:t>
      </w:r>
      <w:r w:rsidR="00443063" w:rsidRPr="00F83596">
        <w:t xml:space="preserve"> and</w:t>
      </w:r>
      <w:r w:rsidR="005376B6" w:rsidRPr="00F83596">
        <w:t xml:space="preserve"> </w:t>
      </w:r>
      <w:r w:rsidR="00443063" w:rsidRPr="00F83596">
        <w:t>separat</w:t>
      </w:r>
      <w:r w:rsidR="005376B6" w:rsidRPr="00F83596">
        <w:t xml:space="preserve">ed into </w:t>
      </w:r>
      <w:r>
        <w:t>dec</w:t>
      </w:r>
      <w:r w:rsidR="005376B6" w:rsidRPr="00F83596">
        <w:t>iles of deprivation.</w:t>
      </w:r>
    </w:p>
    <w:p w14:paraId="7CA01FB7" w14:textId="57B1377E" w:rsidR="00AB229D" w:rsidRPr="00F83596" w:rsidRDefault="00AB229D" w:rsidP="007073FD">
      <w:r w:rsidRPr="00F83596">
        <w:t>The General Medical Services contract</w:t>
      </w:r>
      <w:r w:rsidR="004116BE">
        <w:t xml:space="preserve"> t</w:t>
      </w:r>
      <w:r w:rsidR="000A58A4">
        <w:t xml:space="preserve">hrough </w:t>
      </w:r>
      <w:r w:rsidRPr="00F83596">
        <w:t>which General Practitioners are paid</w:t>
      </w:r>
      <w:r w:rsidR="00AE02E2">
        <w:t xml:space="preserve"> has, since </w:t>
      </w:r>
      <w:proofErr w:type="gramStart"/>
      <w:r w:rsidR="00AE02E2">
        <w:t>2004,</w:t>
      </w:r>
      <w:r w:rsidRPr="00F83596">
        <w:t>include</w:t>
      </w:r>
      <w:r w:rsidR="00AE02E2">
        <w:t>d</w:t>
      </w:r>
      <w:proofErr w:type="gramEnd"/>
      <w:r w:rsidRPr="00F83596">
        <w:t xml:space="preserve"> reward</w:t>
      </w:r>
      <w:r w:rsidR="000A58A4">
        <w:t>s</w:t>
      </w:r>
      <w:r w:rsidRPr="00F83596">
        <w:t xml:space="preserve"> for completion of indicators of quality of care.</w:t>
      </w:r>
      <w:r w:rsidR="00480051">
        <w:t xml:space="preserve"> </w:t>
      </w:r>
      <w:r w:rsidR="00A3669C">
        <w:t>Between 2011 and 2014</w:t>
      </w:r>
      <w:r w:rsidRPr="00F83596">
        <w:t xml:space="preserve"> these Quality and Outcome Framework (QOF) indicators </w:t>
      </w:r>
      <w:r w:rsidR="00FB0FF4" w:rsidRPr="00F83596">
        <w:t>included three indicators specific to epilepsy</w:t>
      </w:r>
      <w:r w:rsidR="00A3669C">
        <w:t xml:space="preserve"> </w:t>
      </w:r>
      <w:r w:rsidR="00D3482F">
        <w:fldChar w:fldCharType="begin"/>
      </w:r>
      <w:r w:rsidR="008B2939">
        <w:instrText xml:space="preserve"> ADDIN EN.CITE &lt;EndNote&gt;&lt;Cite&gt;&lt;Author&gt;NICE&lt;/Author&gt;&lt;Year&gt;2014&lt;/Year&gt;&lt;RecNum&gt;9800&lt;/RecNum&gt;&lt;DisplayText&gt;[4]&lt;/DisplayText&gt;&lt;record&gt;&lt;rec-number&gt;9800&lt;/rec-number&gt;&lt;foreign-keys&gt;&lt;key app="EN" db-id="ppttsszxnv29r1e2adav29tz00fr95zpdazv" timestamp="1552830022"&gt;9800&lt;/key&gt;&lt;/foreign-keys&gt;&lt;ref-type name="Web Page"&gt;12&lt;/ref-type&gt;&lt;contributors&gt;&lt;authors&gt;&lt;author&gt;NICE, &lt;/author&gt;&lt;/authors&gt;&lt;/contributors&gt;&lt;titles&gt;&lt;title&gt;Quality Outcome Framework Indicators&lt;/title&gt;&lt;/titles&gt;&lt;number&gt;30/12/2018&lt;/number&gt;&lt;keywords&gt;&lt;keyword&gt;Quality&lt;/keyword&gt;&lt;keyword&gt;outcomes&lt;/keyword&gt;&lt;keyword&gt;epilepsy&lt;/keyword&gt;&lt;/keywords&gt;&lt;dates&gt;&lt;year&gt;2014&lt;/year&gt;&lt;/dates&gt;&lt;pub-location&gt;UK&lt;/pub-location&gt;&lt;publisher&gt;NICE&lt;/publisher&gt;&lt;urls&gt;&lt;related-urls&gt;&lt;url&gt;https://www.nice.org.uk/Standards-and-Indicators/QOFIndicators?categories=3897&amp;amp;page=1&lt;/url&gt;&lt;/related-urls&gt;&lt;/urls&gt;&lt;/record&gt;&lt;/Cite&gt;&lt;/EndNote&gt;</w:instrText>
      </w:r>
      <w:r w:rsidR="00D3482F">
        <w:fldChar w:fldCharType="separate"/>
      </w:r>
      <w:r w:rsidR="00D3482F">
        <w:rPr>
          <w:noProof/>
        </w:rPr>
        <w:t>[4]</w:t>
      </w:r>
      <w:r w:rsidR="00D3482F">
        <w:fldChar w:fldCharType="end"/>
      </w:r>
      <w:r w:rsidR="000A58A4">
        <w:t>;</w:t>
      </w:r>
      <w:r w:rsidR="004116BE">
        <w:t xml:space="preserve"> </w:t>
      </w:r>
      <w:r w:rsidR="00FB0FF4" w:rsidRPr="00F83596">
        <w:t xml:space="preserve">keeping a register of people with epilepsy and receiving treatment, </w:t>
      </w:r>
      <w:r w:rsidR="0050400B" w:rsidRPr="00F83596">
        <w:t>recording the</w:t>
      </w:r>
      <w:r w:rsidR="00FB0FF4" w:rsidRPr="00F83596">
        <w:t xml:space="preserve"> percentage of these people that had been seizure free for the preceding 12 months, and </w:t>
      </w:r>
      <w:r w:rsidR="00C95740">
        <w:t xml:space="preserve">recording </w:t>
      </w:r>
      <w:r w:rsidR="00FB0FF4" w:rsidRPr="00F83596">
        <w:t>the percentage of women with epilepsy aged between 18 and 54 where there was a record of contraception and preconception counselling.</w:t>
      </w:r>
      <w:r w:rsidR="00237292" w:rsidRPr="00F83596">
        <w:t xml:space="preserve"> </w:t>
      </w:r>
      <w:r w:rsidR="00A3669C">
        <w:t xml:space="preserve">Results from this and other nationally held statistics are included in an online database of tools </w:t>
      </w:r>
      <w:r w:rsidR="00D3482F">
        <w:fldChar w:fldCharType="begin"/>
      </w:r>
      <w:r w:rsidR="008B2939">
        <w:instrText xml:space="preserve"> ADDIN EN.CITE &lt;EndNote&gt;&lt;Cite&gt;&lt;Author&gt;Public Health England&lt;/Author&gt;&lt;Year&gt;2014&lt;/Year&gt;&lt;RecNum&gt;9793&lt;/RecNum&gt;&lt;Suffix&gt; &lt;/Suffix&gt;&lt;DisplayText&gt;[5 ]&lt;/DisplayText&gt;&lt;record&gt;&lt;rec-number&gt;9793&lt;/rec-number&gt;&lt;foreign-keys&gt;&lt;key app="EN" db-id="ppttsszxnv29r1e2adav29tz00fr95zpdazv" timestamp="1552830018"&gt;9793&lt;/key&gt;&lt;/foreign-keys&gt;&lt;ref-type name="Online Database"&gt;45&lt;/ref-type&gt;&lt;contributors&gt;&lt;authors&gt;&lt;author&gt;Public Health England, &lt;/author&gt;&lt;/authors&gt;&lt;/contributors&gt;&lt;titles&gt;&lt;title&gt;Neurological Focus Pack Tool&lt;/title&gt;&lt;/titles&gt;&lt;pages&gt;http://tools.england.nhs.uk/cfv2016/neurological/atlas.html&lt;/pages&gt;&lt;keywords&gt;&lt;keyword&gt;NHS&lt;/keyword&gt;&lt;keyword&gt;Neurology&lt;/keyword&gt;&lt;keyword&gt;public health&lt;/keyword&gt;&lt;keyword&gt;epidemiology&lt;/keyword&gt;&lt;keyword&gt;costs&lt;/keyword&gt;&lt;/keywords&gt;&lt;dates&gt;&lt;year&gt;2014&lt;/year&gt;&lt;pub-dates&gt;&lt;date&gt;30/12/2018&lt;/date&gt;&lt;/pub-dates&gt;&lt;/dates&gt;&lt;publisher&gt;NHS England&lt;/publisher&gt;&lt;urls&gt;&lt;related-urls&gt;&lt;url&gt;http://tools.england.nhs.uk/cfv2016/neurological/atlas.html&lt;/url&gt;&lt;/related-urls&gt;&lt;/urls&gt;&lt;/record&gt;&lt;/Cite&gt;&lt;/EndNote&gt;</w:instrText>
      </w:r>
      <w:r w:rsidR="00D3482F">
        <w:fldChar w:fldCharType="separate"/>
      </w:r>
      <w:r w:rsidR="004D185C">
        <w:rPr>
          <w:noProof/>
        </w:rPr>
        <w:t>[5 ]</w:t>
      </w:r>
      <w:r w:rsidR="00D3482F">
        <w:fldChar w:fldCharType="end"/>
      </w:r>
      <w:r w:rsidR="00A3669C">
        <w:t xml:space="preserve"> to assist with planning service provision </w:t>
      </w:r>
      <w:r w:rsidR="00D3482F">
        <w:fldChar w:fldCharType="begin"/>
      </w:r>
      <w:r w:rsidR="008B2939">
        <w:instrText xml:space="preserve"> ADDIN EN.CITE &lt;EndNote&gt;&lt;Cite&gt;&lt;Author&gt;Association of British Neurologists&lt;/Author&gt;&lt;Year&gt;2016&lt;/Year&gt;&lt;RecNum&gt;9140&lt;/RecNum&gt;&lt;DisplayText&gt;[6]&lt;/DisplayText&gt;&lt;record&gt;&lt;rec-number&gt;9140&lt;/rec-number&gt;&lt;foreign-keys&gt;&lt;key app="EN" db-id="ppttsszxnv29r1e2adav29tz00fr95zpdazv" timestamp="1480085201"&gt;9140&lt;/key&gt;&lt;/foreign-keys&gt;&lt;ref-type name="Report"&gt;27&lt;/ref-type&gt;&lt;contributors&gt;&lt;authors&gt;&lt;author&gt;Association of British Neurologists, Services &amp;amp; Standards Committee&lt;/author&gt;&lt;/authors&gt;&lt;tertiary-authors&gt;&lt;author&gt;Association of British Neurologits&lt;/author&gt;&lt;/tertiary-authors&gt;&lt;/contributors&gt;&lt;titles&gt;&lt;title&gt;Neurology Commissioning Toolkit&lt;/title&gt;&lt;/titles&gt;&lt;keywords&gt;&lt;keyword&gt;services&lt;/keyword&gt;&lt;keyword&gt;neurology&lt;/keyword&gt;&lt;keyword&gt;commissioning&lt;/keyword&gt;&lt;/keywords&gt;&lt;dates&gt;&lt;year&gt;2016&lt;/year&gt;&lt;/dates&gt;&lt;pub-location&gt;London, UK&lt;/pub-location&gt;&lt;publisher&gt;Association of British Neurologists&lt;/publisher&gt;&lt;urls&gt;&lt;/urls&gt;&lt;/record&gt;&lt;/Cite&gt;&lt;/EndNote&gt;</w:instrText>
      </w:r>
      <w:r w:rsidR="00D3482F">
        <w:fldChar w:fldCharType="separate"/>
      </w:r>
      <w:r w:rsidR="00D3482F">
        <w:rPr>
          <w:noProof/>
        </w:rPr>
        <w:t>[6]</w:t>
      </w:r>
      <w:r w:rsidR="00D3482F">
        <w:fldChar w:fldCharType="end"/>
      </w:r>
      <w:r w:rsidR="00A3669C">
        <w:t xml:space="preserve">. </w:t>
      </w:r>
    </w:p>
    <w:p w14:paraId="3F596AC3" w14:textId="4D139DEE" w:rsidR="001F02C0" w:rsidRPr="00F83596" w:rsidRDefault="00CA0085" w:rsidP="007073FD">
      <w:r w:rsidRPr="00F83596">
        <w:t>In S</w:t>
      </w:r>
      <w:r w:rsidR="00027643" w:rsidRPr="00F83596">
        <w:t>cotland an ongoing nationwide population-based study</w:t>
      </w:r>
      <w:r w:rsidR="00FB0FF4" w:rsidRPr="00F83596">
        <w:t xml:space="preserve"> </w:t>
      </w:r>
      <w:r w:rsidR="00D3482F">
        <w:fldChar w:fldCharType="begin"/>
      </w:r>
      <w:r w:rsidR="008B2939">
        <w:instrText xml:space="preserve"> ADDIN EN.CITE &lt;EndNote&gt;&lt;Cite&gt;&lt;Author&gt;Mbizvo&lt;/Author&gt;&lt;Year&gt;2018&lt;/Year&gt;&lt;RecNum&gt;9750&lt;/RecNum&gt;&lt;DisplayText&gt;[7]&lt;/DisplayText&gt;&lt;record&gt;&lt;rec-number&gt;9750&lt;/rec-number&gt;&lt;foreign-keys&gt;&lt;key app="EN" db-id="ppttsszxnv29r1e2adav29tz00fr95zpdazv" timestamp="1552829978"&gt;9750&lt;/key&gt;&lt;/foreign-keys&gt;&lt;ref-type name="Conference Paper"&gt;47&lt;/ref-type&gt;&lt;contributors&gt;&lt;authors&gt;&lt;author&gt;Mbizvo, G.K.&lt;/author&gt;&lt;author&gt;Simpson, C.R.&lt;/author&gt;&lt;author&gt;Duncan, S.E.&lt;/author&gt;&lt;author&gt;Chin, R.F.&lt;/author&gt;&lt;/authors&gt;&lt;/contributors&gt;&lt;titles&gt;&lt;title&gt;Secular Trends in Sudden Unexpected Death in Epilepsy (SUDEP) and Other Epilepsy Related Deaths in adults: A Nationwide Population-Based Study&lt;/title&gt;&lt;secondary-title&gt;Epilepsia&lt;/secondary-title&gt;&lt;/titles&gt;&lt;periodical&gt;&lt;full-title&gt;Epilepsia&lt;/full-title&gt;&lt;/periodical&gt;&lt;pages&gt;S26&lt;/pages&gt;&lt;volume&gt;59&lt;/volume&gt;&lt;number&gt;S3&lt;/number&gt;&lt;keywords&gt;&lt;keyword&gt;SUDEP&lt;/keyword&gt;&lt;keyword&gt;prevalence&lt;/keyword&gt;&lt;keyword&gt;Incidence&lt;/keyword&gt;&lt;keyword&gt;death&lt;/keyword&gt;&lt;keyword&gt;epilepsy&lt;/keyword&gt;&lt;keyword&gt;Mortality&lt;/keyword&gt;&lt;/keywords&gt;&lt;dates&gt;&lt;year&gt;2018&lt;/year&gt;&lt;/dates&gt;&lt;pub-location&gt;Vienna&lt;/pub-location&gt;&lt;urls&gt;&lt;related-urls&gt;&lt;url&gt;https://onlinelibrary.wiley.com/doi/abs/10.1111/epi.14612&lt;/url&gt;&lt;/related-urls&gt;&lt;/urls&gt;&lt;electronic-resource-num&gt;doi:10.1111/epi.14612&lt;/electronic-resource-num&gt;&lt;/record&gt;&lt;/Cite&gt;&lt;/EndNote&gt;</w:instrText>
      </w:r>
      <w:r w:rsidR="00D3482F">
        <w:fldChar w:fldCharType="separate"/>
      </w:r>
      <w:r w:rsidR="00D3482F">
        <w:rPr>
          <w:noProof/>
        </w:rPr>
        <w:t>[7]</w:t>
      </w:r>
      <w:r w:rsidR="00D3482F">
        <w:fldChar w:fldCharType="end"/>
      </w:r>
      <w:r w:rsidR="00B02F8D" w:rsidRPr="00F83596">
        <w:t xml:space="preserve"> </w:t>
      </w:r>
      <w:r w:rsidR="00027643" w:rsidRPr="00F83596">
        <w:t xml:space="preserve">in Sudden Unexpected Death in Epilepsy </w:t>
      </w:r>
      <w:r w:rsidR="00C95740">
        <w:t xml:space="preserve">(SUDEP) </w:t>
      </w:r>
      <w:r w:rsidR="00027643" w:rsidRPr="00F83596">
        <w:t>and other Epilepsy-related deaths in adults has been collecting data since 2009,</w:t>
      </w:r>
      <w:r w:rsidR="005732DD" w:rsidRPr="00F83596">
        <w:t xml:space="preserve"> and</w:t>
      </w:r>
      <w:r w:rsidR="00027643" w:rsidRPr="00F83596">
        <w:t xml:space="preserve"> information on the first 2,149 epilepsy-related deaths </w:t>
      </w:r>
      <w:r w:rsidR="00AE02E2">
        <w:t xml:space="preserve">are </w:t>
      </w:r>
      <w:r w:rsidR="00027643" w:rsidRPr="00F83596">
        <w:t>available.</w:t>
      </w:r>
      <w:r w:rsidR="004116BE">
        <w:t xml:space="preserve"> </w:t>
      </w:r>
      <w:r w:rsidR="00C95740">
        <w:t xml:space="preserve">In 2011 </w:t>
      </w:r>
      <w:r w:rsidR="001F02C0" w:rsidRPr="00C75F58">
        <w:t xml:space="preserve">Scotland enacted legislation to change death certification </w:t>
      </w:r>
      <w:r w:rsidR="00C95740">
        <w:t xml:space="preserve">coming </w:t>
      </w:r>
      <w:r w:rsidR="001F02C0" w:rsidRPr="00C75F58">
        <w:t xml:space="preserve">into effect in </w:t>
      </w:r>
      <w:r w:rsidR="00AB0935" w:rsidRPr="00C75F58">
        <w:t>2015</w:t>
      </w:r>
      <w:r w:rsidR="001F02C0" w:rsidRPr="00C75F58">
        <w:t>. Like England and Wales certificates are scrutinised by a medical examiner who can ask the physician who completed the certificate for more information or who can examine the deceased’s case records. In addition all sudden and unexpected deaths in Scotland must be discussed with the Procurator Fiscal</w:t>
      </w:r>
      <w:r w:rsidR="00AF4E4E" w:rsidRPr="00C75F58">
        <w:t xml:space="preserve"> </w:t>
      </w:r>
      <w:r w:rsidR="001F02C0" w:rsidRPr="00C75F58">
        <w:t>(Investigating Magistrate) who determines whether further information including ordering post mortem examination is required before the deceased can by buried or cremated</w:t>
      </w:r>
      <w:r w:rsidR="00AB0935">
        <w:t xml:space="preserve"> </w:t>
      </w:r>
      <w:r w:rsidR="00AB0935">
        <w:fldChar w:fldCharType="begin"/>
      </w:r>
      <w:r w:rsidR="008B2939">
        <w:instrText xml:space="preserve"> ADDIN EN.CITE &lt;EndNote&gt;&lt;Cite&gt;&lt;Author&gt;Healthcare Improvement Scotland Death Certification Reveiw Service&lt;/Author&gt;&lt;Year&gt;2015&lt;/Year&gt;&lt;RecNum&gt;9830&lt;/RecNum&gt;&lt;DisplayText&gt;[8]&lt;/DisplayText&gt;&lt;record&gt;&lt;rec-number&gt;9830&lt;/rec-number&gt;&lt;foreign-keys&gt;&lt;key app="EN" db-id="ppttsszxnv29r1e2adav29tz00fr95zpdazv" timestamp="1552830034"&gt;9830&lt;/key&gt;&lt;/foreign-keys&gt;&lt;ref-type name="Web Page"&gt;12&lt;/ref-type&gt;&lt;contributors&gt;&lt;authors&gt;&lt;author&gt;Healthcare Improvement Scotland Death Certification Reveiw Service, &lt;/author&gt;&lt;/authors&gt;&lt;/contributors&gt;&lt;titles&gt;&lt;title&gt;Certitifation of Death (Scotland) Act 2011&lt;/title&gt;&lt;/titles&gt;&lt;pages&gt;Scotland enacted legislation to change death certification in 2011 which came into effect in 20132015 . Like England and Wales certificates are scrutinised by a medical examiner who can ask the physician who completed the certificate for more information or who can examine the deceased’s case records. In addition all sudden and unexpected deaths in Scotland must be discussed with the Procurator Fiscal (Investigating Magistrate) who determines whether further information including ordering post mortem examination is required before the deceased can by buried or cremated&lt;/pages&gt;&lt;volume&gt;2019&lt;/volume&gt;&lt;number&gt;07/02/2019&lt;/number&gt;&lt;keywords&gt;&lt;keyword&gt;Death&lt;/keyword&gt;&lt;keyword&gt;death Certificates&lt;/keyword&gt;&lt;keyword&gt;scotland&lt;/keyword&gt;&lt;keyword&gt;UK&lt;/keyword&gt;&lt;keyword&gt;NHS&lt;/keyword&gt;&lt;/keywords&gt;&lt;dates&gt;&lt;year&gt;2015&lt;/year&gt;&lt;/dates&gt;&lt;pub-location&gt;Edinburgh, Scotland&lt;/pub-location&gt;&lt;publisher&gt;Scottish Government&lt;/publisher&gt;&lt;urls&gt;&lt;related-urls&gt;&lt;url&gt;https://www2.gov.scot/Topics/Health/Policy/BurialsCremation/Death-Certificate&lt;/url&gt;&lt;/related-urls&gt;&lt;/urls&gt;&lt;/record&gt;&lt;/Cite&gt;&lt;/EndNote&gt;</w:instrText>
      </w:r>
      <w:r w:rsidR="00AB0935">
        <w:fldChar w:fldCharType="separate"/>
      </w:r>
      <w:r w:rsidR="00E345E7">
        <w:rPr>
          <w:noProof/>
        </w:rPr>
        <w:t>[8]</w:t>
      </w:r>
      <w:r w:rsidR="00AB0935">
        <w:fldChar w:fldCharType="end"/>
      </w:r>
      <w:r w:rsidR="00AF4E4E">
        <w:t xml:space="preserve"> </w:t>
      </w:r>
      <w:r w:rsidR="001F02C0" w:rsidRPr="00AF4E4E">
        <w:t>.</w:t>
      </w:r>
    </w:p>
    <w:p w14:paraId="6AB43916" w14:textId="2DE9F92E" w:rsidR="00F83A8D" w:rsidRPr="00F83596" w:rsidRDefault="004116BE" w:rsidP="007073FD">
      <w:r>
        <w:t>T</w:t>
      </w:r>
      <w:r w:rsidR="00FB0FF4" w:rsidRPr="00F83596">
        <w:t>he Royal College of Physicians carries out a</w:t>
      </w:r>
      <w:r>
        <w:t>n annual</w:t>
      </w:r>
      <w:r w:rsidR="00FB0FF4" w:rsidRPr="00F83596">
        <w:t xml:space="preserve"> census</w:t>
      </w:r>
      <w:r w:rsidR="00FA3724">
        <w:t xml:space="preserve"> </w:t>
      </w:r>
      <w:r w:rsidR="004D185C">
        <w:fldChar w:fldCharType="begin"/>
      </w:r>
      <w:r w:rsidR="008B2939">
        <w:instrText xml:space="preserve"> ADDIN EN.CITE &lt;EndNote&gt;&lt;Cite&gt;&lt;Author&gt;Royal College of Physicians&lt;/Author&gt;&lt;Year&gt;2018&lt;/Year&gt;&lt;RecNum&gt;9831&lt;/RecNum&gt;&lt;DisplayText&gt;[9]&lt;/DisplayText&gt;&lt;record&gt;&lt;rec-number&gt;9831&lt;/rec-number&gt;&lt;foreign-keys&gt;&lt;key app="EN" db-id="ppttsszxnv29r1e2adav29tz00fr95zpdazv" timestamp="1552830034"&gt;9831&lt;/key&gt;&lt;/foreign-keys&gt;&lt;ref-type name="Report"&gt;27&lt;/ref-type&gt;&lt;contributors&gt;&lt;authors&gt;&lt;author&gt;Royal College of Physicians, &lt;/author&gt;&lt;/authors&gt;&lt;/contributors&gt;&lt;titles&gt;&lt;title&gt;Focus on Physicians: 2017-18 census (UK consultants and higher speciality trainees)&lt;/title&gt;&lt;/titles&gt;&lt;pages&gt;https://www.rcplondon.ac.uk/projects/outputs/focus-physicians-2017-18-census-uk-consultants-and-higher-specialty-trainees&lt;/pages&gt;&lt;keywords&gt;&lt;keyword&gt;Workforce&lt;/keyword&gt;&lt;keyword&gt;NHS&lt;/keyword&gt;&lt;keyword&gt;report&lt;/keyword&gt;&lt;keyword&gt;consultants&lt;/keyword&gt;&lt;keyword&gt;speciality trainees&lt;/keyword&gt;&lt;/keywords&gt;&lt;dates&gt;&lt;year&gt;2018&lt;/year&gt;&lt;/dates&gt;&lt;pub-location&gt;London&lt;/pub-location&gt;&lt;publisher&gt;Royal College of Physicians, Medical Workforce Unit&lt;/publisher&gt;&lt;urls&gt;&lt;related-urls&gt;&lt;url&gt;https://www.rcplondon.ac.uk/projects/outputs/focus-physicians-2017-18-census-uk-consultants-and-higher-specialty-trainees&lt;/url&gt;&lt;/related-urls&gt;&lt;/urls&gt;&lt;/record&gt;&lt;/Cite&gt;&lt;/EndNote&gt;</w:instrText>
      </w:r>
      <w:r w:rsidR="004D185C">
        <w:fldChar w:fldCharType="separate"/>
      </w:r>
      <w:r w:rsidR="004D185C">
        <w:rPr>
          <w:noProof/>
        </w:rPr>
        <w:t>[9]</w:t>
      </w:r>
      <w:r w:rsidR="004D185C">
        <w:fldChar w:fldCharType="end"/>
      </w:r>
      <w:r w:rsidR="00FA3724">
        <w:t>[9]</w:t>
      </w:r>
      <w:r w:rsidR="00237292" w:rsidRPr="00774297">
        <w:t xml:space="preserve"> </w:t>
      </w:r>
      <w:r w:rsidR="00FB0FF4" w:rsidRPr="00F83596">
        <w:t xml:space="preserve">in which it </w:t>
      </w:r>
      <w:r w:rsidR="00A07719" w:rsidRPr="00F83596">
        <w:t>records</w:t>
      </w:r>
      <w:r w:rsidR="00FB0FF4" w:rsidRPr="00F83596">
        <w:t xml:space="preserve"> the number of Full-Time Equivalent Physicians working in the National Health in each specialty in each part of the </w:t>
      </w:r>
      <w:r w:rsidR="00AE02E2">
        <w:t>UK</w:t>
      </w:r>
      <w:r w:rsidR="006E6BDF">
        <w:t xml:space="preserve"> </w:t>
      </w:r>
      <w:r w:rsidR="00FB0FF4" w:rsidRPr="00F83596">
        <w:t xml:space="preserve">and calculates a figure to estimate the </w:t>
      </w:r>
      <w:r w:rsidR="00AE02E2">
        <w:t xml:space="preserve">size of </w:t>
      </w:r>
      <w:r w:rsidR="00FB0FF4" w:rsidRPr="00F83596">
        <w:t>population served by each consultant.</w:t>
      </w:r>
    </w:p>
    <w:p w14:paraId="4D230585" w14:textId="5D992970" w:rsidR="001B7B63" w:rsidRPr="00F83596" w:rsidRDefault="00F83A8D" w:rsidP="007073FD">
      <w:r w:rsidRPr="00F83596">
        <w:t xml:space="preserve">The Association of British Neurologists (ABN) has carried out two surveys of its members </w:t>
      </w:r>
      <w:r w:rsidR="00AE02E2">
        <w:t xml:space="preserve">, the majority of the medical neurological workforce, </w:t>
      </w:r>
      <w:r w:rsidRPr="00F83596">
        <w:t>concerning neurological services in the UK</w:t>
      </w:r>
      <w:r w:rsidR="00237292" w:rsidRPr="00F83596">
        <w:t xml:space="preserve"> </w:t>
      </w:r>
      <w:r w:rsidR="00D3482F">
        <w:fldChar w:fldCharType="begin">
          <w:fldData xml:space="preserve">PEVuZE5vdGU+PENpdGU+PEF1dGhvcj5GdWxsZXI8L0F1dGhvcj48WWVhcj4yMDE0PC9ZZWFyPjxS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</w:fldData>
        </w:fldChar>
      </w:r>
      <w:r w:rsidR="008B2939">
        <w:instrText xml:space="preserve"> ADDIN EN.CITE </w:instrText>
      </w:r>
      <w:r w:rsidR="008B2939">
        <w:fldChar w:fldCharType="begin">
          <w:fldData xml:space="preserve">PEVuZE5vdGU+PENpdGU+PEF1dGhvcj5GdWxsZXI8L0F1dGhvcj48WWVhcj4yMDE0PC9ZZWFyPjxS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</w:fldData>
        </w:fldChar>
      </w:r>
      <w:r w:rsidR="008B2939">
        <w:instrText xml:space="preserve"> ADDIN EN.CITE.DATA </w:instrText>
      </w:r>
      <w:r w:rsidR="008B2939">
        <w:fldChar w:fldCharType="end"/>
      </w:r>
      <w:r w:rsidR="00D3482F">
        <w:fldChar w:fldCharType="separate"/>
      </w:r>
      <w:r w:rsidR="008B2939">
        <w:rPr>
          <w:noProof/>
        </w:rPr>
        <w:t>[10, 11]</w:t>
      </w:r>
      <w:r w:rsidR="00D3482F">
        <w:fldChar w:fldCharType="end"/>
      </w:r>
      <w:r w:rsidRPr="00F83596">
        <w:t>.</w:t>
      </w:r>
      <w:r w:rsidR="00480051">
        <w:t xml:space="preserve"> </w:t>
      </w:r>
    </w:p>
    <w:p w14:paraId="0C58A2CE" w14:textId="259778CD" w:rsidR="00FB0FF4" w:rsidRPr="00F83596" w:rsidRDefault="001B7B63" w:rsidP="007073FD">
      <w:r w:rsidRPr="00F83596">
        <w:t xml:space="preserve">The National Audit of Seizure Management in Hospitals (NASH) </w:t>
      </w:r>
      <w:r w:rsidR="00D3482F">
        <w:fldChar w:fldCharType="begin"/>
      </w:r>
      <w:r w:rsidR="008B2939">
        <w:instrText xml:space="preserve"> ADDIN EN.CITE &lt;EndNote&gt;&lt;Cite&gt;&lt;Author&gt;Dixon&lt;/Author&gt;&lt;Year&gt;2015&lt;/Year&gt;&lt;RecNum&gt;9632&lt;/RecNum&gt;&lt;DisplayText&gt;[12]&lt;/DisplayText&gt;&lt;record&gt;&lt;rec-number&gt;9632&lt;/rec-number&gt;&lt;foreign-keys&gt;&lt;key app="EN" db-id="ppttsszxnv29r1e2adav29tz00fr95zpdazv" timestamp="1539895957"&gt;9632&lt;/key&gt;&lt;/foreign-keys&gt;&lt;ref-type name="Journal Article"&gt;17&lt;/ref-type&gt;&lt;contributors&gt;&lt;authors&gt;&lt;author&gt;Dixon, Peter A&lt;/author&gt;&lt;author&gt;Kirkham, Jamie J&lt;/author&gt;&lt;author&gt;Marson, Anthony G&lt;/author&gt;&lt;author&gt;Pearson, Mike G&lt;/author&gt;&lt;/authors&gt;&lt;/contributors&gt;&lt;titles&gt;&lt;title&gt;National Audit of Seizure management in Hospitals (NASH): results of the national audit of adult epilepsy in the UK&lt;/title&gt;&lt;secondary-title&gt;BMJ Open&lt;/secondary-title&gt;&lt;/titles&gt;&lt;periodical&gt;&lt;full-title&gt;Bmj Open&lt;/full-title&gt;&lt;/periodical&gt;&lt;volume&gt;5&lt;/volume&gt;&lt;number&gt;3&lt;/number&gt;&lt;reprint-edition&gt;pdf&lt;/reprint-edition&gt;&lt;keywords&gt;&lt;keyword&gt;seizure&lt;/keyword&gt;&lt;keyword&gt;audit&lt;/keyword&gt;&lt;keyword&gt;Clinical&lt;/keyword&gt;&lt;keyword&gt;management&lt;/keyword&gt;&lt;/keywords&gt;&lt;dates&gt;&lt;year&gt;2015&lt;/year&gt;&lt;/dates&gt;&lt;urls&gt;&lt;related-urls&gt;&lt;url&gt;https://bmjopen.bmj.com/content/bmjopen/5/3/e007325.full.pdf&lt;/url&gt;&lt;/related-urls&gt;&lt;/urls&gt;&lt;electronic-resource-num&gt;10.1136/bmjopen-2014-007325&lt;/electronic-resource-num&gt;&lt;/record&gt;&lt;/Cite&gt;&lt;/EndNote&gt;</w:instrText>
      </w:r>
      <w:r w:rsidR="00D3482F">
        <w:fldChar w:fldCharType="separate"/>
      </w:r>
      <w:r w:rsidR="00E345E7">
        <w:rPr>
          <w:noProof/>
        </w:rPr>
        <w:t>[12]</w:t>
      </w:r>
      <w:r w:rsidR="00D3482F">
        <w:fldChar w:fldCharType="end"/>
      </w:r>
      <w:r w:rsidR="00237292" w:rsidRPr="00F83596">
        <w:t xml:space="preserve"> </w:t>
      </w:r>
      <w:r w:rsidRPr="00F83596">
        <w:t>has collected data, in 2011 and 2013, concerning seizure management in 154 hospital emergency departments across the United Kingdom.</w:t>
      </w:r>
      <w:r w:rsidR="00FB0FF4" w:rsidRPr="00F83596">
        <w:t xml:space="preserve"> </w:t>
      </w:r>
    </w:p>
    <w:p w14:paraId="3EFA53CF" w14:textId="77777777" w:rsidR="00727780" w:rsidRPr="00F83596" w:rsidRDefault="00FB0FF4" w:rsidP="00E0732B">
      <w:pPr>
        <w:pStyle w:val="Heading1"/>
      </w:pPr>
      <w:r w:rsidRPr="00F83596">
        <w:t xml:space="preserve">Principal </w:t>
      </w:r>
      <w:r w:rsidR="00CA0085" w:rsidRPr="00F83596">
        <w:t>Findings:</w:t>
      </w:r>
    </w:p>
    <w:p w14:paraId="485DFAB3" w14:textId="74536944" w:rsidR="00051BB0" w:rsidRPr="00F83596" w:rsidRDefault="00F83A8D" w:rsidP="00774297">
      <w:pPr>
        <w:pStyle w:val="Heading2"/>
      </w:pPr>
      <w:r w:rsidRPr="00F83596">
        <w:t>Mortality</w:t>
      </w:r>
    </w:p>
    <w:p w14:paraId="77C76BBE" w14:textId="21F22EBB" w:rsidR="008D189A" w:rsidRPr="00F83596" w:rsidRDefault="00FA3724" w:rsidP="00E0732B">
      <w:r>
        <w:lastRenderedPageBreak/>
        <w:t>A</w:t>
      </w:r>
      <w:r w:rsidR="00FB0FF4" w:rsidRPr="00F83596">
        <w:t>nnual d</w:t>
      </w:r>
      <w:r w:rsidR="00CA0085" w:rsidRPr="00F83596">
        <w:t>eath</w:t>
      </w:r>
      <w:r w:rsidR="00E06D7D">
        <w:t>s</w:t>
      </w:r>
      <w:r w:rsidR="00CA0085" w:rsidRPr="00F83596">
        <w:t xml:space="preserve"> associated with epi</w:t>
      </w:r>
      <w:r w:rsidR="00027643" w:rsidRPr="00F83596">
        <w:t>le</w:t>
      </w:r>
      <w:r w:rsidR="00CA0085" w:rsidRPr="00F83596">
        <w:t>psy</w:t>
      </w:r>
      <w:r w:rsidR="00027643" w:rsidRPr="00F83596">
        <w:t xml:space="preserve"> in England </w:t>
      </w:r>
      <w:r w:rsidR="00FB0FF4" w:rsidRPr="00F83596">
        <w:t>rose</w:t>
      </w:r>
      <w:r w:rsidR="00027643" w:rsidRPr="00F83596">
        <w:t xml:space="preserve"> from 1936</w:t>
      </w:r>
      <w:r w:rsidR="00FB0FF4" w:rsidRPr="00F83596">
        <w:t xml:space="preserve"> people</w:t>
      </w:r>
      <w:r w:rsidR="00027643" w:rsidRPr="00F83596">
        <w:t xml:space="preserve"> in 2001 to 3291 in 2014, during which time </w:t>
      </w:r>
      <w:r w:rsidR="00A07719" w:rsidRPr="00F83596">
        <w:t xml:space="preserve">annual </w:t>
      </w:r>
      <w:r w:rsidR="00027643" w:rsidRPr="00F83596">
        <w:t>all-cause deaths in England reduced from 492,205 to 464,556</w:t>
      </w:r>
      <w:r>
        <w:t xml:space="preserve"> [3]</w:t>
      </w:r>
      <w:r w:rsidR="00603C14" w:rsidRPr="00F83596">
        <w:t>.</w:t>
      </w:r>
      <w:r w:rsidR="00480051">
        <w:t xml:space="preserve"> </w:t>
      </w:r>
      <w:r w:rsidR="00603C14" w:rsidRPr="00F83596">
        <w:t xml:space="preserve">In consequence, </w:t>
      </w:r>
      <w:r w:rsidR="00F83A8D" w:rsidRPr="00F83596">
        <w:t>epilepsy</w:t>
      </w:r>
      <w:r w:rsidR="00F328C4" w:rsidRPr="00F83596">
        <w:t xml:space="preserve">-associated death has </w:t>
      </w:r>
      <w:r w:rsidR="00885D87" w:rsidRPr="00F83596">
        <w:t>rise</w:t>
      </w:r>
      <w:r w:rsidR="00F328C4" w:rsidRPr="00F83596">
        <w:t>n</w:t>
      </w:r>
      <w:r w:rsidR="00885D87" w:rsidRPr="00F83596">
        <w:t xml:space="preserve"> </w:t>
      </w:r>
      <w:r w:rsidR="00A84D77" w:rsidRPr="00F83596">
        <w:t>from 0.39% to 0.71%</w:t>
      </w:r>
      <w:r w:rsidR="00885D87" w:rsidRPr="00F83596">
        <w:t xml:space="preserve"> of all-cause deaths</w:t>
      </w:r>
      <w:r w:rsidR="00A84D77" w:rsidRPr="00F83596">
        <w:t>.</w:t>
      </w:r>
      <w:r w:rsidR="00480051">
        <w:t xml:space="preserve"> </w:t>
      </w:r>
      <w:r w:rsidR="00E06D7D">
        <w:t>The d</w:t>
      </w:r>
      <w:r w:rsidR="00667602" w:rsidRPr="00F83596">
        <w:t xml:space="preserve">irect </w:t>
      </w:r>
      <w:r w:rsidR="00FB0FF4" w:rsidRPr="00F83596">
        <w:t>a</w:t>
      </w:r>
      <w:r w:rsidR="00667602" w:rsidRPr="00F83596">
        <w:t xml:space="preserve">ge-standardised mortality </w:t>
      </w:r>
      <w:r w:rsidR="00603C14" w:rsidRPr="00F83596">
        <w:t xml:space="preserve">(a statistical method of comparison that compensates for differences between population age distributions, DASM) </w:t>
      </w:r>
      <w:r w:rsidR="00667602" w:rsidRPr="00F83596">
        <w:t xml:space="preserve">rate </w:t>
      </w:r>
      <w:r w:rsidR="00603C14" w:rsidRPr="00F83596">
        <w:t xml:space="preserve">for epilepsy </w:t>
      </w:r>
      <w:r w:rsidR="00667602" w:rsidRPr="00F83596">
        <w:t xml:space="preserve">per 100,000 rose from 6.1 </w:t>
      </w:r>
      <w:r w:rsidR="00530DCD" w:rsidRPr="00F83596">
        <w:t xml:space="preserve">per 100,000 </w:t>
      </w:r>
      <w:r w:rsidR="00667602" w:rsidRPr="00F83596">
        <w:t>in 2003-5 to 8.1 in 2012-14.</w:t>
      </w:r>
      <w:r w:rsidR="00480051">
        <w:t xml:space="preserve"> </w:t>
      </w:r>
      <w:r w:rsidR="00C95740" w:rsidRPr="00F83596">
        <w:t>In comparison, DASM in all-cause death decreased, from 1471 per 100,000 in 2003-5 to 1213 in 2012-4.</w:t>
      </w:r>
      <w:r w:rsidR="00C95740">
        <w:t xml:space="preserve"> </w:t>
      </w:r>
      <w:r w:rsidR="006D646B" w:rsidRPr="00F83596">
        <w:t>In 2012-14 a</w:t>
      </w:r>
      <w:r w:rsidR="00667602" w:rsidRPr="00F83596">
        <w:t xml:space="preserve">verage age at death where death certification included epilepsy was 73 in </w:t>
      </w:r>
      <w:r w:rsidR="007F5713" w:rsidRPr="00F83596">
        <w:t>wo</w:t>
      </w:r>
      <w:r w:rsidR="00667602" w:rsidRPr="00F83596">
        <w:t>men, 67 in men</w:t>
      </w:r>
      <w:r w:rsidR="007F5713" w:rsidRPr="00F83596">
        <w:t>.</w:t>
      </w:r>
      <w:r w:rsidR="00FB0FF4" w:rsidRPr="00F83596">
        <w:t xml:space="preserve"> </w:t>
      </w:r>
      <w:r w:rsidR="006D646B" w:rsidRPr="00F83596">
        <w:t>Average at death of all-causes in 2014 was 81 in women, 76 in men.</w:t>
      </w:r>
      <w:r w:rsidR="00480051">
        <w:t xml:space="preserve"> </w:t>
      </w:r>
      <w:r w:rsidR="006D646B" w:rsidRPr="00F83596">
        <w:t>Hence, on average, women with epilepsy die 8 years early, men with epilepsy 9 years early.</w:t>
      </w:r>
      <w:r w:rsidR="00E06D7D">
        <w:t xml:space="preserve"> </w:t>
      </w:r>
      <w:r w:rsidR="00C95740">
        <w:t>W</w:t>
      </w:r>
      <w:r w:rsidR="00523621" w:rsidRPr="00F83596">
        <w:t>hilst the total number of men and women overall is similar, 21% of men with epilepsy died at 50 years old or younger, compared to 12% of women</w:t>
      </w:r>
      <w:r w:rsidR="00C95740">
        <w:t xml:space="preserve"> (Figure 1)</w:t>
      </w:r>
      <w:r w:rsidR="00523621" w:rsidRPr="00F83596">
        <w:t>.</w:t>
      </w:r>
      <w:r w:rsidR="00480051">
        <w:t xml:space="preserve"> </w:t>
      </w:r>
      <w:r w:rsidR="00E06D7D">
        <w:t>In contrast, i</w:t>
      </w:r>
      <w:r w:rsidR="00311295" w:rsidRPr="00F83596">
        <w:t xml:space="preserve">n the general population in 2017 (England and Wales) 9.2% of male deaths were under 50, 5.7% of women. </w:t>
      </w:r>
      <w:r w:rsidR="005732DD" w:rsidRPr="00F83596">
        <w:t xml:space="preserve">In the </w:t>
      </w:r>
      <w:r w:rsidR="00F6794A" w:rsidRPr="00F83596">
        <w:t xml:space="preserve">1586 </w:t>
      </w:r>
      <w:r w:rsidR="00311295" w:rsidRPr="00F83596">
        <w:t xml:space="preserve">epilepsy </w:t>
      </w:r>
      <w:r w:rsidR="00F6794A" w:rsidRPr="00F83596">
        <w:t xml:space="preserve">deaths </w:t>
      </w:r>
      <w:r w:rsidR="005732DD" w:rsidRPr="00F83596">
        <w:t>under 50 year</w:t>
      </w:r>
      <w:r w:rsidR="00F6794A" w:rsidRPr="00F83596">
        <w:t>s</w:t>
      </w:r>
      <w:r w:rsidR="005732DD" w:rsidRPr="00F83596">
        <w:t xml:space="preserve"> old,</w:t>
      </w:r>
      <w:r w:rsidR="00F6794A" w:rsidRPr="00F83596">
        <w:t xml:space="preserve"> 1004 were male, 582 </w:t>
      </w:r>
      <w:proofErr w:type="gramStart"/>
      <w:r w:rsidR="00F6794A" w:rsidRPr="00F83596">
        <w:t>femal</w:t>
      </w:r>
      <w:r w:rsidR="00311295" w:rsidRPr="00F83596">
        <w:t>e</w:t>
      </w:r>
      <w:proofErr w:type="gramEnd"/>
      <w:r w:rsidR="00311295" w:rsidRPr="00F83596">
        <w:t>;</w:t>
      </w:r>
      <w:r w:rsidR="005732DD" w:rsidRPr="00F83596">
        <w:t xml:space="preserve"> epilepsy was recorded as the UCOD </w:t>
      </w:r>
      <w:r w:rsidR="00F6794A" w:rsidRPr="00F83596">
        <w:t xml:space="preserve">in 55% </w:t>
      </w:r>
      <w:r w:rsidR="00311295" w:rsidRPr="00F83596">
        <w:t>of</w:t>
      </w:r>
      <w:r w:rsidR="00F6794A" w:rsidRPr="00F83596">
        <w:t xml:space="preserve"> both males and females.</w:t>
      </w:r>
      <w:r w:rsidR="00480051">
        <w:t xml:space="preserve"> </w:t>
      </w:r>
    </w:p>
    <w:p w14:paraId="4ACA11DB" w14:textId="0E000985" w:rsidR="009D39D7" w:rsidRPr="00F83596" w:rsidRDefault="007C3C10" w:rsidP="007073FD">
      <w:r w:rsidRPr="00F83596">
        <w:t>W</w:t>
      </w:r>
      <w:r w:rsidR="00523621" w:rsidRPr="00F83596">
        <w:t xml:space="preserve">ith advancing age, </w:t>
      </w:r>
      <w:r w:rsidR="00C95740">
        <w:t xml:space="preserve">female </w:t>
      </w:r>
      <w:r w:rsidRPr="00F83596">
        <w:t>deaths</w:t>
      </w:r>
      <w:r w:rsidR="00F1051E">
        <w:t xml:space="preserve"> </w:t>
      </w:r>
      <w:r w:rsidR="00523621" w:rsidRPr="00F83596">
        <w:t>catch up.</w:t>
      </w:r>
      <w:r w:rsidR="00480051">
        <w:t xml:space="preserve"> </w:t>
      </w:r>
      <w:r w:rsidR="00E06D7D">
        <w:t>Between 2012-2014 t</w:t>
      </w:r>
      <w:r w:rsidR="009C53EE" w:rsidRPr="00F83596">
        <w:t>he age at which most women with epilepsy</w:t>
      </w:r>
      <w:r w:rsidR="00573B72" w:rsidRPr="00F83596">
        <w:t xml:space="preserve"> die</w:t>
      </w:r>
      <w:r w:rsidR="00F1051E">
        <w:t>d</w:t>
      </w:r>
      <w:r w:rsidR="009C53EE" w:rsidRPr="00F83596">
        <w:t xml:space="preserve"> </w:t>
      </w:r>
      <w:r w:rsidR="00F1051E">
        <w:t>wa</w:t>
      </w:r>
      <w:r w:rsidR="009C53EE" w:rsidRPr="00F83596">
        <w:t>s 85-89, for men 81-84.</w:t>
      </w:r>
      <w:r w:rsidR="00480051">
        <w:t xml:space="preserve"> </w:t>
      </w:r>
      <w:r w:rsidR="009C53EE" w:rsidRPr="00F83596">
        <w:t xml:space="preserve"> </w:t>
      </w:r>
      <w:r w:rsidR="00523621" w:rsidRPr="00F83596">
        <w:t xml:space="preserve">The </w:t>
      </w:r>
      <w:r w:rsidR="0004420D" w:rsidRPr="00F83596">
        <w:t xml:space="preserve">underlying </w:t>
      </w:r>
      <w:r w:rsidR="00523621" w:rsidRPr="00F83596">
        <w:t>cause of death</w:t>
      </w:r>
      <w:r w:rsidR="0004420D" w:rsidRPr="00F83596">
        <w:t xml:space="preserve"> in </w:t>
      </w:r>
      <w:r w:rsidR="005732DD" w:rsidRPr="00F83596">
        <w:t xml:space="preserve">the entire group of </w:t>
      </w:r>
      <w:r w:rsidR="0004420D" w:rsidRPr="00F83596">
        <w:t xml:space="preserve">people with epilepsy is </w:t>
      </w:r>
      <w:r w:rsidR="008D7A39">
        <w:t>shown</w:t>
      </w:r>
      <w:r w:rsidR="008D7A39" w:rsidRPr="00F83596">
        <w:t xml:space="preserve"> </w:t>
      </w:r>
      <w:r w:rsidR="0004420D" w:rsidRPr="00F83596">
        <w:t xml:space="preserve">in </w:t>
      </w:r>
      <w:r w:rsidR="008D7A39">
        <w:t xml:space="preserve">table 1. </w:t>
      </w:r>
      <w:r w:rsidR="0004420D" w:rsidRPr="00F83596">
        <w:t>For 32%</w:t>
      </w:r>
      <w:r w:rsidR="00012819" w:rsidRPr="00F83596">
        <w:t xml:space="preserve"> of the entire epilepsy population</w:t>
      </w:r>
      <w:r w:rsidR="0004420D" w:rsidRPr="00F83596">
        <w:t xml:space="preserve">, epilepsy or another disease of the nervous system </w:t>
      </w:r>
      <w:r w:rsidR="0032659C">
        <w:t>wa</w:t>
      </w:r>
      <w:r w:rsidR="0032659C" w:rsidRPr="00F83596">
        <w:t xml:space="preserve">s </w:t>
      </w:r>
      <w:r w:rsidR="0004420D" w:rsidRPr="00F83596">
        <w:t>considered the underlying cause.</w:t>
      </w:r>
      <w:r w:rsidR="00480051">
        <w:t xml:space="preserve"> </w:t>
      </w:r>
      <w:r w:rsidR="009D39D7" w:rsidRPr="00F83596">
        <w:t xml:space="preserve">That will include sudden </w:t>
      </w:r>
      <w:r w:rsidR="0032659C">
        <w:t xml:space="preserve">unexpected </w:t>
      </w:r>
      <w:r w:rsidR="009D39D7" w:rsidRPr="00F83596">
        <w:t>death</w:t>
      </w:r>
      <w:r w:rsidR="0032659C">
        <w:t xml:space="preserve"> in epilepsy (SUDEP)</w:t>
      </w:r>
      <w:r w:rsidR="009D39D7" w:rsidRPr="00F83596">
        <w:t xml:space="preserve">, but the </w:t>
      </w:r>
      <w:r w:rsidR="00F6794A" w:rsidRPr="00F83596">
        <w:t xml:space="preserve">PHE </w:t>
      </w:r>
      <w:r w:rsidR="009D39D7" w:rsidRPr="00F83596">
        <w:t xml:space="preserve">data collection does not </w:t>
      </w:r>
      <w:r w:rsidR="002B7673" w:rsidRPr="00F83596">
        <w:t xml:space="preserve">allow </w:t>
      </w:r>
      <w:r w:rsidR="00012819" w:rsidRPr="00F83596">
        <w:t>discrimin</w:t>
      </w:r>
      <w:r w:rsidR="009D39D7" w:rsidRPr="00F83596">
        <w:t>at</w:t>
      </w:r>
      <w:r w:rsidR="002B7673" w:rsidRPr="00F83596">
        <w:t>ion</w:t>
      </w:r>
      <w:r w:rsidR="00012819" w:rsidRPr="00F83596">
        <w:t xml:space="preserve"> between neurological causes</w:t>
      </w:r>
      <w:r w:rsidR="009D39D7" w:rsidRPr="00F83596">
        <w:t>.</w:t>
      </w:r>
      <w:r w:rsidR="00480051">
        <w:t xml:space="preserve"> </w:t>
      </w:r>
      <w:r w:rsidR="00A83568">
        <w:t>As in the general population, v</w:t>
      </w:r>
      <w:r w:rsidR="000C4D9F" w:rsidRPr="00F83596">
        <w:t>ascular disease</w:t>
      </w:r>
      <w:r w:rsidR="0032659C">
        <w:t>s</w:t>
      </w:r>
      <w:r w:rsidR="000C4D9F" w:rsidRPr="00F83596">
        <w:t xml:space="preserve"> including stroke make up the second commonest underlying cause of disease in people with epilepsy.</w:t>
      </w:r>
      <w:r w:rsidR="009D39D7" w:rsidRPr="00F83596">
        <w:t xml:space="preserve"> </w:t>
      </w:r>
    </w:p>
    <w:p w14:paraId="0725FEF7" w14:textId="1FD6A053" w:rsidR="00EC7DC3" w:rsidRPr="00F83596" w:rsidRDefault="009D39D7" w:rsidP="00EC7DC3">
      <w:r w:rsidRPr="00F83596">
        <w:t>Deprivation is associated strongly with the likelihood of dying</w:t>
      </w:r>
      <w:r w:rsidR="00443063" w:rsidRPr="00F83596">
        <w:t xml:space="preserve"> </w:t>
      </w:r>
      <w:r w:rsidRPr="00F83596">
        <w:t>with epilepsy</w:t>
      </w:r>
      <w:r w:rsidR="00443063" w:rsidRPr="00F83596">
        <w:t>; there is an almost threefold difference</w:t>
      </w:r>
      <w:r w:rsidR="00F6794A" w:rsidRPr="00F83596">
        <w:t xml:space="preserve"> (13.1 vs 5.1)</w:t>
      </w:r>
      <w:r w:rsidR="00443063" w:rsidRPr="00F83596">
        <w:t xml:space="preserve"> between </w:t>
      </w:r>
      <w:r w:rsidR="002B7673" w:rsidRPr="00F83596">
        <w:t>D</w:t>
      </w:r>
      <w:r w:rsidR="00443063" w:rsidRPr="00F83596">
        <w:t>ASM in the most and least deprived deciles in England.</w:t>
      </w:r>
      <w:r w:rsidR="00B64C52" w:rsidRPr="00F83596">
        <w:t xml:space="preserve"> </w:t>
      </w:r>
      <w:r w:rsidR="00B64C52" w:rsidRPr="00AB0935">
        <w:t>(Fig</w:t>
      </w:r>
      <w:r w:rsidR="0032659C">
        <w:t xml:space="preserve">ure </w:t>
      </w:r>
      <w:r w:rsidR="00EC7DC3">
        <w:t>2</w:t>
      </w:r>
      <w:r w:rsidR="00B64C52" w:rsidRPr="00AB0935">
        <w:t>)</w:t>
      </w:r>
      <w:r w:rsidR="00A83568">
        <w:t xml:space="preserve">. </w:t>
      </w:r>
      <w:r w:rsidR="00F1051E">
        <w:t>P</w:t>
      </w:r>
      <w:r w:rsidR="00EC7DC3" w:rsidRPr="00F83596">
        <w:t xml:space="preserve">revalence of epilepsy varies with location and deprivation, and seizure freedom </w:t>
      </w:r>
      <w:r w:rsidR="00F1051E">
        <w:t xml:space="preserve">also </w:t>
      </w:r>
      <w:r w:rsidR="00EC7DC3" w:rsidRPr="00F83596">
        <w:t>varies with deprivation</w:t>
      </w:r>
      <w:r w:rsidR="00F1051E">
        <w:t xml:space="preserve"> </w:t>
      </w:r>
      <w:r w:rsidR="00F1051E">
        <w:fldChar w:fldCharType="begin"/>
      </w:r>
      <w:r w:rsidR="008B2939">
        <w:instrText xml:space="preserve"> ADDIN EN.CITE &lt;EndNote&gt;&lt;Cite&gt;&lt;Author&gt;Public Health England&lt;/Author&gt;&lt;Year&gt;2014&lt;/Year&gt;&lt;RecNum&gt;9793&lt;/RecNum&gt;&lt;DisplayText&gt;[5]&lt;/DisplayText&gt;&lt;record&gt;&lt;rec-number&gt;9793&lt;/rec-number&gt;&lt;foreign-keys&gt;&lt;key app="EN" db-id="ppttsszxnv29r1e2adav29tz00fr95zpdazv" timestamp="1552830018"&gt;9793&lt;/key&gt;&lt;/foreign-keys&gt;&lt;ref-type name="Online Database"&gt;45&lt;/ref-type&gt;&lt;contributors&gt;&lt;authors&gt;&lt;author&gt;Public Health England, &lt;/author&gt;&lt;/authors&gt;&lt;/contributors&gt;&lt;titles&gt;&lt;title&gt;Neurological Focus Pack Tool&lt;/title&gt;&lt;/titles&gt;&lt;pages&gt;http://tools.england.nhs.uk/cfv2016/neurological/atlas.html&lt;/pages&gt;&lt;keywords&gt;&lt;keyword&gt;NHS&lt;/keyword&gt;&lt;keyword&gt;Neurology&lt;/keyword&gt;&lt;keyword&gt;public health&lt;/keyword&gt;&lt;keyword&gt;epidemiology&lt;/keyword&gt;&lt;keyword&gt;costs&lt;/keyword&gt;&lt;/keywords&gt;&lt;dates&gt;&lt;year&gt;2014&lt;/year&gt;&lt;pub-dates&gt;&lt;date&gt;30/12/2018&lt;/date&gt;&lt;/pub-dates&gt;&lt;/dates&gt;&lt;publisher&gt;NHS England&lt;/publisher&gt;&lt;urls&gt;&lt;related-urls&gt;&lt;url&gt;http://tools.england.nhs.uk/cfv2016/neurological/atlas.html&lt;/url&gt;&lt;/related-urls&gt;&lt;/urls&gt;&lt;/record&gt;&lt;/Cite&gt;&lt;/EndNote&gt;</w:instrText>
      </w:r>
      <w:r w:rsidR="00F1051E">
        <w:fldChar w:fldCharType="separate"/>
      </w:r>
      <w:r w:rsidR="00F1051E">
        <w:rPr>
          <w:noProof/>
        </w:rPr>
        <w:t>[5]</w:t>
      </w:r>
      <w:r w:rsidR="00F1051E">
        <w:fldChar w:fldCharType="end"/>
      </w:r>
      <w:r w:rsidR="00EC7DC3" w:rsidRPr="00F83596">
        <w:t>.</w:t>
      </w:r>
      <w:r w:rsidR="00EC7DC3">
        <w:t xml:space="preserve"> </w:t>
      </w:r>
      <w:r w:rsidR="00EC7DC3" w:rsidRPr="00F83596">
        <w:t>Whilst one CCG recorded that, on average, 87% of its patients were seizure-free in the preceding 12 months, another reported 46%.</w:t>
      </w:r>
      <w:r w:rsidR="00EC7DC3">
        <w:t xml:space="preserve"> </w:t>
      </w:r>
      <w:r w:rsidR="00EC7DC3" w:rsidRPr="00F83596">
        <w:t xml:space="preserve">The most deprived decile of CCGs had an average of 55% seizure freedom, the least deprived 70% </w:t>
      </w:r>
      <w:r w:rsidR="00EC7DC3" w:rsidRPr="00AB0935">
        <w:t>(</w:t>
      </w:r>
      <w:r w:rsidR="00EC7DC3">
        <w:t>F</w:t>
      </w:r>
      <w:r w:rsidR="00EC7DC3" w:rsidRPr="00AB0935">
        <w:t>igure 3)</w:t>
      </w:r>
      <w:r w:rsidR="00EC7DC3">
        <w:t>.</w:t>
      </w:r>
    </w:p>
    <w:p w14:paraId="4EBB5853" w14:textId="0AB3302D" w:rsidR="00012819" w:rsidRPr="00F83596" w:rsidRDefault="00B64C52" w:rsidP="007073FD">
      <w:pPr>
        <w:rPr>
          <w:b/>
        </w:rPr>
      </w:pPr>
      <w:r w:rsidRPr="00F83596">
        <w:t xml:space="preserve">The Scotland death in epilepsy study </w:t>
      </w:r>
      <w:r w:rsidR="00D3482F">
        <w:fldChar w:fldCharType="begin"/>
      </w:r>
      <w:r w:rsidR="008B2939">
        <w:instrText xml:space="preserve"> ADDIN EN.CITE &lt;EndNote&gt;&lt;Cite&gt;&lt;Author&gt;Mbizvo&lt;/Author&gt;&lt;Year&gt;2018&lt;/Year&gt;&lt;RecNum&gt;9750&lt;/RecNum&gt;&lt;DisplayText&gt;[7]&lt;/DisplayText&gt;&lt;record&gt;&lt;rec-number&gt;9750&lt;/rec-number&gt;&lt;foreign-keys&gt;&lt;key app="EN" db-id="ppttsszxnv29r1e2adav29tz00fr95zpdazv" timestamp="1552829978"&gt;9750&lt;/key&gt;&lt;/foreign-keys&gt;&lt;ref-type name="Conference Paper"&gt;47&lt;/ref-type&gt;&lt;contributors&gt;&lt;authors&gt;&lt;author&gt;Mbizvo, G.K.&lt;/author&gt;&lt;author&gt;Simpson, C.R.&lt;/author&gt;&lt;author&gt;Duncan, S.E.&lt;/author&gt;&lt;author&gt;Chin, R.F.&lt;/author&gt;&lt;/authors&gt;&lt;/contributors&gt;&lt;titles&gt;&lt;title&gt;Secular Trends in Sudden Unexpected Death in Epilepsy (SUDEP) and Other Epilepsy Related Deaths in adults: A Nationwide Population-Based Study&lt;/title&gt;&lt;secondary-title&gt;Epilepsia&lt;/secondary-title&gt;&lt;/titles&gt;&lt;periodical&gt;&lt;full-title&gt;Epilepsia&lt;/full-title&gt;&lt;/periodical&gt;&lt;pages&gt;S26&lt;/pages&gt;&lt;volume&gt;59&lt;/volume&gt;&lt;number&gt;S3&lt;/number&gt;&lt;keywords&gt;&lt;keyword&gt;SUDEP&lt;/keyword&gt;&lt;keyword&gt;prevalence&lt;/keyword&gt;&lt;keyword&gt;Incidence&lt;/keyword&gt;&lt;keyword&gt;death&lt;/keyword&gt;&lt;keyword&gt;epilepsy&lt;/keyword&gt;&lt;keyword&gt;Mortality&lt;/keyword&gt;&lt;/keywords&gt;&lt;dates&gt;&lt;year&gt;2018&lt;/year&gt;&lt;/dates&gt;&lt;pub-location&gt;Vienna&lt;/pub-location&gt;&lt;urls&gt;&lt;related-urls&gt;&lt;url&gt;https://onlinelibrary.wiley.com/doi/abs/10.1111/epi.14612&lt;/url&gt;&lt;/related-urls&gt;&lt;/urls&gt;&lt;electronic-resource-num&gt;doi:10.1111/epi.14612&lt;/electronic-resource-num&gt;&lt;/record&gt;&lt;/Cite&gt;&lt;/EndNote&gt;</w:instrText>
      </w:r>
      <w:r w:rsidR="00D3482F">
        <w:fldChar w:fldCharType="separate"/>
      </w:r>
      <w:r w:rsidR="00D3482F">
        <w:rPr>
          <w:noProof/>
        </w:rPr>
        <w:t>[7]</w:t>
      </w:r>
      <w:r w:rsidR="00D3482F">
        <w:fldChar w:fldCharType="end"/>
      </w:r>
      <w:r w:rsidR="002E39B1" w:rsidRPr="00F83596">
        <w:t xml:space="preserve"> </w:t>
      </w:r>
      <w:r w:rsidR="00A83568">
        <w:t>undertook a comprehensive retrospective analysis</w:t>
      </w:r>
      <w:r w:rsidR="00A83568" w:rsidRPr="00F83596">
        <w:t xml:space="preserve"> </w:t>
      </w:r>
      <w:r w:rsidR="00A83568">
        <w:t xml:space="preserve">in </w:t>
      </w:r>
      <w:r w:rsidR="00556EF0" w:rsidRPr="00F83596">
        <w:t xml:space="preserve">Scotland </w:t>
      </w:r>
      <w:r w:rsidR="00A83568">
        <w:t xml:space="preserve">between </w:t>
      </w:r>
      <w:r w:rsidR="00556EF0" w:rsidRPr="00F83596">
        <w:t>2009-16, of 2149 epilepsy-related deaths</w:t>
      </w:r>
      <w:r w:rsidR="00867EC1" w:rsidRPr="004F3BA1">
        <w:t>.</w:t>
      </w:r>
      <w:r w:rsidR="004C4F9A" w:rsidRPr="004F3BA1">
        <w:t xml:space="preserve"> As everyone in Scotland is assigned a unique community heath index (CHI) number</w:t>
      </w:r>
      <w:r w:rsidR="00F1051E">
        <w:t>, i</w:t>
      </w:r>
      <w:r w:rsidR="004C4F9A" w:rsidRPr="004F3BA1">
        <w:t xml:space="preserve">nvestigators </w:t>
      </w:r>
      <w:r w:rsidR="00C95740">
        <w:t>can</w:t>
      </w:r>
      <w:r w:rsidR="004C4F9A" w:rsidRPr="004F3BA1">
        <w:t xml:space="preserve"> trace case records of the deceased</w:t>
      </w:r>
      <w:r w:rsidR="00AE02E2">
        <w:t xml:space="preserve">, </w:t>
      </w:r>
      <w:r w:rsidR="004C4F9A" w:rsidRPr="004F3BA1">
        <w:t xml:space="preserve">verify the diagnosis of epilepsy </w:t>
      </w:r>
      <w:r w:rsidR="00F1051E">
        <w:t>and</w:t>
      </w:r>
      <w:r w:rsidR="004C4F9A" w:rsidRPr="004F3BA1">
        <w:t xml:space="preserve"> build a narrative of the events leading up to the patient’s death.</w:t>
      </w:r>
      <w:r w:rsidR="00480051" w:rsidRPr="004F3BA1">
        <w:t xml:space="preserve"> </w:t>
      </w:r>
      <w:r w:rsidR="00A83568" w:rsidRPr="004F3BA1">
        <w:t>Whilst as in England, the majority o</w:t>
      </w:r>
      <w:r w:rsidR="00EC7DC3" w:rsidRPr="004F3BA1">
        <w:t>f deaths were in older patients, b</w:t>
      </w:r>
      <w:r w:rsidR="00556EF0" w:rsidRPr="004F3BA1">
        <w:t>elow the age of 54, death in those with epilepsy was significantly higher than the matched population.</w:t>
      </w:r>
      <w:r w:rsidR="00480051" w:rsidRPr="004F3BA1">
        <w:t xml:space="preserve"> </w:t>
      </w:r>
      <w:r w:rsidR="00556EF0" w:rsidRPr="004F3BA1">
        <w:t xml:space="preserve">Between the ages of 16 and 24 death was </w:t>
      </w:r>
      <w:r w:rsidR="00AE02E2">
        <w:t>six</w:t>
      </w:r>
      <w:r w:rsidR="00556EF0" w:rsidRPr="004F3BA1">
        <w:t xml:space="preserve"> times that </w:t>
      </w:r>
      <w:r w:rsidR="00D212A7">
        <w:t>of</w:t>
      </w:r>
      <w:r w:rsidR="00556EF0" w:rsidRPr="004F3BA1">
        <w:t xml:space="preserve"> an age matched entire population.</w:t>
      </w:r>
      <w:r w:rsidR="00480051" w:rsidRPr="004F3BA1">
        <w:t xml:space="preserve"> </w:t>
      </w:r>
      <w:r w:rsidR="00556EF0" w:rsidRPr="004F3BA1">
        <w:t xml:space="preserve">SUDEP accounted for </w:t>
      </w:r>
      <w:r w:rsidR="00012819" w:rsidRPr="004F3BA1">
        <w:t xml:space="preserve">38% of </w:t>
      </w:r>
      <w:r w:rsidR="00012819" w:rsidRPr="004F3BA1">
        <w:lastRenderedPageBreak/>
        <w:t>epilepsy-related deaths under the age of 45</w:t>
      </w:r>
      <w:r w:rsidR="00EC7DC3" w:rsidRPr="004F3BA1">
        <w:t xml:space="preserve"> (Table 2)</w:t>
      </w:r>
      <w:r w:rsidR="00012819" w:rsidRPr="004F3BA1">
        <w:t>.</w:t>
      </w:r>
      <w:r w:rsidR="00C9452B" w:rsidRPr="004F3BA1">
        <w:t xml:space="preserve"> </w:t>
      </w:r>
      <w:r w:rsidR="008B2768" w:rsidRPr="004F3BA1">
        <w:t xml:space="preserve">Fifty-nine percent of epilepsy related deaths in the </w:t>
      </w:r>
      <w:proofErr w:type="gramStart"/>
      <w:r w:rsidR="008B2768" w:rsidRPr="004F3BA1">
        <w:t>16-44 year old</w:t>
      </w:r>
      <w:proofErr w:type="gramEnd"/>
      <w:r w:rsidR="008B2768" w:rsidRPr="004F3BA1">
        <w:t xml:space="preserve"> cohort were in the two most deprived quintiles of the Scottish Index of Multiple Deprivation</w:t>
      </w:r>
      <w:r w:rsidR="00B817D5">
        <w:t xml:space="preserve"> </w:t>
      </w:r>
      <w:r w:rsidR="008B2768" w:rsidRPr="004F3BA1">
        <w:t>(SIMD)</w:t>
      </w:r>
    </w:p>
    <w:p w14:paraId="598378F5" w14:textId="77777777" w:rsidR="00215790" w:rsidRPr="00F83596" w:rsidRDefault="00215790" w:rsidP="00774297">
      <w:pPr>
        <w:pStyle w:val="Heading2"/>
      </w:pPr>
      <w:r w:rsidRPr="00F83596">
        <w:t xml:space="preserve">Service </w:t>
      </w:r>
      <w:r w:rsidRPr="00E0732B">
        <w:t>Provision</w:t>
      </w:r>
    </w:p>
    <w:p w14:paraId="050409A6" w14:textId="18EF0BD9" w:rsidR="00F1051E" w:rsidRDefault="005507E7" w:rsidP="007073FD">
      <w:r w:rsidRPr="00F83596">
        <w:t xml:space="preserve">The </w:t>
      </w:r>
      <w:r w:rsidR="0021197B" w:rsidRPr="00F83596">
        <w:t xml:space="preserve">2016-7 </w:t>
      </w:r>
      <w:r w:rsidRPr="00F83596">
        <w:t xml:space="preserve">Royal College of Physicians manpower survey </w:t>
      </w:r>
      <w:r w:rsidR="00D3482F">
        <w:rPr>
          <w:lang w:val="fr-FR"/>
        </w:rPr>
        <w:fldChar w:fldCharType="begin"/>
      </w:r>
      <w:r w:rsidR="008B2939">
        <w:rPr>
          <w:lang w:val="fr-FR"/>
        </w:rPr>
        <w:instrText xml:space="preserve"> ADDIN EN.CITE &lt;EndNote&gt;&lt;Cite&gt;&lt;Author&gt;Royal College of Physicians&lt;/Author&gt;&lt;Year&gt;2017&lt;/Year&gt;&lt;RecNum&gt;9798&lt;/RecNum&gt;&lt;DisplayText&gt;[13]&lt;/DisplayText&gt;&lt;record&gt;&lt;rec-number&gt;9798&lt;/rec-number&gt;&lt;foreign-keys&gt;&lt;key app="EN" db-id="ppttsszxnv29r1e2adav29tz00fr95zpdazv" timestamp="1552830022"&gt;9798&lt;/key&gt;&lt;/foreign-keys&gt;&lt;ref-type name="Report"&gt;27&lt;/ref-type&gt;&lt;contributors&gt;&lt;authors&gt;&lt;author&gt;Royal College of Physicians, &lt;/author&gt;&lt;/authors&gt;&lt;/contributors&gt;&lt;titles&gt;&lt;title&gt;Focus on Physicians: 2016-17 census (UK consultants and higher speciality trainees)&lt;/title&gt;&lt;/titles&gt;&lt;pages&gt;https://www.rcplondon.ac.uk/projects/outputs/2016-17-census-uk-consultants-and-higher-specialty-trainees&lt;/pages&gt;&lt;keywords&gt;&lt;keyword&gt;Workforce&lt;/keyword&gt;&lt;keyword&gt;NHS&lt;/keyword&gt;&lt;keyword&gt;report&lt;/keyword&gt;&lt;keyword&gt;consultants&lt;/keyword&gt;&lt;keyword&gt;speciality trainees&lt;/keyword&gt;&lt;/keywords&gt;&lt;dates&gt;&lt;year&gt;2017&lt;/year&gt;&lt;/dates&gt;&lt;pub-location&gt;London&lt;/pub-location&gt;&lt;publisher&gt;Royal College of Physicians, Medical Workforce Unit&lt;/publisher&gt;&lt;urls&gt;&lt;related-urls&gt;&lt;url&gt;https://www.rcplondon.ac.uk/projects/outputs/focus-physicians-2017-18-census-uk-consultants-and-higher-specialty-trainees&lt;/url&gt;&lt;/related-urls&gt;&lt;/urls&gt;&lt;/record&gt;&lt;/Cite&gt;&lt;/EndNote&gt;</w:instrText>
      </w:r>
      <w:r w:rsidR="00D3482F">
        <w:rPr>
          <w:lang w:val="fr-FR"/>
        </w:rPr>
        <w:fldChar w:fldCharType="separate"/>
      </w:r>
      <w:r w:rsidR="004D185C" w:rsidRPr="004D185C">
        <w:rPr>
          <w:noProof/>
        </w:rPr>
        <w:t>[13]</w:t>
      </w:r>
      <w:r w:rsidR="00D3482F">
        <w:rPr>
          <w:lang w:val="fr-FR"/>
        </w:rPr>
        <w:fldChar w:fldCharType="end"/>
      </w:r>
      <w:r w:rsidR="002E39B1" w:rsidRPr="00774297">
        <w:t xml:space="preserve"> </w:t>
      </w:r>
      <w:r w:rsidRPr="00F83596">
        <w:t>reports that the general population per Full-</w:t>
      </w:r>
      <w:r w:rsidR="002B7673" w:rsidRPr="00F83596">
        <w:t>T</w:t>
      </w:r>
      <w:r w:rsidRPr="00F83596">
        <w:t xml:space="preserve">ime </w:t>
      </w:r>
      <w:r w:rsidR="002B7673" w:rsidRPr="00F83596">
        <w:t>E</w:t>
      </w:r>
      <w:r w:rsidRPr="00F83596">
        <w:t xml:space="preserve">quivalent </w:t>
      </w:r>
      <w:r w:rsidR="002B7673" w:rsidRPr="00F83596">
        <w:t xml:space="preserve">(FTE) </w:t>
      </w:r>
      <w:r w:rsidRPr="00F83596">
        <w:t xml:space="preserve">neurologist in England varies </w:t>
      </w:r>
      <w:r w:rsidR="00215790" w:rsidRPr="00F83596">
        <w:t>between</w:t>
      </w:r>
      <w:r w:rsidRPr="00F83596">
        <w:t xml:space="preserve"> 28000 </w:t>
      </w:r>
      <w:r w:rsidR="00215790" w:rsidRPr="00F83596">
        <w:t>and</w:t>
      </w:r>
      <w:r w:rsidRPr="00F83596">
        <w:t xml:space="preserve"> 147000</w:t>
      </w:r>
      <w:r w:rsidR="0021197B" w:rsidRPr="00F83596">
        <w:t xml:space="preserve"> </w:t>
      </w:r>
      <w:r w:rsidR="00D212A7">
        <w:t>adults per neurologist according to</w:t>
      </w:r>
      <w:r w:rsidR="00051BB0" w:rsidRPr="00F83596">
        <w:t xml:space="preserve"> sub-region</w:t>
      </w:r>
      <w:r w:rsidRPr="00F83596">
        <w:t>.</w:t>
      </w:r>
      <w:r w:rsidR="00480051">
        <w:t xml:space="preserve"> </w:t>
      </w:r>
      <w:r w:rsidRPr="00F83596">
        <w:t xml:space="preserve">If all neurologists </w:t>
      </w:r>
      <w:r w:rsidR="007C3C10" w:rsidRPr="00F83596">
        <w:t xml:space="preserve">were to </w:t>
      </w:r>
      <w:r w:rsidRPr="00F83596">
        <w:t>have</w:t>
      </w:r>
      <w:r w:rsidR="0021197B" w:rsidRPr="00F83596">
        <w:t xml:space="preserve"> </w:t>
      </w:r>
      <w:r w:rsidRPr="00F83596">
        <w:t xml:space="preserve">responsibility for epilepsy care the number of PWE per </w:t>
      </w:r>
      <w:r w:rsidR="002B7673" w:rsidRPr="00F83596">
        <w:t xml:space="preserve">FTE </w:t>
      </w:r>
      <w:r w:rsidRPr="00F83596">
        <w:t xml:space="preserve">neurologist </w:t>
      </w:r>
      <w:r w:rsidR="004540A3" w:rsidRPr="00F83596">
        <w:t xml:space="preserve">would </w:t>
      </w:r>
      <w:r w:rsidRPr="00F83596">
        <w:t>var</w:t>
      </w:r>
      <w:r w:rsidR="004540A3" w:rsidRPr="00F83596">
        <w:t>y</w:t>
      </w:r>
      <w:r w:rsidRPr="00F83596">
        <w:t xml:space="preserve"> between 161 and 1200</w:t>
      </w:r>
      <w:r w:rsidR="004540A3" w:rsidRPr="00F83596">
        <w:t xml:space="preserve"> </w:t>
      </w:r>
      <w:r w:rsidR="004540A3" w:rsidRPr="00AB0935">
        <w:t>(</w:t>
      </w:r>
      <w:r w:rsidR="00EC7DC3" w:rsidRPr="00AB0935">
        <w:t>Table 3</w:t>
      </w:r>
      <w:r w:rsidR="004540A3" w:rsidRPr="00AB0935">
        <w:t>)</w:t>
      </w:r>
      <w:r w:rsidR="00EC7DC3" w:rsidRPr="00AB0935">
        <w:t>.</w:t>
      </w:r>
      <w:r w:rsidR="00480051">
        <w:t xml:space="preserve"> </w:t>
      </w:r>
      <w:r w:rsidR="00051BB0" w:rsidRPr="00F83596">
        <w:t xml:space="preserve">The </w:t>
      </w:r>
      <w:r w:rsidR="00A87910">
        <w:t xml:space="preserve">UK </w:t>
      </w:r>
      <w:r w:rsidR="00051BB0" w:rsidRPr="00F83596">
        <w:t xml:space="preserve">Epilepsy </w:t>
      </w:r>
      <w:r w:rsidR="00A87910">
        <w:t xml:space="preserve">Specialist </w:t>
      </w:r>
      <w:r w:rsidR="00051BB0" w:rsidRPr="00F83596">
        <w:t>Nurse</w:t>
      </w:r>
      <w:r w:rsidR="00A87910">
        <w:t xml:space="preserve"> Association</w:t>
      </w:r>
      <w:r w:rsidR="00051BB0" w:rsidRPr="00F83596">
        <w:t xml:space="preserve"> reports</w:t>
      </w:r>
      <w:r w:rsidR="00A65653" w:rsidRPr="00F83596">
        <w:t xml:space="preserve"> [</w:t>
      </w:r>
      <w:r w:rsidR="005916DC">
        <w:t>PM</w:t>
      </w:r>
      <w:r w:rsidR="00AB0935">
        <w:t xml:space="preserve"> &amp; HC</w:t>
      </w:r>
      <w:r w:rsidR="005916DC" w:rsidRPr="00F83596">
        <w:t xml:space="preserve"> </w:t>
      </w:r>
      <w:r w:rsidR="00A65653" w:rsidRPr="00F83596">
        <w:t>personal communication]</w:t>
      </w:r>
      <w:r w:rsidR="00051BB0" w:rsidRPr="00F83596">
        <w:t xml:space="preserve"> that there are 159 adult epilepsy nurses in UK</w:t>
      </w:r>
      <w:r w:rsidR="00215790" w:rsidRPr="00F83596">
        <w:t xml:space="preserve">, </w:t>
      </w:r>
      <w:r w:rsidR="00051BB0" w:rsidRPr="00F83596">
        <w:t xml:space="preserve">or 2900 PWE per </w:t>
      </w:r>
      <w:r w:rsidR="00A87910">
        <w:t>Epilepsy Specialist Nurse</w:t>
      </w:r>
      <w:r w:rsidR="005A118A">
        <w:t>s (ESN)</w:t>
      </w:r>
      <w:r w:rsidR="00051BB0" w:rsidRPr="00F83596">
        <w:t>.</w:t>
      </w:r>
      <w:r w:rsidR="00480051">
        <w:t xml:space="preserve"> </w:t>
      </w:r>
      <w:r w:rsidR="00051BB0" w:rsidRPr="00F83596">
        <w:t xml:space="preserve">The Association of British Neurology </w:t>
      </w:r>
      <w:r w:rsidR="00D3482F">
        <w:fldChar w:fldCharType="begin"/>
      </w:r>
      <w:r w:rsidR="008B2939">
        <w:instrText xml:space="preserve"> ADDIN EN.CITE &lt;EndNote&gt;&lt;Cite&gt;&lt;Author&gt;Gregory&lt;/Author&gt;&lt;Year&gt;2017&lt;/Year&gt;&lt;RecNum&gt;9788&lt;/RecNum&gt;&lt;DisplayText&gt;[11]&lt;/DisplayText&gt;&lt;record&gt;&lt;rec-number&gt;9788&lt;/rec-number&gt;&lt;foreign-keys&gt;&lt;key app="EN" db-id="ppttsszxnv29r1e2adav29tz00fr95zpdazv" timestamp="1552830014"&gt;9788&lt;/key&gt;&lt;/foreign-keys&gt;&lt;ref-type name="Report"&gt;27&lt;/ref-type&gt;&lt;contributors&gt;&lt;authors&gt;&lt;author&gt;Gregory, R.&lt;/author&gt;&lt;author&gt;Nicholls, D.&lt;/author&gt;&lt;author&gt;Lawrence, J.&lt;/author&gt;&lt;/authors&gt;&lt;tertiary-authors&gt;&lt;author&gt;Association of British Neurologists&lt;/author&gt;&lt;/tertiary-authors&gt;&lt;/contributors&gt;&lt;titles&gt;&lt;title&gt;Association of British Neurologists, Acute Neurology services survey 2017&lt;/title&gt;&lt;/titles&gt;&lt;pages&gt;1-20, https://www.theabn.org/resources/abn/a/abn-acute-neurology-survey-2017.html&lt;/pages&gt;&lt;keywords&gt;&lt;keyword&gt;Workforce&lt;/keyword&gt;&lt;keyword&gt;ABN&lt;/keyword&gt;&lt;keyword&gt;Consultants&lt;/keyword&gt;&lt;keyword&gt;Neurologist&lt;/keyword&gt;&lt;keyword&gt;UK&lt;/keyword&gt;&lt;/keywords&gt;&lt;dates&gt;&lt;year&gt;2017&lt;/year&gt;&lt;pub-dates&gt;&lt;date&gt;March 2017&lt;/date&gt;&lt;/pub-dates&gt;&lt;/dates&gt;&lt;pub-location&gt;London&lt;/pub-location&gt;&lt;publisher&gt;Association of British Neurologists&lt;/publisher&gt;&lt;urls&gt;&lt;related-urls&gt;&lt;url&gt;https://www.theabn.org/resources/abn/a/abn-acute-neurology-survey-2017.html&lt;/url&gt;&lt;/related-urls&gt;&lt;/urls&gt;&lt;/record&gt;&lt;/Cite&gt;&lt;/EndNote&gt;</w:instrText>
      </w:r>
      <w:r w:rsidR="00D3482F">
        <w:fldChar w:fldCharType="separate"/>
      </w:r>
      <w:r w:rsidR="00E345E7">
        <w:rPr>
          <w:noProof/>
        </w:rPr>
        <w:t>[11]</w:t>
      </w:r>
      <w:r w:rsidR="00D3482F">
        <w:fldChar w:fldCharType="end"/>
      </w:r>
      <w:r w:rsidR="002E39B1" w:rsidRPr="00F83596">
        <w:t xml:space="preserve"> </w:t>
      </w:r>
      <w:r w:rsidR="00051BB0" w:rsidRPr="00F83596">
        <w:t>reports that the UK has 28 neuroscience centres, 21 District general hospitals (DGH) with neurology beds and</w:t>
      </w:r>
      <w:r w:rsidR="00A87910">
        <w:t xml:space="preserve"> at least one </w:t>
      </w:r>
      <w:r w:rsidR="00051BB0" w:rsidRPr="00F83596">
        <w:t xml:space="preserve"> “resident” neurologist, 134 DGHs with a visiting neurologist, and 6 DGHs with no resident or visiting neurologist. </w:t>
      </w:r>
      <w:r w:rsidR="00C953A6">
        <w:t>Others such as</w:t>
      </w:r>
      <w:r w:rsidR="00A87910">
        <w:t xml:space="preserve"> associate specialists, or GPs with a special interest</w:t>
      </w:r>
      <w:r w:rsidR="00C953A6">
        <w:t xml:space="preserve"> also play key roles in some regions, but clearly access to specialist care is not equitable on numbers alone. </w:t>
      </w:r>
    </w:p>
    <w:p w14:paraId="1FB4A0FD" w14:textId="743797E2" w:rsidR="001B7B63" w:rsidRPr="00F83596" w:rsidRDefault="0021197B" w:rsidP="007073FD">
      <w:r w:rsidRPr="00F83596">
        <w:t xml:space="preserve">The </w:t>
      </w:r>
      <w:r w:rsidR="001B7B63" w:rsidRPr="00F83596">
        <w:t>N</w:t>
      </w:r>
      <w:r w:rsidR="005A118A">
        <w:t>ational Audits of Seizures in Hospital (N</w:t>
      </w:r>
      <w:r w:rsidR="001B7B63" w:rsidRPr="00F83596">
        <w:t>ASH</w:t>
      </w:r>
      <w:r w:rsidR="001F6B0E">
        <w:t>2</w:t>
      </w:r>
      <w:r w:rsidR="005A118A">
        <w:t>)</w:t>
      </w:r>
      <w:r w:rsidR="001F6B0E">
        <w:t xml:space="preserve"> </w:t>
      </w:r>
      <w:r w:rsidR="00D3482F">
        <w:fldChar w:fldCharType="begin"/>
      </w:r>
      <w:r w:rsidR="008B2939">
        <w:instrText xml:space="preserve"> ADDIN EN.CITE &lt;EndNote&gt;&lt;Cite&gt;&lt;Author&gt;Dixon&lt;/Author&gt;&lt;Year&gt;2015&lt;/Year&gt;&lt;RecNum&gt;9632&lt;/RecNum&gt;&lt;DisplayText&gt;[12]&lt;/DisplayText&gt;&lt;record&gt;&lt;rec-number&gt;9632&lt;/rec-number&gt;&lt;foreign-keys&gt;&lt;key app="EN" db-id="ppttsszxnv29r1e2adav29tz00fr95zpdazv" timestamp="1539895957"&gt;9632&lt;/key&gt;&lt;/foreign-keys&gt;&lt;ref-type name="Journal Article"&gt;17&lt;/ref-type&gt;&lt;contributors&gt;&lt;authors&gt;&lt;author&gt;Dixon, Peter A&lt;/author&gt;&lt;author&gt;Kirkham, Jamie J&lt;/author&gt;&lt;author&gt;Marson, Anthony G&lt;/author&gt;&lt;author&gt;Pearson, Mike G&lt;/author&gt;&lt;/authors&gt;&lt;/contributors&gt;&lt;titles&gt;&lt;title&gt;National Audit of Seizure management in Hospitals (NASH): results of the national audit of adult epilepsy in the UK&lt;/title&gt;&lt;secondary-title&gt;BMJ Open&lt;/secondary-title&gt;&lt;/titles&gt;&lt;periodical&gt;&lt;full-title&gt;Bmj Open&lt;/full-title&gt;&lt;/periodical&gt;&lt;volume&gt;5&lt;/volume&gt;&lt;number&gt;3&lt;/number&gt;&lt;reprint-edition&gt;pdf&lt;/reprint-edition&gt;&lt;keywords&gt;&lt;keyword&gt;seizure&lt;/keyword&gt;&lt;keyword&gt;audit&lt;/keyword&gt;&lt;keyword&gt;Clinical&lt;/keyword&gt;&lt;keyword&gt;management&lt;/keyword&gt;&lt;/keywords&gt;&lt;dates&gt;&lt;year&gt;2015&lt;/year&gt;&lt;/dates&gt;&lt;urls&gt;&lt;related-urls&gt;&lt;url&gt;https://bmjopen.bmj.com/content/bmjopen/5/3/e007325.full.pdf&lt;/url&gt;&lt;/related-urls&gt;&lt;/urls&gt;&lt;electronic-resource-num&gt;10.1136/bmjopen-2014-007325&lt;/electronic-resource-num&gt;&lt;/record&gt;&lt;/Cite&gt;&lt;/EndNote&gt;</w:instrText>
      </w:r>
      <w:r w:rsidR="00D3482F">
        <w:fldChar w:fldCharType="separate"/>
      </w:r>
      <w:r w:rsidR="00E345E7">
        <w:rPr>
          <w:noProof/>
        </w:rPr>
        <w:t>[12]</w:t>
      </w:r>
      <w:r w:rsidR="00D3482F">
        <w:fldChar w:fldCharType="end"/>
      </w:r>
      <w:r w:rsidR="002E39B1" w:rsidRPr="00F83596">
        <w:t xml:space="preserve"> </w:t>
      </w:r>
      <w:r w:rsidRPr="00F83596">
        <w:t>reported on 4544 presentations with seizure at 154 emergency departments across the UK in 2013.</w:t>
      </w:r>
      <w:r w:rsidR="00480051">
        <w:t xml:space="preserve"> </w:t>
      </w:r>
      <w:r w:rsidR="001B7B63" w:rsidRPr="00F83596">
        <w:t>18% of patients were on no anti-epileptic therapy, and 48% were on monotherapy.</w:t>
      </w:r>
      <w:r w:rsidR="00480051">
        <w:t xml:space="preserve"> </w:t>
      </w:r>
      <w:r w:rsidR="001B7B63" w:rsidRPr="00F83596">
        <w:t>Assessments were often incomplete, with 42% not seeing a senior doctor.</w:t>
      </w:r>
      <w:r w:rsidR="00480051">
        <w:t xml:space="preserve"> </w:t>
      </w:r>
      <w:r w:rsidR="001B7B63" w:rsidRPr="00F83596">
        <w:t xml:space="preserve">For those suffering a first seizure, 27% received advice on further seizure management and 55% </w:t>
      </w:r>
      <w:r w:rsidRPr="00F83596">
        <w:t xml:space="preserve">were </w:t>
      </w:r>
      <w:r w:rsidR="001B7B63" w:rsidRPr="00F83596">
        <w:t xml:space="preserve">referred </w:t>
      </w:r>
      <w:r w:rsidRPr="00F83596">
        <w:t xml:space="preserve">onwards </w:t>
      </w:r>
      <w:r w:rsidR="001B7B63" w:rsidRPr="00F83596">
        <w:t>to a neurologist or epilepsy specialist.</w:t>
      </w:r>
      <w:r w:rsidR="00480051">
        <w:t xml:space="preserve"> </w:t>
      </w:r>
      <w:r w:rsidR="001B7B63" w:rsidRPr="00F83596">
        <w:t xml:space="preserve">Of those over 80, </w:t>
      </w:r>
      <w:r w:rsidR="00C953A6">
        <w:t xml:space="preserve">only </w:t>
      </w:r>
      <w:r w:rsidR="001B7B63" w:rsidRPr="00F83596">
        <w:t>25% were referred on.</w:t>
      </w:r>
      <w:r w:rsidR="00480051">
        <w:t xml:space="preserve"> </w:t>
      </w:r>
      <w:r w:rsidRPr="00F83596">
        <w:t>The proportion of patients with epilepsy</w:t>
      </w:r>
      <w:r w:rsidR="001B7B63" w:rsidRPr="00F83596">
        <w:t xml:space="preserve"> </w:t>
      </w:r>
      <w:r w:rsidRPr="00F83596">
        <w:t xml:space="preserve">that were admitted as an emergency to hospital in England </w:t>
      </w:r>
      <w:r w:rsidR="00215790" w:rsidRPr="00F83596">
        <w:t>and</w:t>
      </w:r>
      <w:r w:rsidRPr="00F83596">
        <w:t xml:space="preserve"> were managed by a neurologist during their admission varies between 3 and 44% according to CCG</w:t>
      </w:r>
      <w:r w:rsidR="003A2CC2" w:rsidRPr="00F83596">
        <w:t xml:space="preserve"> </w:t>
      </w:r>
      <w:r w:rsidR="00D3482F">
        <w:fldChar w:fldCharType="begin"/>
      </w:r>
      <w:r w:rsidR="008B2939">
        <w:instrText xml:space="preserve"> ADDIN EN.CITE &lt;EndNote&gt;&lt;Cite&gt;&lt;Author&gt;Public Health England&lt;/Author&gt;&lt;Year&gt;2014&lt;/Year&gt;&lt;RecNum&gt;9793&lt;/RecNum&gt;&lt;DisplayText&gt;[5]&lt;/DisplayText&gt;&lt;record&gt;&lt;rec-number&gt;9793&lt;/rec-number&gt;&lt;foreign-keys&gt;&lt;key app="EN" db-id="ppttsszxnv29r1e2adav29tz00fr95zpdazv" timestamp="1552830018"&gt;9793&lt;/key&gt;&lt;/foreign-keys&gt;&lt;ref-type name="Online Database"&gt;45&lt;/ref-type&gt;&lt;contributors&gt;&lt;authors&gt;&lt;author&gt;Public Health England, &lt;/author&gt;&lt;/authors&gt;&lt;/contributors&gt;&lt;titles&gt;&lt;title&gt;Neurological Focus Pack Tool&lt;/title&gt;&lt;/titles&gt;&lt;pages&gt;http://tools.england.nhs.uk/cfv2016/neurological/atlas.html&lt;/pages&gt;&lt;keywords&gt;&lt;keyword&gt;NHS&lt;/keyword&gt;&lt;keyword&gt;Neurology&lt;/keyword&gt;&lt;keyword&gt;public health&lt;/keyword&gt;&lt;keyword&gt;epidemiology&lt;/keyword&gt;&lt;keyword&gt;costs&lt;/keyword&gt;&lt;/keywords&gt;&lt;dates&gt;&lt;year&gt;2014&lt;/year&gt;&lt;pub-dates&gt;&lt;date&gt;30/12/2018&lt;/date&gt;&lt;/pub-dates&gt;&lt;/dates&gt;&lt;publisher&gt;NHS England&lt;/publisher&gt;&lt;urls&gt;&lt;related-urls&gt;&lt;url&gt;http://tools.england.nhs.uk/cfv2016/neurological/atlas.html&lt;/url&gt;&lt;/related-urls&gt;&lt;/urls&gt;&lt;/record&gt;&lt;/Cite&gt;&lt;/EndNote&gt;</w:instrText>
      </w:r>
      <w:r w:rsidR="00D3482F">
        <w:fldChar w:fldCharType="separate"/>
      </w:r>
      <w:r w:rsidR="00D3482F">
        <w:rPr>
          <w:noProof/>
        </w:rPr>
        <w:t>[5]</w:t>
      </w:r>
      <w:r w:rsidR="00D3482F">
        <w:fldChar w:fldCharType="end"/>
      </w:r>
      <w:r w:rsidR="002E39B1" w:rsidRPr="00F83596">
        <w:t xml:space="preserve">. </w:t>
      </w:r>
    </w:p>
    <w:p w14:paraId="09FA1A89" w14:textId="77777777" w:rsidR="00385A4C" w:rsidRPr="00F83596" w:rsidRDefault="00012819" w:rsidP="00E0732B">
      <w:pPr>
        <w:pStyle w:val="Heading1"/>
      </w:pPr>
      <w:r w:rsidRPr="00E0732B">
        <w:t>Discussion</w:t>
      </w:r>
    </w:p>
    <w:p w14:paraId="0A8D9366" w14:textId="3D9D1E1F" w:rsidR="00583EC4" w:rsidRPr="00F83596" w:rsidRDefault="009432C2" w:rsidP="007073FD">
      <w:r>
        <w:t>The</w:t>
      </w:r>
      <w:r w:rsidR="00F1051E">
        <w:t xml:space="preserve"> </w:t>
      </w:r>
      <w:r w:rsidR="00583EC4" w:rsidRPr="00F83596">
        <w:t>National Health Service permits</w:t>
      </w:r>
      <w:r w:rsidR="0045094B">
        <w:t xml:space="preserve"> </w:t>
      </w:r>
      <w:r w:rsidR="00583EC4" w:rsidRPr="00F83596">
        <w:t xml:space="preserve">the collection of </w:t>
      </w:r>
      <w:r w:rsidR="008C0FBE">
        <w:t xml:space="preserve">an </w:t>
      </w:r>
      <w:r w:rsidR="00583EC4" w:rsidRPr="00F83596">
        <w:t>enormous amount of data</w:t>
      </w:r>
      <w:r w:rsidR="009D7AB7">
        <w:t xml:space="preserve"> that</w:t>
      </w:r>
      <w:r w:rsidR="00FA3724">
        <w:t xml:space="preserve"> </w:t>
      </w:r>
      <w:r w:rsidR="00F1051E">
        <w:t>can</w:t>
      </w:r>
      <w:r w:rsidR="00583EC4" w:rsidRPr="00F83596">
        <w:t xml:space="preserve"> be processed and interrogated</w:t>
      </w:r>
      <w:r w:rsidR="00F1051E">
        <w:t xml:space="preserve">, </w:t>
      </w:r>
      <w:r w:rsidR="00583EC4" w:rsidRPr="00F83596">
        <w:t>then used to understand and improve the way that healthcare is delivered.</w:t>
      </w:r>
      <w:r w:rsidR="00480051">
        <w:t xml:space="preserve"> </w:t>
      </w:r>
      <w:r w:rsidR="00583EC4" w:rsidRPr="00F83596">
        <w:t>Such interrogation is only possible where there is freedom of access and presentation</w:t>
      </w:r>
      <w:r w:rsidR="00F1051E">
        <w:t>,</w:t>
      </w:r>
      <w:r w:rsidR="00583EC4" w:rsidRPr="00F83596">
        <w:t xml:space="preserve"> and it is to the credit of the UK </w:t>
      </w:r>
      <w:r w:rsidR="004540A3" w:rsidRPr="00F83596">
        <w:t xml:space="preserve">Government </w:t>
      </w:r>
      <w:r w:rsidR="00583EC4" w:rsidRPr="00F83596">
        <w:t xml:space="preserve">that the analysis </w:t>
      </w:r>
      <w:r w:rsidR="0045094B">
        <w:t xml:space="preserve">can be </w:t>
      </w:r>
      <w:r w:rsidR="00583EC4" w:rsidRPr="00F83596">
        <w:t>presented here.</w:t>
      </w:r>
    </w:p>
    <w:p w14:paraId="1AB86000" w14:textId="4F9969E5" w:rsidR="00ED73B9" w:rsidRDefault="00ED73B9" w:rsidP="00774297">
      <w:pPr>
        <w:pStyle w:val="Heading2"/>
      </w:pPr>
      <w:r>
        <w:t xml:space="preserve">Increasing epilepsy deaths </w:t>
      </w:r>
    </w:p>
    <w:p w14:paraId="0CA196CA" w14:textId="163FDA44" w:rsidR="00F60D1C" w:rsidRPr="00F83596" w:rsidRDefault="00F60D1C" w:rsidP="00774297">
      <w:pPr>
        <w:pStyle w:val="Heading2"/>
        <w:numPr>
          <w:ilvl w:val="0"/>
          <w:numId w:val="0"/>
        </w:numPr>
        <w:ind w:left="-6"/>
      </w:pPr>
      <w:r w:rsidRPr="00F83596">
        <w:t xml:space="preserve">The </w:t>
      </w:r>
      <w:r w:rsidR="00B64C52" w:rsidRPr="00F83596">
        <w:t xml:space="preserve">PHE </w:t>
      </w:r>
      <w:r w:rsidRPr="00F83596">
        <w:t xml:space="preserve">mortality report </w:t>
      </w:r>
      <w:r w:rsidR="00FA3724">
        <w:t xml:space="preserve">[3] </w:t>
      </w:r>
      <w:r w:rsidR="00F76584" w:rsidRPr="00F83596">
        <w:t xml:space="preserve">tells that </w:t>
      </w:r>
      <w:r w:rsidR="006D646B" w:rsidRPr="00F83596">
        <w:t>t</w:t>
      </w:r>
      <w:r w:rsidR="00370D5F" w:rsidRPr="00F83596">
        <w:t xml:space="preserve">he proportion of the </w:t>
      </w:r>
      <w:r w:rsidR="00D212A7">
        <w:t xml:space="preserve">adult </w:t>
      </w:r>
      <w:r w:rsidR="00370D5F" w:rsidRPr="00F83596">
        <w:t>population living</w:t>
      </w:r>
      <w:r w:rsidR="006D646B" w:rsidRPr="00F83596">
        <w:t xml:space="preserve"> and dying</w:t>
      </w:r>
      <w:r w:rsidR="00370D5F" w:rsidRPr="00F83596">
        <w:t xml:space="preserve"> with epilepsy is rising rapidly</w:t>
      </w:r>
      <w:r w:rsidR="00385A4C" w:rsidRPr="00F83596">
        <w:t>.</w:t>
      </w:r>
      <w:r w:rsidR="00480051">
        <w:t xml:space="preserve"> </w:t>
      </w:r>
      <w:r w:rsidR="00385A4C" w:rsidRPr="00F83596">
        <w:t>M</w:t>
      </w:r>
      <w:r w:rsidR="00370D5F" w:rsidRPr="00F83596">
        <w:t xml:space="preserve">any of those </w:t>
      </w:r>
      <w:r w:rsidR="00D212A7">
        <w:t>PWEs</w:t>
      </w:r>
      <w:r w:rsidR="000E5D49" w:rsidRPr="00F83596">
        <w:t xml:space="preserve"> </w:t>
      </w:r>
      <w:r w:rsidR="00370D5F" w:rsidRPr="00F83596">
        <w:t>are elderly</w:t>
      </w:r>
      <w:r w:rsidR="00583EC4" w:rsidRPr="00F83596">
        <w:t xml:space="preserve"> and have multiple comorbidities</w:t>
      </w:r>
      <w:r w:rsidR="00370D5F" w:rsidRPr="00F83596">
        <w:t>.</w:t>
      </w:r>
      <w:r w:rsidR="00480051">
        <w:t xml:space="preserve"> </w:t>
      </w:r>
      <w:r w:rsidR="006A6EB3" w:rsidRPr="00F83596">
        <w:t>The report</w:t>
      </w:r>
      <w:r w:rsidR="00370D5F" w:rsidRPr="00F83596">
        <w:t xml:space="preserve"> </w:t>
      </w:r>
      <w:r w:rsidR="000E5D49" w:rsidRPr="00F83596">
        <w:t xml:space="preserve">also </w:t>
      </w:r>
      <w:r w:rsidR="00370D5F" w:rsidRPr="00F83596">
        <w:t xml:space="preserve">tells us that dying with epilepsy is allied </w:t>
      </w:r>
      <w:r w:rsidR="004F78B6" w:rsidRPr="00F83596">
        <w:t>to</w:t>
      </w:r>
      <w:r w:rsidR="00370D5F" w:rsidRPr="00F83596">
        <w:t xml:space="preserve"> deprivation</w:t>
      </w:r>
      <w:r w:rsidR="00385A4C" w:rsidRPr="00F83596">
        <w:t>,</w:t>
      </w:r>
      <w:r w:rsidR="006A6EB3" w:rsidRPr="00F83596">
        <w:t xml:space="preserve"> and</w:t>
      </w:r>
      <w:r w:rsidR="00370D5F" w:rsidRPr="00F83596">
        <w:t xml:space="preserve"> that young men with epilepsy are dying</w:t>
      </w:r>
      <w:r w:rsidR="00385A4C" w:rsidRPr="00F83596">
        <w:t xml:space="preserve">, from all causes, </w:t>
      </w:r>
      <w:r w:rsidR="00C229D9" w:rsidRPr="00F83596">
        <w:t>twice as often as young women</w:t>
      </w:r>
      <w:r w:rsidR="00370D5F" w:rsidRPr="00F83596">
        <w:t>.</w:t>
      </w:r>
      <w:r w:rsidR="00480051">
        <w:t xml:space="preserve"> </w:t>
      </w:r>
      <w:r w:rsidR="007D4A59" w:rsidRPr="00F83596">
        <w:t xml:space="preserve">The national picture of epilepsy then is </w:t>
      </w:r>
      <w:r w:rsidR="007D4A59" w:rsidRPr="00F83596">
        <w:lastRenderedPageBreak/>
        <w:t>one skewed towards the elderly</w:t>
      </w:r>
      <w:r w:rsidR="000E5D49" w:rsidRPr="00F83596">
        <w:t xml:space="preserve"> and those</w:t>
      </w:r>
      <w:r w:rsidR="007D4A59" w:rsidRPr="00F83596">
        <w:t xml:space="preserve"> living in deprivation</w:t>
      </w:r>
      <w:r w:rsidR="00385A4C" w:rsidRPr="00F83596">
        <w:t>,</w:t>
      </w:r>
      <w:r w:rsidR="002C7AE9" w:rsidRPr="00F83596">
        <w:t xml:space="preserve"> but </w:t>
      </w:r>
      <w:r w:rsidR="00FE1097" w:rsidRPr="00F83596">
        <w:t>that</w:t>
      </w:r>
      <w:r w:rsidR="002C7AE9" w:rsidRPr="00F83596">
        <w:t xml:space="preserve"> young people</w:t>
      </w:r>
      <w:r w:rsidR="00385A4C" w:rsidRPr="00F83596">
        <w:t xml:space="preserve"> with epilepsy</w:t>
      </w:r>
      <w:r w:rsidR="002C7AE9" w:rsidRPr="00F83596">
        <w:t>, particularly young men, are dying disproportionately.</w:t>
      </w:r>
    </w:p>
    <w:p w14:paraId="05167EDD" w14:textId="56F0BDE0" w:rsidR="009D7AB7" w:rsidRDefault="00387594" w:rsidP="000F1BF3">
      <w:r w:rsidRPr="00F83596">
        <w:t xml:space="preserve">The PHE mortality report is </w:t>
      </w:r>
      <w:r w:rsidR="00215790" w:rsidRPr="00F83596">
        <w:t>not</w:t>
      </w:r>
      <w:r w:rsidRPr="00F83596">
        <w:t xml:space="preserve"> a surprise</w:t>
      </w:r>
      <w:r w:rsidR="0045094B">
        <w:t>.</w:t>
      </w:r>
      <w:r w:rsidR="00480051">
        <w:t xml:space="preserve"> </w:t>
      </w:r>
      <w:r w:rsidR="00B64C52" w:rsidRPr="00F83596">
        <w:t xml:space="preserve">The </w:t>
      </w:r>
      <w:r w:rsidR="00370D5F" w:rsidRPr="00F83596">
        <w:t>incidence of epilepsy rises after the age of 50</w:t>
      </w:r>
      <w:r w:rsidR="00B64C52" w:rsidRPr="00F83596">
        <w:t xml:space="preserve"> and t</w:t>
      </w:r>
      <w:r w:rsidR="00370D5F" w:rsidRPr="00F83596">
        <w:t>he population in England</w:t>
      </w:r>
      <w:r w:rsidR="00B64C52" w:rsidRPr="00F83596">
        <w:t>, as in other advanced countries,</w:t>
      </w:r>
      <w:r w:rsidR="00370D5F" w:rsidRPr="00F83596">
        <w:t xml:space="preserve"> is ageing</w:t>
      </w:r>
      <w:r w:rsidR="00B64C52" w:rsidRPr="00F83596">
        <w:t xml:space="preserve">; </w:t>
      </w:r>
      <w:r w:rsidR="00370D5F" w:rsidRPr="00F83596">
        <w:t>as we develop prevention, treatment and cure for the common killers (e</w:t>
      </w:r>
      <w:r w:rsidR="00774297">
        <w:t>.</w:t>
      </w:r>
      <w:r w:rsidR="00370D5F" w:rsidRPr="00F83596">
        <w:t>g</w:t>
      </w:r>
      <w:r w:rsidR="00774297">
        <w:t>.</w:t>
      </w:r>
      <w:r w:rsidR="0031252B" w:rsidRPr="00F83596">
        <w:t xml:space="preserve"> heart disease</w:t>
      </w:r>
      <w:r w:rsidR="00370D5F" w:rsidRPr="00F83596">
        <w:t xml:space="preserve">) then </w:t>
      </w:r>
      <w:r w:rsidR="000E5D49" w:rsidRPr="00F83596">
        <w:t>a greater proportion of the population will have</w:t>
      </w:r>
      <w:r w:rsidR="00370D5F" w:rsidRPr="00F83596">
        <w:t xml:space="preserve"> epilepsy.</w:t>
      </w:r>
      <w:r w:rsidR="00480051">
        <w:t xml:space="preserve"> </w:t>
      </w:r>
      <w:r w:rsidR="00397692" w:rsidRPr="00F83596">
        <w:t>The</w:t>
      </w:r>
      <w:r w:rsidR="00B64C52" w:rsidRPr="00F83596">
        <w:t xml:space="preserve"> </w:t>
      </w:r>
      <w:r w:rsidR="00397692" w:rsidRPr="00F83596">
        <w:t>common</w:t>
      </w:r>
      <w:r w:rsidR="00B64C52" w:rsidRPr="00F83596">
        <w:t>est</w:t>
      </w:r>
      <w:r w:rsidR="00397692" w:rsidRPr="00F83596">
        <w:t xml:space="preserve"> cause of new-onset epilepsy var</w:t>
      </w:r>
      <w:r w:rsidR="000E5D49" w:rsidRPr="00F83596">
        <w:t>ies</w:t>
      </w:r>
      <w:r w:rsidR="00397692" w:rsidRPr="00F83596">
        <w:t xml:space="preserve"> with age.</w:t>
      </w:r>
      <w:r w:rsidR="00480051">
        <w:t xml:space="preserve"> </w:t>
      </w:r>
      <w:r w:rsidR="000E5D49" w:rsidRPr="00F83596">
        <w:t>One</w:t>
      </w:r>
      <w:r w:rsidR="00397692" w:rsidRPr="00F83596">
        <w:t xml:space="preserve"> study of new-onset epilepsy </w:t>
      </w:r>
      <w:r w:rsidR="00D3482F">
        <w:fldChar w:fldCharType="begin">
          <w:fldData xml:space="preserve">PEVuZE5vdGU+PENpdGU+PEF1dGhvcj5UYW5ha2E8L0F1dGhvcj48WWVhcj4yMDEzPC9ZZWFyPjxS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</w:fldData>
        </w:fldChar>
      </w:r>
      <w:r w:rsidR="008B2939">
        <w:instrText xml:space="preserve"> ADDIN EN.CITE </w:instrText>
      </w:r>
      <w:r w:rsidR="008B2939">
        <w:fldChar w:fldCharType="begin">
          <w:fldData xml:space="preserve">PEVuZE5vdGU+PENpdGU+PEF1dGhvcj5UYW5ha2E8L0F1dGhvcj48WWVhcj4yMDEzPC9ZZWFyPjxS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</w:fldData>
        </w:fldChar>
      </w:r>
      <w:r w:rsidR="008B2939">
        <w:instrText xml:space="preserve"> ADDIN EN.CITE.DATA </w:instrText>
      </w:r>
      <w:r w:rsidR="008B2939">
        <w:fldChar w:fldCharType="end"/>
      </w:r>
      <w:r w:rsidR="00D3482F">
        <w:fldChar w:fldCharType="separate"/>
      </w:r>
      <w:r w:rsidR="004D185C">
        <w:rPr>
          <w:noProof/>
        </w:rPr>
        <w:t>[14]</w:t>
      </w:r>
      <w:r w:rsidR="00D3482F">
        <w:fldChar w:fldCharType="end"/>
      </w:r>
      <w:r w:rsidR="007073FD">
        <w:t xml:space="preserve"> </w:t>
      </w:r>
      <w:r w:rsidR="00397692" w:rsidRPr="00F83596">
        <w:t xml:space="preserve">in </w:t>
      </w:r>
      <w:r w:rsidR="00CD5B35" w:rsidRPr="00F83596">
        <w:t>the over 65s</w:t>
      </w:r>
      <w:r w:rsidR="000E5D49" w:rsidRPr="00F83596">
        <w:t>, in</w:t>
      </w:r>
      <w:r w:rsidR="00CD5B35" w:rsidRPr="00F83596">
        <w:t xml:space="preserve"> Japan</w:t>
      </w:r>
      <w:r w:rsidR="000E5D49" w:rsidRPr="00F83596">
        <w:t>,</w:t>
      </w:r>
      <w:r w:rsidR="00CD5B35" w:rsidRPr="00F83596">
        <w:t xml:space="preserve"> </w:t>
      </w:r>
      <w:r w:rsidR="00B64C52" w:rsidRPr="00F83596">
        <w:t>identifie</w:t>
      </w:r>
      <w:r w:rsidR="00CD5B35" w:rsidRPr="00F83596">
        <w:t>d a cause in almost 50%, with cerebrovascular disease the commonest cause, followed by dementia, inflammatory disease, malignancy and trauma.</w:t>
      </w:r>
      <w:r w:rsidR="00480051">
        <w:t xml:space="preserve"> </w:t>
      </w:r>
      <w:r w:rsidR="00012E58" w:rsidRPr="00F83596">
        <w:t>One UK study, from the GP register</w:t>
      </w:r>
      <w:r w:rsidR="002E39B1" w:rsidRPr="00F83596">
        <w:t xml:space="preserve"> </w:t>
      </w:r>
      <w:r w:rsidR="00D3482F">
        <w:fldChar w:fldCharType="begin"/>
      </w:r>
      <w:r w:rsidR="008B2939">
        <w:instrText xml:space="preserve"> ADDIN EN.CITE &lt;EndNote&gt;&lt;Cite&gt;&lt;Author&gt;Ridsdale&lt;/Author&gt;&lt;Year&gt;2011&lt;/Year&gt;&lt;RecNum&gt;7630&lt;/RecNum&gt;&lt;DisplayText&gt;[15]&lt;/DisplayText&gt;&lt;record&gt;&lt;rec-number&gt;7630&lt;/rec-number&gt;&lt;foreign-keys&gt;&lt;key app="EN" db-id="ppttsszxnv29r1e2adav29tz00fr95zpdazv" timestamp="1479146174"&gt;7630&lt;/key&gt;&lt;/foreign-keys&gt;&lt;ref-type name="Journal Article"&gt;17&lt;/ref-type&gt;&lt;contributors&gt;&lt;authors&gt;&lt;author&gt;Ridsdale,Leone&lt;/author&gt;&lt;author&gt;Charlton,Judith&lt;/author&gt;&lt;author&gt;Ashworth,Mark&lt;/author&gt;&lt;author&gt;Richardson,Mark P.&lt;/author&gt;&lt;author&gt;Gulliford,Martin C.&lt;/author&gt;&lt;/authors&gt;&lt;/contributors&gt;&lt;titles&gt;&lt;title&gt;Epilepsy mortality and risk factors for death in epilepsy: a population-based study&lt;/title&gt;&lt;secondary-title&gt;The British journal of general practice : the journal of the Royal College of General Practitioners&lt;/secondary-title&gt;&lt;/titles&gt;&lt;periodical&gt;&lt;full-title&gt;The British journal of general practice : the journal of the Royal College of General Practitioners&lt;/full-title&gt;&lt;/periodical&gt;&lt;pages&gt;e271-e278&lt;/pages&gt;&lt;volume&gt;61&lt;/volume&gt;&lt;number&gt;586&lt;/number&gt;&lt;reprint-edition&gt;In File&lt;/reprint-edition&gt;&lt;keywords&gt;&lt;keyword&gt;Clinical&lt;/keyword&gt;&lt;keyword&gt;DEATH&lt;/keyword&gt;&lt;keyword&gt;Epilepsy&lt;/keyword&gt;&lt;keyword&gt;population&lt;/keyword&gt;&lt;keyword&gt;Risk Factors&lt;/keyword&gt;&lt;keyword&gt;SUDEP&lt;/keyword&gt;&lt;keyword&gt;case control study&lt;/keyword&gt;&lt;/keywords&gt;&lt;dates&gt;&lt;year&gt;2011&lt;/year&gt;&lt;pub-dates&gt;&lt;date&gt;2011&lt;/date&gt;&lt;/pub-dates&gt;&lt;/dates&gt;&lt;label&gt;8332&lt;/label&gt;&lt;urls&gt;&lt;related-urls&gt;&lt;url&gt;MEDLINE:21619751&lt;/url&gt;&lt;/related-urls&gt;&lt;/urls&gt;&lt;/record&gt;&lt;/Cite&gt;&lt;/EndNote&gt;</w:instrText>
      </w:r>
      <w:r w:rsidR="00D3482F">
        <w:fldChar w:fldCharType="separate"/>
      </w:r>
      <w:r w:rsidR="004D185C">
        <w:rPr>
          <w:noProof/>
        </w:rPr>
        <w:t>[15]</w:t>
      </w:r>
      <w:r w:rsidR="00D3482F">
        <w:fldChar w:fldCharType="end"/>
      </w:r>
      <w:r w:rsidR="00012E58" w:rsidRPr="00F83596">
        <w:t xml:space="preserve"> found that in all ascertained cases of epilepsy, at all ages, the aetiology was vascular in 19%, tumour in 7%, alcohol in 6% and trauma in 3%.</w:t>
      </w:r>
      <w:r w:rsidR="00480051">
        <w:t xml:space="preserve"> </w:t>
      </w:r>
    </w:p>
    <w:p w14:paraId="26650C1C" w14:textId="7E1C81A0" w:rsidR="00ED73B9" w:rsidRPr="00774297" w:rsidRDefault="00ED73B9" w:rsidP="00774297">
      <w:pPr>
        <w:pStyle w:val="Heading2"/>
      </w:pPr>
      <w:r w:rsidRPr="00774297">
        <w:t>Epilepsy, deprivation and death</w:t>
      </w:r>
    </w:p>
    <w:p w14:paraId="644999C2" w14:textId="1A137BA0" w:rsidR="0031252B" w:rsidRPr="00F83596" w:rsidRDefault="000B4209" w:rsidP="00774297">
      <w:pPr>
        <w:pStyle w:val="Heading2"/>
        <w:numPr>
          <w:ilvl w:val="0"/>
          <w:numId w:val="0"/>
        </w:numPr>
        <w:ind w:left="-6"/>
      </w:pPr>
      <w:r w:rsidRPr="00F83596">
        <w:t xml:space="preserve">There are many studies </w:t>
      </w:r>
      <w:r w:rsidR="00CA3DBC">
        <w:t xml:space="preserve">that </w:t>
      </w:r>
      <w:r w:rsidR="009D7AB7">
        <w:t>show how epilepsy prevalence varies with deprivation</w:t>
      </w:r>
      <w:r w:rsidRPr="00F83596">
        <w:t xml:space="preserve"> </w:t>
      </w:r>
      <w:r w:rsidR="00D3482F">
        <w:fldChar w:fldCharType="begin">
          <w:fldData xml:space="preserve">PEVuZE5vdGU+PENpdGU+PEF1dGhvcj5QaWNrcmVsbDwvQXV0aG9yPjxZZWFyPjIwMTU8L1llYXI+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</w:fldData>
        </w:fldChar>
      </w:r>
      <w:r w:rsidR="008B2939">
        <w:instrText xml:space="preserve"> ADDIN EN.CITE </w:instrText>
      </w:r>
      <w:r w:rsidR="008B2939">
        <w:fldChar w:fldCharType="begin">
          <w:fldData xml:space="preserve">PEVuZE5vdGU+PENpdGU+PEF1dGhvcj5QaWNrcmVsbDwvQXV0aG9yPjxZZWFyPjIwMTU8L1llYXI+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</w:fldData>
        </w:fldChar>
      </w:r>
      <w:r w:rsidR="008B2939">
        <w:instrText xml:space="preserve"> ADDIN EN.CITE.DATA </w:instrText>
      </w:r>
      <w:r w:rsidR="008B2939">
        <w:fldChar w:fldCharType="end"/>
      </w:r>
      <w:r w:rsidR="00D3482F">
        <w:fldChar w:fldCharType="separate"/>
      </w:r>
      <w:r w:rsidR="008B2939">
        <w:rPr>
          <w:noProof/>
        </w:rPr>
        <w:t>[16, 17]</w:t>
      </w:r>
      <w:r w:rsidR="00D3482F">
        <w:fldChar w:fldCharType="end"/>
      </w:r>
      <w:r w:rsidR="00C953A6">
        <w:t>.</w:t>
      </w:r>
      <w:r w:rsidR="00480051">
        <w:t xml:space="preserve"> </w:t>
      </w:r>
      <w:r w:rsidR="00CD5B35" w:rsidRPr="00F83596">
        <w:t>Two</w:t>
      </w:r>
      <w:r w:rsidR="00051BB0" w:rsidRPr="00F83596">
        <w:t xml:space="preserve"> explanations</w:t>
      </w:r>
      <w:r w:rsidR="00A64670" w:rsidRPr="00F83596">
        <w:t xml:space="preserve"> </w:t>
      </w:r>
      <w:r w:rsidR="000E5D49" w:rsidRPr="00F83596">
        <w:t xml:space="preserve">are </w:t>
      </w:r>
      <w:r w:rsidR="00FA3724">
        <w:t xml:space="preserve">commonly </w:t>
      </w:r>
      <w:r w:rsidR="009D7AB7">
        <w:t>offered</w:t>
      </w:r>
      <w:r w:rsidR="00CD5B35" w:rsidRPr="00F83596">
        <w:t>;</w:t>
      </w:r>
      <w:r w:rsidR="00F16DA3">
        <w:t xml:space="preserve"> </w:t>
      </w:r>
      <w:r w:rsidR="008C0FBE">
        <w:t xml:space="preserve">that </w:t>
      </w:r>
      <w:r w:rsidR="00CD5B35" w:rsidRPr="00F83596">
        <w:t>social depriv</w:t>
      </w:r>
      <w:r w:rsidRPr="00F83596">
        <w:t xml:space="preserve">ation </w:t>
      </w:r>
      <w:r w:rsidR="00CD5B35" w:rsidRPr="00F83596">
        <w:t>caus</w:t>
      </w:r>
      <w:r w:rsidR="008C0FBE">
        <w:t>es</w:t>
      </w:r>
      <w:r w:rsidR="00385A4C" w:rsidRPr="00F83596">
        <w:t xml:space="preserve"> </w:t>
      </w:r>
      <w:r w:rsidR="00CD5B35" w:rsidRPr="00F83596">
        <w:t xml:space="preserve">epilepsy or </w:t>
      </w:r>
      <w:r w:rsidR="008C0FBE">
        <w:t xml:space="preserve">that </w:t>
      </w:r>
      <w:r w:rsidR="00CD5B35" w:rsidRPr="00F83596">
        <w:t>epilepsy caus</w:t>
      </w:r>
      <w:r w:rsidR="008C0FBE">
        <w:t>es</w:t>
      </w:r>
      <w:r w:rsidR="00CD5B35" w:rsidRPr="00F83596">
        <w:t xml:space="preserve"> social deprivation</w:t>
      </w:r>
      <w:r w:rsidR="00012E58" w:rsidRPr="00F83596">
        <w:t xml:space="preserve"> (</w:t>
      </w:r>
      <w:r w:rsidR="009D7AB7">
        <w:t xml:space="preserve">by </w:t>
      </w:r>
      <w:r w:rsidR="00012E58" w:rsidRPr="00F83596">
        <w:t>social drift).</w:t>
      </w:r>
      <w:r w:rsidR="00480051" w:rsidRPr="00774297">
        <w:t xml:space="preserve"> </w:t>
      </w:r>
      <w:r w:rsidR="009D7AB7" w:rsidRPr="00F83596">
        <w:rPr>
          <w:color w:val="000000"/>
          <w:shd w:val="clear" w:color="auto" w:fill="FFFFFF"/>
        </w:rPr>
        <w:t xml:space="preserve">One study </w:t>
      </w:r>
      <w:r w:rsidR="009D7AB7">
        <w:fldChar w:fldCharType="begin"/>
      </w:r>
      <w:r w:rsidR="008B2939">
        <w:instrText xml:space="preserve"> ADDIN EN.CITE &lt;EndNote&gt;&lt;Cite&gt;&lt;Author&gt;Pickrell&lt;/Author&gt;&lt;Year&gt;2015&lt;/Year&gt;&lt;RecNum&gt;9775&lt;/RecNum&gt;&lt;DisplayText&gt;[16]&lt;/DisplayText&gt;&lt;record&gt;&lt;rec-number&gt;9775&lt;/rec-number&gt;&lt;foreign-keys&gt;&lt;key app="EN" db-id="ppttsszxnv29r1e2adav29tz00fr95zpdazv" timestamp="1552830009"&gt;9775&lt;/key&gt;&lt;/foreign-keys&gt;&lt;ref-type name="Journal Article"&gt;17&lt;/ref-type&gt;&lt;contributors&gt;&lt;authors&gt;&lt;author&gt;Pickrell, W. O.&lt;/author&gt;&lt;author&gt;Lacey, A. S.&lt;/author&gt;&lt;author&gt;Bodger, O. G.&lt;/author&gt;&lt;author&gt;Demmler, J. C.&lt;/author&gt;&lt;author&gt;Thomas, R. H.&lt;/author&gt;&lt;author&gt;Lyons, R. A.&lt;/author&gt;&lt;author&gt;Smith, P. E. M.&lt;/author&gt;&lt;author&gt;Rees, M. I.&lt;/author&gt;&lt;author&gt;Kerr, M. P.&lt;/author&gt;&lt;/authors&gt;&lt;/contributors&gt;&lt;titles&gt;&lt;title&gt;Epilepsy and deprivation, a data linkage study&lt;/title&gt;&lt;secondary-title&gt;Epilepsia&lt;/secondary-title&gt;&lt;/titles&gt;&lt;periodical&gt;&lt;full-title&gt;Epilepsia&lt;/full-title&gt;&lt;/periodical&gt;&lt;pages&gt;585-591&lt;/pages&gt;&lt;volume&gt;56&lt;/volume&gt;&lt;number&gt;4&lt;/number&gt;&lt;reprint-edition&gt;pdf&lt;/reprint-edition&gt;&lt;keywords&gt;&lt;keyword&gt;Epilepsy&lt;/keyword&gt;&lt;keyword&gt;Deprivation&lt;/keyword&gt;&lt;keyword&gt;Incidence&lt;/keyword&gt;&lt;keyword&gt;Prevalence&lt;/keyword&gt;&lt;keyword&gt;socioeconomic-status&lt;/keyword&gt;&lt;keyword&gt;risk-factors&lt;/keyword&gt;&lt;keyword&gt;health&lt;/keyword&gt;&lt;keyword&gt;prevalence&lt;/keyword&gt;&lt;keyword&gt;classification&lt;/keyword&gt;&lt;keyword&gt;seizures&lt;/keyword&gt;&lt;keyword&gt;children&lt;/keyword&gt;&lt;keyword&gt;income&lt;/keyword&gt;&lt;keyword&gt;care&lt;/keyword&gt;&lt;keyword&gt;SUDEP&lt;/keyword&gt;&lt;/keywords&gt;&lt;dates&gt;&lt;year&gt;2015&lt;/year&gt;&lt;pub-dates&gt;&lt;date&gt;Apr&lt;/date&gt;&lt;/pub-dates&gt;&lt;/dates&gt;&lt;isbn&gt;0013-9580&lt;/isbn&gt;&lt;accession-num&gt;WOS:000352810100015&lt;/accession-num&gt;&lt;urls&gt;&lt;related-urls&gt;&lt;url&gt;&amp;lt;Go to ISI&amp;gt;://WOS:000352810100015&lt;/url&gt;&lt;/related-urls&gt;&lt;/urls&gt;&lt;electronic-resource-num&gt;10.1111/epi.12942&lt;/electronic-resource-num&gt;&lt;/record&gt;&lt;/Cite&gt;&lt;/EndNote&gt;</w:instrText>
      </w:r>
      <w:r w:rsidR="009D7AB7">
        <w:fldChar w:fldCharType="separate"/>
      </w:r>
      <w:r w:rsidR="004D185C">
        <w:rPr>
          <w:noProof/>
        </w:rPr>
        <w:t>[16]</w:t>
      </w:r>
      <w:r w:rsidR="009D7AB7">
        <w:fldChar w:fldCharType="end"/>
      </w:r>
      <w:r w:rsidR="009D7AB7">
        <w:t xml:space="preserve"> </w:t>
      </w:r>
      <w:r w:rsidR="009D7AB7" w:rsidRPr="00F83596">
        <w:rPr>
          <w:color w:val="000000"/>
          <w:shd w:val="clear" w:color="auto" w:fill="FFFFFF"/>
        </w:rPr>
        <w:t>looked at deprivation status, at diagnosis and ten years later, in those with newly-diagnosed epilepsy.</w:t>
      </w:r>
      <w:r w:rsidR="009D7AB7">
        <w:rPr>
          <w:color w:val="000000"/>
          <w:shd w:val="clear" w:color="auto" w:fill="FFFFFF"/>
        </w:rPr>
        <w:t xml:space="preserve"> </w:t>
      </w:r>
      <w:r w:rsidR="009D7AB7" w:rsidRPr="00F83596">
        <w:rPr>
          <w:color w:val="000000"/>
          <w:shd w:val="clear" w:color="auto" w:fill="FFFFFF"/>
        </w:rPr>
        <w:t>No change in deprivation was noted.</w:t>
      </w:r>
      <w:r w:rsidR="009D7AB7" w:rsidRPr="00F83596">
        <w:t xml:space="preserve"> </w:t>
      </w:r>
      <w:r w:rsidR="005C279B" w:rsidRPr="00F83596">
        <w:t xml:space="preserve">There are </w:t>
      </w:r>
      <w:r w:rsidR="00DB477F" w:rsidRPr="00F83596">
        <w:t>some</w:t>
      </w:r>
      <w:r w:rsidR="00012E58" w:rsidRPr="00F83596">
        <w:t xml:space="preserve"> </w:t>
      </w:r>
      <w:r w:rsidR="005C279B" w:rsidRPr="00F83596">
        <w:t>s</w:t>
      </w:r>
      <w:r w:rsidR="00012E58" w:rsidRPr="00F83596">
        <w:t xml:space="preserve">tudies of </w:t>
      </w:r>
      <w:r w:rsidR="005C279B" w:rsidRPr="00F83596">
        <w:t xml:space="preserve">the relationship between </w:t>
      </w:r>
      <w:r w:rsidR="00012E58" w:rsidRPr="00F83596">
        <w:t xml:space="preserve">epilepsy </w:t>
      </w:r>
      <w:r w:rsidR="00DB477F" w:rsidRPr="00F83596">
        <w:t xml:space="preserve">and </w:t>
      </w:r>
      <w:r w:rsidR="00012E58" w:rsidRPr="00F83596">
        <w:t>deprivation in children.</w:t>
      </w:r>
      <w:r w:rsidR="00480051">
        <w:t xml:space="preserve"> </w:t>
      </w:r>
      <w:r w:rsidR="00F1051E">
        <w:t xml:space="preserve">One study in </w:t>
      </w:r>
      <w:r w:rsidR="005C279B" w:rsidRPr="00F83596">
        <w:t>Scotland show</w:t>
      </w:r>
      <w:r w:rsidR="00F1051E">
        <w:t>ed</w:t>
      </w:r>
      <w:r w:rsidR="005C279B" w:rsidRPr="00F83596">
        <w:t xml:space="preserve"> no relationship between deprivation and childhood epilepsy admission </w:t>
      </w:r>
      <w:r w:rsidR="00D3482F">
        <w:fldChar w:fldCharType="begin"/>
      </w:r>
      <w:r w:rsidR="008B2939">
        <w:instrText xml:space="preserve"> ADDIN EN.CITE &lt;EndNote&gt;&lt;Cite&gt;&lt;Author&gt;Chin&lt;/Author&gt;&lt;Year&gt;2018&lt;/Year&gt;&lt;RecNum&gt;9774&lt;/RecNum&gt;&lt;DisplayText&gt;[18]&lt;/DisplayText&gt;&lt;record&gt;&lt;rec-number&gt;9774&lt;/rec-number&gt;&lt;foreign-keys&gt;&lt;key app="EN" db-id="ppttsszxnv29r1e2adav29tz00fr95zpdazv" timestamp="1552830009"&gt;9774&lt;/key&gt;&lt;/foreign-keys&gt;&lt;ref-type name="Journal Article"&gt;17&lt;/ref-type&gt;&lt;contributors&gt;&lt;authors&gt;&lt;author&gt;Chin, R. F. M.&lt;/author&gt;&lt;author&gt;Stephen, J.&lt;/author&gt;&lt;author&gt;Weir, C. J.&lt;/author&gt;&lt;author&gt;Wood, R.&lt;/author&gt;&lt;/authors&gt;&lt;/contributors&gt;&lt;titles&gt;&lt;title&gt;Trends in epilepsy admissions in children, 1981-2013: population-based observational study using the Scottish national hospital discharge database&lt;/title&gt;&lt;secondary-title&gt;Archives of Disease in Childhood&lt;/secondary-title&gt;&lt;/titles&gt;&lt;periodical&gt;&lt;full-title&gt;Archives Of Disease In Childhood&lt;/full-title&gt;&lt;/periodical&gt;&lt;pages&gt;1042-1047&lt;/pages&gt;&lt;volume&gt;103&lt;/volume&gt;&lt;number&gt;11&lt;/number&gt;&lt;keywords&gt;&lt;keyword&gt;young-people&lt;/keyword&gt;&lt;keyword&gt;services&lt;/keyword&gt;&lt;keyword&gt;care&lt;/keyword&gt;&lt;keyword&gt;SUDEP&lt;/keyword&gt;&lt;keyword&gt;epilepsy&lt;/keyword&gt;&lt;keyword&gt;mortality&lt;/keyword&gt;&lt;keyword&gt;admissions&lt;/keyword&gt;&lt;keyword&gt;Scotland&lt;/keyword&gt;&lt;/keywords&gt;&lt;dates&gt;&lt;year&gt;2018&lt;/year&gt;&lt;pub-dates&gt;&lt;date&gt;Nov&lt;/date&gt;&lt;/pub-dates&gt;&lt;/dates&gt;&lt;isbn&gt;0003-9888&lt;/isbn&gt;&lt;accession-num&gt;WOS:000452446600010&lt;/accession-num&gt;&lt;urls&gt;&lt;related-urls&gt;&lt;url&gt;&amp;lt;Go to ISI&amp;gt;://WOS:000452446600010&lt;/url&gt;&lt;/related-urls&gt;&lt;/urls&gt;&lt;electronic-resource-num&gt;10.1136/archdischild-2017-313944&lt;/electronic-resource-num&gt;&lt;/record&gt;&lt;/Cite&gt;&lt;/EndNote&gt;</w:instrText>
      </w:r>
      <w:r w:rsidR="00D3482F">
        <w:fldChar w:fldCharType="separate"/>
      </w:r>
      <w:r w:rsidR="004D185C">
        <w:rPr>
          <w:noProof/>
        </w:rPr>
        <w:t>[18]</w:t>
      </w:r>
      <w:r w:rsidR="00D3482F">
        <w:fldChar w:fldCharType="end"/>
      </w:r>
      <w:r w:rsidR="002E39B1" w:rsidRPr="00F83596">
        <w:t xml:space="preserve"> </w:t>
      </w:r>
      <w:r w:rsidR="005C279B" w:rsidRPr="00F83596">
        <w:t xml:space="preserve">and a </w:t>
      </w:r>
      <w:r w:rsidR="00F1051E">
        <w:t xml:space="preserve">Swedish </w:t>
      </w:r>
      <w:r w:rsidR="005C279B" w:rsidRPr="00F83596">
        <w:t>stud</w:t>
      </w:r>
      <w:r w:rsidR="00F1051E">
        <w:t xml:space="preserve">y </w:t>
      </w:r>
      <w:r w:rsidR="005C279B" w:rsidRPr="00F83596">
        <w:t xml:space="preserve">of over 1 million children showed </w:t>
      </w:r>
      <w:r w:rsidR="00B96369">
        <w:rPr>
          <w:color w:val="000000"/>
          <w:shd w:val="clear" w:color="auto" w:fill="FFFFFF"/>
        </w:rPr>
        <w:t>the</w:t>
      </w:r>
      <w:r w:rsidR="005C279B" w:rsidRPr="00F83596">
        <w:rPr>
          <w:color w:val="000000"/>
          <w:shd w:val="clear" w:color="auto" w:fill="FFFFFF"/>
        </w:rPr>
        <w:t xml:space="preserve"> odds ratio (OR) for </w:t>
      </w:r>
      <w:r w:rsidR="005C279B" w:rsidRPr="00F83596">
        <w:rPr>
          <w:rStyle w:val="highlight"/>
          <w:color w:val="000000"/>
          <w:shd w:val="clear" w:color="auto" w:fill="FFFFFF"/>
        </w:rPr>
        <w:t>childhood</w:t>
      </w:r>
      <w:r w:rsidR="005C279B" w:rsidRPr="00F83596">
        <w:rPr>
          <w:color w:val="000000"/>
          <w:shd w:val="clear" w:color="auto" w:fill="FFFFFF"/>
        </w:rPr>
        <w:t> and adolescent </w:t>
      </w:r>
      <w:r w:rsidR="005C279B" w:rsidRPr="00F83596">
        <w:rPr>
          <w:rStyle w:val="highlight"/>
          <w:color w:val="000000"/>
          <w:shd w:val="clear" w:color="auto" w:fill="FFFFFF"/>
        </w:rPr>
        <w:t>epilepsy</w:t>
      </w:r>
      <w:r w:rsidR="0045094B">
        <w:rPr>
          <w:rStyle w:val="highlight"/>
          <w:color w:val="000000"/>
          <w:shd w:val="clear" w:color="auto" w:fill="FFFFFF"/>
        </w:rPr>
        <w:t>,</w:t>
      </w:r>
      <w:r w:rsidR="005C279B" w:rsidRPr="00F83596">
        <w:rPr>
          <w:color w:val="000000"/>
          <w:shd w:val="clear" w:color="auto" w:fill="FFFFFF"/>
        </w:rPr>
        <w:t> for those in high-</w:t>
      </w:r>
      <w:r w:rsidR="005C279B" w:rsidRPr="00F83596">
        <w:rPr>
          <w:rStyle w:val="highlight"/>
          <w:color w:val="000000"/>
          <w:shd w:val="clear" w:color="auto" w:fill="FFFFFF"/>
        </w:rPr>
        <w:t>deprivation</w:t>
      </w:r>
      <w:r w:rsidR="005C279B" w:rsidRPr="00F83596">
        <w:rPr>
          <w:color w:val="000000"/>
          <w:shd w:val="clear" w:color="auto" w:fill="FFFFFF"/>
        </w:rPr>
        <w:t> neighbourhoods versus those  in low-</w:t>
      </w:r>
      <w:r w:rsidR="005C279B" w:rsidRPr="00F83596">
        <w:rPr>
          <w:rStyle w:val="highlight"/>
          <w:color w:val="000000"/>
          <w:shd w:val="clear" w:color="auto" w:fill="FFFFFF"/>
        </w:rPr>
        <w:t>deprivation</w:t>
      </w:r>
      <w:r w:rsidR="005C279B" w:rsidRPr="00F83596">
        <w:rPr>
          <w:color w:val="000000"/>
          <w:shd w:val="clear" w:color="auto" w:fill="FFFFFF"/>
        </w:rPr>
        <w:t> neighbourhoods</w:t>
      </w:r>
      <w:r w:rsidR="0045094B">
        <w:rPr>
          <w:color w:val="000000"/>
          <w:shd w:val="clear" w:color="auto" w:fill="FFFFFF"/>
        </w:rPr>
        <w:t>,</w:t>
      </w:r>
      <w:r w:rsidR="005C279B" w:rsidRPr="00F83596">
        <w:rPr>
          <w:color w:val="000000"/>
          <w:shd w:val="clear" w:color="auto" w:fill="FFFFFF"/>
        </w:rPr>
        <w:t xml:space="preserve"> was 1.15</w:t>
      </w:r>
      <w:r w:rsidR="002E39B1" w:rsidRPr="00F83596">
        <w:rPr>
          <w:color w:val="000000"/>
          <w:shd w:val="clear" w:color="auto" w:fill="FFFFFF"/>
        </w:rPr>
        <w:t xml:space="preserve"> </w:t>
      </w:r>
      <w:r w:rsidR="00D3482F">
        <w:fldChar w:fldCharType="begin"/>
      </w:r>
      <w:r w:rsidR="008B2939">
        <w:instrText xml:space="preserve"> ADDIN EN.CITE &lt;EndNote&gt;&lt;Cite&gt;&lt;Author&gt;Li&lt;/Author&gt;&lt;Year&gt;2014&lt;/Year&gt;&lt;RecNum&gt;9776&lt;/RecNum&gt;&lt;DisplayText&gt;[19]&lt;/DisplayText&gt;&lt;record&gt;&lt;rec-number&gt;9776&lt;/rec-number&gt;&lt;foreign-keys&gt;&lt;key app="EN" db-id="ppttsszxnv29r1e2adav29tz00fr95zpdazv" timestamp="1552830010"&gt;9776&lt;/key&gt;&lt;/foreign-keys&gt;&lt;ref-type name="Journal Article"&gt;17&lt;/ref-type&gt;&lt;contributors&gt;&lt;authors&gt;&lt;author&gt;Li, X. J.&lt;/author&gt;&lt;author&gt;Sundquist, J.&lt;/author&gt;&lt;author&gt;Zoller, B.&lt;/author&gt;&lt;author&gt;Calling, S.&lt;/author&gt;&lt;author&gt;Sundquist, K.&lt;/author&gt;&lt;/authors&gt;&lt;/contributors&gt;&lt;titles&gt;&lt;title&gt;Neighborhood, family, and childhood and adolescent epilepsy: A nationwide epidemiological study from Sweden&lt;/title&gt;&lt;secondary-title&gt;Seizure-European Journal of Epilepsy&lt;/secondary-title&gt;&lt;/titles&gt;&lt;periodical&gt;&lt;full-title&gt;Seizure-European Journal of Epilepsy&lt;/full-title&gt;&lt;/periodical&gt;&lt;pages&gt;62-68&lt;/pages&gt;&lt;volume&gt;23&lt;/volume&gt;&lt;number&gt;1&lt;/number&gt;&lt;keywords&gt;&lt;keyword&gt;Childhood and adolescent epilepsy&lt;/keyword&gt;&lt;keyword&gt;Cumulative incidence&lt;/keyword&gt;&lt;keyword&gt;Multilevel&lt;/keyword&gt;&lt;keyword&gt;modeling&lt;/keyword&gt;&lt;keyword&gt;Neighborhood-level deprivation&lt;/keyword&gt;&lt;keyword&gt;Sociodemographic factors&lt;/keyword&gt;&lt;keyword&gt;coronary-heart-disease&lt;/keyword&gt;&lt;keyword&gt;multilevel analysis&lt;/keyword&gt;&lt;keyword&gt;risk-factors&lt;/keyword&gt;&lt;keyword&gt;social-participation&lt;/keyword&gt;&lt;keyword&gt;socioeconomic-status&lt;/keyword&gt;&lt;keyword&gt;onset epilepsy&lt;/keyword&gt;&lt;keyword&gt;violent&lt;/keyword&gt;&lt;keyword&gt;crime&lt;/keyword&gt;&lt;keyword&gt;birth-weight&lt;/keyword&gt;&lt;keyword&gt;deprivation&lt;/keyword&gt;&lt;keyword&gt;health&lt;/keyword&gt;&lt;/keywords&gt;&lt;dates&gt;&lt;year&gt;2014&lt;/year&gt;&lt;pub-dates&gt;&lt;date&gt;Jan&lt;/date&gt;&lt;/pub-dates&gt;&lt;/dates&gt;&lt;isbn&gt;1059-1311&lt;/isbn&gt;&lt;accession-num&gt;WOS:000329960700012&lt;/accession-num&gt;&lt;urls&gt;&lt;related-urls&gt;&lt;url&gt;&amp;lt;Go to ISI&amp;gt;://WOS:000329960700012&lt;/url&gt;&lt;/related-urls&gt;&lt;/urls&gt;&lt;electronic-resource-num&gt;10.1016/j.seizure.2013.09.014&lt;/electronic-resource-num&gt;&lt;/record&gt;&lt;/Cite&gt;&lt;/EndNote&gt;</w:instrText>
      </w:r>
      <w:r w:rsidR="00D3482F">
        <w:fldChar w:fldCharType="separate"/>
      </w:r>
      <w:r w:rsidR="004D185C">
        <w:rPr>
          <w:noProof/>
        </w:rPr>
        <w:t>[19]</w:t>
      </w:r>
      <w:r w:rsidR="00D3482F">
        <w:fldChar w:fldCharType="end"/>
      </w:r>
      <w:r w:rsidR="00FA3724">
        <w:rPr>
          <w:color w:val="000000"/>
          <w:shd w:val="clear" w:color="auto" w:fill="FFFFFF"/>
        </w:rPr>
        <w:t>;</w:t>
      </w:r>
      <w:r w:rsidR="00774297">
        <w:rPr>
          <w:color w:val="000000"/>
          <w:shd w:val="clear" w:color="auto" w:fill="FFFFFF"/>
        </w:rPr>
        <w:t xml:space="preserve"> </w:t>
      </w:r>
      <w:r w:rsidR="00385A4C" w:rsidRPr="00F83596">
        <w:rPr>
          <w:color w:val="000000"/>
          <w:shd w:val="clear" w:color="auto" w:fill="FFFFFF"/>
        </w:rPr>
        <w:t>i</w:t>
      </w:r>
      <w:r w:rsidR="005C279B" w:rsidRPr="00F83596">
        <w:rPr>
          <w:color w:val="000000"/>
          <w:shd w:val="clear" w:color="auto" w:fill="FFFFFF"/>
        </w:rPr>
        <w:t>f there is a relationship at birth between epilepsy and deprivation then</w:t>
      </w:r>
      <w:r w:rsidR="00B96369">
        <w:rPr>
          <w:color w:val="000000"/>
          <w:shd w:val="clear" w:color="auto" w:fill="FFFFFF"/>
        </w:rPr>
        <w:t xml:space="preserve"> </w:t>
      </w:r>
      <w:r w:rsidRPr="00F83596">
        <w:rPr>
          <w:color w:val="000000"/>
          <w:shd w:val="clear" w:color="auto" w:fill="FFFFFF"/>
        </w:rPr>
        <w:t>it is a relatively small effect.</w:t>
      </w:r>
      <w:r w:rsidR="00480051">
        <w:rPr>
          <w:color w:val="000000"/>
          <w:shd w:val="clear" w:color="auto" w:fill="FFFFFF"/>
        </w:rPr>
        <w:t xml:space="preserve"> </w:t>
      </w:r>
      <w:r w:rsidR="00FA3724">
        <w:t>Hence i</w:t>
      </w:r>
      <w:r w:rsidR="00DA0369" w:rsidRPr="00F83596">
        <w:t xml:space="preserve">t </w:t>
      </w:r>
      <w:r w:rsidR="00251FFD" w:rsidRPr="00F83596">
        <w:t>appears to be</w:t>
      </w:r>
      <w:r w:rsidR="00DA0369" w:rsidRPr="00F83596">
        <w:t xml:space="preserve"> neither the </w:t>
      </w:r>
      <w:r w:rsidR="00251FFD" w:rsidRPr="00F83596">
        <w:t xml:space="preserve">social </w:t>
      </w:r>
      <w:r w:rsidR="00DA0369" w:rsidRPr="00F83596">
        <w:t>circumstances at birth, nor social drift following diagnosis that</w:t>
      </w:r>
      <w:r w:rsidR="00EA6A86">
        <w:t xml:space="preserve"> </w:t>
      </w:r>
      <w:r w:rsidR="00DA0369" w:rsidRPr="00F83596">
        <w:t xml:space="preserve">explains </w:t>
      </w:r>
      <w:r w:rsidR="00FA3724">
        <w:t xml:space="preserve">best </w:t>
      </w:r>
      <w:r w:rsidR="00DA0369" w:rsidRPr="00F83596">
        <w:t>t</w:t>
      </w:r>
      <w:r w:rsidR="000E5D49" w:rsidRPr="00F83596">
        <w:t>he effect of deprivation</w:t>
      </w:r>
      <w:r w:rsidR="00DA0369" w:rsidRPr="00F83596">
        <w:t>.</w:t>
      </w:r>
      <w:r w:rsidR="00480051">
        <w:t xml:space="preserve"> </w:t>
      </w:r>
      <w:r w:rsidR="008C0FBE">
        <w:t xml:space="preserve">Instead </w:t>
      </w:r>
      <w:r w:rsidR="00EA6A86">
        <w:t xml:space="preserve">it is </w:t>
      </w:r>
      <w:r w:rsidR="008C0FBE">
        <w:t xml:space="preserve">social circumstance, and </w:t>
      </w:r>
      <w:r w:rsidR="00CA3DBC">
        <w:t>its</w:t>
      </w:r>
      <w:r w:rsidR="008C0FBE">
        <w:t xml:space="preserve"> health consequence during childhood and adulthood </w:t>
      </w:r>
      <w:r w:rsidR="00EA6A86">
        <w:t>that provides</w:t>
      </w:r>
      <w:r w:rsidR="008C0FBE">
        <w:t xml:space="preserve"> the most likely explanation</w:t>
      </w:r>
      <w:r w:rsidR="00FA3724">
        <w:t>.</w:t>
      </w:r>
      <w:r w:rsidR="009D7AB7">
        <w:t xml:space="preserve"> This doesn’t </w:t>
      </w:r>
      <w:r w:rsidR="00EA6A86">
        <w:t xml:space="preserve">however </w:t>
      </w:r>
      <w:r w:rsidR="009D7AB7">
        <w:t xml:space="preserve">preclude the possibility that people born into different social circumstances </w:t>
      </w:r>
      <w:r w:rsidR="00186912">
        <w:t>are born with</w:t>
      </w:r>
      <w:r w:rsidR="009D7AB7">
        <w:t xml:space="preserve"> </w:t>
      </w:r>
      <w:r w:rsidR="00186912">
        <w:t>a different innate propensity to acquire epilepsy</w:t>
      </w:r>
      <w:r w:rsidR="00FA3724">
        <w:t xml:space="preserve">.  </w:t>
      </w:r>
      <w:r w:rsidR="00504B11" w:rsidRPr="00F83596">
        <w:t xml:space="preserve">The high deprivation in </w:t>
      </w:r>
      <w:r w:rsidR="00CA3DBC">
        <w:t xml:space="preserve">some </w:t>
      </w:r>
      <w:r w:rsidR="00A64F79" w:rsidRPr="00F83596">
        <w:t xml:space="preserve">parts of </w:t>
      </w:r>
      <w:r w:rsidR="00504B11" w:rsidRPr="00F83596">
        <w:t>London</w:t>
      </w:r>
      <w:r w:rsidR="00A64F79" w:rsidRPr="00F83596">
        <w:t xml:space="preserve"> and the relatively low prevalence of epilepsy in </w:t>
      </w:r>
      <w:r w:rsidR="00CA3DBC">
        <w:t>the capital</w:t>
      </w:r>
      <w:r w:rsidR="00A64F79" w:rsidRPr="00F83596">
        <w:t xml:space="preserve"> warrants comment.</w:t>
      </w:r>
      <w:r w:rsidR="00480051">
        <w:t xml:space="preserve"> </w:t>
      </w:r>
      <w:r w:rsidR="00A64F79" w:rsidRPr="00F83596">
        <w:t>Prevalence is also related to age of a population, and London’s young population means that, despite deprivation, the prevalence of epilepsy is relatively low</w:t>
      </w:r>
      <w:r w:rsidR="00CA3DBC">
        <w:t>.  Other factors, for example ethnicity, may be relevant but we believe that it is the age structure of a population and deprivation that are the most important.</w:t>
      </w:r>
      <w:r w:rsidR="00480051">
        <w:t xml:space="preserve">  </w:t>
      </w:r>
    </w:p>
    <w:p w14:paraId="211E8FA1" w14:textId="6C43F7E5" w:rsidR="00013E65" w:rsidRPr="00F83596" w:rsidRDefault="00154D1B" w:rsidP="007073FD">
      <w:r w:rsidRPr="00F83596">
        <w:t xml:space="preserve">How does deprivation cause epilepsy? </w:t>
      </w:r>
      <w:r w:rsidR="00DA0369" w:rsidRPr="00F83596">
        <w:t>Deprivation is linked to many health conditions; in England, t</w:t>
      </w:r>
      <w:r w:rsidR="00A64670" w:rsidRPr="00F83596">
        <w:t xml:space="preserve">he most deprived areas have a life expectancy </w:t>
      </w:r>
      <w:r w:rsidR="00FA3724">
        <w:t xml:space="preserve">that is, </w:t>
      </w:r>
      <w:r w:rsidR="00A64670" w:rsidRPr="00F83596">
        <w:t>on average</w:t>
      </w:r>
      <w:r w:rsidR="00FA3724">
        <w:t>,</w:t>
      </w:r>
      <w:r w:rsidR="00A64670" w:rsidRPr="00F83596">
        <w:t xml:space="preserve"> 9 years less in men</w:t>
      </w:r>
      <w:r w:rsidR="00FA3724">
        <w:t xml:space="preserve"> and</w:t>
      </w:r>
      <w:r w:rsidR="00A64670" w:rsidRPr="00F83596">
        <w:t xml:space="preserve"> 7 years less in women compared with the least deprived areas</w:t>
      </w:r>
      <w:r w:rsidR="004176D7">
        <w:t xml:space="preserve"> </w:t>
      </w:r>
      <w:r w:rsidR="004176D7">
        <w:fldChar w:fldCharType="begin"/>
      </w:r>
      <w:r w:rsidR="004176D7">
        <w:instrText xml:space="preserve"> ADDIN EN.CITE &lt;EndNote&gt;&lt;Cite&gt;&lt;Author&gt;Office of National Statistics&lt;/Author&gt;&lt;Year&gt;2017&lt;/Year&gt;&lt;RecNum&gt;9952&lt;/RecNum&gt;&lt;DisplayText&gt;[20]&lt;/DisplayText&gt;&lt;record&gt;&lt;rec-number&gt;9952&lt;/rec-number&gt;&lt;foreign-keys&gt;&lt;key app="EN" db-id="ppttsszxnv29r1e2adav29tz00fr95zpdazv" timestamp="1563977083"&gt;9952&lt;/key&gt;&lt;/foreign-keys&gt;&lt;ref-type name="Report"&gt;27&lt;/ref-type&gt;&lt;contributors&gt;&lt;authors&gt;&lt;author&gt;Office of National Statistics, &lt;/author&gt;&lt;/authors&gt;&lt;tertiary-authors&gt;&lt;author&gt;Office of National Statistics&lt;/author&gt;&lt;/tertiary-authors&gt;&lt;/contributors&gt;&lt;titles&gt;&lt;title&gt;Deprivation and leading cause of death England and Wales 2016 &lt;/title&gt;&lt;/titles&gt;&lt;keywords&gt;&lt;keyword&gt;deprivation&lt;/keyword&gt;&lt;keyword&gt;death&lt;/keyword&gt;&lt;keyword&gt;UK&lt;/keyword&gt;&lt;/keywords&gt;&lt;dates&gt;&lt;year&gt;2017&lt;/year&gt;&lt;/dates&gt;&lt;pub-location&gt;London, UK&lt;/pub-location&gt;&lt;urls&gt;&lt;related-urls&gt;&lt;url&gt;https://www.ons.gov.uk/peoplepopulationandcommunity/birthsdeathsandmarriages/deaths/adhocs/007643leadingcausesofdeathbydeprivationenglandandwales2016&lt;/url&gt;&lt;/related-urls&gt;&lt;/urls&gt;&lt;/record&gt;&lt;/Cite&gt;&lt;/EndNote&gt;</w:instrText>
      </w:r>
      <w:r w:rsidR="004176D7">
        <w:fldChar w:fldCharType="separate"/>
      </w:r>
      <w:r w:rsidR="004176D7">
        <w:rPr>
          <w:noProof/>
        </w:rPr>
        <w:t>[20]</w:t>
      </w:r>
      <w:r w:rsidR="004176D7">
        <w:fldChar w:fldCharType="end"/>
      </w:r>
      <w:r w:rsidR="00A64670" w:rsidRPr="00F83596">
        <w:t>.</w:t>
      </w:r>
      <w:r w:rsidR="00480051">
        <w:t xml:space="preserve"> </w:t>
      </w:r>
      <w:r w:rsidR="00A64670" w:rsidRPr="00F83596">
        <w:t>Th</w:t>
      </w:r>
      <w:r w:rsidR="00B96369">
        <w:t>e</w:t>
      </w:r>
      <w:r w:rsidR="00A64670" w:rsidRPr="00F83596">
        <w:t xml:space="preserve"> difference in </w:t>
      </w:r>
      <w:r w:rsidR="00DA0369" w:rsidRPr="00F83596">
        <w:t xml:space="preserve">overall </w:t>
      </w:r>
      <w:r w:rsidR="00A64670" w:rsidRPr="00F83596">
        <w:t>health begins at birth; in the most deprived communities twice as many</w:t>
      </w:r>
      <w:r w:rsidR="009E6816" w:rsidRPr="00F83596">
        <w:t xml:space="preserve"> children</w:t>
      </w:r>
      <w:r w:rsidR="00A64670" w:rsidRPr="00F83596">
        <w:t xml:space="preserve"> are born with low birth weight,</w:t>
      </w:r>
      <w:r w:rsidR="000F6D31" w:rsidRPr="00F83596">
        <w:t xml:space="preserve"> </w:t>
      </w:r>
      <w:r w:rsidR="000F6D31" w:rsidRPr="00F83596">
        <w:lastRenderedPageBreak/>
        <w:t>and infant mortality is doubled compared to the least</w:t>
      </w:r>
      <w:r w:rsidR="00C5069F" w:rsidRPr="00F83596">
        <w:t xml:space="preserve"> </w:t>
      </w:r>
      <w:r w:rsidR="000F6D31" w:rsidRPr="00F83596">
        <w:t>deprived communities.</w:t>
      </w:r>
      <w:r w:rsidR="00480051">
        <w:t xml:space="preserve"> </w:t>
      </w:r>
      <w:r w:rsidR="00FF67DF" w:rsidRPr="00F83596">
        <w:t>F</w:t>
      </w:r>
      <w:r w:rsidR="00251FFD" w:rsidRPr="00F83596">
        <w:t xml:space="preserve">igure </w:t>
      </w:r>
      <w:r w:rsidR="00C953A6">
        <w:t>4</w:t>
      </w:r>
      <w:r w:rsidR="00C953A6" w:rsidRPr="00F83596">
        <w:t xml:space="preserve"> </w:t>
      </w:r>
      <w:r w:rsidR="00251FFD" w:rsidRPr="00F83596">
        <w:t>shows the effect of deprivation on the commonest causes of death</w:t>
      </w:r>
      <w:r w:rsidR="004176D7">
        <w:t>. T</w:t>
      </w:r>
      <w:r w:rsidR="004240D1" w:rsidRPr="00F83596">
        <w:t>he aetiology of seizure in the older population</w:t>
      </w:r>
      <w:r w:rsidR="00186912">
        <w:t xml:space="preserve"> offers one </w:t>
      </w:r>
      <w:r w:rsidR="008D0484">
        <w:t>expla</w:t>
      </w:r>
      <w:r w:rsidR="00186912">
        <w:t>nation of</w:t>
      </w:r>
      <w:r w:rsidR="008D0484">
        <w:t xml:space="preserve"> how deprivation causes epilepsy. </w:t>
      </w:r>
      <w:r w:rsidR="00921FB2" w:rsidRPr="00F83596">
        <w:t>The likelihood of death from stroke or cardiovascular disease under the age of 75 trebles with deprivation</w:t>
      </w:r>
      <w:r w:rsidR="00B96369">
        <w:t xml:space="preserve">, and survivors </w:t>
      </w:r>
      <w:r w:rsidR="00921FB2" w:rsidRPr="00F83596">
        <w:t>are at an increased risk of seizure. Death under the age of 75 from liver disease</w:t>
      </w:r>
      <w:r w:rsidR="008D0484">
        <w:t xml:space="preserve"> (</w:t>
      </w:r>
      <w:r w:rsidR="00921FB2" w:rsidRPr="00F83596">
        <w:t>most commonly caused by alcohol abuse</w:t>
      </w:r>
      <w:r w:rsidR="008D0484">
        <w:t>)</w:t>
      </w:r>
      <w:r w:rsidR="00921FB2" w:rsidRPr="00F83596">
        <w:t xml:space="preserve"> trebles with deprivation</w:t>
      </w:r>
      <w:r w:rsidR="008D0484">
        <w:t xml:space="preserve"> and e</w:t>
      </w:r>
      <w:r w:rsidR="004240D1" w:rsidRPr="00F83596">
        <w:t xml:space="preserve">pilepsy is </w:t>
      </w:r>
      <w:r w:rsidR="00FA3724">
        <w:t xml:space="preserve">also </w:t>
      </w:r>
      <w:r w:rsidR="004240D1" w:rsidRPr="00F83596">
        <w:t>a common ill-effect of alcohol abuse.</w:t>
      </w:r>
      <w:r w:rsidR="00480051">
        <w:t xml:space="preserve"> </w:t>
      </w:r>
      <w:r w:rsidR="00921FB2" w:rsidRPr="00F83596">
        <w:t>P</w:t>
      </w:r>
      <w:r w:rsidR="003B397C" w:rsidRPr="00F83596">
        <w:t>atients</w:t>
      </w:r>
      <w:r w:rsidR="00B96369">
        <w:t xml:space="preserve"> </w:t>
      </w:r>
      <w:r w:rsidR="003B397C" w:rsidRPr="00F83596">
        <w:t>residing in more deprived areas ha</w:t>
      </w:r>
      <w:r w:rsidR="00AE17E6" w:rsidRPr="00F83596">
        <w:t>ve</w:t>
      </w:r>
      <w:r w:rsidR="003B397C" w:rsidRPr="00F83596">
        <w:t xml:space="preserve"> a higher incidence of head injury than those from less deprived areas (16.3% (858) v 10.6% (2074)</w:t>
      </w:r>
      <w:r w:rsidR="002E39B1" w:rsidRPr="00F83596">
        <w:t xml:space="preserve"> </w:t>
      </w:r>
      <w:r w:rsidR="00D3482F">
        <w:fldChar w:fldCharType="begin"/>
      </w:r>
      <w:r w:rsidR="004176D7">
        <w:instrText xml:space="preserve"> ADDIN EN.CITE &lt;EndNote&gt;&lt;Cite&gt;&lt;Author&gt;Dunn&lt;/Author&gt;&lt;Year&gt;2003&lt;/Year&gt;&lt;RecNum&gt;9781&lt;/RecNum&gt;&lt;DisplayText&gt;[21]&lt;/DisplayText&gt;&lt;record&gt;&lt;rec-number&gt;9781&lt;/rec-number&gt;&lt;foreign-keys&gt;&lt;key app="EN" db-id="ppttsszxnv29r1e2adav29tz00fr95zpdazv" timestamp="1552830011"&gt;9781&lt;/key&gt;&lt;/foreign-keys&gt;&lt;ref-type name="Journal Article"&gt;17&lt;/ref-type&gt;&lt;contributors&gt;&lt;authors&gt;&lt;author&gt;Dunn, L.&lt;/author&gt;&lt;author&gt;Henry, J.&lt;/author&gt;&lt;author&gt;Beard, D.&lt;/author&gt;&lt;/authors&gt;&lt;/contributors&gt;&lt;titles&gt;&lt;title&gt;Social deprivation and adult head injury: a national study&lt;/title&gt;&lt;secondary-title&gt;Journal of Neurology Neurosurgery and Psychiatry&lt;/secondary-title&gt;&lt;/titles&gt;&lt;periodical&gt;&lt;full-title&gt;Journal of Neurology Neurosurgery and Psychiatry&lt;/full-title&gt;&lt;/periodical&gt;&lt;pages&gt;1060-1064&lt;/pages&gt;&lt;volume&gt;74&lt;/volume&gt;&lt;number&gt;8&lt;/number&gt;&lt;reprint-edition&gt;pdf&lt;/reprint-edition&gt;&lt;keywords&gt;&lt;keyword&gt;glasgow outcome scale&lt;/keyword&gt;&lt;keyword&gt;socioeconomic-status&lt;/keyword&gt;&lt;keyword&gt;brain injury&lt;/keyword&gt;&lt;keyword&gt;mortality&lt;/keyword&gt;&lt;keyword&gt;disability&lt;/keyword&gt;&lt;keyword&gt;disease&lt;/keyword&gt;&lt;keyword&gt;epidemiology&lt;/keyword&gt;&lt;keyword&gt;population&lt;/keyword&gt;&lt;keyword&gt;scotland&lt;/keyword&gt;&lt;keyword&gt;survival&lt;/keyword&gt;&lt;/keywords&gt;&lt;dates&gt;&lt;year&gt;2003&lt;/year&gt;&lt;pub-dates&gt;&lt;date&gt;Aug&lt;/date&gt;&lt;/pub-dates&gt;&lt;/dates&gt;&lt;isbn&gt;0022-3050&lt;/isbn&gt;&lt;accession-num&gt;WOS:000184283100013&lt;/accession-num&gt;&lt;urls&gt;&lt;related-urls&gt;&lt;url&gt;&amp;lt;Go to ISI&amp;gt;://WOS:000184283100013&lt;/url&gt;&lt;/related-urls&gt;&lt;/urls&gt;&lt;electronic-resource-num&gt;10.1136/jnnp.74.8.1060&lt;/electronic-resource-num&gt;&lt;/record&gt;&lt;/Cite&gt;&lt;/EndNote&gt;</w:instrText>
      </w:r>
      <w:r w:rsidR="00D3482F">
        <w:fldChar w:fldCharType="separate"/>
      </w:r>
      <w:r w:rsidR="004176D7">
        <w:rPr>
          <w:noProof/>
        </w:rPr>
        <w:t>[21]</w:t>
      </w:r>
      <w:r w:rsidR="00D3482F">
        <w:fldChar w:fldCharType="end"/>
      </w:r>
      <w:r w:rsidR="00096A68" w:rsidRPr="00F83596">
        <w:t>.</w:t>
      </w:r>
      <w:r w:rsidR="0016048E" w:rsidRPr="00F83596">
        <w:t xml:space="preserve"> </w:t>
      </w:r>
      <w:r w:rsidR="009E6816" w:rsidRPr="00F83596">
        <w:t xml:space="preserve">In 2016-7 there were 450000 attendances with Head injury at A&amp;E departments in England </w:t>
      </w:r>
      <w:r w:rsidR="00D3482F">
        <w:fldChar w:fldCharType="begin"/>
      </w:r>
      <w:r w:rsidR="004176D7">
        <w:instrText xml:space="preserve"> ADDIN EN.CITE &lt;EndNote&gt;&lt;Cite&gt;&lt;Author&gt;NHS Digital&lt;/Author&gt;&lt;Year&gt;2017&lt;/Year&gt;&lt;RecNum&gt;9790&lt;/RecNum&gt;&lt;DisplayText&gt;[22]&lt;/DisplayText&gt;&lt;record&gt;&lt;rec-number&gt;9790&lt;/rec-number&gt;&lt;foreign-keys&gt;&lt;key app="EN" db-id="ppttsszxnv29r1e2adav29tz00fr95zpdazv" timestamp="1552830015"&gt;9790&lt;/key&gt;&lt;/foreign-keys&gt;&lt;ref-type name="Report"&gt;27&lt;/ref-type&gt;&lt;contributors&gt;&lt;authors&gt;&lt;author&gt;NHS Digital,&lt;/author&gt;&lt;/authors&gt;&lt;tertiary-authors&gt;&lt;author&gt;NHS Digital&lt;/author&gt;&lt;/tertiary-authors&gt;&lt;/contributors&gt;&lt;titles&gt;&lt;title&gt;Hospital Accident and emergency Activity, 2016-17&lt;/title&gt;&lt;secondary-title&gt;Hospital Accident and emergency Activity&lt;/secondary-title&gt;&lt;/titles&gt;&lt;pages&gt;https://digital.nhs.uk/data-and-information/publications/statistical/hospital-accident--emergency-activity/2016-17&lt;/pages&gt;&lt;keywords&gt;&lt;keyword&gt;TBI&lt;/keyword&gt;&lt;keyword&gt;epidemiology&lt;/keyword&gt;&lt;keyword&gt;health utilization&lt;/keyword&gt;&lt;/keywords&gt;&lt;dates&gt;&lt;year&gt;2017&lt;/year&gt;&lt;pub-dates&gt;&lt;date&gt;17/10/2017&lt;/date&gt;&lt;/pub-dates&gt;&lt;/dates&gt;&lt;pub-location&gt;UK&lt;/pub-location&gt;&lt;publisher&gt;NHS Digital&lt;/publisher&gt;&lt;urls&gt;&lt;related-urls&gt;&lt;url&gt;https://digital.nhs.uk/data-and-information/publications/statistical/hospital-accident--emergency-activity/2016-17&lt;/url&gt;&lt;/related-urls&gt;&lt;/urls&gt;&lt;/record&gt;&lt;/Cite&gt;&lt;/EndNote&gt;</w:instrText>
      </w:r>
      <w:r w:rsidR="00D3482F">
        <w:fldChar w:fldCharType="separate"/>
      </w:r>
      <w:r w:rsidR="004176D7">
        <w:rPr>
          <w:noProof/>
        </w:rPr>
        <w:t>[22]</w:t>
      </w:r>
      <w:r w:rsidR="00D3482F">
        <w:fldChar w:fldCharType="end"/>
      </w:r>
      <w:r w:rsidR="002E39B1" w:rsidRPr="00F83596">
        <w:t xml:space="preserve">. </w:t>
      </w:r>
      <w:r w:rsidR="009E6816" w:rsidRPr="00F83596">
        <w:t>154,000 people</w:t>
      </w:r>
      <w:r w:rsidR="008F2ADB" w:rsidRPr="00F83596">
        <w:t xml:space="preserve"> (68% male)</w:t>
      </w:r>
      <w:r w:rsidR="009E6816" w:rsidRPr="00F83596">
        <w:t xml:space="preserve"> with head injury were admitted</w:t>
      </w:r>
      <w:r w:rsidR="008F2ADB" w:rsidRPr="00F83596">
        <w:t>,</w:t>
      </w:r>
      <w:r w:rsidR="009E6816" w:rsidRPr="00F83596">
        <w:t xml:space="preserve"> with </w:t>
      </w:r>
      <w:r w:rsidR="008F2ADB" w:rsidRPr="00F83596">
        <w:t>the number</w:t>
      </w:r>
      <w:r w:rsidR="009E6816" w:rsidRPr="00F83596">
        <w:t xml:space="preserve"> increas</w:t>
      </w:r>
      <w:r w:rsidR="008F2ADB" w:rsidRPr="00F83596">
        <w:t>ing rapidly</w:t>
      </w:r>
      <w:r w:rsidR="009E6816" w:rsidRPr="00F83596">
        <w:t xml:space="preserve"> over the age of 65.</w:t>
      </w:r>
      <w:r w:rsidR="00480051">
        <w:t xml:space="preserve"> </w:t>
      </w:r>
      <w:r w:rsidR="004240D1" w:rsidRPr="00F83596">
        <w:t>Epilepsy can be a consequence of head injury.</w:t>
      </w:r>
      <w:r w:rsidR="00480051">
        <w:t xml:space="preserve"> </w:t>
      </w:r>
    </w:p>
    <w:p w14:paraId="562B2FFF" w14:textId="61445535" w:rsidR="0031252B" w:rsidRDefault="008D0484" w:rsidP="007073FD">
      <w:r>
        <w:t>A</w:t>
      </w:r>
      <w:r w:rsidR="000E4079" w:rsidRPr="00F83596">
        <w:t>s</w:t>
      </w:r>
      <w:r w:rsidR="00167EE2" w:rsidRPr="00F83596">
        <w:t xml:space="preserve"> prevalence </w:t>
      </w:r>
      <w:r w:rsidR="00251FFD" w:rsidRPr="00F83596">
        <w:t xml:space="preserve">of epilepsy </w:t>
      </w:r>
      <w:r w:rsidR="00167EE2" w:rsidRPr="00F83596">
        <w:t xml:space="preserve">varies with deprivation, </w:t>
      </w:r>
      <w:r w:rsidR="000E4079" w:rsidRPr="00F83596">
        <w:t>it seem</w:t>
      </w:r>
      <w:r w:rsidR="00251FFD" w:rsidRPr="00F83596">
        <w:t xml:space="preserve">s inevitable that death with epilepsy is also linked with deprivation, </w:t>
      </w:r>
      <w:r w:rsidR="00215790" w:rsidRPr="00F83596">
        <w:t>al</w:t>
      </w:r>
      <w:r w:rsidR="00251FFD" w:rsidRPr="00F83596">
        <w:t xml:space="preserve">though the extent of the </w:t>
      </w:r>
      <w:r w:rsidR="000E5D49" w:rsidRPr="00F83596">
        <w:t>relationship</w:t>
      </w:r>
      <w:r w:rsidR="00251FFD" w:rsidRPr="00F83596">
        <w:t xml:space="preserve"> i</w:t>
      </w:r>
      <w:r w:rsidR="00167EE2" w:rsidRPr="00F83596">
        <w:t>s</w:t>
      </w:r>
      <w:r w:rsidR="00251FFD" w:rsidRPr="00F83596">
        <w:t xml:space="preserve"> surprising.</w:t>
      </w:r>
      <w:r w:rsidR="00480051">
        <w:t xml:space="preserve"> </w:t>
      </w:r>
      <w:r w:rsidR="00215790" w:rsidRPr="00F83596">
        <w:t>O</w:t>
      </w:r>
      <w:r w:rsidR="00EE01F5" w:rsidRPr="00F83596">
        <w:t xml:space="preserve">ne major recent authoritative work on the links between deprivation and health </w:t>
      </w:r>
      <w:r w:rsidR="00921FB2" w:rsidRPr="00F83596">
        <w:t>ha</w:t>
      </w:r>
      <w:r w:rsidR="00EE01F5" w:rsidRPr="00F83596">
        <w:t xml:space="preserve">s no mention of epilepsy </w:t>
      </w:r>
      <w:r w:rsidR="00D3482F">
        <w:fldChar w:fldCharType="begin"/>
      </w:r>
      <w:r w:rsidR="004176D7">
        <w:instrText xml:space="preserve"> ADDIN EN.CITE &lt;EndNote&gt;&lt;Cite&gt;&lt;Author&gt;Marmot&lt;/Author&gt;&lt;Year&gt;2015&lt;/Year&gt;&lt;RecNum&gt;9783&lt;/RecNum&gt;&lt;DisplayText&gt;[23]&lt;/DisplayText&gt;&lt;record&gt;&lt;rec-number&gt;9783&lt;/rec-number&gt;&lt;foreign-keys&gt;&lt;key app="EN" db-id="ppttsszxnv29r1e2adav29tz00fr95zpdazv" timestamp="1552830012"&gt;9783&lt;/key&gt;&lt;/foreign-keys&gt;&lt;ref-type name="Book"&gt;6&lt;/ref-type&gt;&lt;contributors&gt;&lt;authors&gt;&lt;author&gt;Marmot, Michael&lt;/author&gt;&lt;/authors&gt;&lt;/contributors&gt;&lt;titles&gt;&lt;title&gt;The Health Gap&lt;/title&gt;&lt;/titles&gt;&lt;pages&gt;400&lt;/pages&gt;&lt;edition&gt;1st&lt;/edition&gt;&lt;reprint-edition&gt;Not in File&lt;/reprint-edition&gt;&lt;keywords&gt;&lt;keyword&gt;Health Services&lt;/keyword&gt;&lt;keyword&gt;inequality&lt;/keyword&gt;&lt;/keywords&gt;&lt;dates&gt;&lt;year&gt;2015&lt;/year&gt;&lt;/dates&gt;&lt;pub-location&gt;London, UK&lt;/pub-location&gt;&lt;publisher&gt;Bloomsbury Publishing&lt;/publisher&gt;&lt;urls&gt;&lt;/urls&gt;&lt;/record&gt;&lt;/Cite&gt;&lt;/EndNote&gt;</w:instrText>
      </w:r>
      <w:r w:rsidR="00D3482F">
        <w:fldChar w:fldCharType="separate"/>
      </w:r>
      <w:r w:rsidR="004176D7">
        <w:rPr>
          <w:noProof/>
        </w:rPr>
        <w:t>[23]</w:t>
      </w:r>
      <w:r w:rsidR="00D3482F">
        <w:fldChar w:fldCharType="end"/>
      </w:r>
      <w:r w:rsidR="00C87FCC" w:rsidRPr="00F83596">
        <w:t xml:space="preserve">. </w:t>
      </w:r>
      <w:r w:rsidR="00EE01F5" w:rsidRPr="00F83596">
        <w:t xml:space="preserve">However, epilepsy </w:t>
      </w:r>
      <w:r w:rsidR="00215790" w:rsidRPr="00F83596">
        <w:t xml:space="preserve">must </w:t>
      </w:r>
      <w:r w:rsidR="00AE17E6" w:rsidRPr="00F83596">
        <w:t xml:space="preserve">now </w:t>
      </w:r>
      <w:r w:rsidR="00EE01F5" w:rsidRPr="00F83596">
        <w:t>be considered another major</w:t>
      </w:r>
      <w:r w:rsidR="00492B54" w:rsidRPr="00F83596">
        <w:t xml:space="preserve">, avoidable and </w:t>
      </w:r>
      <w:r w:rsidR="00176693" w:rsidRPr="00F83596">
        <w:t xml:space="preserve">potentially fatal </w:t>
      </w:r>
      <w:r w:rsidR="00EE01F5" w:rsidRPr="00F83596">
        <w:t>illness of deprivation.</w:t>
      </w:r>
      <w:r w:rsidR="00480051">
        <w:t xml:space="preserve"> </w:t>
      </w:r>
      <w:r w:rsidR="009B7090">
        <w:t>R</w:t>
      </w:r>
      <w:r w:rsidR="00406706" w:rsidRPr="00F83596">
        <w:t>educing</w:t>
      </w:r>
      <w:r w:rsidR="00524127" w:rsidRPr="00F83596">
        <w:t xml:space="preserve"> </w:t>
      </w:r>
      <w:r w:rsidR="00B96369">
        <w:t xml:space="preserve">deprivation </w:t>
      </w:r>
      <w:r w:rsidR="001F5C87" w:rsidRPr="00F83596">
        <w:t>must be a political</w:t>
      </w:r>
      <w:r w:rsidR="00704BF0" w:rsidRPr="00F83596">
        <w:t xml:space="preserve"> imperative</w:t>
      </w:r>
      <w:r w:rsidR="00774297">
        <w:t xml:space="preserve"> to reduce epilepsy associated mortality</w:t>
      </w:r>
      <w:r w:rsidR="00704BF0" w:rsidRPr="00F83596">
        <w:t>.</w:t>
      </w:r>
      <w:r w:rsidR="00480051">
        <w:t xml:space="preserve"> </w:t>
      </w:r>
    </w:p>
    <w:p w14:paraId="37589DAC" w14:textId="60DE3ABB" w:rsidR="00ED73B9" w:rsidRDefault="00ED73B9" w:rsidP="00774297">
      <w:pPr>
        <w:pStyle w:val="Heading2"/>
      </w:pPr>
      <w:r>
        <w:t xml:space="preserve">What is causing death in people with epilepsy? </w:t>
      </w:r>
    </w:p>
    <w:p w14:paraId="5575B7D7" w14:textId="05FE7706" w:rsidR="00ED73B9" w:rsidRPr="00F83596" w:rsidRDefault="00ED73B9" w:rsidP="00774297">
      <w:pPr>
        <w:pStyle w:val="Heading2"/>
        <w:numPr>
          <w:ilvl w:val="0"/>
          <w:numId w:val="0"/>
        </w:numPr>
        <w:ind w:left="-6"/>
      </w:pPr>
      <w:r w:rsidRPr="00F83596">
        <w:t>The PHE mortality data are only as good as the certification of death.</w:t>
      </w:r>
      <w:r>
        <w:t xml:space="preserve"> A 2004 study</w:t>
      </w:r>
      <w:r w:rsidR="000C32DE">
        <w:t xml:space="preserve"> </w:t>
      </w:r>
      <w:r w:rsidR="00D3482F">
        <w:fldChar w:fldCharType="begin"/>
      </w:r>
      <w:r w:rsidR="004176D7">
        <w:instrText xml:space="preserve"> ADDIN EN.CITE &lt;EndNote&gt;&lt;Cite&gt;&lt;Author&gt;Bell&lt;/Author&gt;&lt;Year&gt;2004&lt;/Year&gt;&lt;RecNum&gt;9779&lt;/RecNum&gt;&lt;DisplayText&gt;[24]&lt;/DisplayText&gt;&lt;record&gt;&lt;rec-number&gt;9779&lt;/rec-number&gt;&lt;foreign-keys&gt;&lt;key app="EN" db-id="ppttsszxnv29r1e2adav29tz00fr95zpdazv" timestamp="1552830010"&gt;9779&lt;/key&gt;&lt;/foreign-keys&gt;&lt;ref-type name="Journal Article"&gt;17&lt;/ref-type&gt;&lt;contributors&gt;&lt;authors&gt;&lt;author&gt;Bell, G. S.&lt;/author&gt;&lt;author&gt;Gaitatzis, A.&lt;/author&gt;&lt;author&gt;Johnson, A. L.&lt;/author&gt;&lt;author&gt;Sander, J. W.&lt;/author&gt;&lt;/authors&gt;&lt;/contributors&gt;&lt;titles&gt;&lt;title&gt;Predictive value of death certification in the case ascertainment of epilepsy&lt;/title&gt;&lt;secondary-title&gt;Journal of Neurology Neurosurgery and Psychiatry&lt;/secondary-title&gt;&lt;/titles&gt;&lt;periodical&gt;&lt;full-title&gt;Journal of Neurology Neurosurgery and Psychiatry&lt;/full-title&gt;&lt;/periodical&gt;&lt;pages&gt;1756-1758&lt;/pages&gt;&lt;volume&gt;75&lt;/volume&gt;&lt;number&gt;12&lt;/number&gt;&lt;reprint-edition&gt;pdf&lt;/reprint-edition&gt;&lt;keywords&gt;&lt;keyword&gt;unexplained death&lt;/keyword&gt;&lt;keyword&gt;mortality&lt;/keyword&gt;&lt;keyword&gt;population&lt;/keyword&gt;&lt;keyword&gt;cohort&lt;/keyword&gt;&lt;keyword&gt;SUDEP&lt;/keyword&gt;&lt;keyword&gt;certification&lt;/keyword&gt;&lt;keyword&gt;death Certificates&lt;/keyword&gt;&lt;keyword&gt;epilepsy&lt;/keyword&gt;&lt;/keywords&gt;&lt;dates&gt;&lt;year&gt;2004&lt;/year&gt;&lt;pub-dates&gt;&lt;date&gt;Dec&lt;/date&gt;&lt;/pub-dates&gt;&lt;/dates&gt;&lt;isbn&gt;0022-3050&lt;/isbn&gt;&lt;accession-num&gt;WOS:000225162400027&lt;/accession-num&gt;&lt;urls&gt;&lt;related-urls&gt;&lt;url&gt;&amp;lt;Go to ISI&amp;gt;://WOS:000225162400027&lt;/url&gt;&lt;/related-urls&gt;&lt;/urls&gt;&lt;electronic-resource-num&gt;10.1136/jnnp.2003.029918&lt;/electronic-resource-num&gt;&lt;/record&gt;&lt;/Cite&gt;&lt;/EndNote&gt;</w:instrText>
      </w:r>
      <w:r w:rsidR="00D3482F">
        <w:fldChar w:fldCharType="separate"/>
      </w:r>
      <w:r w:rsidR="004176D7">
        <w:rPr>
          <w:noProof/>
        </w:rPr>
        <w:t>[24]</w:t>
      </w:r>
      <w:r w:rsidR="00D3482F">
        <w:fldChar w:fldCharType="end"/>
      </w:r>
      <w:r>
        <w:t xml:space="preserve"> demonstrated that epilepsy was on the death certificate of only a minority of patients, even where there was a history of </w:t>
      </w:r>
      <w:r w:rsidR="000C32DE">
        <w:t>relatively</w:t>
      </w:r>
      <w:r>
        <w:t xml:space="preserve"> recent seizures, though awareness and processes have likely since improved.  </w:t>
      </w:r>
      <w:r w:rsidRPr="00F83596">
        <w:t>Not all of those that are certifying may be aware of sudden death in epilepsy and might instead give other causes.</w:t>
      </w:r>
      <w:r>
        <w:t xml:space="preserve"> </w:t>
      </w:r>
      <w:r w:rsidR="009B7090">
        <w:t>M</w:t>
      </w:r>
      <w:r w:rsidRPr="00F83596">
        <w:t>isdiagnosis is common</w:t>
      </w:r>
      <w:r w:rsidR="007F325E">
        <w:t xml:space="preserve"> </w:t>
      </w:r>
      <w:r w:rsidR="00D3482F">
        <w:fldChar w:fldCharType="begin"/>
      </w:r>
      <w:r w:rsidR="004176D7">
        <w:instrText xml:space="preserve"> ADDIN EN.CITE &lt;EndNote&gt;&lt;Cite&gt;&lt;Author&gt;Oto&lt;/Author&gt;&lt;Year&gt;2017&lt;/Year&gt;&lt;RecNum&gt;9282&lt;/RecNum&gt;&lt;DisplayText&gt;[25]&lt;/DisplayText&gt;&lt;record&gt;&lt;rec-number&gt;9282&lt;/rec-number&gt;&lt;foreign-keys&gt;&lt;key app="EN" db-id="ppttsszxnv29r1e2adav29tz00fr95zpdazv" timestamp="1503588176"&gt;9282&lt;/key&gt;&lt;/foreign-keys&gt;&lt;ref-type name="Journal Article"&gt;17&lt;/ref-type&gt;&lt;contributors&gt;&lt;authors&gt;&lt;author&gt;Oto, Maria&lt;/author&gt;&lt;/authors&gt;&lt;/contributors&gt;&lt;titles&gt;&lt;title&gt;The misdiagnosis of epilepsy: Appraising risks and managing uncertainty&lt;/title&gt;&lt;secondary-title&gt;Seizure&lt;/secondary-title&gt;&lt;/titles&gt;&lt;periodical&gt;&lt;full-title&gt;Seizure&lt;/full-title&gt;&lt;/periodical&gt;&lt;pages&gt;143-146&lt;/pages&gt;&lt;volume&gt;44&lt;/volume&gt;&lt;reprint-edition&gt;pdf&lt;/reprint-edition&gt;&lt;keywords&gt;&lt;keyword&gt;Misdiagnosis&lt;/keyword&gt;&lt;keyword&gt;Epilepsy&lt;/keyword&gt;&lt;keyword&gt;Risk appraisal&lt;/keyword&gt;&lt;keyword&gt;Diagnostic uncertainty&lt;/keyword&gt;&lt;keyword&gt;uncertainty&lt;/keyword&gt;&lt;keyword&gt;Clinical&lt;/keyword&gt;&lt;keyword&gt;review&lt;/keyword&gt;&lt;/keywords&gt;&lt;dates&gt;&lt;year&gt;2017&lt;/year&gt;&lt;pub-dates&gt;&lt;date&gt;2017/01/01/&lt;/date&gt;&lt;/pub-dates&gt;&lt;/dates&gt;&lt;isbn&gt;1059-1311&lt;/isbn&gt;&lt;urls&gt;&lt;related-urls&gt;&lt;url&gt;http://www.sciencedirect.com/science/article/pii/S1059131116302977&lt;/url&gt;&lt;/related-urls&gt;&lt;/urls&gt;&lt;electronic-resource-num&gt;http://dx.doi.org/10.1016/j.seizure.2016.11.029&lt;/electronic-resource-num&gt;&lt;/record&gt;&lt;/Cite&gt;&lt;/EndNote&gt;</w:instrText>
      </w:r>
      <w:r w:rsidR="00D3482F">
        <w:fldChar w:fldCharType="separate"/>
      </w:r>
      <w:r w:rsidR="004176D7">
        <w:rPr>
          <w:noProof/>
        </w:rPr>
        <w:t>[25]</w:t>
      </w:r>
      <w:r w:rsidR="00D3482F">
        <w:fldChar w:fldCharType="end"/>
      </w:r>
      <w:r w:rsidRPr="00F83596">
        <w:t xml:space="preserve"> in those with epilepsy attending neurology outpatients and in GP records; death certification may rely on that recording.</w:t>
      </w:r>
      <w:r>
        <w:t xml:space="preserve"> </w:t>
      </w:r>
      <w:r w:rsidR="000C32DE">
        <w:t>Even where c</w:t>
      </w:r>
      <w:r w:rsidRPr="00F83596">
        <w:t xml:space="preserve">ertification </w:t>
      </w:r>
      <w:r w:rsidR="000C32DE">
        <w:t>does list the</w:t>
      </w:r>
      <w:r w:rsidRPr="00F83596">
        <w:t xml:space="preserve"> UCOD </w:t>
      </w:r>
      <w:r w:rsidR="000C32DE">
        <w:t xml:space="preserve">as </w:t>
      </w:r>
      <w:r w:rsidRPr="00F83596">
        <w:t>epilepsy</w:t>
      </w:r>
      <w:r w:rsidR="000C32DE">
        <w:t xml:space="preserve">, </w:t>
      </w:r>
      <w:r w:rsidR="009B7090">
        <w:t>it doesn’t tell</w:t>
      </w:r>
      <w:r w:rsidRPr="00F83596">
        <w:t xml:space="preserve"> how an individual died, whether from SUDEP, Status epilepticus or something else.</w:t>
      </w:r>
      <w:r>
        <w:t xml:space="preserve"> </w:t>
      </w:r>
      <w:r w:rsidRPr="00F83596">
        <w:t xml:space="preserve"> </w:t>
      </w:r>
    </w:p>
    <w:p w14:paraId="02848931" w14:textId="42F5FB56" w:rsidR="00665DE2" w:rsidRPr="00F83596" w:rsidRDefault="00387594" w:rsidP="007073FD">
      <w:r w:rsidRPr="00F83596">
        <w:t>A comprehensive review of death in epilepsy</w:t>
      </w:r>
      <w:r w:rsidR="00921FB2" w:rsidRPr="00F83596">
        <w:t xml:space="preserve"> </w:t>
      </w:r>
      <w:r w:rsidR="00D3482F">
        <w:fldChar w:fldCharType="begin"/>
      </w:r>
      <w:r w:rsidR="004176D7">
        <w:instrText xml:space="preserve"> ADDIN EN.CITE &lt;EndNote&gt;&lt;Cite&gt;&lt;Author&gt;Gaitatzis&lt;/Author&gt;&lt;Year&gt;2004&lt;/Year&gt;&lt;RecNum&gt;9819&lt;/RecNum&gt;&lt;DisplayText&gt;[26]&lt;/DisplayText&gt;&lt;record&gt;&lt;rec-number&gt;9819&lt;/rec-number&gt;&lt;foreign-keys&gt;&lt;key app="EN" db-id="ppttsszxnv29r1e2adav29tz00fr95zpdazv" timestamp="1552830030"&gt;9819&lt;/key&gt;&lt;/foreign-keys&gt;&lt;ref-type name="Journal Article"&gt;17&lt;/ref-type&gt;&lt;contributors&gt;&lt;authors&gt;&lt;author&gt;Gaitatzis, A.&lt;/author&gt;&lt;author&gt;Sander, J. W.&lt;/author&gt;&lt;/authors&gt;&lt;/contributors&gt;&lt;auth-address&gt;UCL, Inst Neurol, Dept Clin &amp;amp; Expt Epilepsy, London WC1N 3BG, England.&amp;#xD;Sander, JW (reprint author), UCL, Inst Neurol, Dept Clin &amp;amp; Expt Epilepsy, London WC1N 3BG, England.&amp;#xD;lsander@ion.ucl.ac.uk&lt;/auth-address&gt;&lt;titles&gt;&lt;title&gt;The mortality of epilepsy revisited&lt;/title&gt;&lt;secondary-title&gt;Epileptic Disorders&lt;/secondary-title&gt;&lt;alt-title&gt;Epileptic Disord.&lt;/alt-title&gt;&lt;/titles&gt;&lt;periodical&gt;&lt;full-title&gt;Epileptic Disorders&lt;/full-title&gt;&lt;/periodical&gt;&lt;alt-periodical&gt;&lt;full-title&gt;Epileptic Disord.&lt;/full-title&gt;&lt;/alt-periodical&gt;&lt;pages&gt;3-13&lt;/pages&gt;&lt;volume&gt;6&lt;/volume&gt;&lt;number&gt;1&lt;/number&gt;&lt;reprint-edition&gt;pdf&lt;/reprint-edition&gt;&lt;keywords&gt;&lt;keyword&gt;epilepsy&lt;/keyword&gt;&lt;keyword&gt;mortality&lt;/keyword&gt;&lt;keyword&gt;SMR&lt;/keyword&gt;&lt;keyword&gt;SUDEP&lt;/keyword&gt;&lt;keyword&gt;sudden unexpected death&lt;/keyword&gt;&lt;keyword&gt;national general-practice&lt;/keyword&gt;&lt;keyword&gt;fetal hydantoin&lt;/keyword&gt;&lt;keyword&gt;syndrome&lt;/keyword&gt;&lt;keyword&gt;temporal-lobe epilepsy&lt;/keyword&gt;&lt;keyword&gt;short-term mortality&lt;/keyword&gt;&lt;keyword&gt;risk-factors&lt;/keyword&gt;&lt;keyword&gt;status epilepticus&lt;/keyword&gt;&lt;keyword&gt;unexplained death&lt;/keyword&gt;&lt;keyword&gt;long-term&lt;/keyword&gt;&lt;keyword&gt;brain-tumors&lt;/keyword&gt;&lt;keyword&gt;Neurosciences &amp;amp; Neurology&lt;/keyword&gt;&lt;/keywords&gt;&lt;dates&gt;&lt;year&gt;2004&lt;/year&gt;&lt;pub-dates&gt;&lt;date&gt;Mar&lt;/date&gt;&lt;/pub-dates&gt;&lt;/dates&gt;&lt;isbn&gt;1294-9361&lt;/isbn&gt;&lt;accession-num&gt;WOS:000220655300001&lt;/accession-num&gt;&lt;work-type&gt;Review&lt;/work-type&gt;&lt;urls&gt;&lt;related-urls&gt;&lt;url&gt;&amp;lt;Go to ISI&amp;gt;://WOS:000220655300001&lt;/url&gt;&lt;/related-urls&gt;&lt;/urls&gt;&lt;language&gt;English&lt;/language&gt;&lt;/record&gt;&lt;/Cite&gt;&lt;/EndNote&gt;</w:instrText>
      </w:r>
      <w:r w:rsidR="00D3482F">
        <w:fldChar w:fldCharType="separate"/>
      </w:r>
      <w:r w:rsidR="004176D7">
        <w:rPr>
          <w:noProof/>
        </w:rPr>
        <w:t>[26]</w:t>
      </w:r>
      <w:r w:rsidR="00D3482F">
        <w:fldChar w:fldCharType="end"/>
      </w:r>
      <w:r w:rsidR="000C32DE">
        <w:t xml:space="preserve"> </w:t>
      </w:r>
      <w:r w:rsidRPr="00F83596">
        <w:t>published in 200</w:t>
      </w:r>
      <w:r w:rsidR="00921FB2" w:rsidRPr="00F83596">
        <w:t>4</w:t>
      </w:r>
      <w:r w:rsidRPr="00F83596">
        <w:t xml:space="preserve"> estimated</w:t>
      </w:r>
      <w:r w:rsidR="00D755FA" w:rsidRPr="00F83596">
        <w:t xml:space="preserve"> </w:t>
      </w:r>
      <w:r w:rsidRPr="00F83596">
        <w:t xml:space="preserve">that 30% were dying through accidents, 23% through </w:t>
      </w:r>
      <w:r w:rsidR="000C32DE">
        <w:t>SUDEP</w:t>
      </w:r>
      <w:r w:rsidRPr="00F83596">
        <w:t>, 16% through status epilepticus</w:t>
      </w:r>
      <w:r w:rsidR="00921FB2" w:rsidRPr="00F83596">
        <w:t>,</w:t>
      </w:r>
      <w:r w:rsidRPr="00F83596">
        <w:t xml:space="preserve"> and 14% through suicide.</w:t>
      </w:r>
      <w:r w:rsidR="00480051">
        <w:t xml:space="preserve"> </w:t>
      </w:r>
      <w:r w:rsidR="00D755FA" w:rsidRPr="00F83596">
        <w:t xml:space="preserve">Figure </w:t>
      </w:r>
      <w:r w:rsidR="00AE17E6" w:rsidRPr="00F83596">
        <w:t>2</w:t>
      </w:r>
      <w:r w:rsidR="00D755FA" w:rsidRPr="00F83596">
        <w:t xml:space="preserve"> shows that people with epilepsy, as the population ages, are dying </w:t>
      </w:r>
      <w:r w:rsidR="00704BF0" w:rsidRPr="00F83596">
        <w:t xml:space="preserve">instead </w:t>
      </w:r>
      <w:r w:rsidR="00D755FA" w:rsidRPr="00F83596">
        <w:t>from a much wider variety of causes.</w:t>
      </w:r>
      <w:r w:rsidR="00480051">
        <w:t xml:space="preserve"> </w:t>
      </w:r>
      <w:r w:rsidR="00D755FA" w:rsidRPr="00F83596">
        <w:t xml:space="preserve">One large UK case control population-based study </w:t>
      </w:r>
      <w:r w:rsidR="00D3482F">
        <w:fldChar w:fldCharType="begin"/>
      </w:r>
      <w:r w:rsidR="008B2939">
        <w:instrText xml:space="preserve"> ADDIN EN.CITE &lt;EndNote&gt;&lt;Cite&gt;&lt;Author&gt;Ridsdale&lt;/Author&gt;&lt;Year&gt;2011&lt;/Year&gt;&lt;RecNum&gt;7630&lt;/RecNum&gt;&lt;DisplayText&gt;[15]&lt;/DisplayText&gt;&lt;record&gt;&lt;rec-number&gt;7630&lt;/rec-number&gt;&lt;foreign-keys&gt;&lt;key app="EN" db-id="ppttsszxnv29r1e2adav29tz00fr95zpdazv" timestamp="1479146174"&gt;7630&lt;/key&gt;&lt;/foreign-keys&gt;&lt;ref-type name="Journal Article"&gt;17&lt;/ref-type&gt;&lt;contributors&gt;&lt;authors&gt;&lt;author&gt;Ridsdale,Leone&lt;/author&gt;&lt;author&gt;Charlton,Judith&lt;/author&gt;&lt;author&gt;Ashworth,Mark&lt;/author&gt;&lt;author&gt;Richardson,Mark P.&lt;/author&gt;&lt;author&gt;Gulliford,Martin C.&lt;/author&gt;&lt;/authors&gt;&lt;/contributors&gt;&lt;titles&gt;&lt;title&gt;Epilepsy mortality and risk factors for death in epilepsy: a population-based study&lt;/title&gt;&lt;secondary-title&gt;The British journal of general practice : the journal of the Royal College of General Practitioners&lt;/secondary-title&gt;&lt;/titles&gt;&lt;periodical&gt;&lt;full-title&gt;The British journal of general practice : the journal of the Royal College of General Practitioners&lt;/full-title&gt;&lt;/periodical&gt;&lt;pages&gt;e271-e278&lt;/pages&gt;&lt;volume&gt;61&lt;/volume&gt;&lt;number&gt;586&lt;/number&gt;&lt;reprint-edition&gt;In File&lt;/reprint-edition&gt;&lt;keywords&gt;&lt;keyword&gt;Clinical&lt;/keyword&gt;&lt;keyword&gt;DEATH&lt;/keyword&gt;&lt;keyword&gt;Epilepsy&lt;/keyword&gt;&lt;keyword&gt;population&lt;/keyword&gt;&lt;keyword&gt;Risk Factors&lt;/keyword&gt;&lt;keyword&gt;SUDEP&lt;/keyword&gt;&lt;keyword&gt;case control study&lt;/keyword&gt;&lt;/keywords&gt;&lt;dates&gt;&lt;year&gt;2011&lt;/year&gt;&lt;pub-dates&gt;&lt;date&gt;2011&lt;/date&gt;&lt;/pub-dates&gt;&lt;/dates&gt;&lt;label&gt;8332&lt;/label&gt;&lt;urls&gt;&lt;related-urls&gt;&lt;url&gt;MEDLINE:21619751&lt;/url&gt;&lt;/related-urls&gt;&lt;/urls&gt;&lt;/record&gt;&lt;/Cite&gt;&lt;/EndNote&gt;</w:instrText>
      </w:r>
      <w:r w:rsidR="00D3482F">
        <w:fldChar w:fldCharType="separate"/>
      </w:r>
      <w:r w:rsidR="004D185C">
        <w:rPr>
          <w:noProof/>
        </w:rPr>
        <w:t>[15]</w:t>
      </w:r>
      <w:r w:rsidR="00D3482F">
        <w:fldChar w:fldCharType="end"/>
      </w:r>
      <w:r w:rsidR="00480051">
        <w:t xml:space="preserve"> </w:t>
      </w:r>
      <w:r w:rsidR="00D755FA" w:rsidRPr="00F83596">
        <w:t xml:space="preserve">reported that death in epilepsy was increased by alcohol problems (Odds </w:t>
      </w:r>
      <w:proofErr w:type="spellStart"/>
      <w:r w:rsidR="00D755FA" w:rsidRPr="00F83596">
        <w:t>ratio</w:t>
      </w:r>
      <w:r w:rsidR="00790415">
        <w:t>,</w:t>
      </w:r>
      <w:r w:rsidR="00D755FA" w:rsidRPr="00F83596">
        <w:t>OR</w:t>
      </w:r>
      <w:proofErr w:type="spellEnd"/>
      <w:r w:rsidR="00790415">
        <w:t xml:space="preserve"> </w:t>
      </w:r>
      <w:r w:rsidR="00D755FA" w:rsidRPr="00F83596">
        <w:t>2.96), having collected a prescription more than 90 days earlier (OR 1.83), injury in the previous year (OR 1.41) and being treated for depression (OR1.39), whilst seizure freedom for the previous year gave a reduction in mortality (OR 0.78).</w:t>
      </w:r>
      <w:r w:rsidR="00480051">
        <w:t xml:space="preserve"> </w:t>
      </w:r>
    </w:p>
    <w:p w14:paraId="75C404A2" w14:textId="09ACCD6D" w:rsidR="00DB73F1" w:rsidRPr="00F83596" w:rsidRDefault="007F325E" w:rsidP="007073FD">
      <w:r>
        <w:lastRenderedPageBreak/>
        <w:t xml:space="preserve">The Scottish Epilepsy Deaths Study, one of the largest and most rigorous studies to date found </w:t>
      </w:r>
      <w:r w:rsidR="004A7084" w:rsidRPr="00F83596">
        <w:t xml:space="preserve">10% </w:t>
      </w:r>
      <w:r>
        <w:t xml:space="preserve">of deaths associated with epilepsy </w:t>
      </w:r>
      <w:r w:rsidR="004A7084" w:rsidRPr="00F83596">
        <w:t>were thought due to SUDEP.</w:t>
      </w:r>
      <w:r w:rsidR="00480051">
        <w:t xml:space="preserve"> </w:t>
      </w:r>
      <w:r w:rsidR="004A7084" w:rsidRPr="00F83596">
        <w:t>The mean age of death in th</w:t>
      </w:r>
      <w:r w:rsidR="00311295" w:rsidRPr="00F83596">
        <w:t xml:space="preserve">e SUDEP </w:t>
      </w:r>
      <w:r w:rsidR="004A7084" w:rsidRPr="00F83596">
        <w:t xml:space="preserve">group was 41, 64% were male, 60% were from Scotland’s </w:t>
      </w:r>
      <w:r w:rsidR="001C257E" w:rsidRPr="00F83596">
        <w:t xml:space="preserve">two </w:t>
      </w:r>
      <w:r w:rsidR="004A7084" w:rsidRPr="00F83596">
        <w:t>most deprived</w:t>
      </w:r>
      <w:r w:rsidR="001C257E" w:rsidRPr="00F83596">
        <w:t xml:space="preserve"> </w:t>
      </w:r>
      <w:r w:rsidR="008B2768" w:rsidRPr="00E80514">
        <w:t>Quintiles</w:t>
      </w:r>
      <w:r w:rsidR="005A118A" w:rsidRPr="00E80514">
        <w:t>,</w:t>
      </w:r>
      <w:r w:rsidR="000E5D49" w:rsidRPr="00F83596">
        <w:t xml:space="preserve"> and</w:t>
      </w:r>
      <w:r w:rsidR="001C257E" w:rsidRPr="00F83596">
        <w:t xml:space="preserve"> 94% were </w:t>
      </w:r>
      <w:r w:rsidR="000E5D49" w:rsidRPr="00F83596">
        <w:t xml:space="preserve">recorded as </w:t>
      </w:r>
      <w:r w:rsidR="001C257E" w:rsidRPr="00F83596">
        <w:t>taking an AED</w:t>
      </w:r>
      <w:r>
        <w:t xml:space="preserve"> (Table 3)</w:t>
      </w:r>
      <w:r w:rsidR="001C257E" w:rsidRPr="00F83596">
        <w:t>.</w:t>
      </w:r>
      <w:r w:rsidR="00480051">
        <w:t xml:space="preserve"> </w:t>
      </w:r>
      <w:r w:rsidR="001C257E" w:rsidRPr="00F83596">
        <w:t xml:space="preserve"> In Cornwall a prospective study, from 2004 -2012</w:t>
      </w:r>
      <w:r w:rsidR="005F3A9F" w:rsidRPr="00F83596">
        <w:t xml:space="preserve"> </w:t>
      </w:r>
      <w:r w:rsidR="00D3482F">
        <w:fldChar w:fldCharType="begin"/>
      </w:r>
      <w:r w:rsidR="004176D7">
        <w:instrText xml:space="preserve"> ADDIN EN.CITE &lt;EndNote&gt;&lt;Cite&gt;&lt;Author&gt;Shankar&lt;/Author&gt;&lt;Year&gt;2014&lt;/Year&gt;&lt;RecNum&gt;9630&lt;/RecNum&gt;&lt;DisplayText&gt;[27]&lt;/DisplayText&gt;&lt;record&gt;&lt;rec-number&gt;9630&lt;/rec-number&gt;&lt;foreign-keys&gt;&lt;key app="EN" db-id="ppttsszxnv29r1e2adav29tz00fr95zpdazv" timestamp="1539895956"&gt;9630&lt;/key&gt;&lt;/foreign-keys&gt;&lt;ref-type name="Journal Article"&gt;17&lt;/ref-type&gt;&lt;contributors&gt;&lt;authors&gt;&lt;author&gt;Shankar, Rohit&lt;/author&gt;&lt;author&gt;Jalihal, Virupakshi&lt;/author&gt;&lt;author&gt;Walker, Matthew&lt;/author&gt;&lt;author&gt;Laugharne, Richard&lt;/author&gt;&lt;author&gt;McLean, Brendan&lt;/author&gt;&lt;author&gt;Carlyon, Emma&lt;/author&gt;&lt;author&gt;Hanna, Jane&lt;/author&gt;&lt;author&gt;Brown, Stephen&lt;/author&gt;&lt;author&gt;Jory, Caryn&lt;/author&gt;&lt;author&gt;Tripp, Mike&lt;/author&gt;&lt;author&gt;Pace, Adrian&lt;/author&gt;&lt;author&gt;Cox, David&lt;/author&gt;&lt;author&gt;Brown, Scott&lt;/author&gt;&lt;/authors&gt;&lt;/contributors&gt;&lt;titles&gt;&lt;title&gt;A community study in Cornwall UK of sudden unexpected death in epilepsy (SUDEP) in a 9-year population sample&lt;/title&gt;&lt;secondary-title&gt;Seizure - European Journal of Epilepsy&lt;/secondary-title&gt;&lt;/titles&gt;&lt;periodical&gt;&lt;full-title&gt;Seizure - European Journal of Epilepsy&lt;/full-title&gt;&lt;/periodical&gt;&lt;pages&gt;382-385&lt;/pages&gt;&lt;volume&gt;23&lt;/volume&gt;&lt;number&gt;5&lt;/number&gt;&lt;reprint-edition&gt;pdf&lt;/reprint-edition&gt;&lt;dates&gt;&lt;year&gt;2014&lt;/year&gt;&lt;/dates&gt;&lt;publisher&gt;Elsevier&lt;/publisher&gt;&lt;isbn&gt;1059-1311&lt;/isbn&gt;&lt;urls&gt;&lt;related-urls&gt;&lt;url&gt;https://doi.org/10.1016/j.seizure.2014.02.005&lt;/url&gt;&lt;/related-urls&gt;&lt;/urls&gt;&lt;electronic-resource-num&gt;10.1016/j.seizure.2014.02.005&lt;/electronic-resource-num&gt;&lt;access-date&gt;2018/10/13&lt;/access-date&gt;&lt;/record&gt;&lt;/Cite&gt;&lt;/EndNote&gt;</w:instrText>
      </w:r>
      <w:r w:rsidR="00D3482F">
        <w:fldChar w:fldCharType="separate"/>
      </w:r>
      <w:r w:rsidR="004176D7">
        <w:rPr>
          <w:noProof/>
        </w:rPr>
        <w:t>[27]</w:t>
      </w:r>
      <w:r w:rsidR="00D3482F">
        <w:fldChar w:fldCharType="end"/>
      </w:r>
      <w:r w:rsidR="00480051">
        <w:t xml:space="preserve"> </w:t>
      </w:r>
      <w:r w:rsidR="001C257E" w:rsidRPr="00F83596">
        <w:t xml:space="preserve">found that 33% </w:t>
      </w:r>
      <w:r>
        <w:t xml:space="preserve">of deaths caused by epilepsy </w:t>
      </w:r>
      <w:r w:rsidR="001C257E" w:rsidRPr="00F83596">
        <w:t>were due to SUDEP.</w:t>
      </w:r>
      <w:r w:rsidR="00480051">
        <w:t xml:space="preserve"> </w:t>
      </w:r>
      <w:r w:rsidR="001C257E" w:rsidRPr="00F83596">
        <w:t>In th</w:t>
      </w:r>
      <w:r w:rsidR="00237B72" w:rsidRPr="00F83596">
        <w:t>e SUDEP group</w:t>
      </w:r>
      <w:r w:rsidR="001C257E" w:rsidRPr="00F83596">
        <w:t xml:space="preserve"> the mean age was 42, 69% were male, 46% had alcohol problems, and 27% depression.</w:t>
      </w:r>
      <w:r w:rsidR="00480051">
        <w:t xml:space="preserve"> </w:t>
      </w:r>
      <w:r w:rsidR="001C257E" w:rsidRPr="00F83596">
        <w:t xml:space="preserve">Only 19% had contact with a specialist in the preceding 12 months, and </w:t>
      </w:r>
      <w:r w:rsidR="00237B72" w:rsidRPr="00F83596">
        <w:t xml:space="preserve">an </w:t>
      </w:r>
      <w:r w:rsidR="001C257E" w:rsidRPr="00F83596">
        <w:t>adherence problem w</w:t>
      </w:r>
      <w:r w:rsidR="00237B72" w:rsidRPr="00F83596">
        <w:t>as</w:t>
      </w:r>
      <w:r w:rsidR="001C257E" w:rsidRPr="00F83596">
        <w:t xml:space="preserve"> recorded in 55%.</w:t>
      </w:r>
      <w:r w:rsidR="00480051">
        <w:t xml:space="preserve"> </w:t>
      </w:r>
    </w:p>
    <w:p w14:paraId="014F1F20" w14:textId="5EC45DFF" w:rsidR="000C32DE" w:rsidRDefault="00E0732B" w:rsidP="00774297">
      <w:pPr>
        <w:pStyle w:val="Heading2"/>
      </w:pPr>
      <w:r>
        <w:t>The importance of seizure freedom</w:t>
      </w:r>
    </w:p>
    <w:p w14:paraId="49441844" w14:textId="0D7AF765" w:rsidR="009B7090" w:rsidRDefault="00B96369" w:rsidP="009B7090">
      <w:r>
        <w:t>T</w:t>
      </w:r>
      <w:r w:rsidR="007F325E" w:rsidRPr="00F83596">
        <w:t xml:space="preserve">he most commonly cited risk factor </w:t>
      </w:r>
      <w:r>
        <w:t xml:space="preserve">for SUDEP </w:t>
      </w:r>
      <w:r w:rsidR="007F325E" w:rsidRPr="00F83596">
        <w:t xml:space="preserve">is seizure control </w:t>
      </w:r>
      <w:r w:rsidR="00D3482F">
        <w:fldChar w:fldCharType="begin"/>
      </w:r>
      <w:r w:rsidR="004176D7">
        <w:instrText xml:space="preserve"> ADDIN EN.CITE &lt;EndNote&gt;&lt;Cite&gt;&lt;Author&gt;Tomson&lt;/Author&gt;&lt;Year&gt;2005&lt;/Year&gt;&lt;RecNum&gt;6632&lt;/RecNum&gt;&lt;DisplayText&gt;[28]&lt;/DisplayText&gt;&lt;record&gt;&lt;rec-number&gt;6632&lt;/rec-number&gt;&lt;foreign-keys&gt;&lt;key app="EN" db-id="ppttsszxnv29r1e2adav29tz00fr95zpdazv" timestamp="1479146012"&gt;6632&lt;/key&gt;&lt;/foreign-keys&gt;&lt;ref-type name="Journal Article"&gt;17&lt;/ref-type&gt;&lt;contributors&gt;&lt;authors&gt;&lt;author&gt;Tomson,T.&lt;/author&gt;&lt;author&gt;Walczak,T.&lt;/author&gt;&lt;author&gt;Sillanpaa,M.&lt;/author&gt;&lt;author&gt;Sander,J.W.&lt;/author&gt;&lt;/authors&gt;&lt;/contributors&gt;&lt;auth-address&gt;Department of Clinical Neuroscience, Division of Neurology, Karolinska Institute, Stockholm, Sweden. torbjorn.tomson@karolinska.se&lt;/auth-address&gt;&lt;titles&gt;&lt;title&gt;Sudden unexpected death in epilepsy: a review of incidence and risk factors&lt;/title&gt;&lt;secondary-title&gt;Epilepsia&lt;/secondary-title&gt;&lt;/titles&gt;&lt;periodical&gt;&lt;full-title&gt;Epilepsia&lt;/full-title&gt;&lt;/periodical&gt;&lt;pages&gt;54-61&lt;/pages&gt;&lt;volume&gt;46 Suppl 11&lt;/volume&gt;&lt;number&gt;Suppl 11&lt;/number&gt;&lt;reprint-edition&gt;In File&lt;/reprint-edition&gt;&lt;keywords&gt;&lt;keyword&gt;mortality&lt;/keyword&gt;&lt;keyword&gt;SUDEP&lt;/keyword&gt;&lt;keyword&gt;Epilepsy&lt;/keyword&gt;&lt;keyword&gt;Review&lt;/keyword&gt;&lt;keyword&gt;Clinical&lt;/keyword&gt;&lt;keyword&gt;risk&lt;/keyword&gt;&lt;keyword&gt;Incidence&lt;/keyword&gt;&lt;/keywords&gt;&lt;dates&gt;&lt;year&gt;2005&lt;/year&gt;&lt;pub-dates&gt;&lt;date&gt;2005&lt;/date&gt;&lt;/pub-dates&gt;&lt;/dates&gt;&lt;label&gt;7168&lt;/label&gt;&lt;urls&gt;&lt;related-urls&gt;&lt;url&gt;http://www.ncbi.nlm.nih.gov/pubmed/16393182&lt;/url&gt;&lt;/related-urls&gt;&lt;/urls&gt;&lt;/record&gt;&lt;/Cite&gt;&lt;/EndNote&gt;</w:instrText>
      </w:r>
      <w:r w:rsidR="00D3482F">
        <w:fldChar w:fldCharType="separate"/>
      </w:r>
      <w:r w:rsidR="004176D7">
        <w:rPr>
          <w:noProof/>
        </w:rPr>
        <w:t>[28]</w:t>
      </w:r>
      <w:r w:rsidR="00D3482F">
        <w:fldChar w:fldCharType="end"/>
      </w:r>
      <w:r w:rsidR="007F325E" w:rsidRPr="00F83596">
        <w:t>.</w:t>
      </w:r>
      <w:r w:rsidR="007F325E">
        <w:t xml:space="preserve"> </w:t>
      </w:r>
      <w:r w:rsidR="007F325E" w:rsidRPr="00F83596">
        <w:t>Being male, with alcohol and/or mood problems adds to that risk.</w:t>
      </w:r>
      <w:r w:rsidR="007F325E">
        <w:t xml:space="preserve"> </w:t>
      </w:r>
      <w:r w:rsidR="00CA3DBC">
        <w:t xml:space="preserve">Seizure freedom in the preceding year is an independent predictor of death in epilepsy [14].  </w:t>
      </w:r>
      <w:r w:rsidR="008D0484">
        <w:t>Monitoring of seizure freedom through</w:t>
      </w:r>
      <w:r w:rsidR="00186912">
        <w:t xml:space="preserve"> </w:t>
      </w:r>
      <w:proofErr w:type="spellStart"/>
      <w:r w:rsidR="00DB73F1" w:rsidRPr="00F83596">
        <w:t>QoF</w:t>
      </w:r>
      <w:proofErr w:type="spellEnd"/>
      <w:r w:rsidR="00DB73F1" w:rsidRPr="00F83596">
        <w:t xml:space="preserve"> </w:t>
      </w:r>
      <w:r w:rsidR="009B7090">
        <w:t>showed</w:t>
      </w:r>
      <w:r w:rsidR="00CA3DBC">
        <w:t xml:space="preserve">, for </w:t>
      </w:r>
      <w:proofErr w:type="gramStart"/>
      <w:r w:rsidR="00CA3DBC">
        <w:t xml:space="preserve">epilepsy, </w:t>
      </w:r>
      <w:r>
        <w:t xml:space="preserve"> </w:t>
      </w:r>
      <w:r w:rsidR="00B853D0">
        <w:t>if</w:t>
      </w:r>
      <w:proofErr w:type="gramEnd"/>
      <w:r w:rsidR="00406706" w:rsidRPr="00F83596">
        <w:t xml:space="preserve"> th</w:t>
      </w:r>
      <w:r w:rsidR="00311295" w:rsidRPr="00F83596">
        <w:t>e</w:t>
      </w:r>
      <w:r w:rsidR="00406706" w:rsidRPr="00F83596">
        <w:t xml:space="preserve"> </w:t>
      </w:r>
      <w:r w:rsidR="00CA3DBC">
        <w:t xml:space="preserve">national ambition </w:t>
      </w:r>
      <w:r w:rsidR="00406706" w:rsidRPr="00F83596">
        <w:t>aim</w:t>
      </w:r>
      <w:r w:rsidR="00311295" w:rsidRPr="00F83596">
        <w:t xml:space="preserve"> of good and equitable care in the UK</w:t>
      </w:r>
      <w:r w:rsidR="00671605" w:rsidRPr="00F83596">
        <w:t xml:space="preserve"> </w:t>
      </w:r>
      <w:r w:rsidR="00406706" w:rsidRPr="00F83596">
        <w:t>was being achieved</w:t>
      </w:r>
      <w:r w:rsidR="00CA3DBC">
        <w:t>.</w:t>
      </w:r>
      <w:r w:rsidR="00406706" w:rsidRPr="00F83596">
        <w:rPr>
          <w:b/>
        </w:rPr>
        <w:t>.</w:t>
      </w:r>
      <w:r w:rsidR="00480051">
        <w:rPr>
          <w:b/>
        </w:rPr>
        <w:t xml:space="preserve"> </w:t>
      </w:r>
      <w:r w:rsidR="009B7090">
        <w:t>T</w:t>
      </w:r>
      <w:r w:rsidR="00406706" w:rsidRPr="00F83596">
        <w:t>hose living in the most deprived groups ha</w:t>
      </w:r>
      <w:r w:rsidR="00EA6A86">
        <w:t>d</w:t>
      </w:r>
      <w:r w:rsidR="00406706" w:rsidRPr="00F83596">
        <w:t xml:space="preserve"> an approximately 24% lower chance of seizure freedom than those in the highest group</w:t>
      </w:r>
      <w:r w:rsidR="009B7090">
        <w:t xml:space="preserve"> (figure 3)</w:t>
      </w:r>
      <w:r w:rsidR="00406706" w:rsidRPr="00F83596">
        <w:t>.</w:t>
      </w:r>
      <w:r w:rsidR="00480051">
        <w:t xml:space="preserve"> </w:t>
      </w:r>
      <w:r w:rsidR="00406706" w:rsidRPr="00F83596">
        <w:t>Why does seizure freedom vary with deprivation?</w:t>
      </w:r>
      <w:r w:rsidR="00480051">
        <w:t xml:space="preserve"> </w:t>
      </w:r>
      <w:r w:rsidR="00505F41">
        <w:t>P</w:t>
      </w:r>
      <w:r w:rsidR="00406706" w:rsidRPr="00F83596">
        <w:t xml:space="preserve">atients in deprived areas </w:t>
      </w:r>
      <w:r w:rsidR="00505F41">
        <w:t xml:space="preserve">might </w:t>
      </w:r>
      <w:r w:rsidR="00406706" w:rsidRPr="00F83596">
        <w:t>have more treatment-resistant epilepsy</w:t>
      </w:r>
      <w:r w:rsidR="00505F41">
        <w:t xml:space="preserve"> but that seems unlikely</w:t>
      </w:r>
      <w:r w:rsidR="00406706" w:rsidRPr="00F83596">
        <w:t>.</w:t>
      </w:r>
      <w:r w:rsidR="00480051">
        <w:t xml:space="preserve"> </w:t>
      </w:r>
      <w:r w:rsidR="00406706" w:rsidRPr="00F83596">
        <w:t>Another possibility is that the most deprived group are not receiving the same quality of medical care as the least.</w:t>
      </w:r>
      <w:r w:rsidR="00480051">
        <w:t xml:space="preserve"> </w:t>
      </w:r>
      <w:r w:rsidR="00406706" w:rsidRPr="00F83596">
        <w:t>It may also be that the most deprived group are less engaged in treating their epilepsy, less likely to take medication and less likely to behave in way that maximises seizure freedom.</w:t>
      </w:r>
      <w:r w:rsidR="00480051">
        <w:t xml:space="preserve"> </w:t>
      </w:r>
      <w:r w:rsidR="00406706" w:rsidRPr="00F83596">
        <w:t xml:space="preserve">It has been estimated that the risk of epilepsy in the homeless (and therefore unlikely to be under medical care) is six times that in the general population </w:t>
      </w:r>
      <w:r w:rsidR="00D3482F">
        <w:rPr>
          <w:rStyle w:val="Hyperlink"/>
          <w:color w:val="auto"/>
          <w:u w:val="none"/>
        </w:rPr>
        <w:fldChar w:fldCharType="begin"/>
      </w:r>
      <w:r w:rsidR="004176D7">
        <w:rPr>
          <w:rStyle w:val="Hyperlink"/>
          <w:color w:val="auto"/>
          <w:u w:val="none"/>
        </w:rPr>
        <w:instrText xml:space="preserve"> ADDIN EN.CITE &lt;EndNote&gt;&lt;Cite&gt;&lt;Author&gt;Laporte&lt;/Author&gt;&lt;Year&gt;2006&lt;/Year&gt;&lt;RecNum&gt;9780&lt;/RecNum&gt;&lt;DisplayText&gt;[29]&lt;/DisplayText&gt;&lt;record&gt;&lt;rec-number&gt;9780&lt;/rec-number&gt;&lt;foreign-keys&gt;&lt;key app="EN" db-id="ppttsszxnv29r1e2adav29tz00fr95zpdazv" timestamp="1552830011"&gt;9780&lt;/key&gt;&lt;/foreign-keys&gt;&lt;ref-type name="Journal Article"&gt;17&lt;/ref-type&gt;&lt;contributors&gt;&lt;authors&gt;&lt;author&gt;Laporte, A.&lt;/author&gt;&lt;author&gt;Rouvel-Tallec, A.&lt;/author&gt;&lt;author&gt;Grosdidier, E.&lt;/author&gt;&lt;author&gt;Carpentier, S.&lt;/author&gt;&lt;author&gt;Benoit, C.&lt;/author&gt;&lt;author&gt;Gerard, D.&lt;/author&gt;&lt;author&gt;Emmanuelli, X.&lt;/author&gt;&lt;/authors&gt;&lt;/contributors&gt;&lt;titles&gt;&lt;title&gt;Epilepsy among the homeless: prevalence and characteristics&lt;/title&gt;&lt;secondary-title&gt;European Journal of Public Health&lt;/secondary-title&gt;&lt;/titles&gt;&lt;periodical&gt;&lt;full-title&gt;European Journal of Public Health&lt;/full-title&gt;&lt;/periodical&gt;&lt;pages&gt;484-486&lt;/pages&gt;&lt;volume&gt;16&lt;/volume&gt;&lt;number&gt;5&lt;/number&gt;&lt;reprint-edition&gt;pdf&lt;/reprint-edition&gt;&lt;keywords&gt;&lt;keyword&gt;alcohol&lt;/keyword&gt;&lt;keyword&gt;compliance&lt;/keyword&gt;&lt;keyword&gt;epilepsy&lt;/keyword&gt;&lt;keyword&gt;homelessness&lt;/keyword&gt;&lt;keyword&gt;prevalence&lt;/keyword&gt;&lt;keyword&gt;seizure&lt;/keyword&gt;&lt;keyword&gt;stigma&lt;/keyword&gt;&lt;keyword&gt;mortality&lt;/keyword&gt;&lt;keyword&gt;SUDEP&lt;/keyword&gt;&lt;keyword&gt;epidemiology&lt;/keyword&gt;&lt;/keywords&gt;&lt;dates&gt;&lt;year&gt;2006&lt;/year&gt;&lt;pub-dates&gt;&lt;date&gt;Oct&lt;/date&gt;&lt;/pub-dates&gt;&lt;/dates&gt;&lt;isbn&gt;1101-1262&lt;/isbn&gt;&lt;accession-num&gt;WOS:000241092500008&lt;/accession-num&gt;&lt;urls&gt;&lt;related-urls&gt;&lt;url&gt;&amp;lt;Go to ISI&amp;gt;://WOS:000241092500008&lt;/url&gt;&lt;/related-urls&gt;&lt;/urls&gt;&lt;electronic-resource-num&gt;10.1093/eurpub/ckl011&lt;/electronic-resource-num&gt;&lt;/record&gt;&lt;/Cite&gt;&lt;/EndNote&gt;</w:instrText>
      </w:r>
      <w:r w:rsidR="00D3482F">
        <w:rPr>
          <w:rStyle w:val="Hyperlink"/>
          <w:color w:val="auto"/>
          <w:u w:val="none"/>
        </w:rPr>
        <w:fldChar w:fldCharType="separate"/>
      </w:r>
      <w:r w:rsidR="004176D7">
        <w:rPr>
          <w:rStyle w:val="Hyperlink"/>
          <w:noProof/>
          <w:color w:val="auto"/>
          <w:u w:val="none"/>
        </w:rPr>
        <w:t>[29]</w:t>
      </w:r>
      <w:r w:rsidR="00D3482F">
        <w:rPr>
          <w:rStyle w:val="Hyperlink"/>
          <w:color w:val="auto"/>
          <w:u w:val="none"/>
        </w:rPr>
        <w:fldChar w:fldCharType="end"/>
      </w:r>
      <w:r w:rsidR="00406706" w:rsidRPr="00F83596">
        <w:t>.</w:t>
      </w:r>
      <w:r w:rsidR="00480051">
        <w:t xml:space="preserve"> </w:t>
      </w:r>
    </w:p>
    <w:p w14:paraId="19A226F6" w14:textId="2B47B3B0" w:rsidR="00F417F2" w:rsidRPr="00F83596" w:rsidRDefault="00F417F2" w:rsidP="00F417F2">
      <w:r w:rsidRPr="00F83596">
        <w:t>it is important to understand the factors behind adherence and other behaviours, and develop approaches that work well for, and engage, all patients of whatever age and social group.</w:t>
      </w:r>
      <w:r>
        <w:t xml:space="preserve"> </w:t>
      </w:r>
      <w:r w:rsidRPr="00F83596">
        <w:t xml:space="preserve">The Kings Fund, looking at Patient Activation Measurement </w:t>
      </w:r>
      <w:r>
        <w:rPr>
          <w:rStyle w:val="Hyperlink"/>
          <w:color w:val="auto"/>
          <w:u w:val="none"/>
        </w:rPr>
        <w:fldChar w:fldCharType="begin"/>
      </w:r>
      <w:r w:rsidR="004176D7">
        <w:rPr>
          <w:rStyle w:val="Hyperlink"/>
          <w:color w:val="auto"/>
          <w:u w:val="none"/>
        </w:rPr>
        <w:instrText xml:space="preserve"> ADDIN EN.CITE &lt;EndNote&gt;&lt;Cite&gt;&lt;Author&gt;Hibbard&lt;/Author&gt;&lt;Year&gt;2014&lt;/Year&gt;&lt;RecNum&gt;9791&lt;/RecNum&gt;&lt;DisplayText&gt;[30]&lt;/DisplayText&gt;&lt;record&gt;&lt;rec-number&gt;9791&lt;/rec-number&gt;&lt;foreign-keys&gt;&lt;key app="EN" db-id="ppttsszxnv29r1e2adav29tz00fr95zpdazv" timestamp="1552830018"&gt;9791&lt;/key&gt;&lt;/foreign-keys&gt;&lt;ref-type name="Report"&gt;27&lt;/ref-type&gt;&lt;contributors&gt;&lt;authors&gt;&lt;author&gt;Hibbard, Judith&lt;/author&gt;&lt;author&gt;Gilburt, Helen&lt;/author&gt;&lt;/authors&gt;&lt;tertiary-authors&gt;&lt;author&gt;The Kings Fund&lt;/author&gt;&lt;/tertiary-authors&gt;&lt;/contributors&gt;&lt;titles&gt;&lt;title&gt;Supporting people to manage their health: an introduction to patient activation&lt;/title&gt;&lt;/titles&gt;&lt;pages&gt;1-54, https://www.kingsfund.org.uk/sites/default/files/field/field_publication_file/supporting-people-manage-health-patient-activation-may14.pdf&lt;/pages&gt;&lt;keywords&gt;&lt;keyword&gt;Patient activation&lt;/keyword&gt;&lt;keyword&gt;engagement&lt;/keyword&gt;&lt;keyword&gt;self-management&lt;/keyword&gt;&lt;/keywords&gt;&lt;dates&gt;&lt;year&gt;2014&lt;/year&gt;&lt;/dates&gt;&lt;pub-location&gt;London, UK&lt;/pub-location&gt;&lt;publisher&gt;The Kings Fund&lt;/publisher&gt;&lt;urls&gt;&lt;related-urls&gt;&lt;url&gt;https://www.kingsfund.org.uk/sites/default/files/field/field_publication_file/supporting-people-manage-health-patient-activation-may14.pdf&lt;/url&gt;&lt;/related-urls&gt;&lt;/urls&gt;&lt;/record&gt;&lt;/Cite&gt;&lt;/EndNote&gt;</w:instrText>
      </w:r>
      <w:r>
        <w:rPr>
          <w:rStyle w:val="Hyperlink"/>
          <w:color w:val="auto"/>
          <w:u w:val="none"/>
        </w:rPr>
        <w:fldChar w:fldCharType="separate"/>
      </w:r>
      <w:r w:rsidR="004176D7">
        <w:rPr>
          <w:rStyle w:val="Hyperlink"/>
          <w:noProof/>
          <w:color w:val="auto"/>
          <w:u w:val="none"/>
        </w:rPr>
        <w:t>[30]</w:t>
      </w:r>
      <w:r>
        <w:rPr>
          <w:rStyle w:val="Hyperlink"/>
          <w:color w:val="auto"/>
          <w:u w:val="none"/>
        </w:rPr>
        <w:fldChar w:fldCharType="end"/>
      </w:r>
      <w:r w:rsidRPr="00F83596">
        <w:t xml:space="preserve"> concluded that “We cannot assume that, just because someone has a higher socio-economic status, they are also more activated and more likely to engage with their own health. Similarly, just because a patient comes from a lower socio-economic background, we cannot assume that they are less activated</w:t>
      </w:r>
      <w:r w:rsidR="00774297">
        <w:t>”</w:t>
      </w:r>
      <w:r w:rsidRPr="00F83596">
        <w:t>.</w:t>
      </w:r>
      <w:r>
        <w:t xml:space="preserve"> </w:t>
      </w:r>
      <w:r w:rsidRPr="00F83596">
        <w:t>Epilepsy-specific research is needed, looking at motivation and demotivation in self-care in at-risk groups.</w:t>
      </w:r>
      <w:r>
        <w:t xml:space="preserve"> </w:t>
      </w:r>
      <w:r w:rsidRPr="00F83596">
        <w:t>Some communities and hospitals run groups for the newly-diagnosed.</w:t>
      </w:r>
      <w:r>
        <w:t xml:space="preserve"> </w:t>
      </w:r>
      <w:r w:rsidRPr="00F83596">
        <w:t>One promising initiative has been developed by a UK charity</w:t>
      </w:r>
      <w:r>
        <w:t xml:space="preserve"> </w:t>
      </w:r>
      <w:r>
        <w:fldChar w:fldCharType="begin"/>
      </w:r>
      <w:r w:rsidR="004176D7">
        <w:instrText xml:space="preserve"> ADDIN EN.CITE &lt;EndNote&gt;&lt;Cite&gt;&lt;Author&gt;Pullen&lt;/Author&gt;&lt;Year&gt;2018&lt;/Year&gt;&lt;RecNum&gt;9855&lt;/RecNum&gt;&lt;DisplayText&gt;[31]&lt;/DisplayText&gt;&lt;record&gt;&lt;rec-number&gt;9855&lt;/rec-number&gt;&lt;foreign-keys&gt;&lt;key app="EN" db-id="z2zrfeav5war9dew9xqxd9tjsff2xpxz5ett" timestamp="1549716272"&gt;9855&lt;/key&gt;&lt;/foreign-keys&gt;&lt;ref-type name="Conference Paper"&gt;47&lt;/ref-type&gt;&lt;contributors&gt;&lt;authors&gt;&lt;author&gt;Pullen, A.&lt;/author&gt;&lt;author&gt;Matson-Phippard, G.&lt;/author&gt;&lt;author&gt;Stoneman, A.&lt;/author&gt;&lt;author&gt;O&amp;apos;Connor, P.&lt;/author&gt;&lt;author&gt;Clyne, W. &lt;/author&gt;&lt;author&gt;Turner, A. &lt;/author&gt;&lt;/authors&gt;&lt;/contributors&gt;&lt;titles&gt;&lt;title&gt;The outcomes of online self-management education for adults with epilepsy &lt;/title&gt;&lt;secondary-title&gt;International League Against Epilepsy British Branch Annual Scientific Meeting&lt;/secondary-title&gt;&lt;/titles&gt;&lt;pages&gt;https://www.epilepsy.org.uk/support-for-you/epilepsy-and-you-self-management-includes-free-membership?utm_source=tiles&amp;amp;utm_medium=online&amp;amp;utm_campaign=epandyoumember2018 &lt;/pages&gt;&lt;num-vols&gt;Poster&lt;/num-vols&gt;&lt;keywords&gt;&lt;keyword&gt;Epilepsy&lt;/keyword&gt;&lt;keyword&gt;self-management&lt;/keyword&gt;&lt;keyword&gt;Online&lt;/keyword&gt;&lt;keyword&gt;UK&lt;/keyword&gt;&lt;keyword&gt;outcomes&lt;/keyword&gt;&lt;keyword&gt;Education&lt;/keyword&gt;&lt;/keywords&gt;&lt;dates&gt;&lt;year&gt;2018&lt;/year&gt;&lt;pub-dates&gt;&lt;date&gt;27/09/2018&lt;/date&gt;&lt;/pub-dates&gt;&lt;/dates&gt;&lt;pub-location&gt;Birmingham, UK&lt;/pub-location&gt;&lt;publisher&gt;University of Conventry, UK and Epilepsy Action&lt;/publisher&gt;&lt;urls&gt;&lt;related-urls&gt;&lt;url&gt;https://www.epilepsy.org.uk/support-for-you/epilepsy-and-you-self-management-includes-free-membership?utm_source=tiles&amp;amp;utm_medium=online&amp;amp;utm_campaign=epandyoumember2018 &lt;/url&gt;&lt;/related-urls&gt;&lt;/urls&gt;&lt;/record&gt;&lt;/Cite&gt;&lt;/EndNote&gt;</w:instrText>
      </w:r>
      <w:r>
        <w:fldChar w:fldCharType="separate"/>
      </w:r>
      <w:r w:rsidR="004176D7">
        <w:rPr>
          <w:noProof/>
        </w:rPr>
        <w:t>[31]</w:t>
      </w:r>
      <w:r>
        <w:fldChar w:fldCharType="end"/>
      </w:r>
      <w:r w:rsidRPr="00F83596">
        <w:t>, offering on-line education and support.</w:t>
      </w:r>
      <w:r>
        <w:t xml:space="preserve"> A mobile phone app (</w:t>
      </w:r>
      <w:proofErr w:type="spellStart"/>
      <w:r>
        <w:t>EpSMon</w:t>
      </w:r>
      <w:proofErr w:type="spellEnd"/>
      <w:r>
        <w:t xml:space="preserve">) can help patients monitor their seizures and SUDEP risk.  </w:t>
      </w:r>
      <w:r w:rsidRPr="00F83596">
        <w:t>Education about SUDEP, and its risk factors seems vital yet we know that</w:t>
      </w:r>
      <w:r>
        <w:t xml:space="preserve"> </w:t>
      </w:r>
      <w:r w:rsidRPr="00F83596">
        <w:t xml:space="preserve"> </w:t>
      </w:r>
      <w:r>
        <w:t xml:space="preserve">only a minority of patients are </w:t>
      </w:r>
      <w:r w:rsidRPr="00F83596">
        <w:t>informed of this possibility</w:t>
      </w:r>
      <w:r>
        <w:t xml:space="preserve"> and </w:t>
      </w:r>
      <w:r w:rsidRPr="00F83596">
        <w:t>the risk factors</w:t>
      </w:r>
      <w:r>
        <w:t xml:space="preserve"> both in the UK </w:t>
      </w:r>
      <w:r>
        <w:fldChar w:fldCharType="begin"/>
      </w:r>
      <w:r w:rsidR="004176D7">
        <w:instrText xml:space="preserve"> ADDIN EN.CITE &lt;EndNote&gt;&lt;Cite&gt;&lt;Author&gt;Waddell&lt;/Author&gt;&lt;Year&gt;2013&lt;/Year&gt;&lt;RecNum&gt;7827&lt;/RecNum&gt;&lt;DisplayText&gt;[32]&lt;/DisplayText&gt;&lt;record&gt;&lt;rec-number&gt;7827&lt;/rec-number&gt;&lt;foreign-keys&gt;&lt;key app="EN" db-id="ppttsszxnv29r1e2adav29tz00fr95zpdazv" timestamp="1479146204"&gt;7827&lt;/key&gt;&lt;/foreign-keys&gt;&lt;ref-type name="Journal Article"&gt;17&lt;/ref-type&gt;&lt;contributors&gt;&lt;authors&gt;&lt;author&gt;Waddell, B.&lt;/author&gt;&lt;author&gt;McColl, K.&lt;/author&gt;&lt;author&gt;Turner, C.&lt;/author&gt;&lt;author&gt;Norman, A.&lt;/author&gt;&lt;author&gt;Coker, A.&lt;/author&gt;&lt;author&gt;White, K.&lt;/author&gt;&lt;author&gt;Roberts, R.&lt;/author&gt;&lt;author&gt;Heath, C. A.&lt;/author&gt;&lt;/authors&gt;&lt;/contributors&gt;&lt;titles&gt;&lt;title&gt;Are we discussing SUDEP?–A retrospective case note analysis&lt;/title&gt;&lt;secondary-title&gt;Seizure&lt;/secondary-title&gt;&lt;/titles&gt;&lt;periodical&gt;&lt;full-title&gt;Seizure&lt;/full-title&gt;&lt;/periodical&gt;&lt;pages&gt;74-76&lt;/pages&gt;&lt;volume&gt;22&lt;/volume&gt;&lt;number&gt;1&lt;/number&gt;&lt;reprint-edition&gt;pdf&lt;/reprint-edition&gt;&lt;keywords&gt;&lt;keyword&gt;SUDEP&lt;/keyword&gt;&lt;keyword&gt;clinical&lt;/keyword&gt;&lt;keyword&gt;retrospective&lt;/keyword&gt;&lt;keyword&gt;Informed&lt;/keyword&gt;&lt;/keywords&gt;&lt;dates&gt;&lt;year&gt;2013&lt;/year&gt;&lt;/dates&gt;&lt;isbn&gt;1059-1311&lt;/isbn&gt;&lt;urls&gt;&lt;related-urls&gt;&lt;url&gt;http://www.sciencedirect.com/science/article/pii/S1059131112002592&lt;/url&gt;&lt;/related-urls&gt;&lt;/urls&gt;&lt;electronic-resource-num&gt;http://dx.doi.org/10.1016/j.seizure.2012.09.017&lt;/electronic-resource-num&gt;&lt;/record&gt;&lt;/Cite&gt;&lt;/EndNote&gt;</w:instrText>
      </w:r>
      <w:r>
        <w:fldChar w:fldCharType="separate"/>
      </w:r>
      <w:r w:rsidR="004176D7">
        <w:rPr>
          <w:noProof/>
        </w:rPr>
        <w:t>[32]</w:t>
      </w:r>
      <w:r>
        <w:fldChar w:fldCharType="end"/>
      </w:r>
      <w:r w:rsidRPr="00D3482F">
        <w:t xml:space="preserve"> </w:t>
      </w:r>
      <w:r>
        <w:t xml:space="preserve">and elsewhere </w:t>
      </w:r>
      <w:r>
        <w:fldChar w:fldCharType="begin"/>
      </w:r>
      <w:r w:rsidR="004176D7">
        <w:instrText xml:space="preserve"> ADDIN EN.CITE &lt;EndNote&gt;&lt;Cite&gt;&lt;Author&gt;Strzelczyk&lt;/Author&gt;&lt;Year&gt;2016&lt;/Year&gt;&lt;RecNum&gt;9170&lt;/RecNum&gt;&lt;DisplayText&gt;[33]&lt;/DisplayText&gt;&lt;record&gt;&lt;rec-number&gt;9170&lt;/rec-number&gt;&lt;foreign-keys&gt;&lt;key app="EN" db-id="ppttsszxnv29r1e2adav29tz00fr95zpdazv" timestamp="1491333817"&gt;9170&lt;/key&gt;&lt;/foreign-keys&gt;&lt;ref-type name="Journal Article"&gt;17&lt;/ref-type&gt;&lt;contributors&gt;&lt;authors&gt;&lt;author&gt;Strzelczyk, Adam&lt;/author&gt;&lt;author&gt;Zschebek, Gerda&lt;/author&gt;&lt;author&gt;Bauer, Sebastian&lt;/author&gt;&lt;author&gt;Baumgartner, Christoph&lt;/author&gt;&lt;author&gt;Grond, Martin&lt;/author&gt;&lt;author&gt;Hermsen, Anke&lt;/author&gt;&lt;author&gt;Kieslich, Matthias&lt;/author&gt;&lt;author&gt;Krämer, Günter&lt;/author&gt;&lt;author&gt;Kurlemann, Gerhard&lt;/author&gt;&lt;author&gt;May, Theodor W.&lt;/author&gt;&lt;author&gt;Mayer, Thomas&lt;/author&gt;&lt;author&gt;Neubauer, Bernd A.&lt;/author&gt;&lt;author&gt;Pfäfflin, Margarete&lt;/author&gt;&lt;author&gt;Plecko, Barbara&lt;/author&gt;&lt;author&gt;Ryvlin, Philippe&lt;/author&gt;&lt;author&gt;Schubert-Bast, Susanne&lt;/author&gt;&lt;author&gt;Stefan, Hermann&lt;/author&gt;&lt;author&gt;Trinka, Eugen&lt;/author&gt;&lt;author&gt;Knake, Susanne&lt;/author&gt;&lt;author&gt;Seifart, Carola&lt;/author&gt;&lt;author&gt;Rosenow, Felix&lt;/author&gt;&lt;/authors&gt;&lt;/contributors&gt;&lt;titles&gt;&lt;title&gt;Predictors of and attitudes toward counseling about SUDEP and other epilepsy risk factors among Austrian, German, and Swiss neurologists and neuropediatricians&lt;/title&gt;&lt;secondary-title&gt;Epilepsia&lt;/secondary-title&gt;&lt;/titles&gt;&lt;periodical&gt;&lt;full-title&gt;Epilepsia&lt;/full-title&gt;&lt;/periodical&gt;&lt;pages&gt;612-620&lt;/pages&gt;&lt;volume&gt;57&lt;/volume&gt;&lt;number&gt;4&lt;/number&gt;&lt;reprint-edition&gt;not in file&lt;/reprint-edition&gt;&lt;keywords&gt;&lt;keyword&gt;Sudden unexpected death in epilepsy patients&lt;/keyword&gt;&lt;keyword&gt;Drowning&lt;/keyword&gt;&lt;keyword&gt;Driving&lt;/keyword&gt;&lt;keyword&gt;Suicide&lt;/keyword&gt;&lt;keyword&gt;Counseling&lt;/keyword&gt;&lt;keyword&gt;Epilepsy&lt;/keyword&gt;&lt;keyword&gt;SUDEP&lt;/keyword&gt;&lt;/keywords&gt;&lt;dates&gt;&lt;year&gt;2016&lt;/year&gt;&lt;/dates&gt;&lt;isbn&gt;1528-1167&lt;/isbn&gt;&lt;urls&gt;&lt;related-urls&gt;&lt;url&gt;http://dx.doi.org/10.1111/epi.13337&lt;/url&gt;&lt;/related-urls&gt;&lt;/urls&gt;&lt;electronic-resource-num&gt;10.1111/epi.13337&lt;/electronic-resource-num&gt;&lt;/record&gt;&lt;/Cite&gt;&lt;/EndNote&gt;</w:instrText>
      </w:r>
      <w:r>
        <w:fldChar w:fldCharType="separate"/>
      </w:r>
      <w:r w:rsidR="004176D7">
        <w:rPr>
          <w:noProof/>
        </w:rPr>
        <w:t>[33]</w:t>
      </w:r>
      <w:r>
        <w:fldChar w:fldCharType="end"/>
      </w:r>
      <w:r w:rsidRPr="00F83596">
        <w:t>.</w:t>
      </w:r>
      <w:r>
        <w:t xml:space="preserve"> </w:t>
      </w:r>
      <w:r w:rsidR="00CA3DBC">
        <w:t>Where</w:t>
      </w:r>
      <w:r w:rsidRPr="00F83596">
        <w:t xml:space="preserve"> there are local examples of proven good practice</w:t>
      </w:r>
      <w:r w:rsidR="00CA3DBC">
        <w:t xml:space="preserve"> [33]</w:t>
      </w:r>
      <w:r w:rsidR="00202EAF">
        <w:fldChar w:fldCharType="begin"/>
      </w:r>
      <w:r w:rsidR="004176D7">
        <w:instrText xml:space="preserve"> ADDIN EN.CITE &lt;EndNote&gt;&lt;Cite&gt;&lt;Author&gt;Newman&lt;/Author&gt;&lt;Year&gt;2016&lt;/Year&gt;&lt;RecNum&gt;9951&lt;/RecNum&gt;&lt;DisplayText&gt;[34]&lt;/DisplayText&gt;&lt;record&gt;&lt;rec-number&gt;9951&lt;/rec-number&gt;&lt;foreign-keys&gt;&lt;key app="EN" db-id="ppttsszxnv29r1e2adav29tz00fr95zpdazv" timestamp="1563972042"&gt;9951&lt;/key&gt;&lt;/foreign-keys&gt;&lt;ref-type name="Journal Article"&gt;17&lt;/ref-type&gt;&lt;contributors&gt;&lt;authors&gt;&lt;author&gt;Newman, C.&lt;/author&gt;&lt;author&gt;Shankar, R.&lt;/author&gt;&lt;author&gt;Hanna, J.&lt;/author&gt;&lt;author&gt;McLean, B.&lt;/author&gt;&lt;author&gt;Osland, A.&lt;/author&gt;&lt;author&gt;Milligan, C.&lt;/author&gt;&lt;author&gt;Ball, A.&lt;/author&gt;&lt;author&gt;Jory, C.&lt;/author&gt;&lt;author&gt;Walker, M.&lt;/author&gt;&lt;/authors&gt;&lt;/contributors&gt;&lt;auth-address&gt;Neuro-Cognitive Research Group (NeuroCoRe), Plymouth University Peninsular School of Medicine and Dentistry (PUPSMD), Plymouth, United Kingdom. craig.newman@plymouth.ac.uk.&lt;/auth-address&gt;&lt;titles&gt;&lt;title&gt;Developing an Evidence-Based Epilepsy Risk Assessment eHealth Solution: From Concept to Market&lt;/title&gt;&lt;secondary-title&gt;JMIR Res Protoc&lt;/secondary-title&gt;&lt;alt-title&gt;JMIR research protocols&lt;/alt-title&gt;&lt;/titles&gt;&lt;periodical&gt;&lt;full-title&gt;JMIR Res Protoc&lt;/full-title&gt;&lt;abbr-1&gt;JMIR research protocols&lt;/abbr-1&gt;&lt;/periodical&gt;&lt;alt-periodical&gt;&lt;full-title&gt;JMIR Res Protoc&lt;/full-title&gt;&lt;abbr-1&gt;JMIR research protocols&lt;/abbr-1&gt;&lt;/alt-periodical&gt;&lt;pages&gt;e82&lt;/pages&gt;&lt;volume&gt;5&lt;/volume&gt;&lt;number&gt;2&lt;/number&gt;&lt;edition&gt;2016/06/09&lt;/edition&gt;&lt;reprint-edition&gt;pdf&lt;/reprint-edition&gt;&lt;keywords&gt;&lt;keyword&gt;Sudep&lt;/keyword&gt;&lt;keyword&gt;eHealth&lt;/keyword&gt;&lt;keyword&gt;epilepsy&lt;/keyword&gt;&lt;keyword&gt;mhealth&lt;/keyword&gt;&lt;keyword&gt;mobile app&lt;/keyword&gt;&lt;keyword&gt;self-management&lt;/keyword&gt;&lt;keyword&gt;self-monitoring&lt;/keyword&gt;&lt;keyword&gt;smartphone&lt;/keyword&gt;&lt;/keywords&gt;&lt;dates&gt;&lt;year&gt;2016&lt;/year&gt;&lt;pub-dates&gt;&lt;date&gt;Jun 7&lt;/date&gt;&lt;/pub-dates&gt;&lt;/dates&gt;&lt;isbn&gt;1929-0748 (Print)&amp;#xD;1929-0748&lt;/isbn&gt;&lt;accession-num&gt;27269382&lt;/accession-num&gt;&lt;urls&gt;&lt;/urls&gt;&lt;custom2&gt;PMC4916330&lt;/custom2&gt;&lt;electronic-resource-num&gt;10.2196/resprot.5389&lt;/electronic-resource-num&gt;&lt;remote-database-provider&gt;NLM&lt;/remote-database-provider&gt;&lt;language&gt;eng&lt;/language&gt;&lt;/record&gt;&lt;/Cite&gt;&lt;/EndNote&gt;</w:instrText>
      </w:r>
      <w:r w:rsidR="00202EAF">
        <w:fldChar w:fldCharType="separate"/>
      </w:r>
      <w:r w:rsidR="004176D7">
        <w:rPr>
          <w:noProof/>
        </w:rPr>
        <w:t>[34]</w:t>
      </w:r>
      <w:r w:rsidR="00202EAF">
        <w:fldChar w:fldCharType="end"/>
      </w:r>
      <w:r w:rsidRPr="00F83596">
        <w:t>, then the whole country needs to learn from and follow those leads</w:t>
      </w:r>
      <w:r>
        <w:t>.  Future research should be collaborative, between the NHS and the third sector</w:t>
      </w:r>
      <w:r w:rsidRPr="00F83596">
        <w:t>.</w:t>
      </w:r>
    </w:p>
    <w:p w14:paraId="3E85CABE" w14:textId="2E7EE29A" w:rsidR="007F325E" w:rsidRDefault="007F325E" w:rsidP="00774297">
      <w:pPr>
        <w:pStyle w:val="Heading2"/>
      </w:pPr>
      <w:r>
        <w:lastRenderedPageBreak/>
        <w:t>Service provision &amp; utilization</w:t>
      </w:r>
    </w:p>
    <w:p w14:paraId="35E2A1DF" w14:textId="6C5F4BCB" w:rsidR="0003664C" w:rsidRPr="00F83596" w:rsidRDefault="00186912" w:rsidP="007073FD">
      <w:r w:rsidRPr="00F83596">
        <w:t xml:space="preserve">Epilepsy care </w:t>
      </w:r>
      <w:r w:rsidR="00196D77">
        <w:t xml:space="preserve">is shared </w:t>
      </w:r>
      <w:r w:rsidR="00A01C93">
        <w:t>between</w:t>
      </w:r>
      <w:r w:rsidRPr="00F83596">
        <w:t xml:space="preserve"> General Practitioners, hospital generalists and specialists, and epilepsy specialist nurses.</w:t>
      </w:r>
      <w:r>
        <w:t xml:space="preserve"> </w:t>
      </w:r>
      <w:r w:rsidR="001F5C87" w:rsidRPr="00F83596">
        <w:t xml:space="preserve">The average FTE GP will have between 1100 and 2200 patients on their list, the prevalence of epilepsy varies between 0.44 and 1.17 patients per 100 and so the number of PWE per FTE GP lays between 5 and 26. </w:t>
      </w:r>
    </w:p>
    <w:p w14:paraId="145542BD" w14:textId="1A672B5D" w:rsidR="0003664C" w:rsidRPr="00F83596" w:rsidRDefault="00311295" w:rsidP="007073FD">
      <w:proofErr w:type="spellStart"/>
      <w:r w:rsidRPr="00F83596">
        <w:t>QoF</w:t>
      </w:r>
      <w:proofErr w:type="spellEnd"/>
      <w:r w:rsidRPr="00F83596">
        <w:t xml:space="preserve"> </w:t>
      </w:r>
      <w:r w:rsidR="0003664C" w:rsidRPr="00F83596">
        <w:t xml:space="preserve">data </w:t>
      </w:r>
      <w:r w:rsidR="001F6B0E">
        <w:t>showed</w:t>
      </w:r>
      <w:r w:rsidR="00186912">
        <w:t xml:space="preserve"> </w:t>
      </w:r>
      <w:r w:rsidR="0003664C" w:rsidRPr="00F83596">
        <w:t xml:space="preserve">that even those in the </w:t>
      </w:r>
      <w:r w:rsidR="00B853D0">
        <w:t xml:space="preserve">highest </w:t>
      </w:r>
      <w:r w:rsidR="0003664C" w:rsidRPr="00F83596">
        <w:t>deprivation group are attending their General Practitioner at least once per year, a</w:t>
      </w:r>
      <w:r w:rsidR="00C92441">
        <w:t xml:space="preserve">nd so </w:t>
      </w:r>
      <w:r w:rsidR="0003664C" w:rsidRPr="00F83596">
        <w:t xml:space="preserve">primary care offers an opportunity for intervention </w:t>
      </w:r>
      <w:r w:rsidR="00D3482F">
        <w:fldChar w:fldCharType="begin"/>
      </w:r>
      <w:r w:rsidR="004176D7">
        <w:instrText xml:space="preserve"> ADDIN EN.CITE &lt;EndNote&gt;&lt;Cite&gt;&lt;Author&gt;Ridsdale&lt;/Author&gt;&lt;Year&gt;2015&lt;/Year&gt;&lt;RecNum&gt;9628&lt;/RecNum&gt;&lt;DisplayText&gt;[35]&lt;/DisplayText&gt;&lt;record&gt;&lt;rec-number&gt;9628&lt;/rec-number&gt;&lt;foreign-keys&gt;&lt;key app="EN" db-id="ppttsszxnv29r1e2adav29tz00fr95zpdazv" timestamp="1539895956"&gt;9628&lt;/key&gt;&lt;/foreign-keys&gt;&lt;ref-type name="Journal Article"&gt;17&lt;/ref-type&gt;&lt;contributors&gt;&lt;authors&gt;&lt;author&gt;Ridsdale, Leone&lt;/author&gt;&lt;/authors&gt;&lt;/contributors&gt;&lt;titles&gt;&lt;title&gt;Avoiding premature death in epilepsy&lt;/title&gt;&lt;secondary-title&gt;BMJ : British Medical Journal&lt;/secondary-title&gt;&lt;/titles&gt;&lt;periodical&gt;&lt;full-title&gt;BMJ : British Medical Journal&lt;/full-title&gt;&lt;/periodical&gt;&lt;volume&gt;350&lt;/volume&gt;&lt;reprint-edition&gt;pdf&lt;/reprint-edition&gt;&lt;dates&gt;&lt;year&gt;2015&lt;/year&gt;&lt;/dates&gt;&lt;urls&gt;&lt;related-urls&gt;&lt;url&gt;https://www.bmj.com/content/bmj/350/bmj.h718.full.pdf&lt;/url&gt;&lt;/related-urls&gt;&lt;/urls&gt;&lt;electronic-resource-num&gt;10.1136/bmj.h718&lt;/electronic-resource-num&gt;&lt;/record&gt;&lt;/Cite&gt;&lt;/EndNote&gt;</w:instrText>
      </w:r>
      <w:r w:rsidR="00D3482F">
        <w:fldChar w:fldCharType="separate"/>
      </w:r>
      <w:r w:rsidR="004176D7">
        <w:rPr>
          <w:noProof/>
        </w:rPr>
        <w:t>[35]</w:t>
      </w:r>
      <w:r w:rsidR="00D3482F">
        <w:fldChar w:fldCharType="end"/>
      </w:r>
      <w:r w:rsidR="00C87FCC" w:rsidRPr="00F83596">
        <w:t xml:space="preserve">. </w:t>
      </w:r>
      <w:r w:rsidR="00C92441">
        <w:t xml:space="preserve">  In </w:t>
      </w:r>
      <w:r w:rsidR="0003664C" w:rsidRPr="00F83596">
        <w:t>2004 87% of practices achieved total points for epilepsy monitoring</w:t>
      </w:r>
      <w:r w:rsidR="00C92441">
        <w:t xml:space="preserve"> and </w:t>
      </w:r>
      <w:r w:rsidR="0003664C" w:rsidRPr="00F83596">
        <w:t>in 2014 it was 100%.</w:t>
      </w:r>
      <w:r w:rsidR="00480051">
        <w:t xml:space="preserve"> </w:t>
      </w:r>
      <w:r w:rsidR="0003664C" w:rsidRPr="00F83596">
        <w:t xml:space="preserve">When incentivised, primary care </w:t>
      </w:r>
      <w:r w:rsidR="00DB73F1" w:rsidRPr="00F83596">
        <w:t xml:space="preserve">evidently </w:t>
      </w:r>
      <w:r w:rsidR="0003664C" w:rsidRPr="00F83596">
        <w:t>will identify patients</w:t>
      </w:r>
      <w:r w:rsidR="00DB73F1" w:rsidRPr="00F83596">
        <w:t xml:space="preserve"> with epilepsy and poor control</w:t>
      </w:r>
      <w:r w:rsidR="0003664C" w:rsidRPr="00F83596">
        <w:t>.</w:t>
      </w:r>
      <w:r w:rsidR="00480051">
        <w:t xml:space="preserve"> </w:t>
      </w:r>
      <w:r w:rsidR="0003664C" w:rsidRPr="00F83596">
        <w:t>In 2015</w:t>
      </w:r>
      <w:r w:rsidR="00C92441">
        <w:t xml:space="preserve"> </w:t>
      </w:r>
      <w:proofErr w:type="spellStart"/>
      <w:r w:rsidR="0003664C" w:rsidRPr="00F83596">
        <w:t>QoF</w:t>
      </w:r>
      <w:proofErr w:type="spellEnd"/>
      <w:r w:rsidR="00C92441">
        <w:t xml:space="preserve"> payment</w:t>
      </w:r>
      <w:r w:rsidR="0003664C" w:rsidRPr="00F83596">
        <w:t xml:space="preserve"> for epilepsy care was withdrawn.</w:t>
      </w:r>
      <w:r w:rsidR="00480051">
        <w:t xml:space="preserve"> </w:t>
      </w:r>
      <w:r w:rsidR="0003664C" w:rsidRPr="00F83596">
        <w:t xml:space="preserve">A recent study </w:t>
      </w:r>
      <w:r w:rsidR="00D3482F">
        <w:fldChar w:fldCharType="begin"/>
      </w:r>
      <w:r w:rsidR="004176D7">
        <w:instrText xml:space="preserve"> ADDIN EN.CITE &lt;EndNote&gt;&lt;Cite&gt;&lt;Author&gt;McCarron&lt;/Author&gt;&lt;Year&gt;2014&lt;/Year&gt;&lt;RecNum&gt;9773&lt;/RecNum&gt;&lt;DisplayText&gt;[36]&lt;/DisplayText&gt;&lt;record&gt;&lt;rec-number&gt;9773&lt;/rec-number&gt;&lt;foreign-keys&gt;&lt;key app="EN" db-id="ppttsszxnv29r1e2adav29tz00fr95zpdazv" timestamp="1552830009"&gt;9773&lt;/key&gt;&lt;/foreign-keys&gt;&lt;ref-type name="Journal Article"&gt;17&lt;/ref-type&gt;&lt;contributors&gt;&lt;authors&gt;&lt;author&gt;McCarron, Mark O.&lt;/author&gt;&lt;author&gt;Stevenson, Michael&lt;/author&gt;&lt;author&gt;Loftus, Angela M.&lt;/author&gt;&lt;author&gt;McKeown, Pascal&lt;/author&gt;&lt;/authors&gt;&lt;/contributors&gt;&lt;titles&gt;&lt;title&gt;Neurophobia among general practice trainees: The evidence, perceived causes and solutions&lt;/title&gt;&lt;secondary-title&gt;Clinical Neurology and Neurosurgery&lt;/secondary-title&gt;&lt;/titles&gt;&lt;periodical&gt;&lt;full-title&gt;Clinical Neurology and Neurosurgery&lt;/full-title&gt;&lt;/periodical&gt;&lt;pages&gt;124-128&lt;/pages&gt;&lt;volume&gt;122&lt;/volume&gt;&lt;reprint-edition&gt;pdf&lt;/reprint-edition&gt;&lt;keywords&gt;&lt;keyword&gt;NEUROPHOBIA&lt;/keyword&gt;&lt;keyword&gt;Neurology&lt;/keyword&gt;&lt;keyword&gt;General practice&lt;/keyword&gt;&lt;keyword&gt;Postgraduate education&lt;/keyword&gt;&lt;/keywords&gt;&lt;dates&gt;&lt;year&gt;2014&lt;/year&gt;&lt;pub-dates&gt;&lt;date&gt;2014/07/01/&lt;/date&gt;&lt;/pub-dates&gt;&lt;/dates&gt;&lt;isbn&gt;0303-8467&lt;/isbn&gt;&lt;urls&gt;&lt;related-urls&gt;&lt;url&gt;http://www.sciencedirect.com/science/article/pii/S0303846714001103&lt;/url&gt;&lt;/related-urls&gt;&lt;/urls&gt;&lt;electronic-resource-num&gt;https://doi.org/10.1016/j.clineuro.2014.03.021&lt;/electronic-resource-num&gt;&lt;/record&gt;&lt;/Cite&gt;&lt;/EndNote&gt;</w:instrText>
      </w:r>
      <w:r w:rsidR="00D3482F">
        <w:fldChar w:fldCharType="separate"/>
      </w:r>
      <w:r w:rsidR="004176D7">
        <w:rPr>
          <w:noProof/>
        </w:rPr>
        <w:t>[36]</w:t>
      </w:r>
      <w:r w:rsidR="00D3482F">
        <w:fldChar w:fldCharType="end"/>
      </w:r>
      <w:r w:rsidR="00480051">
        <w:t xml:space="preserve"> </w:t>
      </w:r>
      <w:r w:rsidR="0003664C" w:rsidRPr="00F83596">
        <w:t xml:space="preserve">showed that GP </w:t>
      </w:r>
      <w:r w:rsidR="0003664C" w:rsidRPr="00F83596">
        <w:rPr>
          <w:color w:val="000000"/>
          <w:shd w:val="clear" w:color="auto" w:fill="FFFFFF"/>
        </w:rPr>
        <w:t>Trainees recorded poorer knowledge, less confidence and more perceived difficulty with neurology than with any other medical specialty. Hospital and community-based neurology teaching was graded as "poor" or "very poor" by over 60% of GP trainees.</w:t>
      </w:r>
      <w:r w:rsidR="00480051">
        <w:rPr>
          <w:color w:val="000000"/>
          <w:shd w:val="clear" w:color="auto" w:fill="FFFFFF"/>
        </w:rPr>
        <w:t xml:space="preserve"> </w:t>
      </w:r>
      <w:r w:rsidR="0003664C" w:rsidRPr="00F83596">
        <w:rPr>
          <w:color w:val="000000"/>
          <w:shd w:val="clear" w:color="auto" w:fill="FFFFFF"/>
        </w:rPr>
        <w:t xml:space="preserve">If General practitioners are to take </w:t>
      </w:r>
      <w:r w:rsidR="00C92441">
        <w:rPr>
          <w:color w:val="000000"/>
          <w:shd w:val="clear" w:color="auto" w:fill="FFFFFF"/>
        </w:rPr>
        <w:t>a part i</w:t>
      </w:r>
      <w:r w:rsidR="0003664C" w:rsidRPr="00F83596">
        <w:rPr>
          <w:color w:val="000000"/>
          <w:shd w:val="clear" w:color="auto" w:fill="FFFFFF"/>
        </w:rPr>
        <w:t>n the challenge of reducing epilepsy death there needs to be acknowledgement of responsibility, education, support and the reinstitution of incentives</w:t>
      </w:r>
      <w:r w:rsidR="00AC11DA" w:rsidRPr="00F83596">
        <w:rPr>
          <w:color w:val="000000"/>
          <w:shd w:val="clear" w:color="auto" w:fill="FFFFFF"/>
        </w:rPr>
        <w:t xml:space="preserve"> like </w:t>
      </w:r>
      <w:proofErr w:type="spellStart"/>
      <w:r w:rsidR="00AC11DA" w:rsidRPr="00F83596">
        <w:rPr>
          <w:color w:val="000000"/>
          <w:shd w:val="clear" w:color="auto" w:fill="FFFFFF"/>
        </w:rPr>
        <w:t>QoF</w:t>
      </w:r>
      <w:proofErr w:type="spellEnd"/>
      <w:r w:rsidR="0003664C" w:rsidRPr="00F83596">
        <w:rPr>
          <w:color w:val="000000"/>
          <w:shd w:val="clear" w:color="auto" w:fill="FFFFFF"/>
        </w:rPr>
        <w:t>.</w:t>
      </w:r>
      <w:r w:rsidR="00480051">
        <w:rPr>
          <w:color w:val="000000"/>
          <w:shd w:val="clear" w:color="auto" w:fill="FFFFFF"/>
        </w:rPr>
        <w:t xml:space="preserve"> </w:t>
      </w:r>
      <w:r w:rsidR="0003664C" w:rsidRPr="00F83596">
        <w:rPr>
          <w:color w:val="000000"/>
          <w:shd w:val="clear" w:color="auto" w:fill="FFFFFF"/>
        </w:rPr>
        <w:t>Risk assessment tools</w:t>
      </w:r>
      <w:r w:rsidR="007E291A">
        <w:rPr>
          <w:color w:val="000000"/>
          <w:shd w:val="clear" w:color="auto" w:fill="FFFFFF"/>
        </w:rPr>
        <w:t xml:space="preserve"> already exist in this area</w:t>
      </w:r>
      <w:r w:rsidR="00307004">
        <w:rPr>
          <w:color w:val="000000"/>
          <w:shd w:val="clear" w:color="auto" w:fill="FFFFFF"/>
        </w:rPr>
        <w:t xml:space="preserve"> </w:t>
      </w:r>
      <w:r w:rsidR="00D3482F">
        <w:rPr>
          <w:color w:val="000000"/>
          <w:shd w:val="clear" w:color="auto" w:fill="FFFFFF"/>
        </w:rPr>
        <w:fldChar w:fldCharType="begin"/>
      </w:r>
      <w:r w:rsidR="004176D7">
        <w:rPr>
          <w:color w:val="000000"/>
          <w:shd w:val="clear" w:color="auto" w:fill="FFFFFF"/>
        </w:rPr>
        <w:instrText xml:space="preserve"> ADDIN EN.CITE &lt;EndNote&gt;&lt;Cite&gt;&lt;Author&gt;Shankar&lt;/Author&gt;&lt;Year&gt;2013&lt;/Year&gt;&lt;RecNum&gt;9351&lt;/RecNum&gt;&lt;DisplayText&gt;[37]&lt;/DisplayText&gt;&lt;record&gt;&lt;rec-number&gt;9351&lt;/rec-number&gt;&lt;foreign-keys&gt;&lt;key app="EN" db-id="ppttsszxnv29r1e2adav29tz00fr95zpdazv" timestamp="1521289790"&gt;9351&lt;/key&gt;&lt;/foreign-keys&gt;&lt;ref-type name="Journal Article"&gt;17&lt;/ref-type&gt;&lt;contributors&gt;&lt;authors&gt;&lt;author&gt;Shankar, Rohit&lt;/author&gt;&lt;author&gt;Cox, David&lt;/author&gt;&lt;author&gt;Jalihal, Virupakshi&lt;/author&gt;&lt;author&gt;Brown, Scott&lt;/author&gt;&lt;author&gt;Hanna, Jane&lt;/author&gt;&lt;author&gt;McLean, Brendan&lt;/author&gt;&lt;/authors&gt;&lt;/contributors&gt;&lt;titles&gt;&lt;title&gt;Sudden unexpected death in epilepsy (SUDEP): Development of a safety checklist&lt;/title&gt;&lt;secondary-title&gt;Seizure&lt;/secondary-title&gt;&lt;/titles&gt;&lt;periodical&gt;&lt;full-title&gt;Seizure&lt;/full-title&gt;&lt;/periodical&gt;&lt;pages&gt;812-817&lt;/pages&gt;&lt;volume&gt;22&lt;/volume&gt;&lt;number&gt;10&lt;/number&gt;&lt;keywords&gt;&lt;keyword&gt;Sudden unexpected death in epilepsy&lt;/keyword&gt;&lt;keyword&gt;SUDEP&lt;/keyword&gt;&lt;keyword&gt;Epilepsy deaths&lt;/keyword&gt;&lt;keyword&gt;Risk factors&lt;/keyword&gt;&lt;keyword&gt;Patient communication&lt;/keyword&gt;&lt;keyword&gt;Safety check list&lt;/keyword&gt;&lt;keyword&gt;risk&lt;/keyword&gt;&lt;keyword&gt;Adherence&lt;/keyword&gt;&lt;keyword&gt;Tonic clonic seizures&lt;/keyword&gt;&lt;/keywords&gt;&lt;dates&gt;&lt;year&gt;2013&lt;/year&gt;&lt;pub-dates&gt;&lt;date&gt;2013/12/01/&lt;/date&gt;&lt;/pub-dates&gt;&lt;/dates&gt;&lt;isbn&gt;1059-1311&lt;/isbn&gt;&lt;urls&gt;&lt;related-urls&gt;&lt;url&gt;http://www.sciencedirect.com/science/article/pii/S1059131113002215&lt;/url&gt;&lt;/related-urls&gt;&lt;/urls&gt;&lt;electronic-resource-num&gt;https://doi.org/10.1016/j.seizure.2013.07.014&lt;/electronic-resource-num&gt;&lt;/record&gt;&lt;/Cite&gt;&lt;/EndNote&gt;</w:instrText>
      </w:r>
      <w:r w:rsidR="00D3482F">
        <w:rPr>
          <w:color w:val="000000"/>
          <w:shd w:val="clear" w:color="auto" w:fill="FFFFFF"/>
        </w:rPr>
        <w:fldChar w:fldCharType="separate"/>
      </w:r>
      <w:r w:rsidR="004176D7">
        <w:rPr>
          <w:noProof/>
          <w:color w:val="000000"/>
          <w:shd w:val="clear" w:color="auto" w:fill="FFFFFF"/>
        </w:rPr>
        <w:t>[37]</w:t>
      </w:r>
      <w:r w:rsidR="00D3482F">
        <w:rPr>
          <w:color w:val="000000"/>
          <w:shd w:val="clear" w:color="auto" w:fill="FFFFFF"/>
        </w:rPr>
        <w:fldChar w:fldCharType="end"/>
      </w:r>
      <w:r w:rsidR="007E291A">
        <w:rPr>
          <w:color w:val="000000"/>
          <w:shd w:val="clear" w:color="auto" w:fill="FFFFFF"/>
        </w:rPr>
        <w:t xml:space="preserve">, which could be utilized to </w:t>
      </w:r>
      <w:r w:rsidR="0003664C" w:rsidRPr="00F83596">
        <w:rPr>
          <w:color w:val="000000"/>
          <w:shd w:val="clear" w:color="auto" w:fill="FFFFFF"/>
        </w:rPr>
        <w:t>evaluate symptoms and alert GPs to “red flags”</w:t>
      </w:r>
      <w:r w:rsidR="00307004">
        <w:rPr>
          <w:color w:val="000000"/>
          <w:shd w:val="clear" w:color="auto" w:fill="FFFFFF"/>
        </w:rPr>
        <w:t xml:space="preserve"> </w:t>
      </w:r>
      <w:r w:rsidR="00E345E7">
        <w:rPr>
          <w:color w:val="000000"/>
          <w:shd w:val="clear" w:color="auto" w:fill="FFFFFF"/>
        </w:rPr>
        <w:fldChar w:fldCharType="begin"/>
      </w:r>
      <w:r w:rsidR="004176D7">
        <w:rPr>
          <w:color w:val="000000"/>
          <w:shd w:val="clear" w:color="auto" w:fill="FFFFFF"/>
        </w:rPr>
        <w:instrText xml:space="preserve"> ADDIN EN.CITE &lt;EndNote&gt;&lt;Cite&gt;&lt;Author&gt;Shankar&lt;/Author&gt;&lt;Year&gt;2018&lt;/Year&gt;&lt;RecNum&gt;9680&lt;/RecNum&gt;&lt;DisplayText&gt;[38]&lt;/DisplayText&gt;&lt;record&gt;&lt;rec-number&gt;9680&lt;/rec-number&gt;&lt;foreign-keys&gt;&lt;key app="EN" db-id="ppttsszxnv29r1e2adav29tz00fr95zpdazv" timestamp="1540986102"&gt;9680&lt;/key&gt;&lt;/foreign-keys&gt;&lt;ref-type name="Journal Article"&gt;17&lt;/ref-type&gt;&lt;contributors&gt;&lt;authors&gt;&lt;author&gt;Shankar, R.&lt;/author&gt;&lt;author&gt;Newman, C.&lt;/author&gt;&lt;author&gt;Gales, A.&lt;/author&gt;&lt;author&gt;McLean, B. N.&lt;/author&gt;&lt;author&gt;Hanna, J.&lt;/author&gt;&lt;author&gt;Ashby, S.&lt;/author&gt;&lt;author&gt;Walker, M. C.&lt;/author&gt;&lt;author&gt;Sander, J. W.&lt;/author&gt;&lt;/authors&gt;&lt;/contributors&gt;&lt;titles&gt;&lt;title&gt;Has the Time Come to Stratify and Score SUDEP Risk to Inform People With Epilepsy of Their Changes in Safety?&lt;/title&gt;&lt;secondary-title&gt;Frontiers in Neurology&lt;/secondary-title&gt;&lt;/titles&gt;&lt;periodical&gt;&lt;full-title&gt;Frontiers in Neurology&lt;/full-title&gt;&lt;/periodical&gt;&lt;volume&gt;9&lt;/volume&gt;&lt;keywords&gt;&lt;keyword&gt;risk factors&lt;/keyword&gt;&lt;keyword&gt;communication&lt;/keyword&gt;&lt;keyword&gt;classify&lt;/keyword&gt;&lt;keyword&gt;risk assessment&lt;/keyword&gt;&lt;keyword&gt;SUDEP&lt;/keyword&gt;&lt;keyword&gt;sudden unexpected death&lt;/keyword&gt;&lt;keyword&gt;inventory&lt;/keyword&gt;&lt;keyword&gt;checklist&lt;/keyword&gt;&lt;keyword&gt;rates&lt;/keyword&gt;&lt;/keywords&gt;&lt;dates&gt;&lt;year&gt;2018&lt;/year&gt;&lt;pub-dates&gt;&lt;date&gt;Apr&lt;/date&gt;&lt;/pub-dates&gt;&lt;/dates&gt;&lt;isbn&gt;1664-2295&lt;/isbn&gt;&lt;accession-num&gt;WOS:000431033200001&lt;/accession-num&gt;&lt;urls&gt;&lt;related-urls&gt;&lt;url&gt;&amp;lt;Go to ISI&amp;gt;://WOS:000431033200001&lt;/url&gt;&lt;/related-urls&gt;&lt;/urls&gt;&lt;custom7&gt;281&lt;/custom7&gt;&lt;electronic-resource-num&gt;10.3389/fneur.2018.00281&lt;/electronic-resource-num&gt;&lt;/record&gt;&lt;/Cite&gt;&lt;/EndNote&gt;</w:instrText>
      </w:r>
      <w:r w:rsidR="00E345E7">
        <w:rPr>
          <w:color w:val="000000"/>
          <w:shd w:val="clear" w:color="auto" w:fill="FFFFFF"/>
        </w:rPr>
        <w:fldChar w:fldCharType="separate"/>
      </w:r>
      <w:r w:rsidR="004176D7">
        <w:rPr>
          <w:noProof/>
          <w:color w:val="000000"/>
          <w:shd w:val="clear" w:color="auto" w:fill="FFFFFF"/>
        </w:rPr>
        <w:t>[38]</w:t>
      </w:r>
      <w:r w:rsidR="00E345E7">
        <w:rPr>
          <w:color w:val="000000"/>
          <w:shd w:val="clear" w:color="auto" w:fill="FFFFFF"/>
        </w:rPr>
        <w:fldChar w:fldCharType="end"/>
      </w:r>
      <w:r w:rsidR="007E291A">
        <w:rPr>
          <w:color w:val="000000"/>
          <w:shd w:val="clear" w:color="auto" w:fill="FFFFFF"/>
        </w:rPr>
        <w:t xml:space="preserve"> .</w:t>
      </w:r>
    </w:p>
    <w:p w14:paraId="2EE29BE6" w14:textId="1DE1B999" w:rsidR="00154D1B" w:rsidRPr="00F83596" w:rsidRDefault="00B853D0" w:rsidP="007073FD">
      <w:r w:rsidRPr="00F83596">
        <w:t xml:space="preserve">The UK has 189 hospitals that see patients in outpatients, in Accident and </w:t>
      </w:r>
      <w:r>
        <w:t>E</w:t>
      </w:r>
      <w:r w:rsidRPr="00F83596">
        <w:t xml:space="preserve">mergency departments and can admit patients acutely </w:t>
      </w:r>
      <w:r>
        <w:fldChar w:fldCharType="begin"/>
      </w:r>
      <w:r w:rsidR="008B2939">
        <w:instrText xml:space="preserve"> ADDIN EN.CITE &lt;EndNote&gt;&lt;Cite&gt;&lt;Author&gt;Gregory&lt;/Author&gt;&lt;Year&gt;2017&lt;/Year&gt;&lt;RecNum&gt;9788&lt;/RecNum&gt;&lt;DisplayText&gt;[11]&lt;/DisplayText&gt;&lt;record&gt;&lt;rec-number&gt;9788&lt;/rec-number&gt;&lt;foreign-keys&gt;&lt;key app="EN" db-id="ppttsszxnv29r1e2adav29tz00fr95zpdazv" timestamp="1552830014"&gt;9788&lt;/key&gt;&lt;/foreign-keys&gt;&lt;ref-type name="Report"&gt;27&lt;/ref-type&gt;&lt;contributors&gt;&lt;authors&gt;&lt;author&gt;Gregory, R.&lt;/author&gt;&lt;author&gt;Nicholls, D.&lt;/author&gt;&lt;author&gt;Lawrence, J.&lt;/author&gt;&lt;/authors&gt;&lt;tertiary-authors&gt;&lt;author&gt;Association of British Neurologists&lt;/author&gt;&lt;/tertiary-authors&gt;&lt;/contributors&gt;&lt;titles&gt;&lt;title&gt;Association of British Neurologists, Acute Neurology services survey 2017&lt;/title&gt;&lt;/titles&gt;&lt;pages&gt;1-20, https://www.theabn.org/resources/abn/a/abn-acute-neurology-survey-2017.html&lt;/pages&gt;&lt;keywords&gt;&lt;keyword&gt;Workforce&lt;/keyword&gt;&lt;keyword&gt;ABN&lt;/keyword&gt;&lt;keyword&gt;Consultants&lt;/keyword&gt;&lt;keyword&gt;Neurologist&lt;/keyword&gt;&lt;keyword&gt;UK&lt;/keyword&gt;&lt;/keywords&gt;&lt;dates&gt;&lt;year&gt;2017&lt;/year&gt;&lt;pub-dates&gt;&lt;date&gt;March 2017&lt;/date&gt;&lt;/pub-dates&gt;&lt;/dates&gt;&lt;pub-location&gt;London&lt;/pub-location&gt;&lt;publisher&gt;Association of British Neurologists&lt;/publisher&gt;&lt;urls&gt;&lt;related-urls&gt;&lt;url&gt;https://www.theabn.org/resources/abn/a/abn-acute-neurology-survey-2017.html&lt;/url&gt;&lt;/related-urls&gt;&lt;/urls&gt;&lt;/record&gt;&lt;/Cite&gt;&lt;/EndNote&gt;</w:instrText>
      </w:r>
      <w:r>
        <w:fldChar w:fldCharType="separate"/>
      </w:r>
      <w:r>
        <w:rPr>
          <w:noProof/>
        </w:rPr>
        <w:t>[11]</w:t>
      </w:r>
      <w:r>
        <w:fldChar w:fldCharType="end"/>
      </w:r>
      <w:r w:rsidRPr="00F83596">
        <w:t>.</w:t>
      </w:r>
      <w:r>
        <w:t xml:space="preserve"> </w:t>
      </w:r>
      <w:r w:rsidRPr="00F83596">
        <w:t>There are 60,000 visits to A&amp;E and 40,000 admissions by PWE per year in England.</w:t>
      </w:r>
      <w:r>
        <w:t xml:space="preserve"> </w:t>
      </w:r>
      <w:r w:rsidRPr="00F83596">
        <w:t>The cost of epilepsy admission</w:t>
      </w:r>
      <w:r>
        <w:t>s</w:t>
      </w:r>
      <w:r w:rsidRPr="00F83596">
        <w:t xml:space="preserve"> to hospital </w:t>
      </w:r>
      <w:r>
        <w:t>was</w:t>
      </w:r>
      <w:r w:rsidRPr="00F83596">
        <w:t xml:space="preserve"> estimated</w:t>
      </w:r>
      <w:r>
        <w:t xml:space="preserve"> in 2012</w:t>
      </w:r>
      <w:r w:rsidRPr="00F83596">
        <w:t xml:space="preserve"> as at least £1billion </w:t>
      </w:r>
      <w:r>
        <w:fldChar w:fldCharType="begin"/>
      </w:r>
      <w:r w:rsidR="004176D7">
        <w:instrText xml:space="preserve"> ADDIN EN.CITE &lt;EndNote&gt;&lt;Cite&gt;&lt;Author&gt;The Kings Fund&lt;/Author&gt;&lt;Year&gt;2012&lt;/Year&gt;&lt;RecNum&gt;9784&lt;/RecNum&gt;&lt;DisplayText&gt;[39]&lt;/DisplayText&gt;&lt;record&gt;&lt;rec-number&gt;9784&lt;/rec-number&gt;&lt;foreign-keys&gt;&lt;key app="EN" db-id="ppttsszxnv29r1e2adav29tz00fr95zpdazv" timestamp="1552830012"&gt;9784&lt;/key&gt;&lt;/foreign-keys&gt;&lt;ref-type name="Report"&gt;27&lt;/ref-type&gt;&lt;contributors&gt;&lt;authors&gt;&lt;author&gt;The Kings Fund, &lt;/author&gt;&lt;/authors&gt;&lt;/contributors&gt;&lt;titles&gt;&lt;title&gt;Emergency Hospital Admissions for ambulatory care-sensitive conditions: identifying the potential for reductions&lt;/title&gt;&lt;/titles&gt;&lt;keywords&gt;&lt;keyword&gt;Costs&lt;/keyword&gt;&lt;keyword&gt;NHS&lt;/keyword&gt;&lt;keyword&gt;Ambulatory Care&lt;/keyword&gt;&lt;keyword&gt;emergency&lt;/keyword&gt;&lt;keyword&gt;epilepsy&lt;/keyword&gt;&lt;/keywords&gt;&lt;dates&gt;&lt;year&gt;2012&lt;/year&gt;&lt;pub-dates&gt;&lt;date&gt;April 2012&lt;/date&gt;&lt;/pub-dates&gt;&lt;/dates&gt;&lt;pub-location&gt;London, UK&lt;/pub-location&gt;&lt;publisher&gt;The Kings Fund&lt;/publisher&gt;&lt;urls&gt;&lt;related-urls&gt;&lt;url&gt;https://www.kingsfund.org.uk/sites/default/files/field/field_publication_file/data-briefing-emergency-hospital-admissions-for-ambulatory-care-sensitive-conditions-apr-2012.pdf&lt;/url&gt;&lt;/related-urls&gt;&lt;/urls&gt;&lt;/record&gt;&lt;/Cite&gt;&lt;/EndNote&gt;</w:instrText>
      </w:r>
      <w:r>
        <w:fldChar w:fldCharType="separate"/>
      </w:r>
      <w:r w:rsidR="004176D7">
        <w:rPr>
          <w:noProof/>
        </w:rPr>
        <w:t>[39]</w:t>
      </w:r>
      <w:r>
        <w:fldChar w:fldCharType="end"/>
      </w:r>
      <w:r w:rsidRPr="00F83596">
        <w:t xml:space="preserve">. </w:t>
      </w:r>
      <w:r w:rsidR="00AC11DA" w:rsidRPr="00F83596">
        <w:t>I</w:t>
      </w:r>
      <w:r w:rsidR="0003664C" w:rsidRPr="00F83596">
        <w:t xml:space="preserve">t is </w:t>
      </w:r>
      <w:r w:rsidR="007E291A">
        <w:t xml:space="preserve">also </w:t>
      </w:r>
      <w:r w:rsidR="00AC11DA" w:rsidRPr="00F83596">
        <w:t>well-</w:t>
      </w:r>
      <w:r w:rsidR="0003664C" w:rsidRPr="00F83596">
        <w:t>known that A&amp;E and admission to hospital is deprivation-related.</w:t>
      </w:r>
      <w:r w:rsidR="00480051">
        <w:t xml:space="preserve"> </w:t>
      </w:r>
      <w:r w:rsidR="0003664C" w:rsidRPr="00F83596">
        <w:t>In 2017/8, there were twice as many A&amp;E attendances (3 million attendances) for the 10% of the population living in the most deprived areas compared with the least deprived 10% (1.4 million attendances)</w:t>
      </w:r>
      <w:r w:rsidR="00C87FCC" w:rsidRPr="00F83596">
        <w:t xml:space="preserve"> </w:t>
      </w:r>
      <w:r w:rsidR="00D3482F">
        <w:rPr>
          <w:rStyle w:val="Hyperlink"/>
          <w:color w:val="auto"/>
          <w:u w:val="none"/>
        </w:rPr>
        <w:fldChar w:fldCharType="begin"/>
      </w:r>
      <w:r w:rsidR="004176D7">
        <w:rPr>
          <w:rStyle w:val="Hyperlink"/>
          <w:color w:val="auto"/>
          <w:u w:val="none"/>
        </w:rPr>
        <w:instrText xml:space="preserve"> ADDIN EN.CITE &lt;EndNote&gt;&lt;Cite&gt;&lt;Author&gt;NHS Digital&lt;/Author&gt;&lt;Year&gt;2018&lt;/Year&gt;&lt;RecNum&gt;9787&lt;/RecNum&gt;&lt;DisplayText&gt;[40]&lt;/DisplayText&gt;&lt;record&gt;&lt;rec-number&gt;9787&lt;/rec-number&gt;&lt;foreign-keys&gt;&lt;key app="EN" db-id="ppttsszxnv29r1e2adav29tz00fr95zpdazv" timestamp="1552830014"&gt;9787&lt;/key&gt;&lt;/foreign-keys&gt;&lt;ref-type name="Report"&gt;27&lt;/ref-type&gt;&lt;contributors&gt;&lt;authors&gt;&lt;author&gt;NHS Digital,&lt;/author&gt;&lt;/authors&gt;&lt;/contributors&gt;&lt;titles&gt;&lt;title&gt;Hospital Accident &amp;amp; Emergency Activity, 2017-18&lt;/title&gt;&lt;/titles&gt;&lt;pages&gt;https://digital.nhs.uk/news-and-events/latest-news/ae-attendances-increase-by-22-per-cent-in-the-last-decade&lt;/pages&gt;&lt;keywords&gt;&lt;keyword&gt;emergency&lt;/keyword&gt;&lt;keyword&gt;NHS&lt;/keyword&gt;&lt;keyword&gt;attendances&lt;/keyword&gt;&lt;keyword&gt;Utilization&lt;/keyword&gt;&lt;keyword&gt;Health services&lt;/keyword&gt;&lt;/keywords&gt;&lt;dates&gt;&lt;year&gt;2018&lt;/year&gt;&lt;pub-dates&gt;&lt;date&gt;13/09/2018&lt;/date&gt;&lt;/pub-dates&gt;&lt;/dates&gt;&lt;pub-location&gt;UK&lt;/pub-location&gt;&lt;publisher&gt;NHS Digital&lt;/publisher&gt;&lt;urls&gt;&lt;related-urls&gt;&lt;url&gt;https://digital.nhs.uk/news-and-events/latest-news/ae-attendances-increase-by-22-per-cent-in-the-last-decade &lt;/url&gt;&lt;/related-urls&gt;&lt;/urls&gt;&lt;/record&gt;&lt;/Cite&gt;&lt;/EndNote&gt;</w:instrText>
      </w:r>
      <w:r w:rsidR="00D3482F">
        <w:rPr>
          <w:rStyle w:val="Hyperlink"/>
          <w:color w:val="auto"/>
          <w:u w:val="none"/>
        </w:rPr>
        <w:fldChar w:fldCharType="separate"/>
      </w:r>
      <w:r w:rsidR="004176D7">
        <w:rPr>
          <w:rStyle w:val="Hyperlink"/>
          <w:noProof/>
          <w:color w:val="auto"/>
          <w:u w:val="none"/>
        </w:rPr>
        <w:t>[40]</w:t>
      </w:r>
      <w:r w:rsidR="00D3482F">
        <w:rPr>
          <w:rStyle w:val="Hyperlink"/>
          <w:color w:val="auto"/>
          <w:u w:val="none"/>
        </w:rPr>
        <w:fldChar w:fldCharType="end"/>
      </w:r>
      <w:r w:rsidR="00D50D68" w:rsidRPr="00F83596">
        <w:t>.</w:t>
      </w:r>
      <w:r w:rsidR="00480051">
        <w:t xml:space="preserve"> </w:t>
      </w:r>
      <w:r w:rsidR="0003664C" w:rsidRPr="00F83596">
        <w:t xml:space="preserve">If the at-risk population </w:t>
      </w:r>
      <w:r w:rsidR="00AC11DA" w:rsidRPr="00F83596">
        <w:t xml:space="preserve">with epilepsy </w:t>
      </w:r>
      <w:r w:rsidR="0003664C" w:rsidRPr="00F83596">
        <w:t>are attending</w:t>
      </w:r>
      <w:r w:rsidR="00AC11DA" w:rsidRPr="00F83596">
        <w:t xml:space="preserve"> hospital A&amp;E departments</w:t>
      </w:r>
      <w:r w:rsidR="0003664C" w:rsidRPr="00F83596">
        <w:t>, then what actually happens to the</w:t>
      </w:r>
      <w:r w:rsidR="00AC11DA" w:rsidRPr="00F83596">
        <w:t>m</w:t>
      </w:r>
      <w:r w:rsidR="0003664C" w:rsidRPr="00F83596">
        <w:t xml:space="preserve"> when they present to A&amp;E or are admitted to hospital</w:t>
      </w:r>
      <w:r w:rsidR="00AC11DA" w:rsidRPr="00F83596">
        <w:t>?</w:t>
      </w:r>
      <w:r w:rsidR="00480051">
        <w:t xml:space="preserve"> </w:t>
      </w:r>
      <w:r w:rsidR="0003664C" w:rsidRPr="00F83596">
        <w:t xml:space="preserve">The two major audits by NASH </w:t>
      </w:r>
      <w:r w:rsidR="00D3482F">
        <w:fldChar w:fldCharType="begin"/>
      </w:r>
      <w:r w:rsidR="008B2939">
        <w:instrText xml:space="preserve"> ADDIN EN.CITE &lt;EndNote&gt;&lt;Cite&gt;&lt;Author&gt;Dixon&lt;/Author&gt;&lt;Year&gt;2015&lt;/Year&gt;&lt;RecNum&gt;9632&lt;/RecNum&gt;&lt;DisplayText&gt;[12]&lt;/DisplayText&gt;&lt;record&gt;&lt;rec-number&gt;9632&lt;/rec-number&gt;&lt;foreign-keys&gt;&lt;key app="EN" db-id="ppttsszxnv29r1e2adav29tz00fr95zpdazv" timestamp="1539895957"&gt;9632&lt;/key&gt;&lt;/foreign-keys&gt;&lt;ref-type name="Journal Article"&gt;17&lt;/ref-type&gt;&lt;contributors&gt;&lt;authors&gt;&lt;author&gt;Dixon, Peter A&lt;/author&gt;&lt;author&gt;Kirkham, Jamie J&lt;/author&gt;&lt;author&gt;Marson, Anthony G&lt;/author&gt;&lt;author&gt;Pearson, Mike G&lt;/author&gt;&lt;/authors&gt;&lt;/contributors&gt;&lt;titles&gt;&lt;title&gt;National Audit of Seizure management in Hospitals (NASH): results of the national audit of adult epilepsy in the UK&lt;/title&gt;&lt;secondary-title&gt;BMJ Open&lt;/secondary-title&gt;&lt;/titles&gt;&lt;periodical&gt;&lt;full-title&gt;Bmj Open&lt;/full-title&gt;&lt;/periodical&gt;&lt;volume&gt;5&lt;/volume&gt;&lt;number&gt;3&lt;/number&gt;&lt;reprint-edition&gt;pdf&lt;/reprint-edition&gt;&lt;keywords&gt;&lt;keyword&gt;seizure&lt;/keyword&gt;&lt;keyword&gt;audit&lt;/keyword&gt;&lt;keyword&gt;Clinical&lt;/keyword&gt;&lt;keyword&gt;management&lt;/keyword&gt;&lt;/keywords&gt;&lt;dates&gt;&lt;year&gt;2015&lt;/year&gt;&lt;/dates&gt;&lt;urls&gt;&lt;related-urls&gt;&lt;url&gt;https://bmjopen.bmj.com/content/bmjopen/5/3/e007325.full.pdf&lt;/url&gt;&lt;/related-urls&gt;&lt;/urls&gt;&lt;electronic-resource-num&gt;10.1136/bmjopen-2014-007325&lt;/electronic-resource-num&gt;&lt;/record&gt;&lt;/Cite&gt;&lt;/EndNote&gt;</w:instrText>
      </w:r>
      <w:r w:rsidR="00D3482F">
        <w:fldChar w:fldCharType="separate"/>
      </w:r>
      <w:r w:rsidR="00E345E7">
        <w:rPr>
          <w:noProof/>
        </w:rPr>
        <w:t>[12]</w:t>
      </w:r>
      <w:r w:rsidR="00D3482F">
        <w:fldChar w:fldCharType="end"/>
      </w:r>
      <w:r w:rsidR="00C87FCC" w:rsidRPr="00F83596">
        <w:t xml:space="preserve"> </w:t>
      </w:r>
      <w:r w:rsidR="0003664C" w:rsidRPr="00F83596">
        <w:t xml:space="preserve">have shown </w:t>
      </w:r>
      <w:r w:rsidR="009B7090">
        <w:t xml:space="preserve">this </w:t>
      </w:r>
      <w:r w:rsidR="0003664C" w:rsidRPr="00F83596">
        <w:t>very clearly.</w:t>
      </w:r>
      <w:r w:rsidR="00480051">
        <w:t xml:space="preserve"> </w:t>
      </w:r>
      <w:r w:rsidR="00A72BFC" w:rsidRPr="00F83596">
        <w:t>I</w:t>
      </w:r>
      <w:r w:rsidR="0003664C" w:rsidRPr="00F83596">
        <w:t>n 63% there was no documentation of alcohol consumption, in 72% there was no documented discussion of future seizure management, and 78% were not seen during the admission by a specialist in their illness.</w:t>
      </w:r>
      <w:r w:rsidR="00480051">
        <w:t xml:space="preserve"> </w:t>
      </w:r>
      <w:r w:rsidR="0003664C" w:rsidRPr="00F83596">
        <w:t>Whilst 56% were not referred on to a specialist outpatient appointment, in those over 80 only 25% were referred on.</w:t>
      </w:r>
      <w:r w:rsidR="00480051">
        <w:t xml:space="preserve"> </w:t>
      </w:r>
      <w:r w:rsidR="00A72BFC" w:rsidRPr="00F83596">
        <w:t xml:space="preserve">63% of PWE presenting with seizure had not seen a specialist in the preceding year. </w:t>
      </w:r>
      <w:r w:rsidR="0003664C" w:rsidRPr="00F83596">
        <w:t xml:space="preserve">The NASH audits found the hospital assessment service to be hugely variable, </w:t>
      </w:r>
      <w:r w:rsidR="00671605" w:rsidRPr="00F83596">
        <w:t>frequently</w:t>
      </w:r>
      <w:r w:rsidR="0003664C" w:rsidRPr="00F83596">
        <w:t xml:space="preserve"> inadequate and age discriminatory.</w:t>
      </w:r>
      <w:r w:rsidR="00480051">
        <w:t xml:space="preserve"> </w:t>
      </w:r>
      <w:r w:rsidR="00AC11DA" w:rsidRPr="00F83596">
        <w:t>An opportunity to reduce unnecessary death in people with epilepsy</w:t>
      </w:r>
      <w:r w:rsidR="00A72BFC" w:rsidRPr="00F83596">
        <w:t xml:space="preserve"> in the groups most at risk</w:t>
      </w:r>
      <w:r w:rsidR="00AC11DA" w:rsidRPr="00F83596">
        <w:t xml:space="preserve"> is being missed.</w:t>
      </w:r>
    </w:p>
    <w:p w14:paraId="2AFE5BB5" w14:textId="527EE319" w:rsidR="004B5736" w:rsidRDefault="00DB6E95" w:rsidP="00D92B7D">
      <w:r w:rsidRPr="00F83596">
        <w:t xml:space="preserve">The </w:t>
      </w:r>
      <w:r w:rsidR="00A72BFC" w:rsidRPr="00F83596">
        <w:t>prevalence</w:t>
      </w:r>
      <w:r w:rsidRPr="00F83596">
        <w:t xml:space="preserve"> of neurologists and the prevalence of epilepsy</w:t>
      </w:r>
      <w:r w:rsidR="00A72BFC" w:rsidRPr="00F83596">
        <w:t xml:space="preserve"> in the UK </w:t>
      </w:r>
      <w:r w:rsidRPr="00F83596">
        <w:t>combine to give a seven-fold variation in the number of PWE per FTE neurologist in England</w:t>
      </w:r>
      <w:r w:rsidR="00C87FCC" w:rsidRPr="00F83596">
        <w:t xml:space="preserve"> </w:t>
      </w:r>
      <w:r w:rsidR="007E291A">
        <w:t>(T</w:t>
      </w:r>
      <w:r w:rsidR="00671605" w:rsidRPr="00F83596">
        <w:t>able 3</w:t>
      </w:r>
      <w:r w:rsidR="007E291A">
        <w:t>)</w:t>
      </w:r>
      <w:r w:rsidR="00C87FCC" w:rsidRPr="00F83596">
        <w:t>.</w:t>
      </w:r>
      <w:r w:rsidRPr="00F83596">
        <w:t xml:space="preserve"> </w:t>
      </w:r>
      <w:r w:rsidR="00351C07" w:rsidRPr="00F83596">
        <w:t>The gradual increase in PWE</w:t>
      </w:r>
      <w:r w:rsidR="00BF62D5">
        <w:t>,</w:t>
      </w:r>
      <w:r w:rsidR="00196D77">
        <w:t xml:space="preserve"> </w:t>
      </w:r>
      <w:r w:rsidR="00BF62D5">
        <w:t xml:space="preserve">and demands related to new treatments and regulatory requirements </w:t>
      </w:r>
      <w:r w:rsidR="00351C07" w:rsidRPr="00F83596">
        <w:t xml:space="preserve">will </w:t>
      </w:r>
      <w:r w:rsidR="00BF62D5">
        <w:t>further increase</w:t>
      </w:r>
      <w:r w:rsidR="00351C07" w:rsidRPr="00F83596">
        <w:t xml:space="preserve"> </w:t>
      </w:r>
      <w:r w:rsidR="00351C07" w:rsidRPr="00F83596">
        <w:lastRenderedPageBreak/>
        <w:t xml:space="preserve">strain on </w:t>
      </w:r>
      <w:r w:rsidR="00BF62D5">
        <w:t xml:space="preserve">those services. </w:t>
      </w:r>
      <w:r w:rsidR="00BF62D5" w:rsidRPr="00F83596">
        <w:t xml:space="preserve"> </w:t>
      </w:r>
      <w:r w:rsidRPr="00F83596">
        <w:t>In parts of the UK</w:t>
      </w:r>
      <w:r w:rsidR="00EC0BC5">
        <w:t xml:space="preserve"> </w:t>
      </w:r>
      <w:r w:rsidRPr="00F83596">
        <w:t>where neurologists have traditionally been scarce, the</w:t>
      </w:r>
      <w:r w:rsidR="00A72BFC" w:rsidRPr="00F83596">
        <w:t>n</w:t>
      </w:r>
      <w:r w:rsidRPr="00F83596">
        <w:t xml:space="preserve"> epilepsy care </w:t>
      </w:r>
      <w:r w:rsidR="00A72BFC" w:rsidRPr="00F83596">
        <w:t>may</w:t>
      </w:r>
      <w:r w:rsidRPr="00F83596">
        <w:t xml:space="preserve"> be through GPs and specialists in other conditions.</w:t>
      </w:r>
      <w:r w:rsidR="001240B1" w:rsidRPr="00F83596">
        <w:t xml:space="preserve"> It would seem intuitive that access to a neurology specialist, someone with specialist knowledge</w:t>
      </w:r>
      <w:r w:rsidR="00A72BFC" w:rsidRPr="00F83596">
        <w:t xml:space="preserve">, </w:t>
      </w:r>
      <w:r w:rsidR="001240B1" w:rsidRPr="00F83596">
        <w:t>enthusiasm</w:t>
      </w:r>
      <w:r w:rsidR="00A72BFC" w:rsidRPr="00F83596">
        <w:t xml:space="preserve"> and a willingness to teach those around them</w:t>
      </w:r>
      <w:r w:rsidR="001240B1" w:rsidRPr="00F83596">
        <w:t>, makes a difference to epilepsy care but more evidence might be demanded before reorganisation of services.</w:t>
      </w:r>
      <w:r w:rsidR="00480051">
        <w:t xml:space="preserve"> </w:t>
      </w:r>
      <w:r w:rsidR="0003664C" w:rsidRPr="00F83596">
        <w:t>The drive to minimise admission and shorten the duration of admission means that many patients will be admitted and discharged before the visiting neurologist arrives.</w:t>
      </w:r>
      <w:r w:rsidR="00480051">
        <w:t xml:space="preserve"> </w:t>
      </w:r>
      <w:r w:rsidR="00AC11DA" w:rsidRPr="00F83596">
        <w:t>A national network of epilepsy specialist nurses might help in identifying those at risk</w:t>
      </w:r>
      <w:r w:rsidR="00A72BFC" w:rsidRPr="00F83596">
        <w:t xml:space="preserve"> </w:t>
      </w:r>
      <w:r w:rsidR="00AC11DA" w:rsidRPr="00F83596">
        <w:t>and advising on the reduction of risk factors (though it should be acknowledged that their work is different to that of a neurologist) but it is inconceivable that this could be achieved when, on average, almost 3000 people with epilepsy share access to each nurse</w:t>
      </w:r>
      <w:r w:rsidR="004B5736">
        <w:t>.</w:t>
      </w:r>
    </w:p>
    <w:p w14:paraId="14DD65D0" w14:textId="143478CC" w:rsidR="00EC0BC5" w:rsidRDefault="004B5736" w:rsidP="00774297">
      <w:pPr>
        <w:pStyle w:val="Heading2"/>
      </w:pPr>
      <w:r>
        <w:t>W</w:t>
      </w:r>
      <w:r w:rsidR="00014BCD" w:rsidRPr="00F83596">
        <w:t xml:space="preserve">hat </w:t>
      </w:r>
      <w:r>
        <w:t>can</w:t>
      </w:r>
      <w:r w:rsidR="00014BCD" w:rsidRPr="00F83596">
        <w:t xml:space="preserve"> be </w:t>
      </w:r>
      <w:r w:rsidR="00EA1BD3">
        <w:t xml:space="preserve">and should be </w:t>
      </w:r>
      <w:r w:rsidR="00014BCD" w:rsidRPr="00F83596">
        <w:t>done?</w:t>
      </w:r>
    </w:p>
    <w:p w14:paraId="41A7AE33" w14:textId="66F234B3" w:rsidR="00EC0BC5" w:rsidRDefault="000F1BF3" w:rsidP="00D92B7D">
      <w:r>
        <w:t>As we</w:t>
      </w:r>
      <w:r w:rsidR="004B5736">
        <w:t xml:space="preserve"> review </w:t>
      </w:r>
      <w:r>
        <w:t xml:space="preserve">the current state of epilepsy care in the UK, we see simple </w:t>
      </w:r>
      <w:r w:rsidR="00F417F2">
        <w:t xml:space="preserve">and immediate </w:t>
      </w:r>
      <w:r>
        <w:t xml:space="preserve">changes, and larger organisational changes that would improve epilepsy care and reduce avoidable mortality. </w:t>
      </w:r>
    </w:p>
    <w:p w14:paraId="174419D4" w14:textId="64DF599D" w:rsidR="0027754F" w:rsidRPr="00F417F2" w:rsidRDefault="00EC0BC5" w:rsidP="00F417F2">
      <w:r w:rsidRPr="00F417F2">
        <w:t>Simple</w:t>
      </w:r>
      <w:r w:rsidR="00F417F2">
        <w:t xml:space="preserve"> measures</w:t>
      </w:r>
      <w:r w:rsidRPr="00F417F2">
        <w:t xml:space="preserve">: </w:t>
      </w:r>
    </w:p>
    <w:p w14:paraId="02545071" w14:textId="6171E07A" w:rsidR="00F417F2" w:rsidRPr="00F417F2" w:rsidRDefault="0027754F" w:rsidP="00A01C93">
      <w:pPr>
        <w:pStyle w:val="CommentText"/>
        <w:numPr>
          <w:ilvl w:val="0"/>
          <w:numId w:val="8"/>
        </w:numPr>
        <w:spacing w:after="0" w:line="360" w:lineRule="auto"/>
        <w:ind w:left="714" w:hanging="357"/>
        <w:rPr>
          <w:sz w:val="22"/>
          <w:szCs w:val="22"/>
        </w:rPr>
      </w:pPr>
      <w:r w:rsidRPr="00F417F2">
        <w:rPr>
          <w:sz w:val="22"/>
          <w:szCs w:val="22"/>
        </w:rPr>
        <w:t xml:space="preserve">The </w:t>
      </w:r>
      <w:r w:rsidR="000D1B4A" w:rsidRPr="00F417F2">
        <w:rPr>
          <w:sz w:val="22"/>
          <w:szCs w:val="22"/>
        </w:rPr>
        <w:t>widespread provision</w:t>
      </w:r>
      <w:r w:rsidRPr="00F417F2">
        <w:rPr>
          <w:sz w:val="22"/>
          <w:szCs w:val="22"/>
        </w:rPr>
        <w:t xml:space="preserve"> of rapid access appointments</w:t>
      </w:r>
      <w:r w:rsidR="00A01C93">
        <w:rPr>
          <w:sz w:val="22"/>
          <w:szCs w:val="22"/>
        </w:rPr>
        <w:t xml:space="preserve"> (including telephone/virtual which will often be sufficient)</w:t>
      </w:r>
      <w:r w:rsidRPr="00F417F2">
        <w:rPr>
          <w:sz w:val="22"/>
          <w:szCs w:val="22"/>
        </w:rPr>
        <w:t xml:space="preserve"> for people with an established diagnosis of epilepsy</w:t>
      </w:r>
      <w:r w:rsidR="00F417F2">
        <w:rPr>
          <w:sz w:val="22"/>
          <w:szCs w:val="22"/>
        </w:rPr>
        <w:t>.</w:t>
      </w:r>
      <w:r w:rsidRPr="00F417F2">
        <w:rPr>
          <w:sz w:val="22"/>
          <w:szCs w:val="22"/>
        </w:rPr>
        <w:t xml:space="preserve"> </w:t>
      </w:r>
    </w:p>
    <w:p w14:paraId="4FD81CC7" w14:textId="57706F16" w:rsidR="0027754F" w:rsidRPr="00F417F2" w:rsidRDefault="000D1B4A" w:rsidP="00A01C93">
      <w:pPr>
        <w:pStyle w:val="CommentText"/>
        <w:numPr>
          <w:ilvl w:val="0"/>
          <w:numId w:val="8"/>
        </w:numPr>
        <w:spacing w:after="0" w:line="360" w:lineRule="auto"/>
        <w:ind w:left="714" w:hanging="357"/>
        <w:rPr>
          <w:sz w:val="22"/>
          <w:szCs w:val="22"/>
        </w:rPr>
      </w:pPr>
      <w:r w:rsidRPr="00F417F2">
        <w:rPr>
          <w:sz w:val="22"/>
          <w:szCs w:val="22"/>
        </w:rPr>
        <w:t>Assess</w:t>
      </w:r>
      <w:r w:rsidR="0027754F" w:rsidRPr="00F417F2">
        <w:rPr>
          <w:sz w:val="22"/>
          <w:szCs w:val="22"/>
        </w:rPr>
        <w:t>ing all patients with active epileps</w:t>
      </w:r>
      <w:r w:rsidRPr="00F417F2">
        <w:rPr>
          <w:sz w:val="22"/>
          <w:szCs w:val="22"/>
        </w:rPr>
        <w:t>y, at each and every opportunity,</w:t>
      </w:r>
      <w:r w:rsidR="0027754F" w:rsidRPr="00F417F2">
        <w:rPr>
          <w:sz w:val="22"/>
          <w:szCs w:val="22"/>
        </w:rPr>
        <w:t xml:space="preserve"> for </w:t>
      </w:r>
      <w:r w:rsidR="00F417F2" w:rsidRPr="00F417F2">
        <w:rPr>
          <w:sz w:val="22"/>
          <w:szCs w:val="22"/>
        </w:rPr>
        <w:t>risk of SUDEP</w:t>
      </w:r>
      <w:r w:rsidR="00B853D0">
        <w:rPr>
          <w:sz w:val="22"/>
          <w:szCs w:val="22"/>
        </w:rPr>
        <w:t>,</w:t>
      </w:r>
      <w:r w:rsidR="00145F33">
        <w:rPr>
          <w:sz w:val="22"/>
          <w:szCs w:val="22"/>
        </w:rPr>
        <w:t xml:space="preserve"> </w:t>
      </w:r>
      <w:r w:rsidR="0027754F" w:rsidRPr="00F417F2">
        <w:rPr>
          <w:sz w:val="22"/>
          <w:szCs w:val="22"/>
        </w:rPr>
        <w:t>depression, anxiety</w:t>
      </w:r>
      <w:r w:rsidR="00F346ED" w:rsidRPr="00F417F2">
        <w:rPr>
          <w:sz w:val="22"/>
          <w:szCs w:val="22"/>
        </w:rPr>
        <w:t>,</w:t>
      </w:r>
      <w:r w:rsidR="00F417F2" w:rsidRPr="00F417F2">
        <w:rPr>
          <w:sz w:val="22"/>
          <w:szCs w:val="22"/>
        </w:rPr>
        <w:t xml:space="preserve"> </w:t>
      </w:r>
      <w:r w:rsidR="0027754F" w:rsidRPr="00F417F2">
        <w:rPr>
          <w:sz w:val="22"/>
          <w:szCs w:val="22"/>
        </w:rPr>
        <w:t>suicidality</w:t>
      </w:r>
      <w:r w:rsidR="00094E1B" w:rsidRPr="00F417F2">
        <w:rPr>
          <w:sz w:val="22"/>
          <w:szCs w:val="22"/>
        </w:rPr>
        <w:t>, alcohol and drug addiction</w:t>
      </w:r>
      <w:r w:rsidR="00F417F2" w:rsidRPr="00F417F2">
        <w:rPr>
          <w:sz w:val="22"/>
          <w:szCs w:val="22"/>
        </w:rPr>
        <w:t>.</w:t>
      </w:r>
      <w:r w:rsidR="00145F33">
        <w:rPr>
          <w:sz w:val="22"/>
          <w:szCs w:val="22"/>
        </w:rPr>
        <w:t xml:space="preserve"> </w:t>
      </w:r>
      <w:r w:rsidR="00145F33" w:rsidRPr="00145F33">
        <w:rPr>
          <w:sz w:val="22"/>
          <w:szCs w:val="22"/>
        </w:rPr>
        <w:t xml:space="preserve">Education about SUDEP, and its risk factors seems vital yet we know that  only a minority of patients are informed of this possibility and the risk factors both in the UK </w:t>
      </w:r>
      <w:r w:rsidR="00145F33" w:rsidRPr="00145F33">
        <w:rPr>
          <w:sz w:val="22"/>
          <w:szCs w:val="22"/>
        </w:rPr>
        <w:fldChar w:fldCharType="begin"/>
      </w:r>
      <w:r w:rsidR="004176D7">
        <w:rPr>
          <w:sz w:val="22"/>
          <w:szCs w:val="22"/>
        </w:rPr>
        <w:instrText xml:space="preserve"> ADDIN EN.CITE &lt;EndNote&gt;&lt;Cite&gt;&lt;Author&gt;Waddell&lt;/Author&gt;&lt;Year&gt;2013&lt;/Year&gt;&lt;RecNum&gt;7827&lt;/RecNum&gt;&lt;DisplayText&gt;[32]&lt;/DisplayText&gt;&lt;record&gt;&lt;rec-number&gt;7827&lt;/rec-number&gt;&lt;foreign-keys&gt;&lt;key app="EN" db-id="ppttsszxnv29r1e2adav29tz00fr95zpdazv" timestamp="1479146204"&gt;7827&lt;/key&gt;&lt;/foreign-keys&gt;&lt;ref-type name="Journal Article"&gt;17&lt;/ref-type&gt;&lt;contributors&gt;&lt;authors&gt;&lt;author&gt;Waddell, B.&lt;/author&gt;&lt;author&gt;McColl, K.&lt;/author&gt;&lt;author&gt;Turner, C.&lt;/author&gt;&lt;author&gt;Norman, A.&lt;/author&gt;&lt;author&gt;Coker, A.&lt;/author&gt;&lt;author&gt;White, K.&lt;/author&gt;&lt;author&gt;Roberts, R.&lt;/author&gt;&lt;author&gt;Heath, C. A.&lt;/author&gt;&lt;/authors&gt;&lt;/contributors&gt;&lt;titles&gt;&lt;title&gt;Are we discussing SUDEP?–A retrospective case note analysis&lt;/title&gt;&lt;secondary-title&gt;Seizure&lt;/secondary-title&gt;&lt;/titles&gt;&lt;periodical&gt;&lt;full-title&gt;Seizure&lt;/full-title&gt;&lt;/periodical&gt;&lt;pages&gt;74-76&lt;/pages&gt;&lt;volume&gt;22&lt;/volume&gt;&lt;number&gt;1&lt;/number&gt;&lt;reprint-edition&gt;pdf&lt;/reprint-edition&gt;&lt;keywords&gt;&lt;keyword&gt;SUDEP&lt;/keyword&gt;&lt;keyword&gt;clinical&lt;/keyword&gt;&lt;keyword&gt;retrospective&lt;/keyword&gt;&lt;keyword&gt;Informed&lt;/keyword&gt;&lt;/keywords&gt;&lt;dates&gt;&lt;year&gt;2013&lt;/year&gt;&lt;/dates&gt;&lt;isbn&gt;1059-1311&lt;/isbn&gt;&lt;urls&gt;&lt;related-urls&gt;&lt;url&gt;http://www.sciencedirect.com/science/article/pii/S1059131112002592&lt;/url&gt;&lt;/related-urls&gt;&lt;/urls&gt;&lt;electronic-resource-num&gt;http://dx.doi.org/10.1016/j.seizure.2012.09.017&lt;/electronic-resource-num&gt;&lt;/record&gt;&lt;/Cite&gt;&lt;/EndNote&gt;</w:instrText>
      </w:r>
      <w:r w:rsidR="00145F33" w:rsidRPr="00145F33">
        <w:rPr>
          <w:sz w:val="22"/>
          <w:szCs w:val="22"/>
        </w:rPr>
        <w:fldChar w:fldCharType="separate"/>
      </w:r>
      <w:r w:rsidR="004176D7">
        <w:rPr>
          <w:noProof/>
          <w:sz w:val="22"/>
          <w:szCs w:val="22"/>
        </w:rPr>
        <w:t>[32]</w:t>
      </w:r>
      <w:r w:rsidR="00145F33" w:rsidRPr="00145F33">
        <w:rPr>
          <w:sz w:val="22"/>
          <w:szCs w:val="22"/>
        </w:rPr>
        <w:fldChar w:fldCharType="end"/>
      </w:r>
      <w:r w:rsidR="00145F33" w:rsidRPr="00145F33">
        <w:rPr>
          <w:sz w:val="22"/>
          <w:szCs w:val="22"/>
        </w:rPr>
        <w:t xml:space="preserve"> and elsewhere </w:t>
      </w:r>
      <w:r w:rsidR="00145F33" w:rsidRPr="00145F33">
        <w:rPr>
          <w:sz w:val="22"/>
          <w:szCs w:val="22"/>
        </w:rPr>
        <w:fldChar w:fldCharType="begin"/>
      </w:r>
      <w:r w:rsidR="004176D7">
        <w:rPr>
          <w:sz w:val="22"/>
          <w:szCs w:val="22"/>
        </w:rPr>
        <w:instrText xml:space="preserve"> ADDIN EN.CITE &lt;EndNote&gt;&lt;Cite&gt;&lt;Author&gt;Strzelczyk&lt;/Author&gt;&lt;Year&gt;2016&lt;/Year&gt;&lt;RecNum&gt;9170&lt;/RecNum&gt;&lt;DisplayText&gt;[33]&lt;/DisplayText&gt;&lt;record&gt;&lt;rec-number&gt;9170&lt;/rec-number&gt;&lt;foreign-keys&gt;&lt;key app="EN" db-id="ppttsszxnv29r1e2adav29tz00fr95zpdazv" timestamp="1491333817"&gt;9170&lt;/key&gt;&lt;/foreign-keys&gt;&lt;ref-type name="Journal Article"&gt;17&lt;/ref-type&gt;&lt;contributors&gt;&lt;authors&gt;&lt;author&gt;Strzelczyk, Adam&lt;/author&gt;&lt;author&gt;Zschebek, Gerda&lt;/author&gt;&lt;author&gt;Bauer, Sebastian&lt;/author&gt;&lt;author&gt;Baumgartner, Christoph&lt;/author&gt;&lt;author&gt;Grond, Martin&lt;/author&gt;&lt;author&gt;Hermsen, Anke&lt;/author&gt;&lt;author&gt;Kieslich, Matthias&lt;/author&gt;&lt;author&gt;Krämer, Günter&lt;/author&gt;&lt;author&gt;Kurlemann, Gerhard&lt;/author&gt;&lt;author&gt;May, Theodor W.&lt;/author&gt;&lt;author&gt;Mayer, Thomas&lt;/author&gt;&lt;author&gt;Neubauer, Bernd A.&lt;/author&gt;&lt;author&gt;Pfäfflin, Margarete&lt;/author&gt;&lt;author&gt;Plecko, Barbara&lt;/author&gt;&lt;author&gt;Ryvlin, Philippe&lt;/author&gt;&lt;author&gt;Schubert-Bast, Susanne&lt;/author&gt;&lt;author&gt;Stefan, Hermann&lt;/author&gt;&lt;author&gt;Trinka, Eugen&lt;/author&gt;&lt;author&gt;Knake, Susanne&lt;/author&gt;&lt;author&gt;Seifart, Carola&lt;/author&gt;&lt;author&gt;Rosenow, Felix&lt;/author&gt;&lt;/authors&gt;&lt;/contributors&gt;&lt;titles&gt;&lt;title&gt;Predictors of and attitudes toward counseling about SUDEP and other epilepsy risk factors among Austrian, German, and Swiss neurologists and neuropediatricians&lt;/title&gt;&lt;secondary-title&gt;Epilepsia&lt;/secondary-title&gt;&lt;/titles&gt;&lt;periodical&gt;&lt;full-title&gt;Epilepsia&lt;/full-title&gt;&lt;/periodical&gt;&lt;pages&gt;612-620&lt;/pages&gt;&lt;volume&gt;57&lt;/volume&gt;&lt;number&gt;4&lt;/number&gt;&lt;reprint-edition&gt;not in file&lt;/reprint-edition&gt;&lt;keywords&gt;&lt;keyword&gt;Sudden unexpected death in epilepsy patients&lt;/keyword&gt;&lt;keyword&gt;Drowning&lt;/keyword&gt;&lt;keyword&gt;Driving&lt;/keyword&gt;&lt;keyword&gt;Suicide&lt;/keyword&gt;&lt;keyword&gt;Counseling&lt;/keyword&gt;&lt;keyword&gt;Epilepsy&lt;/keyword&gt;&lt;keyword&gt;SUDEP&lt;/keyword&gt;&lt;/keywords&gt;&lt;dates&gt;&lt;year&gt;2016&lt;/year&gt;&lt;/dates&gt;&lt;isbn&gt;1528-1167&lt;/isbn&gt;&lt;urls&gt;&lt;related-urls&gt;&lt;url&gt;http://dx.doi.org/10.1111/epi.13337&lt;/url&gt;&lt;/related-urls&gt;&lt;/urls&gt;&lt;electronic-resource-num&gt;10.1111/epi.13337&lt;/electronic-resource-num&gt;&lt;/record&gt;&lt;/Cite&gt;&lt;/EndNote&gt;</w:instrText>
      </w:r>
      <w:r w:rsidR="00145F33" w:rsidRPr="00145F33">
        <w:rPr>
          <w:sz w:val="22"/>
          <w:szCs w:val="22"/>
        </w:rPr>
        <w:fldChar w:fldCharType="separate"/>
      </w:r>
      <w:r w:rsidR="004176D7">
        <w:rPr>
          <w:noProof/>
          <w:sz w:val="22"/>
          <w:szCs w:val="22"/>
        </w:rPr>
        <w:t>[33]</w:t>
      </w:r>
      <w:r w:rsidR="00145F33" w:rsidRPr="00145F33">
        <w:rPr>
          <w:sz w:val="22"/>
          <w:szCs w:val="22"/>
        </w:rPr>
        <w:fldChar w:fldCharType="end"/>
      </w:r>
    </w:p>
    <w:p w14:paraId="0E47C5BE" w14:textId="77777777" w:rsidR="004D185C" w:rsidRDefault="004D185C" w:rsidP="00A01C93">
      <w:pPr>
        <w:pStyle w:val="CommentText"/>
        <w:numPr>
          <w:ilvl w:val="0"/>
          <w:numId w:val="8"/>
        </w:numPr>
        <w:spacing w:after="0" w:line="360" w:lineRule="auto"/>
        <w:ind w:left="714" w:hanging="357"/>
        <w:rPr>
          <w:sz w:val="22"/>
          <w:szCs w:val="22"/>
        </w:rPr>
      </w:pPr>
      <w:r>
        <w:rPr>
          <w:sz w:val="22"/>
          <w:szCs w:val="22"/>
        </w:rPr>
        <w:t xml:space="preserve">All people with epilepsy having an identified single first point of contact for advice if there is an increase in seizures. </w:t>
      </w:r>
    </w:p>
    <w:p w14:paraId="30D4CDCB" w14:textId="4DEA9818" w:rsidR="0027754F" w:rsidRPr="00F417F2" w:rsidRDefault="0027754F" w:rsidP="00A01C93">
      <w:pPr>
        <w:pStyle w:val="CommentText"/>
        <w:numPr>
          <w:ilvl w:val="0"/>
          <w:numId w:val="8"/>
        </w:numPr>
        <w:spacing w:after="0" w:line="360" w:lineRule="auto"/>
        <w:ind w:left="714" w:hanging="357"/>
        <w:rPr>
          <w:sz w:val="22"/>
          <w:szCs w:val="22"/>
        </w:rPr>
      </w:pPr>
      <w:r w:rsidRPr="00F417F2">
        <w:rPr>
          <w:sz w:val="22"/>
          <w:szCs w:val="22"/>
        </w:rPr>
        <w:t xml:space="preserve">Advice </w:t>
      </w:r>
      <w:r w:rsidR="00F417F2">
        <w:rPr>
          <w:sz w:val="22"/>
          <w:szCs w:val="22"/>
        </w:rPr>
        <w:t>with</w:t>
      </w:r>
      <w:r w:rsidRPr="00F417F2">
        <w:rPr>
          <w:sz w:val="22"/>
          <w:szCs w:val="22"/>
        </w:rPr>
        <w:t xml:space="preserve"> all anti-epileptic packaging</w:t>
      </w:r>
      <w:r w:rsidR="00F417F2">
        <w:rPr>
          <w:sz w:val="22"/>
          <w:szCs w:val="22"/>
        </w:rPr>
        <w:t>/prescription</w:t>
      </w:r>
      <w:r w:rsidRPr="00F417F2">
        <w:rPr>
          <w:sz w:val="22"/>
          <w:szCs w:val="22"/>
        </w:rPr>
        <w:t xml:space="preserve"> </w:t>
      </w:r>
      <w:r w:rsidR="004D185C">
        <w:rPr>
          <w:sz w:val="22"/>
          <w:szCs w:val="22"/>
        </w:rPr>
        <w:t xml:space="preserve">reinforcing the need to seek advice from their </w:t>
      </w:r>
      <w:r w:rsidRPr="00F417F2">
        <w:rPr>
          <w:sz w:val="22"/>
          <w:szCs w:val="22"/>
        </w:rPr>
        <w:t>local multi-disciplinary epilepsy team</w:t>
      </w:r>
      <w:r w:rsidR="004D185C">
        <w:rPr>
          <w:sz w:val="22"/>
          <w:szCs w:val="22"/>
        </w:rPr>
        <w:t>, GP or other nominated contact</w:t>
      </w:r>
      <w:r w:rsidRPr="00F417F2">
        <w:rPr>
          <w:sz w:val="22"/>
          <w:szCs w:val="22"/>
        </w:rPr>
        <w:t xml:space="preserve"> should there be an increase in seizures.</w:t>
      </w:r>
    </w:p>
    <w:p w14:paraId="6EE7B3DE" w14:textId="526D1706" w:rsidR="0027754F" w:rsidRPr="00F417F2" w:rsidRDefault="007604A8" w:rsidP="00A01C93">
      <w:pPr>
        <w:pStyle w:val="CommentText"/>
        <w:numPr>
          <w:ilvl w:val="0"/>
          <w:numId w:val="8"/>
        </w:numPr>
        <w:spacing w:after="0" w:line="360" w:lineRule="auto"/>
        <w:ind w:left="714" w:hanging="357"/>
        <w:rPr>
          <w:sz w:val="22"/>
          <w:szCs w:val="22"/>
        </w:rPr>
      </w:pPr>
      <w:r w:rsidRPr="00F417F2">
        <w:rPr>
          <w:sz w:val="22"/>
          <w:szCs w:val="22"/>
        </w:rPr>
        <w:t>Annual</w:t>
      </w:r>
      <w:r w:rsidR="0027754F" w:rsidRPr="00F417F2">
        <w:rPr>
          <w:sz w:val="22"/>
          <w:szCs w:val="22"/>
        </w:rPr>
        <w:t xml:space="preserve"> completion of a risk index for premature death with an alert appended to the patient’s </w:t>
      </w:r>
      <w:r w:rsidR="00F417F2">
        <w:rPr>
          <w:sz w:val="22"/>
          <w:szCs w:val="22"/>
        </w:rPr>
        <w:t>electronic patient record</w:t>
      </w:r>
    </w:p>
    <w:p w14:paraId="49EC44A8" w14:textId="187D9B84" w:rsidR="0027754F" w:rsidRPr="00F417F2" w:rsidRDefault="0027754F" w:rsidP="00A01C93">
      <w:pPr>
        <w:pStyle w:val="CommentText"/>
        <w:numPr>
          <w:ilvl w:val="0"/>
          <w:numId w:val="8"/>
        </w:numPr>
        <w:spacing w:after="0" w:line="360" w:lineRule="auto"/>
        <w:ind w:left="714" w:hanging="357"/>
        <w:rPr>
          <w:sz w:val="22"/>
          <w:szCs w:val="22"/>
        </w:rPr>
      </w:pPr>
      <w:r w:rsidRPr="00F417F2">
        <w:rPr>
          <w:sz w:val="22"/>
          <w:szCs w:val="22"/>
        </w:rPr>
        <w:t xml:space="preserve">All </w:t>
      </w:r>
      <w:r w:rsidR="00F417F2">
        <w:rPr>
          <w:sz w:val="22"/>
          <w:szCs w:val="22"/>
        </w:rPr>
        <w:t>medical/nursing</w:t>
      </w:r>
      <w:r w:rsidRPr="00F417F2">
        <w:rPr>
          <w:sz w:val="22"/>
          <w:szCs w:val="22"/>
        </w:rPr>
        <w:t xml:space="preserve"> letters to be transmitted by email to </w:t>
      </w:r>
      <w:r w:rsidR="001B4561">
        <w:rPr>
          <w:sz w:val="22"/>
          <w:szCs w:val="22"/>
        </w:rPr>
        <w:t xml:space="preserve">the GP and </w:t>
      </w:r>
      <w:r w:rsidR="001B4561" w:rsidRPr="001B4561">
        <w:rPr>
          <w:sz w:val="22"/>
          <w:szCs w:val="22"/>
        </w:rPr>
        <w:t xml:space="preserve">any clinicians known to be supporting the patient outside hospital setting </w:t>
      </w:r>
      <w:r w:rsidR="001B4561">
        <w:rPr>
          <w:sz w:val="22"/>
          <w:szCs w:val="22"/>
        </w:rPr>
        <w:t>(e.g.</w:t>
      </w:r>
      <w:r w:rsidRPr="00F417F2">
        <w:rPr>
          <w:sz w:val="22"/>
          <w:szCs w:val="22"/>
        </w:rPr>
        <w:t xml:space="preserve"> practice nurse, </w:t>
      </w:r>
      <w:r w:rsidR="001B4561">
        <w:rPr>
          <w:sz w:val="22"/>
          <w:szCs w:val="22"/>
        </w:rPr>
        <w:t xml:space="preserve">midwife, pharmacists, mental health team), </w:t>
      </w:r>
      <w:r w:rsidRPr="00F417F2">
        <w:rPr>
          <w:sz w:val="22"/>
          <w:szCs w:val="22"/>
        </w:rPr>
        <w:t>carers and the patient within 48 hours of the consultation.</w:t>
      </w:r>
    </w:p>
    <w:p w14:paraId="51635D48" w14:textId="32C10165" w:rsidR="0027754F" w:rsidRPr="001B4561" w:rsidRDefault="0027754F" w:rsidP="001B4561">
      <w:pPr>
        <w:pStyle w:val="ListParagraph"/>
        <w:numPr>
          <w:ilvl w:val="0"/>
          <w:numId w:val="8"/>
        </w:numPr>
        <w:spacing w:after="0"/>
        <w:ind w:left="714" w:hanging="357"/>
      </w:pPr>
      <w:bookmarkStart w:id="1" w:name="_Hlk14868641"/>
      <w:r w:rsidRPr="00F417F2">
        <w:t xml:space="preserve">All patients to be directed to the website of </w:t>
      </w:r>
      <w:r w:rsidR="004D185C">
        <w:t xml:space="preserve">their national or regional </w:t>
      </w:r>
      <w:r w:rsidRPr="00F417F2">
        <w:t>epilepsy charity</w:t>
      </w:r>
      <w:r w:rsidR="001B4561">
        <w:t xml:space="preserve">, which should include information about SUDEP and risks, and links to specialist charities in these areas. </w:t>
      </w:r>
    </w:p>
    <w:bookmarkEnd w:id="1"/>
    <w:p w14:paraId="6BFE7E74" w14:textId="6D4DA41D" w:rsidR="0027754F" w:rsidRDefault="0027754F" w:rsidP="00A01C93">
      <w:pPr>
        <w:pStyle w:val="CommentText"/>
        <w:numPr>
          <w:ilvl w:val="0"/>
          <w:numId w:val="8"/>
        </w:numPr>
        <w:spacing w:after="0" w:line="360" w:lineRule="auto"/>
        <w:ind w:left="714" w:hanging="357"/>
        <w:rPr>
          <w:sz w:val="22"/>
          <w:szCs w:val="22"/>
        </w:rPr>
      </w:pPr>
      <w:r w:rsidRPr="00F417F2">
        <w:rPr>
          <w:sz w:val="22"/>
          <w:szCs w:val="22"/>
        </w:rPr>
        <w:t xml:space="preserve">Clear pathways </w:t>
      </w:r>
      <w:r w:rsidR="000D1B4A" w:rsidRPr="00F417F2">
        <w:rPr>
          <w:sz w:val="22"/>
          <w:szCs w:val="22"/>
        </w:rPr>
        <w:t xml:space="preserve">and rapid referral </w:t>
      </w:r>
      <w:r w:rsidRPr="00F417F2">
        <w:rPr>
          <w:sz w:val="22"/>
          <w:szCs w:val="22"/>
        </w:rPr>
        <w:t>from Accident and Eme</w:t>
      </w:r>
      <w:r w:rsidR="000D1B4A" w:rsidRPr="00F417F2">
        <w:rPr>
          <w:sz w:val="22"/>
          <w:szCs w:val="22"/>
        </w:rPr>
        <w:t>r</w:t>
      </w:r>
      <w:r w:rsidRPr="00F417F2">
        <w:rPr>
          <w:sz w:val="22"/>
          <w:szCs w:val="22"/>
        </w:rPr>
        <w:t>gency Units to the multi-disciplinary epilepsy team</w:t>
      </w:r>
      <w:r w:rsidR="004D185C">
        <w:rPr>
          <w:sz w:val="22"/>
          <w:szCs w:val="22"/>
        </w:rPr>
        <w:t xml:space="preserve"> for any patient presenting with seizures</w:t>
      </w:r>
      <w:r w:rsidRPr="00F417F2">
        <w:rPr>
          <w:sz w:val="22"/>
          <w:szCs w:val="22"/>
        </w:rPr>
        <w:t>.</w:t>
      </w:r>
    </w:p>
    <w:p w14:paraId="78884EBB" w14:textId="3A3809D9" w:rsidR="00196D77" w:rsidRPr="00F417F2" w:rsidRDefault="00196D77" w:rsidP="00A01C93">
      <w:pPr>
        <w:pStyle w:val="CommentText"/>
        <w:numPr>
          <w:ilvl w:val="0"/>
          <w:numId w:val="8"/>
        </w:numPr>
        <w:spacing w:after="0" w:line="360" w:lineRule="auto"/>
        <w:ind w:left="714" w:hanging="357"/>
        <w:rPr>
          <w:sz w:val="22"/>
          <w:szCs w:val="22"/>
        </w:rPr>
      </w:pPr>
      <w:r>
        <w:rPr>
          <w:sz w:val="22"/>
          <w:szCs w:val="22"/>
        </w:rPr>
        <w:lastRenderedPageBreak/>
        <w:t xml:space="preserve">The restoration of reporting seizure freedom to </w:t>
      </w:r>
      <w:proofErr w:type="spellStart"/>
      <w:r>
        <w:rPr>
          <w:sz w:val="22"/>
          <w:szCs w:val="22"/>
        </w:rPr>
        <w:t>QoF</w:t>
      </w:r>
      <w:proofErr w:type="spellEnd"/>
      <w:r>
        <w:rPr>
          <w:sz w:val="22"/>
          <w:szCs w:val="22"/>
        </w:rPr>
        <w:t xml:space="preserve"> (if </w:t>
      </w:r>
      <w:proofErr w:type="spellStart"/>
      <w:r>
        <w:rPr>
          <w:sz w:val="22"/>
          <w:szCs w:val="22"/>
        </w:rPr>
        <w:t>QoF</w:t>
      </w:r>
      <w:proofErr w:type="spellEnd"/>
      <w:r>
        <w:rPr>
          <w:sz w:val="22"/>
          <w:szCs w:val="22"/>
        </w:rPr>
        <w:t xml:space="preserve"> is to continue in the General Medical Services contract).</w:t>
      </w:r>
    </w:p>
    <w:p w14:paraId="6EFDCECD" w14:textId="4657C5FF" w:rsidR="007604A8" w:rsidRDefault="007604A8" w:rsidP="007073FD">
      <w:r>
        <w:t>L</w:t>
      </w:r>
      <w:r w:rsidR="000F1BF3">
        <w:t>onger term</w:t>
      </w:r>
      <w:r w:rsidR="00EC0BC5">
        <w:t xml:space="preserve"> and organisational change</w:t>
      </w:r>
      <w:r w:rsidR="00B817D5">
        <w:t>:</w:t>
      </w:r>
      <w:r w:rsidR="000F1BF3">
        <w:t xml:space="preserve"> </w:t>
      </w:r>
    </w:p>
    <w:p w14:paraId="1F96ED82" w14:textId="4A130B12" w:rsidR="00644B51" w:rsidRPr="00F83596" w:rsidRDefault="00196D77" w:rsidP="00A01C93">
      <w:pPr>
        <w:pStyle w:val="ListParagraph"/>
        <w:numPr>
          <w:ilvl w:val="0"/>
          <w:numId w:val="9"/>
        </w:numPr>
      </w:pPr>
      <w:r>
        <w:t>E</w:t>
      </w:r>
      <w:r w:rsidR="00B853D0">
        <w:t>ach</w:t>
      </w:r>
      <w:r w:rsidR="00C4073E" w:rsidRPr="00F83596">
        <w:t xml:space="preserve"> </w:t>
      </w:r>
      <w:r w:rsidR="001B4561">
        <w:t>local health system</w:t>
      </w:r>
      <w:r w:rsidR="00EA1BD3">
        <w:t xml:space="preserve"> </w:t>
      </w:r>
      <w:r>
        <w:t>must identify</w:t>
      </w:r>
      <w:r w:rsidR="00C4073E" w:rsidRPr="00F83596">
        <w:t xml:space="preserve"> a single responsible individual that understands the causes of epilepsy, monitors deaths with </w:t>
      </w:r>
      <w:r w:rsidR="003707C3" w:rsidRPr="00F83596">
        <w:t xml:space="preserve">and from </w:t>
      </w:r>
      <w:r w:rsidR="00C4073E" w:rsidRPr="00F83596">
        <w:t xml:space="preserve">epilepsy and works to develop approaches to reduce </w:t>
      </w:r>
      <w:r w:rsidR="003707C3" w:rsidRPr="00F83596">
        <w:t>them</w:t>
      </w:r>
      <w:r w:rsidR="00C4073E" w:rsidRPr="00F83596">
        <w:t>.</w:t>
      </w:r>
      <w:r w:rsidR="00480051">
        <w:t xml:space="preserve"> </w:t>
      </w:r>
      <w:r w:rsidR="00B853D0">
        <w:t xml:space="preserve">Many more </w:t>
      </w:r>
      <w:r w:rsidR="00D3482F">
        <w:t>Epilepsy Nurse Specialists</w:t>
      </w:r>
      <w:r w:rsidR="00B853D0">
        <w:t xml:space="preserve"> </w:t>
      </w:r>
      <w:r w:rsidR="004D185C">
        <w:t xml:space="preserve">need to </w:t>
      </w:r>
      <w:r w:rsidR="00B853D0">
        <w:t>be trained and recruited</w:t>
      </w:r>
      <w:r w:rsidR="00644B51" w:rsidRPr="00F83596">
        <w:t>,</w:t>
      </w:r>
      <w:r w:rsidR="00A01C93">
        <w:t xml:space="preserve"> </w:t>
      </w:r>
      <w:r w:rsidR="00644B51" w:rsidRPr="00F83596">
        <w:t xml:space="preserve">particularly </w:t>
      </w:r>
      <w:r w:rsidR="00351C07" w:rsidRPr="00F83596">
        <w:t>in</w:t>
      </w:r>
      <w:r w:rsidR="00644B51" w:rsidRPr="00F83596">
        <w:t xml:space="preserve"> those areas of </w:t>
      </w:r>
      <w:r w:rsidR="003707C3" w:rsidRPr="00F83596">
        <w:t xml:space="preserve">high prevalence, high </w:t>
      </w:r>
      <w:r w:rsidR="00644B51" w:rsidRPr="00F83596">
        <w:t xml:space="preserve">deprivation and poor seizure freedom. </w:t>
      </w:r>
    </w:p>
    <w:p w14:paraId="2A783A34" w14:textId="7A072CB7" w:rsidR="00C4073E" w:rsidRPr="00F83596" w:rsidRDefault="00C4073E" w:rsidP="00A01C93">
      <w:pPr>
        <w:pStyle w:val="ListParagraph"/>
        <w:numPr>
          <w:ilvl w:val="0"/>
          <w:numId w:val="9"/>
        </w:numPr>
      </w:pPr>
      <w:r w:rsidRPr="00F83596">
        <w:t>For</w:t>
      </w:r>
      <w:r w:rsidR="00CB54E5">
        <w:t xml:space="preserve"> healthcare professionals</w:t>
      </w:r>
      <w:r w:rsidRPr="00F83596">
        <w:t xml:space="preserve"> </w:t>
      </w:r>
      <w:r w:rsidR="00CB54E5">
        <w:t xml:space="preserve">to whom people with epilepsy present, across secondary care and community settings </w:t>
      </w:r>
      <w:r w:rsidRPr="00F83596">
        <w:t xml:space="preserve">there needs to be education about </w:t>
      </w:r>
      <w:r w:rsidR="00196D77">
        <w:t>death</w:t>
      </w:r>
      <w:r w:rsidRPr="00F83596">
        <w:t xml:space="preserve"> in epilepsy, </w:t>
      </w:r>
      <w:r w:rsidR="00196D77">
        <w:t xml:space="preserve">particularly SUDEP, </w:t>
      </w:r>
      <w:r w:rsidR="00351C07" w:rsidRPr="00F83596">
        <w:t xml:space="preserve">uniformly comprehensive high level care, </w:t>
      </w:r>
      <w:r w:rsidRPr="00F83596">
        <w:t xml:space="preserve">and a local service that is rapidly responsive to the </w:t>
      </w:r>
      <w:r w:rsidR="00351C07" w:rsidRPr="00F83596">
        <w:t xml:space="preserve">multidisciplinary </w:t>
      </w:r>
      <w:r w:rsidRPr="00F83596">
        <w:t>needs of the patients that present to them.</w:t>
      </w:r>
      <w:r w:rsidR="00D3482F">
        <w:t xml:space="preserve"> </w:t>
      </w:r>
    </w:p>
    <w:p w14:paraId="0E707E6A" w14:textId="52619D3A" w:rsidR="007C5CB7" w:rsidRPr="00F83596" w:rsidRDefault="00351C07" w:rsidP="00A01C93">
      <w:pPr>
        <w:pStyle w:val="ListParagraph"/>
        <w:numPr>
          <w:ilvl w:val="0"/>
          <w:numId w:val="9"/>
        </w:numPr>
      </w:pPr>
      <w:r w:rsidRPr="00F83596">
        <w:t>N</w:t>
      </w:r>
      <w:r w:rsidR="00C4073E" w:rsidRPr="00F83596">
        <w:t>eurologist</w:t>
      </w:r>
      <w:r w:rsidR="003707C3" w:rsidRPr="00F83596">
        <w:t>s</w:t>
      </w:r>
      <w:r w:rsidRPr="00F83596">
        <w:t xml:space="preserve"> </w:t>
      </w:r>
      <w:r w:rsidR="00451E5E">
        <w:t>must</w:t>
      </w:r>
      <w:r w:rsidR="00B817D5">
        <w:t xml:space="preserve"> </w:t>
      </w:r>
      <w:r w:rsidRPr="00F83596">
        <w:t>have</w:t>
      </w:r>
      <w:r w:rsidR="00C4073E" w:rsidRPr="00F83596">
        <w:t xml:space="preserve"> greater involvement in the care of patients </w:t>
      </w:r>
      <w:r w:rsidR="007C5CB7" w:rsidRPr="00F83596">
        <w:t xml:space="preserve">in the community and in those </w:t>
      </w:r>
      <w:r w:rsidR="00C4073E" w:rsidRPr="00F83596">
        <w:t xml:space="preserve">arriving </w:t>
      </w:r>
      <w:r w:rsidR="007C5CB7" w:rsidRPr="00F83596">
        <w:t>at A&amp;E departments</w:t>
      </w:r>
      <w:r w:rsidR="00D3482F">
        <w:t xml:space="preserve">. Acute neurology services that are cost effective, reducing admissions and length of stay can be effective in both district general </w:t>
      </w:r>
      <w:r w:rsidR="00D3482F">
        <w:fldChar w:fldCharType="begin"/>
      </w:r>
      <w:r w:rsidR="004176D7">
        <w:instrText xml:space="preserve"> ADDIN EN.CITE &lt;EndNote&gt;&lt;Cite&gt;&lt;Author&gt;Nitkunan&lt;/Author&gt;&lt;Year&gt;2017&lt;/Year&gt;&lt;RecNum&gt;9265&lt;/RecNum&gt;&lt;DisplayText&gt;[41]&lt;/DisplayText&gt;&lt;record&gt;&lt;rec-number&gt;9265&lt;/rec-number&gt;&lt;foreign-keys&gt;&lt;key app="EN" db-id="ppttsszxnv29r1e2adav29tz00fr95zpdazv" timestamp="1503586064"&gt;9265&lt;/key&gt;&lt;/foreign-keys&gt;&lt;ref-type name="Journal Article"&gt;17&lt;/ref-type&gt;&lt;contributors&gt;&lt;authors&gt;&lt;author&gt;Nitkunan, Arani&lt;/author&gt;&lt;author&gt;MacDonald, Bridget K&lt;/author&gt;&lt;author&gt;Boodhoo, Ajay&lt;/author&gt;&lt;author&gt;Tomkins, Andrew&lt;/author&gt;&lt;author&gt;Smyth, Caitlin&lt;/author&gt;&lt;author&gt;Southam, Medina&lt;/author&gt;&lt;author&gt;Schon, Fred&lt;/author&gt;&lt;/authors&gt;&lt;/contributors&gt;&lt;titles&gt;&lt;title&gt;A hyperacute neurology team – transforming emergency neurological care&lt;/title&gt;&lt;secondary-title&gt;Clinical Medicine&lt;/secondary-title&gt;&lt;/titles&gt;&lt;periodical&gt;&lt;full-title&gt;Clinical Medicine&lt;/full-title&gt;&lt;/periodical&gt;&lt;pages&gt;298-302&lt;/pages&gt;&lt;volume&gt;17&lt;/volume&gt;&lt;number&gt;4&lt;/number&gt;&lt;reprint-edition&gt;pdf&lt;/reprint-edition&gt;&lt;keywords&gt;&lt;keyword&gt;service&lt;/keyword&gt;&lt;keyword&gt;acute neurology&lt;/keyword&gt;&lt;keyword&gt;delivery&lt;/keyword&gt;&lt;keyword&gt;epilepsy nurse&lt;/keyword&gt;&lt;keyword&gt;cost effectiveness&lt;/keyword&gt;&lt;/keywords&gt;&lt;dates&gt;&lt;year&gt;2017&lt;/year&gt;&lt;pub-dates&gt;&lt;date&gt;July 1, 2017&lt;/date&gt;&lt;/pub-dates&gt;&lt;/dates&gt;&lt;urls&gt;&lt;related-urls&gt;&lt;url&gt;http://www.clinmed.rcpjournal.org/content/17/4/298.abstract&lt;/url&gt;&lt;/related-urls&gt;&lt;/urls&gt;&lt;electronic-resource-num&gt;10.7861/clinmedicine.17-4-298&lt;/electronic-resource-num&gt;&lt;/record&gt;&lt;/Cite&gt;&lt;/EndNote&gt;</w:instrText>
      </w:r>
      <w:r w:rsidR="00D3482F">
        <w:fldChar w:fldCharType="separate"/>
      </w:r>
      <w:r w:rsidR="004176D7">
        <w:rPr>
          <w:noProof/>
        </w:rPr>
        <w:t>[41]</w:t>
      </w:r>
      <w:r w:rsidR="00D3482F">
        <w:fldChar w:fldCharType="end"/>
      </w:r>
      <w:r w:rsidR="00D3482F">
        <w:t xml:space="preserve"> and specialist centres </w:t>
      </w:r>
      <w:r w:rsidR="00D3482F">
        <w:fldChar w:fldCharType="begin"/>
      </w:r>
      <w:r w:rsidR="004176D7">
        <w:instrText xml:space="preserve"> ADDIN EN.CITE &lt;EndNote&gt;&lt;Cite&gt;&lt;Author&gt;Moodley&lt;/Author&gt;&lt;Year&gt;2018&lt;/Year&gt;&lt;RecNum&gt;9686&lt;/RecNum&gt;&lt;DisplayText&gt;[42]&lt;/DisplayText&gt;&lt;record&gt;&lt;rec-number&gt;9686&lt;/rec-number&gt;&lt;foreign-keys&gt;&lt;key app="EN" db-id="ppttsszxnv29r1e2adav29tz00fr95zpdazv" timestamp="1541675759"&gt;9686&lt;/key&gt;&lt;/foreign-keys&gt;&lt;ref-type name="Journal Article"&gt;17&lt;/ref-type&gt;&lt;contributors&gt;&lt;authors&gt;&lt;author&gt;Moodley, Kuven K&lt;/author&gt;&lt;author&gt;Nitkunan, Arani&lt;/author&gt;&lt;author&gt;Pereira, Anthony C&lt;/author&gt;&lt;/authors&gt;&lt;/contributors&gt;&lt;titles&gt;&lt;title&gt;Acute neurology: a suggested approach&lt;/title&gt;&lt;secondary-title&gt;Clinical Medicine&lt;/secondary-title&gt;&lt;/titles&gt;&lt;periodical&gt;&lt;full-title&gt;Clinical Medicine&lt;/full-title&gt;&lt;/periodical&gt;&lt;pages&gt;418-421&lt;/pages&gt;&lt;volume&gt;18&lt;/volume&gt;&lt;number&gt;5&lt;/number&gt;&lt;dates&gt;&lt;year&gt;2018&lt;/year&gt;&lt;pub-dates&gt;&lt;date&gt;October 1, 2018&lt;/date&gt;&lt;/pub-dates&gt;&lt;/dates&gt;&lt;urls&gt;&lt;related-urls&gt;&lt;url&gt;http://www.clinmed.rcpjournal.org/content/18/5/418.abstract&lt;/url&gt;&lt;/related-urls&gt;&lt;/urls&gt;&lt;electronic-resource-num&gt;10.7861/clinmedicine.18-5-418&lt;/electronic-resource-num&gt;&lt;/record&gt;&lt;/Cite&gt;&lt;/EndNote&gt;</w:instrText>
      </w:r>
      <w:r w:rsidR="00D3482F">
        <w:fldChar w:fldCharType="separate"/>
      </w:r>
      <w:r w:rsidR="004176D7">
        <w:rPr>
          <w:noProof/>
        </w:rPr>
        <w:t>[42]</w:t>
      </w:r>
      <w:r w:rsidR="00D3482F">
        <w:fldChar w:fldCharType="end"/>
      </w:r>
      <w:r w:rsidR="00D3482F">
        <w:t xml:space="preserve">. Neurologists </w:t>
      </w:r>
      <w:r w:rsidR="007C5CB7" w:rsidRPr="00F83596">
        <w:t>need to be advocates for better local services</w:t>
      </w:r>
      <w:r w:rsidR="00145F33">
        <w:t xml:space="preserve"> on behalf of their </w:t>
      </w:r>
      <w:proofErr w:type="gramStart"/>
      <w:r w:rsidR="00145F33">
        <w:t>patients</w:t>
      </w:r>
      <w:r w:rsidR="00196D77">
        <w:t>.</w:t>
      </w:r>
      <w:r w:rsidR="007C5CB7" w:rsidRPr="00F83596">
        <w:t>.</w:t>
      </w:r>
      <w:proofErr w:type="gramEnd"/>
      <w:r w:rsidR="00480051">
        <w:t xml:space="preserve"> </w:t>
      </w:r>
    </w:p>
    <w:p w14:paraId="767BB957" w14:textId="59137B34" w:rsidR="00644B51" w:rsidRDefault="00451E5E" w:rsidP="00A01C93">
      <w:pPr>
        <w:pStyle w:val="ListParagraph"/>
        <w:numPr>
          <w:ilvl w:val="0"/>
          <w:numId w:val="9"/>
        </w:numPr>
      </w:pPr>
      <w:r>
        <w:t>N</w:t>
      </w:r>
      <w:r w:rsidR="007C5CB7" w:rsidRPr="00F83596">
        <w:t xml:space="preserve">ational </w:t>
      </w:r>
      <w:r>
        <w:t xml:space="preserve">professional medical </w:t>
      </w:r>
      <w:r w:rsidR="007C5CB7" w:rsidRPr="00F83596">
        <w:t xml:space="preserve">leadership </w:t>
      </w:r>
      <w:r>
        <w:t>must</w:t>
      </w:r>
      <w:r w:rsidR="007C5CB7" w:rsidRPr="00F83596">
        <w:t xml:space="preserve"> recogni</w:t>
      </w:r>
      <w:r>
        <w:t>se</w:t>
      </w:r>
      <w:r w:rsidR="007C5CB7" w:rsidRPr="00F83596">
        <w:t xml:space="preserve"> that the service, as it currently stands, is failing too many people with epilepsy.</w:t>
      </w:r>
      <w:r w:rsidR="00480051">
        <w:t xml:space="preserve"> </w:t>
      </w:r>
      <w:bookmarkStart w:id="2" w:name="_Hlk14869161"/>
      <w:r w:rsidR="00CB54E5">
        <w:t xml:space="preserve">As an exemplar in the UK, </w:t>
      </w:r>
      <w:bookmarkEnd w:id="2"/>
      <w:r w:rsidR="00CB54E5">
        <w:t>adequate provision and appropriate distribution</w:t>
      </w:r>
      <w:r w:rsidR="00644B51" w:rsidRPr="00F83596">
        <w:t xml:space="preserve"> of </w:t>
      </w:r>
      <w:r>
        <w:t xml:space="preserve">neurology </w:t>
      </w:r>
      <w:r w:rsidR="007C5CB7" w:rsidRPr="00F83596">
        <w:t>consultant and training posts is needed if neurology i</w:t>
      </w:r>
      <w:r w:rsidR="00644B51" w:rsidRPr="00F83596">
        <w:t xml:space="preserve">s to </w:t>
      </w:r>
      <w:r>
        <w:t>provide</w:t>
      </w:r>
      <w:r w:rsidR="00644B51" w:rsidRPr="00F83596">
        <w:t xml:space="preserve"> </w:t>
      </w:r>
      <w:r w:rsidR="007C5CB7" w:rsidRPr="00F83596">
        <w:t xml:space="preserve">a national </w:t>
      </w:r>
      <w:r w:rsidR="00B853D0">
        <w:t xml:space="preserve">epilepsy </w:t>
      </w:r>
      <w:r w:rsidR="007C5CB7" w:rsidRPr="00F83596">
        <w:t>service</w:t>
      </w:r>
      <w:r w:rsidR="004D185C">
        <w:t>, with support from other healthcare professionals</w:t>
      </w:r>
      <w:r w:rsidR="00644B51" w:rsidRPr="00F83596">
        <w:t>.</w:t>
      </w:r>
      <w:r w:rsidR="00480051">
        <w:t xml:space="preserve"> </w:t>
      </w:r>
      <w:proofErr w:type="gramStart"/>
      <w:r w:rsidR="00351C07" w:rsidRPr="00F83596">
        <w:t>Alternatively</w:t>
      </w:r>
      <w:proofErr w:type="gramEnd"/>
      <w:r w:rsidR="00351C07" w:rsidRPr="00F83596">
        <w:t xml:space="preserve"> it should </w:t>
      </w:r>
      <w:r>
        <w:t xml:space="preserve">be </w:t>
      </w:r>
      <w:r w:rsidR="00351C07" w:rsidRPr="00F83596">
        <w:t>acknowledge</w:t>
      </w:r>
      <w:r>
        <w:t>d</w:t>
      </w:r>
      <w:r w:rsidR="00351C07" w:rsidRPr="00F83596">
        <w:t xml:space="preserve"> that </w:t>
      </w:r>
      <w:r>
        <w:t>neurology</w:t>
      </w:r>
      <w:r w:rsidR="00351C07" w:rsidRPr="00F83596">
        <w:t xml:space="preserve"> is unable to do that, and other specialties that are</w:t>
      </w:r>
      <w:r w:rsidR="00F957F8" w:rsidRPr="00F83596">
        <w:t xml:space="preserve"> </w:t>
      </w:r>
      <w:r w:rsidR="00351C07" w:rsidRPr="00F83596">
        <w:t xml:space="preserve">available </w:t>
      </w:r>
      <w:r w:rsidR="00F957F8" w:rsidRPr="00F83596">
        <w:t xml:space="preserve">outside of neuroscience centres </w:t>
      </w:r>
      <w:r w:rsidR="00351C07" w:rsidRPr="00F83596">
        <w:t>(</w:t>
      </w:r>
      <w:proofErr w:type="spellStart"/>
      <w:r w:rsidR="00351C07" w:rsidRPr="00F83596">
        <w:t>eg</w:t>
      </w:r>
      <w:proofErr w:type="spellEnd"/>
      <w:r w:rsidR="00351C07" w:rsidRPr="00F83596">
        <w:t xml:space="preserve"> acute</w:t>
      </w:r>
      <w:r>
        <w:t>, general</w:t>
      </w:r>
      <w:r w:rsidR="00B817D5">
        <w:t xml:space="preserve"> </w:t>
      </w:r>
      <w:r w:rsidR="00351C07" w:rsidRPr="00F83596">
        <w:t xml:space="preserve">and </w:t>
      </w:r>
      <w:r>
        <w:t>elderly care specialists</w:t>
      </w:r>
      <w:r w:rsidR="00351C07" w:rsidRPr="00F83596">
        <w:t>)</w:t>
      </w:r>
      <w:r w:rsidR="00F957F8" w:rsidRPr="00F83596">
        <w:t xml:space="preserve"> </w:t>
      </w:r>
      <w:r>
        <w:t xml:space="preserve">encouraged </w:t>
      </w:r>
      <w:r w:rsidR="00F957F8" w:rsidRPr="00F83596">
        <w:t xml:space="preserve">to </w:t>
      </w:r>
      <w:r>
        <w:t>prioritise</w:t>
      </w:r>
      <w:r w:rsidR="00F957F8" w:rsidRPr="00F83596">
        <w:t xml:space="preserve"> epilepsy care in their hospitals and communities</w:t>
      </w:r>
      <w:r w:rsidR="00145F33">
        <w:t>, working with their local epilepsy teams</w:t>
      </w:r>
      <w:r w:rsidR="00F957F8" w:rsidRPr="00F83596">
        <w:t xml:space="preserve">. Otherwise patients will continue to fall into a </w:t>
      </w:r>
      <w:r w:rsidR="00B853D0">
        <w:t xml:space="preserve">precarious </w:t>
      </w:r>
      <w:r w:rsidR="00F957F8" w:rsidRPr="00F83596">
        <w:t xml:space="preserve">gap between GP and </w:t>
      </w:r>
      <w:r w:rsidR="00B817D5">
        <w:t>special</w:t>
      </w:r>
      <w:r w:rsidR="00F957F8" w:rsidRPr="00F83596">
        <w:t>ist.</w:t>
      </w:r>
      <w:r w:rsidR="00351C07" w:rsidRPr="00F83596">
        <w:t xml:space="preserve"> </w:t>
      </w:r>
    </w:p>
    <w:p w14:paraId="12C346E2" w14:textId="65ED4406" w:rsidR="004B5736" w:rsidRPr="00F83596" w:rsidRDefault="004B5736" w:rsidP="00707A77">
      <w:pPr>
        <w:pStyle w:val="Heading1"/>
      </w:pPr>
      <w:r>
        <w:t>Conclusion</w:t>
      </w:r>
      <w:r w:rsidR="00B817D5">
        <w:t>s</w:t>
      </w:r>
    </w:p>
    <w:p w14:paraId="6D91A452" w14:textId="189B4E86" w:rsidR="004B5736" w:rsidRPr="00F417F2" w:rsidRDefault="004B5736" w:rsidP="00F417F2">
      <w:pPr>
        <w:pStyle w:val="CommentText"/>
        <w:spacing w:line="360" w:lineRule="auto"/>
        <w:rPr>
          <w:sz w:val="22"/>
          <w:szCs w:val="22"/>
        </w:rPr>
      </w:pPr>
      <w:r w:rsidRPr="00F417F2">
        <w:rPr>
          <w:sz w:val="22"/>
          <w:szCs w:val="22"/>
        </w:rPr>
        <w:t xml:space="preserve">The major causes of premature death in epilepsy have been known for </w:t>
      </w:r>
      <w:r w:rsidR="00CB54E5">
        <w:rPr>
          <w:sz w:val="22"/>
          <w:szCs w:val="22"/>
        </w:rPr>
        <w:t>over two</w:t>
      </w:r>
      <w:r w:rsidRPr="00F417F2">
        <w:rPr>
          <w:sz w:val="22"/>
          <w:szCs w:val="22"/>
        </w:rPr>
        <w:t xml:space="preserve"> decade</w:t>
      </w:r>
      <w:r w:rsidR="00CB54E5">
        <w:rPr>
          <w:sz w:val="22"/>
          <w:szCs w:val="22"/>
        </w:rPr>
        <w:t>s</w:t>
      </w:r>
      <w:r w:rsidR="002D2684">
        <w:rPr>
          <w:sz w:val="22"/>
          <w:szCs w:val="22"/>
        </w:rPr>
        <w:t>.</w:t>
      </w:r>
      <w:r w:rsidRPr="00F417F2">
        <w:rPr>
          <w:sz w:val="22"/>
          <w:szCs w:val="22"/>
        </w:rPr>
        <w:t xml:space="preserve"> Sander and Bell wrote in 2004 </w:t>
      </w:r>
      <w:r w:rsidRPr="00F417F2">
        <w:rPr>
          <w:sz w:val="22"/>
          <w:szCs w:val="22"/>
        </w:rPr>
        <w:fldChar w:fldCharType="begin"/>
      </w:r>
      <w:r w:rsidR="004176D7">
        <w:rPr>
          <w:sz w:val="22"/>
          <w:szCs w:val="22"/>
        </w:rPr>
        <w:instrText xml:space="preserve"> ADDIN EN.CITE &lt;EndNote&gt;&lt;Cite&gt;&lt;Author&gt;Sander&lt;/Author&gt;&lt;Year&gt;2004&lt;/Year&gt;&lt;RecNum&gt;9777&lt;/RecNum&gt;&lt;DisplayText&gt;[43]&lt;/DisplayText&gt;&lt;record&gt;&lt;rec-number&gt;9777&lt;/rec-number&gt;&lt;foreign-keys&gt;&lt;key app="EN" db-id="ppttsszxnv29r1e2adav29tz00fr95zpdazv" timestamp="1552830010"&gt;9777&lt;/key&gt;&lt;/foreign-keys&gt;&lt;ref-type name="Journal Article"&gt;17&lt;/ref-type&gt;&lt;contributors&gt;&lt;authors&gt;&lt;author&gt;Sander, J. W.&lt;/author&gt;&lt;author&gt;Bell, G. S.&lt;/author&gt;&lt;/authors&gt;&lt;/contributors&gt;&lt;titles&gt;&lt;title&gt;Reducing mortality: an important aim of epilepsy management&lt;/title&gt;&lt;secondary-title&gt;Journal of Neurology Neurosurgery and Psychiatry&lt;/secondary-title&gt;&lt;/titles&gt;&lt;periodical&gt;&lt;full-title&gt;Journal of Neurology Neurosurgery and Psychiatry&lt;/full-title&gt;&lt;/periodical&gt;&lt;pages&gt;349-351&lt;/pages&gt;&lt;volume&gt;75&lt;/volume&gt;&lt;number&gt;3&lt;/number&gt;&lt;reprint-edition&gt;pdf&lt;/reprint-edition&gt;&lt;keywords&gt;&lt;keyword&gt;sudden unexpected death&lt;/keyword&gt;&lt;keyword&gt;risk-factors&lt;/keyword&gt;&lt;keyword&gt;status epilepticus&lt;/keyword&gt;&lt;keyword&gt;long-term&lt;/keyword&gt;&lt;keyword&gt;suicide&lt;/keyword&gt;&lt;keyword&gt;cohort&lt;/keyword&gt;&lt;keyword&gt;definitions&lt;/keyword&gt;&lt;keyword&gt;diagnosis&lt;/keyword&gt;&lt;keyword&gt;injury&lt;/keyword&gt;&lt;keyword&gt;SUDEP&lt;/keyword&gt;&lt;/keywords&gt;&lt;dates&gt;&lt;year&gt;2004&lt;/year&gt;&lt;pub-dates&gt;&lt;date&gt;Mar&lt;/date&gt;&lt;/pub-dates&gt;&lt;/dates&gt;&lt;isbn&gt;0022-3050&lt;/isbn&gt;&lt;accession-num&gt;WOS:000188970000001&lt;/accession-num&gt;&lt;urls&gt;&lt;related-urls&gt;&lt;url&gt;&amp;lt;Go to ISI&amp;gt;://WOS:000188970000001&lt;/url&gt;&lt;/related-urls&gt;&lt;/urls&gt;&lt;electronic-resource-num&gt;10.1136/jnnp.2003.029223&lt;/electronic-resource-num&gt;&lt;/record&gt;&lt;/Cite&gt;&lt;/EndNote&gt;</w:instrText>
      </w:r>
      <w:r w:rsidRPr="00F417F2">
        <w:rPr>
          <w:sz w:val="22"/>
          <w:szCs w:val="22"/>
        </w:rPr>
        <w:fldChar w:fldCharType="separate"/>
      </w:r>
      <w:r w:rsidR="004176D7">
        <w:rPr>
          <w:noProof/>
          <w:sz w:val="22"/>
          <w:szCs w:val="22"/>
        </w:rPr>
        <w:t>[43]</w:t>
      </w:r>
      <w:r w:rsidRPr="00F417F2">
        <w:rPr>
          <w:sz w:val="22"/>
          <w:szCs w:val="22"/>
        </w:rPr>
        <w:fldChar w:fldCharType="end"/>
      </w:r>
      <w:r w:rsidRPr="00F417F2">
        <w:rPr>
          <w:sz w:val="22"/>
          <w:szCs w:val="22"/>
        </w:rPr>
        <w:t xml:space="preserve"> that “the time has come to make the reduction of mortality paramount in the management of epilepsy” </w:t>
      </w:r>
      <w:r w:rsidR="002D2684">
        <w:rPr>
          <w:sz w:val="22"/>
          <w:szCs w:val="22"/>
        </w:rPr>
        <w:t xml:space="preserve">and of </w:t>
      </w:r>
      <w:r w:rsidR="00451E5E">
        <w:rPr>
          <w:sz w:val="22"/>
          <w:szCs w:val="22"/>
        </w:rPr>
        <w:t>i</w:t>
      </w:r>
      <w:r w:rsidRPr="00F417F2">
        <w:rPr>
          <w:sz w:val="22"/>
          <w:szCs w:val="22"/>
        </w:rPr>
        <w:t>mprovements in care that might reduce avoidable death in epilepsy. The UK NHS has an obligation to treat individuals regardless of geography, wealth and social status yet, for epilepsy, it fails spectacularly, and with devastating consequence</w:t>
      </w:r>
      <w:r w:rsidR="007604A8" w:rsidRPr="00F417F2">
        <w:rPr>
          <w:sz w:val="22"/>
          <w:szCs w:val="22"/>
        </w:rPr>
        <w:t>.</w:t>
      </w:r>
      <w:r w:rsidRPr="00F417F2">
        <w:rPr>
          <w:sz w:val="22"/>
          <w:szCs w:val="22"/>
        </w:rPr>
        <w:t xml:space="preserve"> </w:t>
      </w:r>
      <w:r w:rsidRPr="00774297">
        <w:rPr>
          <w:sz w:val="22"/>
        </w:rPr>
        <w:t xml:space="preserve"> Loss of life in epilepsy can surely be reduced if at-risk patients are identified, and appropriate intervention instituted. </w:t>
      </w:r>
    </w:p>
    <w:p w14:paraId="1EB754A8" w14:textId="6B6FD406" w:rsidR="00F957F8" w:rsidRPr="00F83596" w:rsidRDefault="004F78B6" w:rsidP="007073FD">
      <w:r w:rsidRPr="00094E1B">
        <w:lastRenderedPageBreak/>
        <w:t xml:space="preserve">One can’t read of </w:t>
      </w:r>
      <w:r w:rsidR="00F957F8" w:rsidRPr="00094E1B">
        <w:t>difficulties</w:t>
      </w:r>
      <w:r w:rsidRPr="00094E1B">
        <w:t xml:space="preserve"> in epilepsy care in a National Health Service without reflecting on the importance of </w:t>
      </w:r>
      <w:r w:rsidRPr="002D2684">
        <w:t>active political intervention.</w:t>
      </w:r>
      <w:r w:rsidR="00480051" w:rsidRPr="002D2684">
        <w:t xml:space="preserve"> </w:t>
      </w:r>
      <w:r w:rsidR="0027754F" w:rsidRPr="002D2684">
        <w:t>P</w:t>
      </w:r>
      <w:r w:rsidR="00325789" w:rsidRPr="002D2684">
        <w:t>overty lead</w:t>
      </w:r>
      <w:r w:rsidR="00451E5E">
        <w:t>s</w:t>
      </w:r>
      <w:r w:rsidR="00325789" w:rsidRPr="002D2684">
        <w:t xml:space="preserve"> to epilepsy</w:t>
      </w:r>
      <w:r w:rsidR="00451E5E">
        <w:t xml:space="preserve">, and the ageing population is increasing the number living with active epilepsy.  </w:t>
      </w:r>
      <w:r w:rsidR="007604A8" w:rsidRPr="002D2684">
        <w:t>Political c</w:t>
      </w:r>
      <w:r w:rsidR="0027754F" w:rsidRPr="002D2684">
        <w:t xml:space="preserve">ommitment is needed to reduce </w:t>
      </w:r>
      <w:r w:rsidR="00145F33">
        <w:t>inequality and social</w:t>
      </w:r>
      <w:r w:rsidR="00145F33" w:rsidRPr="002D2684">
        <w:t xml:space="preserve"> </w:t>
      </w:r>
      <w:r w:rsidR="0027754F" w:rsidRPr="002D2684">
        <w:t xml:space="preserve">deprivation </w:t>
      </w:r>
      <w:r w:rsidR="00145F33">
        <w:fldChar w:fldCharType="begin"/>
      </w:r>
      <w:r w:rsidR="004176D7">
        <w:instrText xml:space="preserve"> ADDIN EN.CITE &lt;EndNote&gt;&lt;Cite&gt;&lt;Author&gt;Alston&lt;/Author&gt;&lt;Year&gt;2018&lt;/Year&gt;&lt;RecNum&gt;9782&lt;/RecNum&gt;&lt;DisplayText&gt;[44]&lt;/DisplayText&gt;&lt;record&gt;&lt;rec-number&gt;9782&lt;/rec-number&gt;&lt;foreign-keys&gt;&lt;key app="EN" db-id="ppttsszxnv29r1e2adav29tz00fr95zpdazv" timestamp="1552830011"&gt;9782&lt;/key&gt;&lt;/foreign-keys&gt;&lt;ref-type name="Report"&gt;27&lt;/ref-type&gt;&lt;contributors&gt;&lt;authors&gt;&lt;author&gt;Alston, P.&lt;/author&gt;&lt;/authors&gt;&lt;tertiary-authors&gt;&lt;author&gt;United Nations&lt;/author&gt;&lt;/tertiary-authors&gt;&lt;subsidiary-authors&gt;&lt;author&gt;Office of the High Commissioner for Human Rights&lt;/author&gt;&lt;/subsidiary-authors&gt;&lt;/contributors&gt;&lt;titles&gt;&lt;title&gt;Statement on Visit to the United Kingdom, by Professor Philip Alston, United Nations Special Rapporteur on extreme poverty and human rights&lt;/title&gt;&lt;/titles&gt;&lt;pages&gt;1-24&lt;/pages&gt;&lt;dates&gt;&lt;year&gt;2018&lt;/year&gt;&lt;pub-dates&gt;&lt;date&gt;16 Nov 2018&lt;/date&gt;&lt;/pub-dates&gt;&lt;/dates&gt;&lt;pub-location&gt;Geneva, Switzerland&lt;/pub-location&gt;&lt;publisher&gt;Office of the United Nations High Commissioner for Human Rights&lt;/publisher&gt;&lt;urls&gt;&lt;related-urls&gt;&lt;url&gt;https://www.ohchr.org/Documents/Issues/Poverty/EOM_GB_16Nov2018.pdf &lt;/url&gt;&lt;/related-urls&gt;&lt;/urls&gt;&lt;/record&gt;&lt;/Cite&gt;&lt;/EndNote&gt;</w:instrText>
      </w:r>
      <w:r w:rsidR="00145F33">
        <w:fldChar w:fldCharType="separate"/>
      </w:r>
      <w:r w:rsidR="004176D7">
        <w:rPr>
          <w:noProof/>
        </w:rPr>
        <w:t>[44]</w:t>
      </w:r>
      <w:r w:rsidR="00145F33">
        <w:fldChar w:fldCharType="end"/>
      </w:r>
      <w:r w:rsidR="00145F33">
        <w:t>, and the</w:t>
      </w:r>
      <w:r w:rsidR="00145F33" w:rsidRPr="002D2684">
        <w:t xml:space="preserve"> </w:t>
      </w:r>
      <w:r w:rsidR="0027754F" w:rsidRPr="002D2684">
        <w:t>associated illnesses contributing to the rise in the number of those living and dying with epilepsy</w:t>
      </w:r>
      <w:r w:rsidR="00145F33">
        <w:t xml:space="preserve"> alongside service improvements for those affected. </w:t>
      </w:r>
      <w:r w:rsidR="007604A8">
        <w:t xml:space="preserve"> </w:t>
      </w:r>
    </w:p>
    <w:p w14:paraId="2DFA0020" w14:textId="77777777" w:rsidR="00D3482F" w:rsidRPr="006826CF" w:rsidRDefault="00D3482F" w:rsidP="00C8569B">
      <w:pPr>
        <w:spacing w:after="0"/>
        <w:ind w:left="567" w:hanging="567"/>
      </w:pPr>
    </w:p>
    <w:p w14:paraId="3BE41D5A" w14:textId="727F56F9" w:rsidR="004176D7" w:rsidRPr="004176D7" w:rsidRDefault="00D3482F" w:rsidP="004176D7">
      <w:pPr>
        <w:pStyle w:val="EndNoteBibliography"/>
        <w:spacing w:after="0"/>
      </w:pPr>
      <w:r w:rsidRPr="006826CF">
        <w:rPr>
          <w:rFonts w:ascii="Arial" w:hAnsi="Arial" w:cs="Arial"/>
        </w:rPr>
        <w:fldChar w:fldCharType="begin"/>
      </w:r>
      <w:r w:rsidRPr="006826CF">
        <w:rPr>
          <w:rFonts w:ascii="Arial" w:hAnsi="Arial" w:cs="Arial"/>
        </w:rPr>
        <w:instrText xml:space="preserve"> ADDIN EN.REFLIST </w:instrText>
      </w:r>
      <w:r w:rsidRPr="006826CF">
        <w:rPr>
          <w:rFonts w:ascii="Arial" w:hAnsi="Arial" w:cs="Arial"/>
        </w:rPr>
        <w:fldChar w:fldCharType="separate"/>
      </w:r>
      <w:r w:rsidR="004176D7" w:rsidRPr="004176D7">
        <w:t>[1]</w:t>
      </w:r>
      <w:r w:rsidR="004176D7" w:rsidRPr="004176D7">
        <w:tab/>
        <w:t xml:space="preserve">NHS England. NHS England Annual Report 2015/16. In: NHS England Annual Report and Accounts. Leeds, UK: NHS England; 2016. p. </w:t>
      </w:r>
      <w:hyperlink r:id="rId9" w:history="1">
        <w:r w:rsidR="004176D7" w:rsidRPr="004176D7">
          <w:rPr>
            <w:rStyle w:val="Hyperlink"/>
          </w:rPr>
          <w:t>https://www.england.nhs.uk/wp-content/uploads/2016/07/nhse-annual-rep-201516.pdf</w:t>
        </w:r>
      </w:hyperlink>
      <w:r w:rsidR="004176D7" w:rsidRPr="004176D7">
        <w:t>.</w:t>
      </w:r>
    </w:p>
    <w:p w14:paraId="6CB07922" w14:textId="77777777" w:rsidR="004176D7" w:rsidRPr="004176D7" w:rsidRDefault="004176D7" w:rsidP="004176D7">
      <w:pPr>
        <w:pStyle w:val="EndNoteBibliography"/>
        <w:spacing w:after="0"/>
      </w:pPr>
      <w:r w:rsidRPr="004176D7">
        <w:t>[2]</w:t>
      </w:r>
      <w:r w:rsidRPr="004176D7">
        <w:tab/>
        <w:t>Scotland A. NHS in Scotland 2016. In. AGS/2016/9 ed. Edinburgh, Scotland; 2016. p. 1-48,.</w:t>
      </w:r>
    </w:p>
    <w:p w14:paraId="2880857D" w14:textId="703C3278" w:rsidR="004176D7" w:rsidRPr="004176D7" w:rsidRDefault="004176D7" w:rsidP="004176D7">
      <w:pPr>
        <w:pStyle w:val="EndNoteBibliography"/>
        <w:spacing w:after="0"/>
      </w:pPr>
      <w:r w:rsidRPr="004176D7">
        <w:t>[3]</w:t>
      </w:r>
      <w:r w:rsidRPr="004176D7">
        <w:tab/>
        <w:t xml:space="preserve">Public Health England. Deaths associated with neurological conditions in England 2001-2014. In. London, UK: Public Health England; 2018. p. </w:t>
      </w:r>
      <w:hyperlink r:id="rId10" w:history="1">
        <w:r w:rsidRPr="004176D7">
          <w:rPr>
            <w:rStyle w:val="Hyperlink"/>
          </w:rPr>
          <w:t>https://www.gov.uk/government/uploads/system/uploads/attachment_data/file/683998/Deaths_associated_with_neurological_conditions_data_briefing.pdf</w:t>
        </w:r>
      </w:hyperlink>
      <w:r w:rsidRPr="004176D7">
        <w:t>.</w:t>
      </w:r>
    </w:p>
    <w:p w14:paraId="0E5147BD" w14:textId="77777777" w:rsidR="004176D7" w:rsidRPr="004176D7" w:rsidRDefault="004176D7" w:rsidP="004176D7">
      <w:pPr>
        <w:pStyle w:val="EndNoteBibliography"/>
        <w:spacing w:after="0"/>
      </w:pPr>
      <w:r w:rsidRPr="004176D7">
        <w:t>[4]</w:t>
      </w:r>
      <w:r w:rsidRPr="004176D7">
        <w:tab/>
        <w:t>NICE. Quality Outcome Framework Indicators. In. UK: NICE; 2014.</w:t>
      </w:r>
    </w:p>
    <w:p w14:paraId="2B23AAFB" w14:textId="33490035" w:rsidR="004176D7" w:rsidRPr="004176D7" w:rsidRDefault="004176D7" w:rsidP="004176D7">
      <w:pPr>
        <w:pStyle w:val="EndNoteBibliography"/>
        <w:spacing w:after="0"/>
      </w:pPr>
      <w:r w:rsidRPr="004176D7">
        <w:t>[5]</w:t>
      </w:r>
      <w:r w:rsidRPr="004176D7">
        <w:tab/>
        <w:t xml:space="preserve">Public Health England. Neurological Focus Pack Tool. In: NHS England; 2014. p. </w:t>
      </w:r>
      <w:hyperlink r:id="rId11" w:history="1">
        <w:r w:rsidRPr="004176D7">
          <w:rPr>
            <w:rStyle w:val="Hyperlink"/>
          </w:rPr>
          <w:t>http://tools.england.nhs.uk/cfv2016/neurological/atlas.html</w:t>
        </w:r>
      </w:hyperlink>
      <w:r w:rsidRPr="004176D7">
        <w:t>.</w:t>
      </w:r>
    </w:p>
    <w:p w14:paraId="0078F06C" w14:textId="77777777" w:rsidR="004176D7" w:rsidRPr="004176D7" w:rsidRDefault="004176D7" w:rsidP="004176D7">
      <w:pPr>
        <w:pStyle w:val="EndNoteBibliography"/>
        <w:spacing w:after="0"/>
      </w:pPr>
      <w:r w:rsidRPr="004176D7">
        <w:t>[6]</w:t>
      </w:r>
      <w:r w:rsidRPr="004176D7">
        <w:tab/>
        <w:t>Association of British Neurologists SSC. Neurology Commissioning Toolkit. In. London, UK: Association of British Neurologists; 2016.</w:t>
      </w:r>
    </w:p>
    <w:p w14:paraId="243FF797" w14:textId="77777777" w:rsidR="004176D7" w:rsidRPr="004176D7" w:rsidRDefault="004176D7" w:rsidP="004176D7">
      <w:pPr>
        <w:pStyle w:val="EndNoteBibliography"/>
        <w:spacing w:after="0"/>
      </w:pPr>
      <w:r w:rsidRPr="004176D7">
        <w:t>[7]</w:t>
      </w:r>
      <w:r w:rsidRPr="004176D7">
        <w:tab/>
        <w:t>Mbizvo GK, Simpson CR, Duncan SE, Chin RF. Secular Trends in Sudden Unexpected Death in Epilepsy (SUDEP) and Other Epilepsy Related Deaths in adults: A Nationwide Population-Based Study. In: Epilepsia. Vienna; 2018. p. S26.</w:t>
      </w:r>
    </w:p>
    <w:p w14:paraId="66D0E9EC" w14:textId="77777777" w:rsidR="004176D7" w:rsidRPr="004176D7" w:rsidRDefault="004176D7" w:rsidP="004176D7">
      <w:pPr>
        <w:pStyle w:val="EndNoteBibliography"/>
        <w:spacing w:after="0"/>
      </w:pPr>
      <w:r w:rsidRPr="004176D7">
        <w:t>[8]</w:t>
      </w:r>
      <w:r w:rsidRPr="004176D7">
        <w:tab/>
        <w:t>Healthcare Improvement Scotland Death Certification Reveiw Service. Certitifation of Death (Scotland) Act 2011. In. Edinburgh, Scotland: Scottish Government; 2015. p. Scotland enacted legislation to change death certification in 2011 which came into effect in 20132015 . Like England and Wales certificates are scrutinised by a medical examiner who can ask the physician who completed the certificate for more information or who can examine the deceased’s case records. In addition all sudden and unexpected deaths in Scotland must be discussed with the Procurator Fiscal (Investigating Magistrate) who determines whether further information including ordering post mortem examination is required before the deceased can by buried or cremated.</w:t>
      </w:r>
    </w:p>
    <w:p w14:paraId="6C47F311" w14:textId="5AB5C7CF" w:rsidR="004176D7" w:rsidRPr="004176D7" w:rsidRDefault="004176D7" w:rsidP="004176D7">
      <w:pPr>
        <w:pStyle w:val="EndNoteBibliography"/>
        <w:spacing w:after="0"/>
      </w:pPr>
      <w:r w:rsidRPr="004176D7">
        <w:t>[9]</w:t>
      </w:r>
      <w:r w:rsidRPr="004176D7">
        <w:tab/>
        <w:t xml:space="preserve">Royal College of Physicians. Focus on Physicians: 2017-18 census (UK consultants and higher speciality trainees). In. London: Royal College of Physicians, Medical Workforce Unit; 2018. p. </w:t>
      </w:r>
      <w:hyperlink r:id="rId12" w:history="1">
        <w:r w:rsidRPr="004176D7">
          <w:rPr>
            <w:rStyle w:val="Hyperlink"/>
          </w:rPr>
          <w:t>https://www.rcplondon.ac.uk/projects/outputs/focus-physicians-2017-18-census-uk-consultants-and-higher-specialty-trainees</w:t>
        </w:r>
      </w:hyperlink>
      <w:r w:rsidRPr="004176D7">
        <w:t>.</w:t>
      </w:r>
    </w:p>
    <w:p w14:paraId="41693418" w14:textId="77777777" w:rsidR="004176D7" w:rsidRPr="004176D7" w:rsidRDefault="004176D7" w:rsidP="004176D7">
      <w:pPr>
        <w:pStyle w:val="EndNoteBibliography"/>
        <w:spacing w:after="0"/>
      </w:pPr>
      <w:r w:rsidRPr="004176D7">
        <w:t>[10]</w:t>
      </w:r>
      <w:r w:rsidRPr="004176D7">
        <w:tab/>
        <w:t>Fuller G, Lawrence J. ABN Acute neurology services survey 2014. In. London, UK; 2014.</w:t>
      </w:r>
    </w:p>
    <w:p w14:paraId="2071390F" w14:textId="341AE63C" w:rsidR="004176D7" w:rsidRPr="004176D7" w:rsidRDefault="004176D7" w:rsidP="004176D7">
      <w:pPr>
        <w:pStyle w:val="EndNoteBibliography"/>
        <w:spacing w:after="0"/>
      </w:pPr>
      <w:r w:rsidRPr="004176D7">
        <w:t>[11]</w:t>
      </w:r>
      <w:r w:rsidRPr="004176D7">
        <w:tab/>
        <w:t xml:space="preserve">Gregory R, Nicholls D, Lawrence J. Association of British Neurologists, Acute Neurology services survey 2017. In. London: Association of British Neurologists; 2017. p. 1-20, </w:t>
      </w:r>
      <w:hyperlink r:id="rId13" w:history="1">
        <w:r w:rsidRPr="004176D7">
          <w:rPr>
            <w:rStyle w:val="Hyperlink"/>
          </w:rPr>
          <w:t>https://www.theabn.org/resources/abn/a/abn-acute-neurology-survey-2017.html</w:t>
        </w:r>
      </w:hyperlink>
      <w:r w:rsidRPr="004176D7">
        <w:t>.</w:t>
      </w:r>
    </w:p>
    <w:p w14:paraId="4316EC22" w14:textId="77777777" w:rsidR="004176D7" w:rsidRPr="004176D7" w:rsidRDefault="004176D7" w:rsidP="004176D7">
      <w:pPr>
        <w:pStyle w:val="EndNoteBibliography"/>
        <w:spacing w:after="0"/>
      </w:pPr>
      <w:r w:rsidRPr="004176D7">
        <w:t>[12]</w:t>
      </w:r>
      <w:r w:rsidRPr="004176D7">
        <w:tab/>
        <w:t>Dixon PA, Kirkham JJ, Marson AG, Pearson MG. National Audit of Seizure management in Hospitals (NASH): results of the national audit of adult epilepsy in the UK. BMJ Open 2015;5.</w:t>
      </w:r>
    </w:p>
    <w:p w14:paraId="0FA1D657" w14:textId="463E05B3" w:rsidR="004176D7" w:rsidRPr="004176D7" w:rsidRDefault="004176D7" w:rsidP="004176D7">
      <w:pPr>
        <w:pStyle w:val="EndNoteBibliography"/>
        <w:spacing w:after="0"/>
      </w:pPr>
      <w:r w:rsidRPr="004176D7">
        <w:t>[13]</w:t>
      </w:r>
      <w:r w:rsidRPr="004176D7">
        <w:tab/>
        <w:t xml:space="preserve">Royal College of Physicians. Focus on Physicians: 2016-17 census (UK consultants and higher speciality trainees). In. London: Royal College of Physicians, Medical Workforce Unit; 2017. p. </w:t>
      </w:r>
      <w:hyperlink r:id="rId14" w:history="1">
        <w:r w:rsidRPr="004176D7">
          <w:rPr>
            <w:rStyle w:val="Hyperlink"/>
          </w:rPr>
          <w:t>https://www.rcplondon.ac.uk/projects/outputs/2016-17-census-uk-consultants-and-higher-specialty-trainees</w:t>
        </w:r>
      </w:hyperlink>
      <w:r w:rsidRPr="004176D7">
        <w:t>.</w:t>
      </w:r>
    </w:p>
    <w:p w14:paraId="30DA028D" w14:textId="77777777" w:rsidR="004176D7" w:rsidRPr="004176D7" w:rsidRDefault="004176D7" w:rsidP="004176D7">
      <w:pPr>
        <w:pStyle w:val="EndNoteBibliography"/>
        <w:spacing w:after="0"/>
      </w:pPr>
      <w:r w:rsidRPr="004176D7">
        <w:t>[14]</w:t>
      </w:r>
      <w:r w:rsidRPr="004176D7">
        <w:tab/>
        <w:t>Tanaka A, Akamatsu N, Shouzaki T, Toyota T, Yamano M, Nakagawa M, Tsuji S. Clinical characteristics and treatment responses in new-onset epilepsy in the elderly. Seizure-European Journal of Epilepsy 2013;22: 772-775.</w:t>
      </w:r>
    </w:p>
    <w:p w14:paraId="46BEA38B" w14:textId="77777777" w:rsidR="004176D7" w:rsidRPr="004176D7" w:rsidRDefault="004176D7" w:rsidP="004176D7">
      <w:pPr>
        <w:pStyle w:val="EndNoteBibliography"/>
        <w:spacing w:after="0"/>
      </w:pPr>
      <w:r w:rsidRPr="004176D7">
        <w:lastRenderedPageBreak/>
        <w:t>[15]</w:t>
      </w:r>
      <w:r w:rsidRPr="004176D7">
        <w:tab/>
        <w:t>Ridsdale L, Charlton J, Ashworth M, Richardson MP, Gulliford MC. Epilepsy mortality and risk factors for death in epilepsy: a population-based study. The British journal of general practice : the journal of the Royal College of General Practitioners 2011;61: e271-e278.</w:t>
      </w:r>
    </w:p>
    <w:p w14:paraId="340457E6" w14:textId="77777777" w:rsidR="004176D7" w:rsidRPr="004176D7" w:rsidRDefault="004176D7" w:rsidP="004176D7">
      <w:pPr>
        <w:pStyle w:val="EndNoteBibliography"/>
        <w:spacing w:after="0"/>
      </w:pPr>
      <w:r w:rsidRPr="004176D7">
        <w:t>[16]</w:t>
      </w:r>
      <w:r w:rsidRPr="004176D7">
        <w:tab/>
        <w:t>Pickrell WO, Lacey AS, Bodger OG, Demmler JC, Thomas RH, Lyons RA, Smith PEM, Rees MI, Kerr MP. Epilepsy and deprivation, a data linkage study. Epilepsia 2015;56: 585-591.</w:t>
      </w:r>
    </w:p>
    <w:p w14:paraId="14DBCAA2" w14:textId="77777777" w:rsidR="004176D7" w:rsidRPr="004176D7" w:rsidRDefault="004176D7" w:rsidP="004176D7">
      <w:pPr>
        <w:pStyle w:val="EndNoteBibliography"/>
        <w:spacing w:after="0"/>
      </w:pPr>
      <w:r w:rsidRPr="004176D7">
        <w:t>[17]</w:t>
      </w:r>
      <w:r w:rsidRPr="004176D7">
        <w:tab/>
        <w:t>Morgan CL, Ahmed Z, Kerr MP. Social deprivation and prevalence of epilepsy and associated health usage. Journal of Neurology Neurosurgery and Psychiatry 2000;69: 13-17.</w:t>
      </w:r>
    </w:p>
    <w:p w14:paraId="543F1CD2" w14:textId="77777777" w:rsidR="004176D7" w:rsidRPr="004176D7" w:rsidRDefault="004176D7" w:rsidP="004176D7">
      <w:pPr>
        <w:pStyle w:val="EndNoteBibliography"/>
        <w:spacing w:after="0"/>
      </w:pPr>
      <w:r w:rsidRPr="004176D7">
        <w:t>[18]</w:t>
      </w:r>
      <w:r w:rsidRPr="004176D7">
        <w:tab/>
        <w:t>Chin RFM, Stephen J, Weir CJ, Wood R. Trends in epilepsy admissions in children, 1981-2013: population-based observational study using the Scottish national hospital discharge database. Archives of Disease in Childhood 2018;103: 1042-1047.</w:t>
      </w:r>
    </w:p>
    <w:p w14:paraId="7BFAAABE" w14:textId="77777777" w:rsidR="004176D7" w:rsidRPr="004176D7" w:rsidRDefault="004176D7" w:rsidP="004176D7">
      <w:pPr>
        <w:pStyle w:val="EndNoteBibliography"/>
        <w:spacing w:after="0"/>
      </w:pPr>
      <w:r w:rsidRPr="004176D7">
        <w:t>[19]</w:t>
      </w:r>
      <w:r w:rsidRPr="004176D7">
        <w:tab/>
        <w:t>Li XJ, Sundquist J, Zoller B, Calling S, Sundquist K. Neighborhood, family, and childhood and adolescent epilepsy: A nationwide epidemiological study from Sweden. Seizure-European Journal of Epilepsy 2014;23: 62-68.</w:t>
      </w:r>
    </w:p>
    <w:p w14:paraId="5E0C3636" w14:textId="5F1942EC" w:rsidR="004176D7" w:rsidRPr="004176D7" w:rsidRDefault="004176D7" w:rsidP="004176D7">
      <w:pPr>
        <w:pStyle w:val="EndNoteBibliography"/>
        <w:spacing w:after="0"/>
      </w:pPr>
      <w:r w:rsidRPr="004176D7">
        <w:t>[20]</w:t>
      </w:r>
      <w:r w:rsidRPr="004176D7">
        <w:tab/>
        <w:t>Office of National Statistics. Deprivation and leading cause of death England and Wales 2016 ILondon, UK; 2017. https://www.ons.gov.uk</w:t>
      </w:r>
      <w:r>
        <w:t xml:space="preserve">  </w:t>
      </w:r>
    </w:p>
    <w:p w14:paraId="3B0DB4B5" w14:textId="77777777" w:rsidR="004176D7" w:rsidRPr="004176D7" w:rsidRDefault="004176D7" w:rsidP="004176D7">
      <w:pPr>
        <w:pStyle w:val="EndNoteBibliography"/>
        <w:spacing w:after="0"/>
      </w:pPr>
      <w:r w:rsidRPr="004176D7">
        <w:t>[21]</w:t>
      </w:r>
      <w:r w:rsidRPr="004176D7">
        <w:tab/>
        <w:t>Dunn L, Henry J, Beard D. Social deprivation and adult head injury: a national study. Journal of Neurology Neurosurgery and Psychiatry 2003;74: 1060-1064.</w:t>
      </w:r>
    </w:p>
    <w:p w14:paraId="5CD4B7EE" w14:textId="692D92A7" w:rsidR="004176D7" w:rsidRPr="004176D7" w:rsidRDefault="004176D7" w:rsidP="004176D7">
      <w:pPr>
        <w:pStyle w:val="EndNoteBibliography"/>
        <w:spacing w:after="0"/>
      </w:pPr>
      <w:r w:rsidRPr="004176D7">
        <w:t>[22]</w:t>
      </w:r>
      <w:r w:rsidRPr="004176D7">
        <w:tab/>
        <w:t xml:space="preserve">NHS Digital. Hospital Accident and emergency Activity, 2016-17. In: Hospital Accident and emergency Activity. UK: NHS Digital; 2017. p. </w:t>
      </w:r>
      <w:hyperlink r:id="rId15" w:history="1">
        <w:r w:rsidRPr="004176D7">
          <w:rPr>
            <w:rStyle w:val="Hyperlink"/>
          </w:rPr>
          <w:t>https://digital.nhs.uk/data-and-information/publications/statistical/hospital-accident--emergency-activity/2016-17</w:t>
        </w:r>
      </w:hyperlink>
      <w:r w:rsidRPr="004176D7">
        <w:t>.</w:t>
      </w:r>
    </w:p>
    <w:p w14:paraId="2AB06DA2" w14:textId="77777777" w:rsidR="004176D7" w:rsidRPr="004176D7" w:rsidRDefault="004176D7" w:rsidP="004176D7">
      <w:pPr>
        <w:pStyle w:val="EndNoteBibliography"/>
        <w:spacing w:after="0"/>
      </w:pPr>
      <w:r w:rsidRPr="004176D7">
        <w:t>[23]</w:t>
      </w:r>
      <w:r w:rsidRPr="004176D7">
        <w:tab/>
        <w:t>Marmot M. The Health Gap. 1st ed. London, UK: Bloomsbury Publishing; 2015.</w:t>
      </w:r>
    </w:p>
    <w:p w14:paraId="19BB906A" w14:textId="77777777" w:rsidR="004176D7" w:rsidRPr="004176D7" w:rsidRDefault="004176D7" w:rsidP="004176D7">
      <w:pPr>
        <w:pStyle w:val="EndNoteBibliography"/>
        <w:spacing w:after="0"/>
      </w:pPr>
      <w:r w:rsidRPr="004176D7">
        <w:t>[24]</w:t>
      </w:r>
      <w:r w:rsidRPr="004176D7">
        <w:tab/>
        <w:t>Bell GS, Gaitatzis A, Johnson AL, Sander JW. Predictive value of death certification in the case ascertainment of epilepsy. Journal of Neurology Neurosurgery and Psychiatry 2004;75: 1756-1758.</w:t>
      </w:r>
    </w:p>
    <w:p w14:paraId="50B4014E" w14:textId="77777777" w:rsidR="004176D7" w:rsidRPr="004176D7" w:rsidRDefault="004176D7" w:rsidP="004176D7">
      <w:pPr>
        <w:pStyle w:val="EndNoteBibliography"/>
        <w:spacing w:after="0"/>
      </w:pPr>
      <w:r w:rsidRPr="004176D7">
        <w:t>[25]</w:t>
      </w:r>
      <w:r w:rsidRPr="004176D7">
        <w:tab/>
        <w:t>Oto M. The misdiagnosis of epilepsy: Appraising risks and managing uncertainty. Seizure 2017;44: 143-146.</w:t>
      </w:r>
    </w:p>
    <w:p w14:paraId="0CC76D75" w14:textId="77777777" w:rsidR="004176D7" w:rsidRPr="004176D7" w:rsidRDefault="004176D7" w:rsidP="004176D7">
      <w:pPr>
        <w:pStyle w:val="EndNoteBibliography"/>
        <w:spacing w:after="0"/>
      </w:pPr>
      <w:r w:rsidRPr="004176D7">
        <w:t>[26]</w:t>
      </w:r>
      <w:r w:rsidRPr="004176D7">
        <w:tab/>
        <w:t>Gaitatzis A, Sander JW. The mortality of epilepsy revisited. Epileptic Disorders 2004;6: 3-13.</w:t>
      </w:r>
    </w:p>
    <w:p w14:paraId="645A7A27" w14:textId="77777777" w:rsidR="004176D7" w:rsidRPr="004176D7" w:rsidRDefault="004176D7" w:rsidP="004176D7">
      <w:pPr>
        <w:pStyle w:val="EndNoteBibliography"/>
        <w:spacing w:after="0"/>
      </w:pPr>
      <w:r w:rsidRPr="004176D7">
        <w:t>[27]</w:t>
      </w:r>
      <w:r w:rsidRPr="004176D7">
        <w:tab/>
        <w:t>Shankar R, Jalihal V, Walker M, Laugharne R, McLean B, Carlyon E, Hanna J, Brown S, Jory C, Tripp M, Pace A, Cox D, Brown S. A community study in Cornwall UK of sudden unexpected death in epilepsy (SUDEP) in a 9-year population sample. Seizure - European Journal of Epilepsy 2014;23: 382-385.</w:t>
      </w:r>
    </w:p>
    <w:p w14:paraId="2BC6096E" w14:textId="77777777" w:rsidR="004176D7" w:rsidRPr="004176D7" w:rsidRDefault="004176D7" w:rsidP="004176D7">
      <w:pPr>
        <w:pStyle w:val="EndNoteBibliography"/>
        <w:spacing w:after="0"/>
      </w:pPr>
      <w:r w:rsidRPr="004176D7">
        <w:t>[28]</w:t>
      </w:r>
      <w:r w:rsidRPr="004176D7">
        <w:tab/>
        <w:t>Tomson T, Walczak T, Sillanpaa M, Sander JW. Sudden unexpected death in epilepsy: a review of incidence and risk factors. Epilepsia 2005;46 Suppl 11: 54-61.</w:t>
      </w:r>
    </w:p>
    <w:p w14:paraId="18FB2300" w14:textId="77777777" w:rsidR="004176D7" w:rsidRPr="004176D7" w:rsidRDefault="004176D7" w:rsidP="004176D7">
      <w:pPr>
        <w:pStyle w:val="EndNoteBibliography"/>
        <w:spacing w:after="0"/>
      </w:pPr>
      <w:r w:rsidRPr="004176D7">
        <w:t>[29]</w:t>
      </w:r>
      <w:r w:rsidRPr="004176D7">
        <w:tab/>
        <w:t>Laporte A, Rouvel-Tallec A, Grosdidier E, Carpentier S, Benoit C, Gerard D, Emmanuelli X. Epilepsy among the homeless: prevalence and characteristics. European Journal of Public Health 2006;16: 484-486.</w:t>
      </w:r>
    </w:p>
    <w:p w14:paraId="1C929495" w14:textId="19991536" w:rsidR="004176D7" w:rsidRPr="004176D7" w:rsidRDefault="004176D7" w:rsidP="004176D7">
      <w:pPr>
        <w:pStyle w:val="EndNoteBibliography"/>
        <w:spacing w:after="0"/>
      </w:pPr>
      <w:r w:rsidRPr="004176D7">
        <w:t>[30]</w:t>
      </w:r>
      <w:r w:rsidRPr="004176D7">
        <w:tab/>
        <w:t xml:space="preserve">Hibbard J, Gilburt H. Supporting people to manage their health: an introduction to patient activation. In. London, UK: The Kings Fund; 2014. p. 1-54, </w:t>
      </w:r>
      <w:hyperlink r:id="rId16" w:history="1">
        <w:r w:rsidRPr="004176D7">
          <w:rPr>
            <w:rStyle w:val="Hyperlink"/>
          </w:rPr>
          <w:t>https://www.kingsfund.org.uk/sites/default/files/field/field_publication_file/supporting-people-manage-health-patient-activation-may14.pdf</w:t>
        </w:r>
      </w:hyperlink>
      <w:r w:rsidRPr="004176D7">
        <w:t>.</w:t>
      </w:r>
    </w:p>
    <w:p w14:paraId="79E3ABA2" w14:textId="307E9361" w:rsidR="004176D7" w:rsidRPr="004176D7" w:rsidRDefault="004176D7" w:rsidP="004176D7">
      <w:pPr>
        <w:pStyle w:val="EndNoteBibliography"/>
        <w:spacing w:after="0"/>
      </w:pPr>
      <w:r w:rsidRPr="004176D7">
        <w:t>[31]</w:t>
      </w:r>
      <w:r w:rsidRPr="004176D7">
        <w:tab/>
        <w:t xml:space="preserve">Pullen A, Matson-Phippard G, Stoneman A, O'Connor P, Clyne W, Turner A. The outcomes of online self-management education for adults with epilepsy In: International League Against Epilepsy British Branch Annual Scientific Meeting. Birmingham, UK: University of Conventry, UK and Epilepsy Action; 2018. p. </w:t>
      </w:r>
      <w:hyperlink r:id="rId17" w:history="1">
        <w:r w:rsidRPr="004176D7">
          <w:rPr>
            <w:rStyle w:val="Hyperlink"/>
          </w:rPr>
          <w:t>https://www.epilepsy.org.uk/support-for-you/epilepsy-and-you-self-management-includes-free-membership?utm_source=tiles&amp;utm_medium=online&amp;utm_campaign=epandyoumember2018</w:t>
        </w:r>
      </w:hyperlink>
      <w:r w:rsidRPr="004176D7">
        <w:t xml:space="preserve"> </w:t>
      </w:r>
    </w:p>
    <w:p w14:paraId="7BA7D11C" w14:textId="77777777" w:rsidR="004176D7" w:rsidRPr="004176D7" w:rsidRDefault="004176D7" w:rsidP="004176D7">
      <w:pPr>
        <w:pStyle w:val="EndNoteBibliography"/>
        <w:spacing w:after="0"/>
      </w:pPr>
      <w:r w:rsidRPr="004176D7">
        <w:t>[32]</w:t>
      </w:r>
      <w:r w:rsidRPr="004176D7">
        <w:tab/>
        <w:t>Waddell B, McColl K, Turner C, Norman A, Coker A, White K, Roberts R, Heath CA. Are we discussing SUDEP?–A retrospective case note analysis. Seizure 2013;22: 74-76.</w:t>
      </w:r>
    </w:p>
    <w:p w14:paraId="308BEFFD" w14:textId="77777777" w:rsidR="004176D7" w:rsidRPr="004176D7" w:rsidRDefault="004176D7" w:rsidP="004176D7">
      <w:pPr>
        <w:pStyle w:val="EndNoteBibliography"/>
        <w:spacing w:after="0"/>
      </w:pPr>
      <w:r w:rsidRPr="004176D7">
        <w:t>[33]</w:t>
      </w:r>
      <w:r w:rsidRPr="004176D7">
        <w:tab/>
        <w:t>Strzelczyk A, Zschebek G, Bauer S, Baumgartner C, Grond M, Hermsen A, Kieslich M, Krämer G, Kurlemann G, May TW, Mayer T, Neubauer BA, Pfäfflin M, Plecko B, Ryvlin P, Schubert-Bast S, Stefan H, Trinka E, Knake S, Seifart C, Rosenow F. Predictors of and attitudes toward counseling about SUDEP and other epilepsy risk factors among Austrian, German, and Swiss neurologists and neuropediatricians. Epilepsia 2016;57: 612-620.</w:t>
      </w:r>
    </w:p>
    <w:p w14:paraId="6D4DA4FE" w14:textId="77777777" w:rsidR="004176D7" w:rsidRPr="004176D7" w:rsidRDefault="004176D7" w:rsidP="004176D7">
      <w:pPr>
        <w:pStyle w:val="EndNoteBibliography"/>
        <w:spacing w:after="0"/>
      </w:pPr>
      <w:r w:rsidRPr="004176D7">
        <w:lastRenderedPageBreak/>
        <w:t>[34]</w:t>
      </w:r>
      <w:r w:rsidRPr="004176D7">
        <w:tab/>
        <w:t>Newman C, Shankar R, Hanna J, McLean B, Osland A, Milligan C, Ball A, Jory C, Walker M. Developing an Evidence-Based Epilepsy Risk Assessment eHealth Solution: From Concept to Market. JMIR Res Protoc 2016;5: e82.</w:t>
      </w:r>
    </w:p>
    <w:p w14:paraId="0F412313" w14:textId="77777777" w:rsidR="004176D7" w:rsidRPr="004176D7" w:rsidRDefault="004176D7" w:rsidP="004176D7">
      <w:pPr>
        <w:pStyle w:val="EndNoteBibliography"/>
        <w:spacing w:after="0"/>
      </w:pPr>
      <w:r w:rsidRPr="004176D7">
        <w:t>[35]</w:t>
      </w:r>
      <w:r w:rsidRPr="004176D7">
        <w:tab/>
        <w:t>Ridsdale L. Avoiding premature death in epilepsy. BMJ : British Medical Journal 2015;350.</w:t>
      </w:r>
    </w:p>
    <w:p w14:paraId="11CD8B28" w14:textId="77777777" w:rsidR="004176D7" w:rsidRPr="004176D7" w:rsidRDefault="004176D7" w:rsidP="004176D7">
      <w:pPr>
        <w:pStyle w:val="EndNoteBibliography"/>
        <w:spacing w:after="0"/>
      </w:pPr>
      <w:r w:rsidRPr="004176D7">
        <w:t>[36]</w:t>
      </w:r>
      <w:r w:rsidRPr="004176D7">
        <w:tab/>
        <w:t>McCarron MO, Stevenson M, Loftus AM, McKeown P. Neurophobia among general practice trainees: The evidence, perceived causes and solutions. Clinical Neurology and Neurosurgery 2014;122: 124-128.</w:t>
      </w:r>
    </w:p>
    <w:p w14:paraId="2758DEFC" w14:textId="77777777" w:rsidR="004176D7" w:rsidRPr="004176D7" w:rsidRDefault="004176D7" w:rsidP="004176D7">
      <w:pPr>
        <w:pStyle w:val="EndNoteBibliography"/>
        <w:spacing w:after="0"/>
      </w:pPr>
      <w:r w:rsidRPr="004176D7">
        <w:t>[37]</w:t>
      </w:r>
      <w:r w:rsidRPr="004176D7">
        <w:tab/>
        <w:t>Shankar R, Cox D, Jalihal V, Brown S, Hanna J, McLean B. Sudden unexpected death in epilepsy (SUDEP): Development of a safety checklist. Seizure 2013;22: 812-817.</w:t>
      </w:r>
    </w:p>
    <w:p w14:paraId="1524E2C2" w14:textId="77777777" w:rsidR="004176D7" w:rsidRPr="004176D7" w:rsidRDefault="004176D7" w:rsidP="004176D7">
      <w:pPr>
        <w:pStyle w:val="EndNoteBibliography"/>
        <w:spacing w:after="0"/>
      </w:pPr>
      <w:r w:rsidRPr="004176D7">
        <w:t>[38]</w:t>
      </w:r>
      <w:r w:rsidRPr="004176D7">
        <w:tab/>
        <w:t>Shankar R, Newman C, Gales A, McLean BN, Hanna J, Ashby S, Walker MC, Sander JW. Has the Time Come to Stratify and Score SUDEP Risk to Inform People With Epilepsy of Their Changes in Safety? Frontiers in Neurology 2018;9.</w:t>
      </w:r>
    </w:p>
    <w:p w14:paraId="42D4A930" w14:textId="77777777" w:rsidR="004176D7" w:rsidRPr="004176D7" w:rsidRDefault="004176D7" w:rsidP="004176D7">
      <w:pPr>
        <w:pStyle w:val="EndNoteBibliography"/>
        <w:spacing w:after="0"/>
      </w:pPr>
      <w:r w:rsidRPr="004176D7">
        <w:t>[39]</w:t>
      </w:r>
      <w:r w:rsidRPr="004176D7">
        <w:tab/>
        <w:t>The Kings Fund. Emergency Hospital Admissions for ambulatory care-sensitive conditions: identifying the potential for reductions. In. London, UK: The Kings Fund; 2012.</w:t>
      </w:r>
    </w:p>
    <w:p w14:paraId="2A0DAB66" w14:textId="18F619AD" w:rsidR="004176D7" w:rsidRPr="004176D7" w:rsidRDefault="004176D7" w:rsidP="004176D7">
      <w:pPr>
        <w:pStyle w:val="EndNoteBibliography"/>
        <w:spacing w:after="0"/>
      </w:pPr>
      <w:r w:rsidRPr="004176D7">
        <w:t>[40]</w:t>
      </w:r>
      <w:r w:rsidRPr="004176D7">
        <w:tab/>
        <w:t xml:space="preserve">NHS Digital. Hospital Accident &amp; Emergency Activity, 2017-18. In. UK: NHS Digital; 2018. p. </w:t>
      </w:r>
      <w:hyperlink r:id="rId18" w:history="1">
        <w:r w:rsidRPr="004176D7">
          <w:rPr>
            <w:rStyle w:val="Hyperlink"/>
          </w:rPr>
          <w:t>https://digital.nhs.uk/news-and-events/latest-news/ae-attendances-increase-by-22-per-cent-in-the-last-decade</w:t>
        </w:r>
      </w:hyperlink>
      <w:r w:rsidRPr="004176D7">
        <w:t>.</w:t>
      </w:r>
    </w:p>
    <w:p w14:paraId="4F48E413" w14:textId="77777777" w:rsidR="004176D7" w:rsidRPr="004176D7" w:rsidRDefault="004176D7" w:rsidP="004176D7">
      <w:pPr>
        <w:pStyle w:val="EndNoteBibliography"/>
        <w:spacing w:after="0"/>
      </w:pPr>
      <w:r w:rsidRPr="004176D7">
        <w:t>[41]</w:t>
      </w:r>
      <w:r w:rsidRPr="004176D7">
        <w:tab/>
        <w:t>Nitkunan A, MacDonald BK, Boodhoo A, Tomkins A, Smyth C, Southam M, Schon F. A hyperacute neurology team – transforming emergency neurological care. Clinical Medicine 2017;17: 298-302.</w:t>
      </w:r>
    </w:p>
    <w:p w14:paraId="4DC6AE56" w14:textId="77777777" w:rsidR="004176D7" w:rsidRPr="004176D7" w:rsidRDefault="004176D7" w:rsidP="004176D7">
      <w:pPr>
        <w:pStyle w:val="EndNoteBibliography"/>
        <w:spacing w:after="0"/>
      </w:pPr>
      <w:r w:rsidRPr="004176D7">
        <w:t>[42]</w:t>
      </w:r>
      <w:r w:rsidRPr="004176D7">
        <w:tab/>
        <w:t>Moodley KK, Nitkunan A, Pereira AC. Acute neurology: a suggested approach. Clinical Medicine 2018;18: 418-421.</w:t>
      </w:r>
    </w:p>
    <w:p w14:paraId="2485879D" w14:textId="77777777" w:rsidR="004176D7" w:rsidRPr="004176D7" w:rsidRDefault="004176D7" w:rsidP="004176D7">
      <w:pPr>
        <w:pStyle w:val="EndNoteBibliography"/>
        <w:spacing w:after="0"/>
      </w:pPr>
      <w:r w:rsidRPr="004176D7">
        <w:t>[43]</w:t>
      </w:r>
      <w:r w:rsidRPr="004176D7">
        <w:tab/>
        <w:t>Sander JW, Bell GS. Reducing mortality: an important aim of epilepsy management. Journal of Neurology Neurosurgery and Psychiatry 2004;75: 349-351.</w:t>
      </w:r>
    </w:p>
    <w:p w14:paraId="267C99F3" w14:textId="77777777" w:rsidR="004176D7" w:rsidRPr="004176D7" w:rsidRDefault="004176D7" w:rsidP="004176D7">
      <w:pPr>
        <w:pStyle w:val="EndNoteBibliography"/>
      </w:pPr>
      <w:r w:rsidRPr="004176D7">
        <w:t>[44]</w:t>
      </w:r>
      <w:r w:rsidRPr="004176D7">
        <w:tab/>
        <w:t>Alston P. Statement on Visit to the United Kingdom, by Professor Philip Alston, United Nations Special Rapporteur on extreme poverty and human rights. In. Geneva, Switzerland: Office of the United Nations High Commissioner for Human Rights; 2018. p. 1-24.</w:t>
      </w:r>
    </w:p>
    <w:p w14:paraId="115F9233" w14:textId="685741FC" w:rsidR="00790415" w:rsidRDefault="00D3482F" w:rsidP="00C8569B">
      <w:pPr>
        <w:spacing w:after="0"/>
        <w:ind w:left="567" w:hanging="567"/>
      </w:pPr>
      <w:r w:rsidRPr="006826CF">
        <w:fldChar w:fldCharType="end"/>
      </w:r>
    </w:p>
    <w:p w14:paraId="768B5462" w14:textId="5A312CC2" w:rsidR="0054533D" w:rsidRDefault="0054533D" w:rsidP="00C8569B">
      <w:pPr>
        <w:spacing w:after="0"/>
        <w:ind w:left="567" w:hanging="567"/>
      </w:pPr>
    </w:p>
    <w:p w14:paraId="288F4DC4" w14:textId="7B36FD49" w:rsidR="0054533D" w:rsidRDefault="0054533D" w:rsidP="0054533D">
      <w:pPr>
        <w:pStyle w:val="ListParagraph"/>
      </w:pPr>
    </w:p>
    <w:p w14:paraId="079FC87E" w14:textId="17DB3DB4" w:rsidR="008D708E" w:rsidRDefault="008D708E" w:rsidP="0054533D">
      <w:pPr>
        <w:pStyle w:val="ListParagraph"/>
      </w:pPr>
    </w:p>
    <w:p w14:paraId="50DAD125" w14:textId="77777777" w:rsidR="008D708E" w:rsidRDefault="008D708E" w:rsidP="0054533D">
      <w:pPr>
        <w:pStyle w:val="ListParagraph"/>
      </w:pPr>
    </w:p>
    <w:tbl>
      <w:tblPr>
        <w:tblStyle w:val="GridTable1Light"/>
        <w:tblpPr w:leftFromText="180" w:rightFromText="180" w:vertAnchor="text" w:horzAnchor="margin" w:tblpY="-554"/>
        <w:tblW w:w="8080" w:type="dxa"/>
        <w:tblLook w:val="04A0" w:firstRow="1" w:lastRow="0" w:firstColumn="1" w:lastColumn="0" w:noHBand="0" w:noVBand="1"/>
      </w:tblPr>
      <w:tblGrid>
        <w:gridCol w:w="4962"/>
        <w:gridCol w:w="1412"/>
        <w:gridCol w:w="1706"/>
      </w:tblGrid>
      <w:tr w:rsidR="0054533D" w:rsidRPr="000C2A9D" w14:paraId="1D862BC1" w14:textId="77777777" w:rsidTr="00EB26D8">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962" w:type="dxa"/>
            <w:noWrap/>
            <w:hideMark/>
          </w:tcPr>
          <w:p w14:paraId="1CA72575" w14:textId="77777777" w:rsidR="0054533D" w:rsidRPr="00780521" w:rsidRDefault="0054533D" w:rsidP="00EB26D8">
            <w:pPr>
              <w:jc w:val="center"/>
              <w:rPr>
                <w:rFonts w:eastAsia="Times New Roman"/>
                <w:bCs w:val="0"/>
                <w:color w:val="000000"/>
                <w:lang w:eastAsia="en-GB"/>
              </w:rPr>
            </w:pPr>
            <w:r w:rsidRPr="00780521">
              <w:rPr>
                <w:rFonts w:eastAsia="Times New Roman"/>
                <w:bCs w:val="0"/>
                <w:color w:val="000000"/>
                <w:lang w:eastAsia="en-GB"/>
              </w:rPr>
              <w:lastRenderedPageBreak/>
              <w:t>Condition groups</w:t>
            </w:r>
          </w:p>
        </w:tc>
        <w:tc>
          <w:tcPr>
            <w:tcW w:w="1412" w:type="dxa"/>
            <w:hideMark/>
          </w:tcPr>
          <w:p w14:paraId="5354B765" w14:textId="77777777" w:rsidR="0054533D" w:rsidRPr="000C2A9D" w:rsidRDefault="0054533D" w:rsidP="00EB26D8">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lang w:eastAsia="en-GB"/>
              </w:rPr>
            </w:pPr>
            <w:r w:rsidRPr="000C2A9D">
              <w:rPr>
                <w:rFonts w:eastAsia="Times New Roman"/>
                <w:color w:val="000000"/>
                <w:lang w:eastAsia="en-GB"/>
              </w:rPr>
              <w:t xml:space="preserve">All cause </w:t>
            </w:r>
          </w:p>
        </w:tc>
        <w:tc>
          <w:tcPr>
            <w:tcW w:w="1706" w:type="dxa"/>
            <w:hideMark/>
          </w:tcPr>
          <w:p w14:paraId="740C78E0" w14:textId="77777777" w:rsidR="0054533D" w:rsidRPr="000C2A9D" w:rsidRDefault="0054533D" w:rsidP="00EB26D8">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lang w:eastAsia="en-GB"/>
              </w:rPr>
            </w:pPr>
            <w:r w:rsidRPr="000C2A9D">
              <w:rPr>
                <w:rFonts w:eastAsia="Times New Roman"/>
                <w:color w:val="000000"/>
                <w:lang w:eastAsia="en-GB"/>
              </w:rPr>
              <w:t>Epilepsy</w:t>
            </w:r>
            <w:r>
              <w:rPr>
                <w:rFonts w:eastAsia="Times New Roman"/>
                <w:b w:val="0"/>
                <w:bCs w:val="0"/>
                <w:color w:val="000000"/>
                <w:lang w:eastAsia="en-GB"/>
              </w:rPr>
              <w:t xml:space="preserve"> </w:t>
            </w:r>
          </w:p>
        </w:tc>
      </w:tr>
      <w:tr w:rsidR="0054533D" w:rsidRPr="000C2A9D" w14:paraId="524F324D" w14:textId="77777777" w:rsidTr="00EB26D8">
        <w:trPr>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3F4940B0" w14:textId="77777777" w:rsidR="0054533D" w:rsidRPr="00780521" w:rsidRDefault="0054533D" w:rsidP="00EB26D8">
            <w:pPr>
              <w:rPr>
                <w:rFonts w:eastAsia="Times New Roman"/>
                <w:b w:val="0"/>
                <w:color w:val="000000"/>
                <w:lang w:eastAsia="en-GB"/>
              </w:rPr>
            </w:pPr>
            <w:r w:rsidRPr="00780521">
              <w:rPr>
                <w:rFonts w:eastAsia="Times New Roman"/>
                <w:b w:val="0"/>
                <w:color w:val="000000"/>
                <w:lang w:eastAsia="en-GB"/>
              </w:rPr>
              <w:t>Diseases of the nervous system</w:t>
            </w:r>
          </w:p>
        </w:tc>
        <w:tc>
          <w:tcPr>
            <w:tcW w:w="1412" w:type="dxa"/>
            <w:noWrap/>
            <w:hideMark/>
          </w:tcPr>
          <w:p w14:paraId="784374E7"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2.51%</w:t>
            </w:r>
          </w:p>
        </w:tc>
        <w:tc>
          <w:tcPr>
            <w:tcW w:w="1706" w:type="dxa"/>
            <w:noWrap/>
            <w:hideMark/>
          </w:tcPr>
          <w:p w14:paraId="4EE8C15F"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32.47%</w:t>
            </w:r>
          </w:p>
        </w:tc>
      </w:tr>
      <w:tr w:rsidR="0054533D" w:rsidRPr="000C2A9D" w14:paraId="5C1AAA28" w14:textId="77777777" w:rsidTr="00EB26D8">
        <w:trPr>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4349972E" w14:textId="77777777" w:rsidR="0054533D" w:rsidRPr="00780521" w:rsidRDefault="0054533D" w:rsidP="00EB26D8">
            <w:pPr>
              <w:rPr>
                <w:rFonts w:eastAsia="Times New Roman"/>
                <w:b w:val="0"/>
                <w:color w:val="000000"/>
                <w:lang w:eastAsia="en-GB"/>
              </w:rPr>
            </w:pPr>
            <w:r w:rsidRPr="00780521">
              <w:rPr>
                <w:rFonts w:eastAsia="Times New Roman"/>
                <w:b w:val="0"/>
                <w:color w:val="000000"/>
                <w:lang w:eastAsia="en-GB"/>
              </w:rPr>
              <w:t>CHD, stroke and other diseases of the circulatory system</w:t>
            </w:r>
          </w:p>
        </w:tc>
        <w:tc>
          <w:tcPr>
            <w:tcW w:w="1412" w:type="dxa"/>
            <w:noWrap/>
            <w:hideMark/>
          </w:tcPr>
          <w:p w14:paraId="79398611"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27.83%</w:t>
            </w:r>
          </w:p>
        </w:tc>
        <w:tc>
          <w:tcPr>
            <w:tcW w:w="1706" w:type="dxa"/>
            <w:noWrap/>
            <w:hideMark/>
          </w:tcPr>
          <w:p w14:paraId="2ED92985"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26.30%</w:t>
            </w:r>
          </w:p>
        </w:tc>
      </w:tr>
      <w:tr w:rsidR="0054533D" w:rsidRPr="000C2A9D" w14:paraId="7DA51D97" w14:textId="77777777" w:rsidTr="00EB26D8">
        <w:trPr>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05FEAE61" w14:textId="77777777" w:rsidR="0054533D" w:rsidRPr="00780521" w:rsidRDefault="0054533D" w:rsidP="00EB26D8">
            <w:pPr>
              <w:rPr>
                <w:rFonts w:eastAsia="Times New Roman"/>
                <w:b w:val="0"/>
                <w:color w:val="000000"/>
                <w:lang w:eastAsia="en-GB"/>
              </w:rPr>
            </w:pPr>
            <w:r w:rsidRPr="00780521">
              <w:rPr>
                <w:rFonts w:eastAsia="Times New Roman"/>
                <w:b w:val="0"/>
                <w:color w:val="000000"/>
                <w:lang w:eastAsia="en-GB"/>
              </w:rPr>
              <w:t>Dementia and Alzheimer disease</w:t>
            </w:r>
          </w:p>
        </w:tc>
        <w:tc>
          <w:tcPr>
            <w:tcW w:w="1412" w:type="dxa"/>
            <w:noWrap/>
            <w:hideMark/>
          </w:tcPr>
          <w:p w14:paraId="16747DA8"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9.60%</w:t>
            </w:r>
          </w:p>
        </w:tc>
        <w:tc>
          <w:tcPr>
            <w:tcW w:w="1706" w:type="dxa"/>
            <w:noWrap/>
            <w:hideMark/>
          </w:tcPr>
          <w:p w14:paraId="0E055546"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12.52%</w:t>
            </w:r>
          </w:p>
        </w:tc>
      </w:tr>
      <w:tr w:rsidR="0054533D" w:rsidRPr="000C2A9D" w14:paraId="75DC5698" w14:textId="77777777" w:rsidTr="00EB26D8">
        <w:trPr>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426D2EC7" w14:textId="77777777" w:rsidR="0054533D" w:rsidRPr="00780521" w:rsidRDefault="0054533D" w:rsidP="00EB26D8">
            <w:pPr>
              <w:rPr>
                <w:rFonts w:eastAsia="Times New Roman"/>
                <w:b w:val="0"/>
                <w:color w:val="000000"/>
                <w:lang w:eastAsia="en-GB"/>
              </w:rPr>
            </w:pPr>
            <w:r w:rsidRPr="00780521">
              <w:rPr>
                <w:rFonts w:eastAsia="Times New Roman"/>
                <w:b w:val="0"/>
                <w:color w:val="000000"/>
                <w:lang w:eastAsia="en-GB"/>
              </w:rPr>
              <w:t>Cancer</w:t>
            </w:r>
          </w:p>
        </w:tc>
        <w:tc>
          <w:tcPr>
            <w:tcW w:w="1412" w:type="dxa"/>
            <w:noWrap/>
            <w:hideMark/>
          </w:tcPr>
          <w:p w14:paraId="71A86B1F"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28.61%</w:t>
            </w:r>
          </w:p>
        </w:tc>
        <w:tc>
          <w:tcPr>
            <w:tcW w:w="1706" w:type="dxa"/>
            <w:noWrap/>
            <w:hideMark/>
          </w:tcPr>
          <w:p w14:paraId="65227481"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7.07%</w:t>
            </w:r>
          </w:p>
        </w:tc>
      </w:tr>
      <w:tr w:rsidR="0054533D" w:rsidRPr="000C2A9D" w14:paraId="4432D29F" w14:textId="77777777" w:rsidTr="00EB26D8">
        <w:trPr>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20F30E57" w14:textId="77777777" w:rsidR="0054533D" w:rsidRPr="00780521" w:rsidRDefault="0054533D" w:rsidP="00EB26D8">
            <w:pPr>
              <w:rPr>
                <w:rFonts w:eastAsia="Times New Roman"/>
                <w:b w:val="0"/>
                <w:color w:val="000000"/>
                <w:lang w:eastAsia="en-GB"/>
              </w:rPr>
            </w:pPr>
            <w:r w:rsidRPr="00780521">
              <w:rPr>
                <w:rFonts w:eastAsia="Times New Roman"/>
                <w:b w:val="0"/>
                <w:color w:val="000000"/>
                <w:lang w:eastAsia="en-GB"/>
              </w:rPr>
              <w:t>Respiratory diseases</w:t>
            </w:r>
          </w:p>
        </w:tc>
        <w:tc>
          <w:tcPr>
            <w:tcW w:w="1412" w:type="dxa"/>
            <w:noWrap/>
            <w:hideMark/>
          </w:tcPr>
          <w:p w14:paraId="2779E2AB"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14.10%</w:t>
            </w:r>
          </w:p>
        </w:tc>
        <w:tc>
          <w:tcPr>
            <w:tcW w:w="1706" w:type="dxa"/>
            <w:noWrap/>
            <w:hideMark/>
          </w:tcPr>
          <w:p w14:paraId="09F98368"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7.05%</w:t>
            </w:r>
          </w:p>
        </w:tc>
      </w:tr>
      <w:tr w:rsidR="0054533D" w:rsidRPr="000C2A9D" w14:paraId="6901B54B" w14:textId="77777777" w:rsidTr="00EB26D8">
        <w:trPr>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6CC6ED2F" w14:textId="77777777" w:rsidR="0054533D" w:rsidRPr="00780521" w:rsidRDefault="0054533D" w:rsidP="00EB26D8">
            <w:pPr>
              <w:rPr>
                <w:rFonts w:eastAsia="Times New Roman"/>
                <w:b w:val="0"/>
                <w:color w:val="000000"/>
                <w:lang w:eastAsia="en-GB"/>
              </w:rPr>
            </w:pPr>
            <w:r w:rsidRPr="00780521">
              <w:rPr>
                <w:rFonts w:eastAsia="Times New Roman"/>
                <w:b w:val="0"/>
                <w:color w:val="000000"/>
                <w:lang w:eastAsia="en-GB"/>
              </w:rPr>
              <w:t>Diseases of the digestive system</w:t>
            </w:r>
          </w:p>
        </w:tc>
        <w:tc>
          <w:tcPr>
            <w:tcW w:w="1412" w:type="dxa"/>
            <w:noWrap/>
            <w:hideMark/>
          </w:tcPr>
          <w:p w14:paraId="26861298"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4.89%</w:t>
            </w:r>
          </w:p>
        </w:tc>
        <w:tc>
          <w:tcPr>
            <w:tcW w:w="1706" w:type="dxa"/>
            <w:noWrap/>
            <w:hideMark/>
          </w:tcPr>
          <w:p w14:paraId="00842811"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2.89%</w:t>
            </w:r>
          </w:p>
        </w:tc>
      </w:tr>
      <w:tr w:rsidR="0054533D" w:rsidRPr="000C2A9D" w14:paraId="12A3B65F" w14:textId="77777777" w:rsidTr="00EB26D8">
        <w:trPr>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0194E308" w14:textId="77777777" w:rsidR="0054533D" w:rsidRPr="00780521" w:rsidRDefault="0054533D" w:rsidP="00EB26D8">
            <w:pPr>
              <w:rPr>
                <w:rFonts w:eastAsia="Times New Roman"/>
                <w:b w:val="0"/>
                <w:color w:val="000000"/>
                <w:lang w:eastAsia="en-GB"/>
              </w:rPr>
            </w:pPr>
            <w:r w:rsidRPr="00780521">
              <w:rPr>
                <w:rFonts w:eastAsia="Times New Roman"/>
                <w:b w:val="0"/>
                <w:color w:val="000000"/>
                <w:lang w:eastAsia="en-GB"/>
              </w:rPr>
              <w:t>Congenital malformations incl. Down syndrome; Pregnancy and childbirth</w:t>
            </w:r>
          </w:p>
        </w:tc>
        <w:tc>
          <w:tcPr>
            <w:tcW w:w="1412" w:type="dxa"/>
            <w:noWrap/>
            <w:hideMark/>
          </w:tcPr>
          <w:p w14:paraId="47D64E3F"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0.18%</w:t>
            </w:r>
          </w:p>
        </w:tc>
        <w:tc>
          <w:tcPr>
            <w:tcW w:w="1706" w:type="dxa"/>
            <w:noWrap/>
            <w:hideMark/>
          </w:tcPr>
          <w:p w14:paraId="0384A467"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1.66%</w:t>
            </w:r>
          </w:p>
        </w:tc>
      </w:tr>
      <w:tr w:rsidR="0054533D" w:rsidRPr="000C2A9D" w14:paraId="4F4CDF12" w14:textId="77777777" w:rsidTr="00EB26D8">
        <w:trPr>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2D9821C5" w14:textId="77777777" w:rsidR="0054533D" w:rsidRPr="00780521" w:rsidRDefault="0054533D" w:rsidP="00EB26D8">
            <w:pPr>
              <w:rPr>
                <w:rFonts w:eastAsia="Times New Roman"/>
                <w:b w:val="0"/>
                <w:color w:val="000000"/>
                <w:lang w:eastAsia="en-GB"/>
              </w:rPr>
            </w:pPr>
            <w:r w:rsidRPr="00780521">
              <w:rPr>
                <w:rFonts w:eastAsia="Times New Roman"/>
                <w:b w:val="0"/>
                <w:color w:val="000000"/>
                <w:lang w:eastAsia="en-GB"/>
              </w:rPr>
              <w:t>Endocrine, nutritional and metabolic diseases</w:t>
            </w:r>
          </w:p>
        </w:tc>
        <w:tc>
          <w:tcPr>
            <w:tcW w:w="1412" w:type="dxa"/>
            <w:noWrap/>
            <w:hideMark/>
          </w:tcPr>
          <w:p w14:paraId="40545271"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1.36%</w:t>
            </w:r>
          </w:p>
        </w:tc>
        <w:tc>
          <w:tcPr>
            <w:tcW w:w="1706" w:type="dxa"/>
            <w:noWrap/>
            <w:hideMark/>
          </w:tcPr>
          <w:p w14:paraId="7DEB84A6"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1.49%</w:t>
            </w:r>
          </w:p>
        </w:tc>
      </w:tr>
      <w:tr w:rsidR="0054533D" w:rsidRPr="000C2A9D" w14:paraId="6F64B9DB" w14:textId="77777777" w:rsidTr="00EB26D8">
        <w:trPr>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53169EAA" w14:textId="77777777" w:rsidR="0054533D" w:rsidRPr="00780521" w:rsidRDefault="0054533D" w:rsidP="00EB26D8">
            <w:pPr>
              <w:rPr>
                <w:rFonts w:eastAsia="Times New Roman"/>
                <w:b w:val="0"/>
                <w:color w:val="000000"/>
                <w:lang w:eastAsia="en-GB"/>
              </w:rPr>
            </w:pPr>
            <w:r w:rsidRPr="00780521">
              <w:rPr>
                <w:rFonts w:eastAsia="Times New Roman"/>
                <w:b w:val="0"/>
                <w:color w:val="000000"/>
                <w:lang w:eastAsia="en-GB"/>
              </w:rPr>
              <w:t>Diseases of the genitourinary system</w:t>
            </w:r>
          </w:p>
        </w:tc>
        <w:tc>
          <w:tcPr>
            <w:tcW w:w="1412" w:type="dxa"/>
            <w:noWrap/>
            <w:hideMark/>
          </w:tcPr>
          <w:p w14:paraId="25D1B388"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1.88%</w:t>
            </w:r>
          </w:p>
        </w:tc>
        <w:tc>
          <w:tcPr>
            <w:tcW w:w="1706" w:type="dxa"/>
            <w:noWrap/>
            <w:hideMark/>
          </w:tcPr>
          <w:p w14:paraId="78E11EBA"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1.25%</w:t>
            </w:r>
          </w:p>
        </w:tc>
      </w:tr>
      <w:tr w:rsidR="0054533D" w:rsidRPr="000C2A9D" w14:paraId="194D1592" w14:textId="77777777" w:rsidTr="00EB26D8">
        <w:trPr>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063B032B" w14:textId="77777777" w:rsidR="0054533D" w:rsidRPr="00780521" w:rsidRDefault="0054533D" w:rsidP="00EB26D8">
            <w:pPr>
              <w:rPr>
                <w:rFonts w:eastAsia="Times New Roman"/>
                <w:b w:val="0"/>
                <w:color w:val="000000"/>
                <w:lang w:eastAsia="en-GB"/>
              </w:rPr>
            </w:pPr>
            <w:r w:rsidRPr="00780521">
              <w:rPr>
                <w:rFonts w:eastAsia="Times New Roman"/>
                <w:b w:val="0"/>
                <w:color w:val="000000"/>
                <w:lang w:eastAsia="en-GB"/>
              </w:rPr>
              <w:br/>
              <w:t xml:space="preserve">In </w:t>
            </w:r>
            <w:proofErr w:type="gramStart"/>
            <w:r w:rsidRPr="00780521">
              <w:rPr>
                <w:rFonts w:eastAsia="Times New Roman"/>
                <w:b w:val="0"/>
                <w:color w:val="000000"/>
                <w:lang w:eastAsia="en-GB"/>
              </w:rPr>
              <w:t>situ ,benign</w:t>
            </w:r>
            <w:proofErr w:type="gramEnd"/>
            <w:r w:rsidRPr="00780521">
              <w:rPr>
                <w:rFonts w:eastAsia="Times New Roman"/>
                <w:b w:val="0"/>
                <w:color w:val="000000"/>
                <w:lang w:eastAsia="en-GB"/>
              </w:rPr>
              <w:t xml:space="preserve"> and other neoplasms</w:t>
            </w:r>
          </w:p>
        </w:tc>
        <w:tc>
          <w:tcPr>
            <w:tcW w:w="1412" w:type="dxa"/>
            <w:noWrap/>
            <w:hideMark/>
          </w:tcPr>
          <w:p w14:paraId="20F53ECC"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0.67%</w:t>
            </w:r>
          </w:p>
        </w:tc>
        <w:tc>
          <w:tcPr>
            <w:tcW w:w="1706" w:type="dxa"/>
            <w:noWrap/>
            <w:hideMark/>
          </w:tcPr>
          <w:p w14:paraId="7B76D818"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1.11%</w:t>
            </w:r>
          </w:p>
        </w:tc>
      </w:tr>
      <w:tr w:rsidR="0054533D" w:rsidRPr="000C2A9D" w14:paraId="1BCE8C74" w14:textId="77777777" w:rsidTr="00EB26D8">
        <w:trPr>
          <w:trHeight w:val="31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3D413777" w14:textId="77777777" w:rsidR="0054533D" w:rsidRPr="00780521" w:rsidRDefault="0054533D" w:rsidP="00EB26D8">
            <w:pPr>
              <w:rPr>
                <w:rFonts w:eastAsia="Times New Roman"/>
                <w:b w:val="0"/>
                <w:color w:val="000000"/>
                <w:lang w:eastAsia="en-GB"/>
              </w:rPr>
            </w:pPr>
            <w:r w:rsidRPr="00780521">
              <w:rPr>
                <w:rFonts w:eastAsia="Times New Roman"/>
                <w:b w:val="0"/>
                <w:color w:val="000000"/>
                <w:lang w:eastAsia="en-GB"/>
              </w:rPr>
              <w:t>Other external causes of accidental injury</w:t>
            </w:r>
          </w:p>
        </w:tc>
        <w:tc>
          <w:tcPr>
            <w:tcW w:w="1412" w:type="dxa"/>
            <w:noWrap/>
            <w:hideMark/>
          </w:tcPr>
          <w:p w14:paraId="09F99744"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1.22%</w:t>
            </w:r>
          </w:p>
        </w:tc>
        <w:tc>
          <w:tcPr>
            <w:tcW w:w="1706" w:type="dxa"/>
            <w:noWrap/>
            <w:hideMark/>
          </w:tcPr>
          <w:p w14:paraId="472CC6AC"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1.03%</w:t>
            </w:r>
          </w:p>
        </w:tc>
      </w:tr>
      <w:tr w:rsidR="0054533D" w:rsidRPr="000C2A9D" w14:paraId="0564DD3D" w14:textId="77777777" w:rsidTr="00EB26D8">
        <w:trPr>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5DEEFB0E" w14:textId="77777777" w:rsidR="0054533D" w:rsidRPr="00780521" w:rsidRDefault="0054533D" w:rsidP="00EB26D8">
            <w:pPr>
              <w:rPr>
                <w:rFonts w:eastAsia="Times New Roman"/>
                <w:b w:val="0"/>
                <w:color w:val="000000"/>
                <w:lang w:eastAsia="en-GB"/>
              </w:rPr>
            </w:pPr>
            <w:r w:rsidRPr="00780521">
              <w:rPr>
                <w:rFonts w:eastAsia="Times New Roman"/>
                <w:b w:val="0"/>
                <w:color w:val="000000"/>
                <w:lang w:eastAsia="en-GB"/>
              </w:rPr>
              <w:t>Falls</w:t>
            </w:r>
          </w:p>
        </w:tc>
        <w:tc>
          <w:tcPr>
            <w:tcW w:w="1412" w:type="dxa"/>
            <w:noWrap/>
            <w:hideMark/>
          </w:tcPr>
          <w:p w14:paraId="34223BC7"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0.84%</w:t>
            </w:r>
          </w:p>
        </w:tc>
        <w:tc>
          <w:tcPr>
            <w:tcW w:w="1706" w:type="dxa"/>
            <w:noWrap/>
            <w:hideMark/>
          </w:tcPr>
          <w:p w14:paraId="205C0628"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1.01%</w:t>
            </w:r>
          </w:p>
        </w:tc>
      </w:tr>
      <w:tr w:rsidR="0054533D" w:rsidRPr="000C2A9D" w14:paraId="59D0DDAD" w14:textId="77777777" w:rsidTr="00EB26D8">
        <w:trPr>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09882330" w14:textId="77777777" w:rsidR="0054533D" w:rsidRPr="00780521" w:rsidRDefault="0054533D" w:rsidP="00EB26D8">
            <w:pPr>
              <w:rPr>
                <w:rFonts w:eastAsia="Times New Roman"/>
                <w:b w:val="0"/>
                <w:color w:val="000000"/>
                <w:lang w:eastAsia="en-GB"/>
              </w:rPr>
            </w:pPr>
            <w:r w:rsidRPr="00780521">
              <w:rPr>
                <w:rFonts w:eastAsia="Times New Roman"/>
                <w:b w:val="0"/>
                <w:color w:val="000000"/>
                <w:lang w:eastAsia="en-GB"/>
              </w:rPr>
              <w:t>Other mental and behavioural disorders</w:t>
            </w:r>
          </w:p>
        </w:tc>
        <w:tc>
          <w:tcPr>
            <w:tcW w:w="1412" w:type="dxa"/>
            <w:noWrap/>
            <w:hideMark/>
          </w:tcPr>
          <w:p w14:paraId="46BA9A7D"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0.18%</w:t>
            </w:r>
          </w:p>
        </w:tc>
        <w:tc>
          <w:tcPr>
            <w:tcW w:w="1706" w:type="dxa"/>
            <w:noWrap/>
            <w:hideMark/>
          </w:tcPr>
          <w:p w14:paraId="7FC59422"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0.98%</w:t>
            </w:r>
          </w:p>
        </w:tc>
      </w:tr>
      <w:tr w:rsidR="0054533D" w:rsidRPr="000C2A9D" w14:paraId="0F5ABF92" w14:textId="77777777" w:rsidTr="00EB26D8">
        <w:trPr>
          <w:trHeight w:val="255"/>
        </w:trPr>
        <w:tc>
          <w:tcPr>
            <w:cnfStyle w:val="001000000000" w:firstRow="0" w:lastRow="0" w:firstColumn="1" w:lastColumn="0" w:oddVBand="0" w:evenVBand="0" w:oddHBand="0" w:evenHBand="0" w:firstRowFirstColumn="0" w:firstRowLastColumn="0" w:lastRowFirstColumn="0" w:lastRowLastColumn="0"/>
            <w:tcW w:w="4962" w:type="dxa"/>
            <w:noWrap/>
          </w:tcPr>
          <w:p w14:paraId="3CD52378" w14:textId="77777777" w:rsidR="0054533D" w:rsidRPr="00780521" w:rsidRDefault="0054533D" w:rsidP="00EB26D8">
            <w:pPr>
              <w:rPr>
                <w:rFonts w:eastAsia="Times New Roman"/>
                <w:b w:val="0"/>
                <w:color w:val="000000"/>
                <w:lang w:eastAsia="en-GB"/>
              </w:rPr>
            </w:pPr>
            <w:r w:rsidRPr="00780521">
              <w:rPr>
                <w:rFonts w:eastAsia="Times New Roman"/>
                <w:b w:val="0"/>
                <w:color w:val="000000"/>
                <w:lang w:eastAsia="en-GB"/>
              </w:rPr>
              <w:t>Intentional self-harm</w:t>
            </w:r>
            <w:r w:rsidRPr="00780521">
              <w:rPr>
                <w:rFonts w:eastAsia="Times New Roman"/>
                <w:b w:val="0"/>
                <w:color w:val="000000"/>
                <w:lang w:eastAsia="en-GB"/>
              </w:rPr>
              <w:tab/>
            </w:r>
            <w:r w:rsidRPr="00780521">
              <w:rPr>
                <w:rFonts w:eastAsia="Times New Roman"/>
                <w:b w:val="0"/>
                <w:color w:val="000000"/>
                <w:lang w:eastAsia="en-GB"/>
              </w:rPr>
              <w:tab/>
            </w:r>
          </w:p>
        </w:tc>
        <w:tc>
          <w:tcPr>
            <w:tcW w:w="1412" w:type="dxa"/>
            <w:noWrap/>
          </w:tcPr>
          <w:p w14:paraId="57BE8277"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0.76%</w:t>
            </w:r>
          </w:p>
        </w:tc>
        <w:tc>
          <w:tcPr>
            <w:tcW w:w="1706" w:type="dxa"/>
            <w:noWrap/>
          </w:tcPr>
          <w:p w14:paraId="42A00132" w14:textId="77777777" w:rsidR="0054533D" w:rsidRPr="000C2A9D" w:rsidRDefault="0054533D" w:rsidP="00EB26D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0C2A9D">
              <w:rPr>
                <w:rFonts w:eastAsia="Times New Roman"/>
                <w:color w:val="000000"/>
                <w:lang w:eastAsia="en-GB"/>
              </w:rPr>
              <w:t>0.18%</w:t>
            </w:r>
          </w:p>
        </w:tc>
      </w:tr>
    </w:tbl>
    <w:p w14:paraId="277406CD" w14:textId="77777777" w:rsidR="0054533D" w:rsidRDefault="0054533D" w:rsidP="0054533D"/>
    <w:p w14:paraId="2935BA3F" w14:textId="77777777" w:rsidR="0054533D" w:rsidRDefault="0054533D" w:rsidP="0054533D"/>
    <w:p w14:paraId="0D36B937" w14:textId="77777777" w:rsidR="0054533D" w:rsidRDefault="0054533D" w:rsidP="0054533D"/>
    <w:p w14:paraId="076C1A8C" w14:textId="77777777" w:rsidR="0054533D" w:rsidRDefault="0054533D" w:rsidP="0054533D"/>
    <w:p w14:paraId="59431CBD" w14:textId="77777777" w:rsidR="0054533D" w:rsidRDefault="0054533D" w:rsidP="0054533D"/>
    <w:p w14:paraId="7EB25B1E" w14:textId="77777777" w:rsidR="0054533D" w:rsidRDefault="0054533D" w:rsidP="0054533D"/>
    <w:p w14:paraId="1B5E93A6" w14:textId="77777777" w:rsidR="0054533D" w:rsidRDefault="0054533D" w:rsidP="0054533D"/>
    <w:p w14:paraId="165303A0" w14:textId="77777777" w:rsidR="0054533D" w:rsidRDefault="0054533D" w:rsidP="0054533D"/>
    <w:p w14:paraId="09BECD12" w14:textId="77777777" w:rsidR="0054533D" w:rsidRDefault="0054533D" w:rsidP="0054533D"/>
    <w:p w14:paraId="77CDEB00" w14:textId="77777777" w:rsidR="0054533D" w:rsidRDefault="0054533D" w:rsidP="0054533D"/>
    <w:p w14:paraId="3B0293D3" w14:textId="77777777" w:rsidR="0054533D" w:rsidRDefault="0054533D" w:rsidP="0054533D"/>
    <w:p w14:paraId="7E22053E" w14:textId="77777777" w:rsidR="0054533D" w:rsidRDefault="0054533D" w:rsidP="0054533D"/>
    <w:p w14:paraId="20EF93FA" w14:textId="77777777" w:rsidR="0054533D" w:rsidRDefault="0054533D" w:rsidP="0054533D"/>
    <w:p w14:paraId="31BD596F" w14:textId="7A301055" w:rsidR="0054533D" w:rsidRPr="000C2A9D" w:rsidRDefault="0054533D" w:rsidP="0054533D">
      <w:r w:rsidRPr="000C2A9D">
        <w:t>Table 1: Underlying cause of death for</w:t>
      </w:r>
      <w:r>
        <w:t xml:space="preserve"> </w:t>
      </w:r>
      <w:r w:rsidRPr="000C2A9D">
        <w:t>all</w:t>
      </w:r>
      <w:r>
        <w:t xml:space="preserve"> deaths</w:t>
      </w:r>
      <w:r w:rsidRPr="000C2A9D">
        <w:t xml:space="preserve"> and for those </w:t>
      </w:r>
      <w:r>
        <w:t xml:space="preserve">associated with </w:t>
      </w:r>
      <w:r w:rsidRPr="000C2A9D">
        <w:t>epilepsy</w:t>
      </w:r>
      <w:r>
        <w:t xml:space="preserve">, England 2012-2014. Data from [3]. Epilepsy associated deaths were defined as any deaths where epilepsy was listed anywhere on the death certificate whether or not it was considered the underlying cause of death. </w:t>
      </w:r>
    </w:p>
    <w:p w14:paraId="29F0FDC3" w14:textId="75965F77" w:rsidR="0054533D" w:rsidRDefault="0054533D" w:rsidP="0054533D">
      <w:pPr>
        <w:pStyle w:val="ListParagraph"/>
      </w:pPr>
    </w:p>
    <w:p w14:paraId="24D94F12" w14:textId="3FBB1C50" w:rsidR="008D708E" w:rsidRDefault="008D708E" w:rsidP="0054533D">
      <w:pPr>
        <w:pStyle w:val="ListParagraph"/>
      </w:pPr>
    </w:p>
    <w:p w14:paraId="0839FA70" w14:textId="33495834" w:rsidR="008D708E" w:rsidRDefault="008D708E" w:rsidP="0054533D">
      <w:pPr>
        <w:pStyle w:val="ListParagraph"/>
      </w:pPr>
    </w:p>
    <w:p w14:paraId="1FC9A19A" w14:textId="15495B34" w:rsidR="008D708E" w:rsidRDefault="008D708E" w:rsidP="0054533D">
      <w:pPr>
        <w:pStyle w:val="ListParagraph"/>
      </w:pPr>
    </w:p>
    <w:p w14:paraId="3A3C8D98" w14:textId="4010C06F" w:rsidR="008D708E" w:rsidRDefault="008D708E" w:rsidP="0054533D">
      <w:pPr>
        <w:pStyle w:val="ListParagraph"/>
      </w:pPr>
    </w:p>
    <w:p w14:paraId="5DB32F59" w14:textId="3E2C5F0B" w:rsidR="008D708E" w:rsidRDefault="008D708E" w:rsidP="0054533D">
      <w:pPr>
        <w:pStyle w:val="ListParagraph"/>
      </w:pPr>
    </w:p>
    <w:p w14:paraId="4747108C" w14:textId="0C52A5C0" w:rsidR="008D708E" w:rsidRDefault="008D708E" w:rsidP="0054533D">
      <w:pPr>
        <w:pStyle w:val="ListParagraph"/>
      </w:pPr>
    </w:p>
    <w:p w14:paraId="59AD76E3" w14:textId="6EB6CEE2" w:rsidR="008D708E" w:rsidRDefault="008D708E" w:rsidP="0054533D">
      <w:pPr>
        <w:pStyle w:val="ListParagraph"/>
      </w:pPr>
    </w:p>
    <w:p w14:paraId="762BADEF" w14:textId="04BC9127" w:rsidR="008D708E" w:rsidRDefault="008D708E" w:rsidP="0054533D">
      <w:pPr>
        <w:pStyle w:val="ListParagraph"/>
      </w:pPr>
    </w:p>
    <w:p w14:paraId="51194B3A" w14:textId="5267C38A" w:rsidR="008D708E" w:rsidRDefault="008D708E" w:rsidP="0054533D">
      <w:pPr>
        <w:pStyle w:val="ListParagraph"/>
      </w:pPr>
    </w:p>
    <w:p w14:paraId="71C56C4E" w14:textId="3DD8F11C" w:rsidR="008D708E" w:rsidRDefault="008D708E" w:rsidP="0054533D">
      <w:pPr>
        <w:pStyle w:val="ListParagraph"/>
      </w:pPr>
    </w:p>
    <w:p w14:paraId="46A693EA" w14:textId="7F85628D" w:rsidR="008D708E" w:rsidRDefault="008D708E" w:rsidP="0054533D">
      <w:pPr>
        <w:pStyle w:val="ListParagraph"/>
      </w:pPr>
    </w:p>
    <w:p w14:paraId="3B22C6AA" w14:textId="402C42F2" w:rsidR="008D708E" w:rsidRDefault="008D708E" w:rsidP="0054533D">
      <w:pPr>
        <w:pStyle w:val="ListParagraph"/>
      </w:pPr>
    </w:p>
    <w:p w14:paraId="7D1119EC" w14:textId="77777777" w:rsidR="008D708E" w:rsidRPr="000C2A9D" w:rsidRDefault="008D708E" w:rsidP="0054533D">
      <w:pPr>
        <w:pStyle w:val="ListParagraph"/>
      </w:pPr>
    </w:p>
    <w:p w14:paraId="1D43F41D" w14:textId="77777777" w:rsidR="0054533D" w:rsidRPr="000C2A9D" w:rsidRDefault="0054533D" w:rsidP="0054533D">
      <w:pPr>
        <w:pStyle w:val="ListParagraph"/>
      </w:pPr>
    </w:p>
    <w:tbl>
      <w:tblPr>
        <w:tblStyle w:val="TableGrid"/>
        <w:tblW w:w="9923" w:type="dxa"/>
        <w:tblInd w:w="137" w:type="dxa"/>
        <w:tblLayout w:type="fixed"/>
        <w:tblLook w:val="04A0" w:firstRow="1" w:lastRow="0" w:firstColumn="1" w:lastColumn="0" w:noHBand="0" w:noVBand="1"/>
      </w:tblPr>
      <w:tblGrid>
        <w:gridCol w:w="992"/>
        <w:gridCol w:w="1276"/>
        <w:gridCol w:w="1134"/>
        <w:gridCol w:w="1276"/>
        <w:gridCol w:w="992"/>
        <w:gridCol w:w="992"/>
        <w:gridCol w:w="993"/>
        <w:gridCol w:w="708"/>
        <w:gridCol w:w="709"/>
        <w:gridCol w:w="851"/>
      </w:tblGrid>
      <w:tr w:rsidR="0054533D" w14:paraId="0101DCA0" w14:textId="77777777" w:rsidTr="00EB26D8">
        <w:tc>
          <w:tcPr>
            <w:tcW w:w="992" w:type="dxa"/>
            <w:vMerge w:val="restart"/>
          </w:tcPr>
          <w:p w14:paraId="52F8C0F2" w14:textId="77777777" w:rsidR="0054533D" w:rsidRPr="00780894" w:rsidRDefault="0054533D" w:rsidP="00EB26D8">
            <w:pPr>
              <w:pStyle w:val="ListParagraph"/>
              <w:ind w:left="0"/>
              <w:rPr>
                <w:b/>
                <w:sz w:val="16"/>
                <w:szCs w:val="16"/>
              </w:rPr>
            </w:pPr>
            <w:r w:rsidRPr="00780894">
              <w:rPr>
                <w:b/>
                <w:sz w:val="16"/>
                <w:szCs w:val="16"/>
              </w:rPr>
              <w:t>Age in years</w:t>
            </w:r>
          </w:p>
        </w:tc>
        <w:tc>
          <w:tcPr>
            <w:tcW w:w="3686" w:type="dxa"/>
            <w:gridSpan w:val="3"/>
          </w:tcPr>
          <w:p w14:paraId="2C0ED789" w14:textId="77777777" w:rsidR="0054533D" w:rsidRPr="00780894" w:rsidRDefault="0054533D" w:rsidP="00EB26D8">
            <w:pPr>
              <w:pStyle w:val="ListParagraph"/>
              <w:ind w:left="0"/>
              <w:jc w:val="center"/>
              <w:rPr>
                <w:b/>
                <w:sz w:val="16"/>
                <w:szCs w:val="16"/>
              </w:rPr>
            </w:pPr>
            <w:r w:rsidRPr="00780894">
              <w:rPr>
                <w:b/>
                <w:sz w:val="16"/>
                <w:szCs w:val="16"/>
              </w:rPr>
              <w:t>Average, 2009-2016</w:t>
            </w:r>
          </w:p>
        </w:tc>
        <w:tc>
          <w:tcPr>
            <w:tcW w:w="992" w:type="dxa"/>
            <w:vMerge w:val="restart"/>
          </w:tcPr>
          <w:p w14:paraId="506F7185" w14:textId="77777777" w:rsidR="0054533D" w:rsidRPr="00780894" w:rsidRDefault="0054533D" w:rsidP="00EB26D8">
            <w:pPr>
              <w:pStyle w:val="ListParagraph"/>
              <w:ind w:left="0"/>
              <w:rPr>
                <w:b/>
                <w:sz w:val="16"/>
                <w:szCs w:val="16"/>
              </w:rPr>
            </w:pPr>
            <w:r w:rsidRPr="00780894">
              <w:rPr>
                <w:b/>
                <w:sz w:val="16"/>
                <w:szCs w:val="16"/>
              </w:rPr>
              <w:t>National Average mortality rate per 100,000</w:t>
            </w:r>
          </w:p>
        </w:tc>
        <w:tc>
          <w:tcPr>
            <w:tcW w:w="992" w:type="dxa"/>
          </w:tcPr>
          <w:p w14:paraId="5E62D17B" w14:textId="77777777" w:rsidR="0054533D" w:rsidRPr="00780894" w:rsidRDefault="0054533D" w:rsidP="00EB26D8">
            <w:pPr>
              <w:pStyle w:val="ListParagraph"/>
              <w:ind w:left="0"/>
              <w:rPr>
                <w:b/>
                <w:sz w:val="16"/>
                <w:szCs w:val="16"/>
              </w:rPr>
            </w:pPr>
            <w:r w:rsidRPr="00780894">
              <w:rPr>
                <w:b/>
                <w:sz w:val="16"/>
                <w:szCs w:val="16"/>
              </w:rPr>
              <w:t>Expected</w:t>
            </w:r>
          </w:p>
        </w:tc>
        <w:tc>
          <w:tcPr>
            <w:tcW w:w="993" w:type="dxa"/>
          </w:tcPr>
          <w:p w14:paraId="100B578B" w14:textId="77777777" w:rsidR="0054533D" w:rsidRPr="00780894" w:rsidRDefault="0054533D" w:rsidP="00EB26D8">
            <w:pPr>
              <w:pStyle w:val="ListParagraph"/>
              <w:ind w:left="0"/>
              <w:rPr>
                <w:b/>
                <w:sz w:val="16"/>
                <w:szCs w:val="16"/>
              </w:rPr>
            </w:pPr>
            <w:r w:rsidRPr="00780894">
              <w:rPr>
                <w:b/>
                <w:sz w:val="16"/>
                <w:szCs w:val="16"/>
              </w:rPr>
              <w:t>Observed</w:t>
            </w:r>
          </w:p>
        </w:tc>
        <w:tc>
          <w:tcPr>
            <w:tcW w:w="708" w:type="dxa"/>
            <w:vMerge w:val="restart"/>
          </w:tcPr>
          <w:p w14:paraId="1E2A2CA4" w14:textId="77777777" w:rsidR="0054533D" w:rsidRPr="00780894" w:rsidRDefault="0054533D" w:rsidP="00EB26D8">
            <w:pPr>
              <w:pStyle w:val="ListParagraph"/>
              <w:ind w:left="0"/>
              <w:rPr>
                <w:b/>
                <w:sz w:val="16"/>
                <w:szCs w:val="16"/>
              </w:rPr>
            </w:pPr>
            <w:r w:rsidRPr="00780894">
              <w:rPr>
                <w:b/>
                <w:sz w:val="16"/>
                <w:szCs w:val="16"/>
              </w:rPr>
              <w:t>SMR</w:t>
            </w:r>
          </w:p>
        </w:tc>
        <w:tc>
          <w:tcPr>
            <w:tcW w:w="709" w:type="dxa"/>
          </w:tcPr>
          <w:p w14:paraId="52FF4B72" w14:textId="77777777" w:rsidR="0054533D" w:rsidRPr="00780894" w:rsidRDefault="0054533D" w:rsidP="00EB26D8">
            <w:pPr>
              <w:pStyle w:val="ListParagraph"/>
              <w:ind w:left="0"/>
              <w:rPr>
                <w:b/>
                <w:sz w:val="16"/>
                <w:szCs w:val="16"/>
              </w:rPr>
            </w:pPr>
            <w:r w:rsidRPr="00780894">
              <w:rPr>
                <w:b/>
                <w:sz w:val="16"/>
                <w:szCs w:val="16"/>
              </w:rPr>
              <w:t>Lower</w:t>
            </w:r>
          </w:p>
        </w:tc>
        <w:tc>
          <w:tcPr>
            <w:tcW w:w="851" w:type="dxa"/>
          </w:tcPr>
          <w:p w14:paraId="26FE3346" w14:textId="77777777" w:rsidR="0054533D" w:rsidRPr="00780894" w:rsidRDefault="0054533D" w:rsidP="00EB26D8">
            <w:pPr>
              <w:pStyle w:val="ListParagraph"/>
              <w:ind w:left="0"/>
              <w:rPr>
                <w:b/>
                <w:sz w:val="16"/>
                <w:szCs w:val="16"/>
              </w:rPr>
            </w:pPr>
            <w:r w:rsidRPr="00780894">
              <w:rPr>
                <w:b/>
                <w:sz w:val="16"/>
                <w:szCs w:val="16"/>
              </w:rPr>
              <w:t>Upper</w:t>
            </w:r>
          </w:p>
        </w:tc>
      </w:tr>
      <w:tr w:rsidR="0054533D" w14:paraId="6DB4CD87" w14:textId="77777777" w:rsidTr="00EB26D8">
        <w:tc>
          <w:tcPr>
            <w:tcW w:w="992" w:type="dxa"/>
            <w:vMerge/>
          </w:tcPr>
          <w:p w14:paraId="3F799195" w14:textId="77777777" w:rsidR="0054533D" w:rsidRPr="00780894" w:rsidRDefault="0054533D" w:rsidP="00EB26D8">
            <w:pPr>
              <w:pStyle w:val="ListParagraph"/>
              <w:ind w:left="0"/>
              <w:rPr>
                <w:b/>
                <w:sz w:val="16"/>
                <w:szCs w:val="16"/>
              </w:rPr>
            </w:pPr>
          </w:p>
        </w:tc>
        <w:tc>
          <w:tcPr>
            <w:tcW w:w="1276" w:type="dxa"/>
          </w:tcPr>
          <w:p w14:paraId="35D2E875" w14:textId="77777777" w:rsidR="0054533D" w:rsidRPr="00780894" w:rsidRDefault="0054533D" w:rsidP="00EB26D8">
            <w:pPr>
              <w:pStyle w:val="ListParagraph"/>
              <w:ind w:left="0"/>
              <w:rPr>
                <w:b/>
                <w:sz w:val="16"/>
                <w:szCs w:val="16"/>
              </w:rPr>
            </w:pPr>
            <w:r w:rsidRPr="00780894">
              <w:rPr>
                <w:b/>
                <w:sz w:val="16"/>
                <w:szCs w:val="16"/>
              </w:rPr>
              <w:t>yearly deaths in general population</w:t>
            </w:r>
          </w:p>
        </w:tc>
        <w:tc>
          <w:tcPr>
            <w:tcW w:w="1134" w:type="dxa"/>
          </w:tcPr>
          <w:p w14:paraId="772CA1F3" w14:textId="77777777" w:rsidR="0054533D" w:rsidRPr="00780894" w:rsidRDefault="0054533D" w:rsidP="00EB26D8">
            <w:pPr>
              <w:pStyle w:val="ListParagraph"/>
              <w:ind w:left="0"/>
              <w:rPr>
                <w:b/>
                <w:sz w:val="16"/>
                <w:szCs w:val="16"/>
              </w:rPr>
            </w:pPr>
            <w:r w:rsidRPr="00780894">
              <w:rPr>
                <w:b/>
                <w:sz w:val="16"/>
                <w:szCs w:val="16"/>
              </w:rPr>
              <w:t xml:space="preserve">size of population </w:t>
            </w:r>
          </w:p>
        </w:tc>
        <w:tc>
          <w:tcPr>
            <w:tcW w:w="1276" w:type="dxa"/>
          </w:tcPr>
          <w:p w14:paraId="064DD221" w14:textId="77777777" w:rsidR="0054533D" w:rsidRPr="00780894" w:rsidRDefault="0054533D" w:rsidP="00EB26D8">
            <w:pPr>
              <w:pStyle w:val="ListParagraph"/>
              <w:ind w:left="0"/>
              <w:rPr>
                <w:b/>
                <w:sz w:val="16"/>
                <w:szCs w:val="16"/>
              </w:rPr>
            </w:pPr>
            <w:r w:rsidRPr="00780894">
              <w:rPr>
                <w:b/>
                <w:sz w:val="16"/>
                <w:szCs w:val="16"/>
              </w:rPr>
              <w:t xml:space="preserve">yearly size of epilepsy population </w:t>
            </w:r>
          </w:p>
        </w:tc>
        <w:tc>
          <w:tcPr>
            <w:tcW w:w="992" w:type="dxa"/>
            <w:vMerge/>
          </w:tcPr>
          <w:p w14:paraId="7282F05C" w14:textId="77777777" w:rsidR="0054533D" w:rsidRPr="00780894" w:rsidRDefault="0054533D" w:rsidP="00EB26D8">
            <w:pPr>
              <w:pStyle w:val="ListParagraph"/>
              <w:ind w:left="0"/>
              <w:rPr>
                <w:b/>
                <w:sz w:val="16"/>
                <w:szCs w:val="16"/>
              </w:rPr>
            </w:pPr>
          </w:p>
        </w:tc>
        <w:tc>
          <w:tcPr>
            <w:tcW w:w="1985" w:type="dxa"/>
            <w:gridSpan w:val="2"/>
          </w:tcPr>
          <w:p w14:paraId="244BF85A" w14:textId="77777777" w:rsidR="0054533D" w:rsidRPr="00780894" w:rsidRDefault="0054533D" w:rsidP="00EB26D8">
            <w:pPr>
              <w:pStyle w:val="ListParagraph"/>
              <w:ind w:left="0"/>
              <w:rPr>
                <w:b/>
                <w:sz w:val="16"/>
                <w:szCs w:val="16"/>
              </w:rPr>
            </w:pPr>
            <w:r w:rsidRPr="00780894">
              <w:rPr>
                <w:b/>
                <w:sz w:val="16"/>
                <w:szCs w:val="16"/>
              </w:rPr>
              <w:t>Number of deaths in epilepsy population</w:t>
            </w:r>
          </w:p>
        </w:tc>
        <w:tc>
          <w:tcPr>
            <w:tcW w:w="708" w:type="dxa"/>
            <w:vMerge/>
          </w:tcPr>
          <w:p w14:paraId="11836326" w14:textId="77777777" w:rsidR="0054533D" w:rsidRPr="00780894" w:rsidRDefault="0054533D" w:rsidP="00EB26D8">
            <w:pPr>
              <w:pStyle w:val="ListParagraph"/>
              <w:ind w:left="0"/>
              <w:rPr>
                <w:b/>
                <w:sz w:val="16"/>
                <w:szCs w:val="16"/>
              </w:rPr>
            </w:pPr>
          </w:p>
        </w:tc>
        <w:tc>
          <w:tcPr>
            <w:tcW w:w="1560" w:type="dxa"/>
            <w:gridSpan w:val="2"/>
          </w:tcPr>
          <w:p w14:paraId="787F6319" w14:textId="77777777" w:rsidR="0054533D" w:rsidRDefault="0054533D" w:rsidP="00EB26D8">
            <w:pPr>
              <w:pStyle w:val="ListParagraph"/>
              <w:ind w:left="0"/>
              <w:rPr>
                <w:b/>
                <w:sz w:val="16"/>
                <w:szCs w:val="16"/>
              </w:rPr>
            </w:pPr>
          </w:p>
          <w:p w14:paraId="4A099C0F" w14:textId="77777777" w:rsidR="0054533D" w:rsidRPr="00780894" w:rsidRDefault="0054533D" w:rsidP="00EB26D8">
            <w:pPr>
              <w:pStyle w:val="ListParagraph"/>
              <w:ind w:left="0"/>
              <w:rPr>
                <w:b/>
                <w:sz w:val="16"/>
                <w:szCs w:val="16"/>
              </w:rPr>
            </w:pPr>
            <w:r w:rsidRPr="00780894">
              <w:rPr>
                <w:b/>
                <w:sz w:val="16"/>
                <w:szCs w:val="16"/>
              </w:rPr>
              <w:t>95% CI</w:t>
            </w:r>
          </w:p>
        </w:tc>
      </w:tr>
      <w:tr w:rsidR="0054533D" w14:paraId="1FB2FFDE" w14:textId="77777777" w:rsidTr="00EB26D8">
        <w:tc>
          <w:tcPr>
            <w:tcW w:w="992" w:type="dxa"/>
          </w:tcPr>
          <w:p w14:paraId="4C3DAB54" w14:textId="77777777" w:rsidR="0054533D" w:rsidRPr="0029330B" w:rsidRDefault="0054533D" w:rsidP="00EB26D8">
            <w:pPr>
              <w:pStyle w:val="ListParagraph"/>
              <w:ind w:left="0"/>
              <w:rPr>
                <w:sz w:val="20"/>
              </w:rPr>
            </w:pPr>
            <w:r w:rsidRPr="0029330B">
              <w:rPr>
                <w:sz w:val="20"/>
              </w:rPr>
              <w:t>16-24</w:t>
            </w:r>
          </w:p>
        </w:tc>
        <w:tc>
          <w:tcPr>
            <w:tcW w:w="1276" w:type="dxa"/>
          </w:tcPr>
          <w:p w14:paraId="74E295F2" w14:textId="77777777" w:rsidR="0054533D" w:rsidRPr="0029330B" w:rsidRDefault="0054533D" w:rsidP="00EB26D8">
            <w:pPr>
              <w:pStyle w:val="ListParagraph"/>
              <w:ind w:left="0"/>
              <w:rPr>
                <w:sz w:val="20"/>
              </w:rPr>
            </w:pPr>
            <w:r w:rsidRPr="0029330B">
              <w:rPr>
                <w:sz w:val="20"/>
              </w:rPr>
              <w:t>283</w:t>
            </w:r>
          </w:p>
        </w:tc>
        <w:tc>
          <w:tcPr>
            <w:tcW w:w="1134" w:type="dxa"/>
          </w:tcPr>
          <w:p w14:paraId="339F5C5A" w14:textId="77777777" w:rsidR="0054533D" w:rsidRPr="0029330B" w:rsidRDefault="0054533D" w:rsidP="00EB26D8">
            <w:pPr>
              <w:pStyle w:val="ListParagraph"/>
              <w:ind w:left="0"/>
              <w:rPr>
                <w:sz w:val="20"/>
              </w:rPr>
            </w:pPr>
            <w:r w:rsidRPr="0029330B">
              <w:rPr>
                <w:sz w:val="20"/>
              </w:rPr>
              <w:t>622,729</w:t>
            </w:r>
          </w:p>
        </w:tc>
        <w:tc>
          <w:tcPr>
            <w:tcW w:w="1276" w:type="dxa"/>
          </w:tcPr>
          <w:p w14:paraId="03A6B0DB" w14:textId="77777777" w:rsidR="0054533D" w:rsidRPr="0029330B" w:rsidRDefault="0054533D" w:rsidP="00EB26D8">
            <w:pPr>
              <w:pStyle w:val="ListParagraph"/>
              <w:ind w:left="0"/>
              <w:rPr>
                <w:sz w:val="20"/>
              </w:rPr>
            </w:pPr>
            <w:r>
              <w:rPr>
                <w:sz w:val="20"/>
              </w:rPr>
              <w:t>3,740</w:t>
            </w:r>
          </w:p>
        </w:tc>
        <w:tc>
          <w:tcPr>
            <w:tcW w:w="992" w:type="dxa"/>
          </w:tcPr>
          <w:p w14:paraId="2CDB71F7" w14:textId="77777777" w:rsidR="0054533D" w:rsidRPr="0029330B" w:rsidRDefault="0054533D" w:rsidP="00EB26D8">
            <w:pPr>
              <w:pStyle w:val="ListParagraph"/>
              <w:ind w:left="0"/>
              <w:rPr>
                <w:sz w:val="20"/>
              </w:rPr>
            </w:pPr>
            <w:r w:rsidRPr="0029330B">
              <w:rPr>
                <w:sz w:val="20"/>
              </w:rPr>
              <w:t>45</w:t>
            </w:r>
          </w:p>
        </w:tc>
        <w:tc>
          <w:tcPr>
            <w:tcW w:w="992" w:type="dxa"/>
          </w:tcPr>
          <w:p w14:paraId="79AFD13E" w14:textId="77777777" w:rsidR="0054533D" w:rsidRDefault="0054533D" w:rsidP="00EB26D8">
            <w:pPr>
              <w:pStyle w:val="ListParagraph"/>
              <w:ind w:left="0"/>
              <w:rPr>
                <w:sz w:val="20"/>
              </w:rPr>
            </w:pPr>
            <w:r>
              <w:rPr>
                <w:sz w:val="20"/>
              </w:rPr>
              <w:t>2</w:t>
            </w:r>
          </w:p>
        </w:tc>
        <w:tc>
          <w:tcPr>
            <w:tcW w:w="993" w:type="dxa"/>
          </w:tcPr>
          <w:p w14:paraId="68FB206C" w14:textId="77777777" w:rsidR="0054533D" w:rsidRPr="0029330B" w:rsidRDefault="0054533D" w:rsidP="00EB26D8">
            <w:pPr>
              <w:pStyle w:val="ListParagraph"/>
              <w:ind w:left="0"/>
              <w:rPr>
                <w:sz w:val="20"/>
              </w:rPr>
            </w:pPr>
            <w:r>
              <w:rPr>
                <w:sz w:val="20"/>
              </w:rPr>
              <w:t>10</w:t>
            </w:r>
          </w:p>
        </w:tc>
        <w:tc>
          <w:tcPr>
            <w:tcW w:w="708" w:type="dxa"/>
          </w:tcPr>
          <w:p w14:paraId="0517B477" w14:textId="77777777" w:rsidR="0054533D" w:rsidRPr="00EF3882" w:rsidRDefault="0054533D" w:rsidP="00EB26D8">
            <w:pPr>
              <w:pStyle w:val="ListParagraph"/>
              <w:ind w:left="0"/>
              <w:rPr>
                <w:b/>
                <w:sz w:val="20"/>
              </w:rPr>
            </w:pPr>
            <w:r w:rsidRPr="00EF3882">
              <w:rPr>
                <w:b/>
                <w:sz w:val="20"/>
              </w:rPr>
              <w:t>6</w:t>
            </w:r>
          </w:p>
        </w:tc>
        <w:tc>
          <w:tcPr>
            <w:tcW w:w="709" w:type="dxa"/>
          </w:tcPr>
          <w:p w14:paraId="7972FBEA" w14:textId="77777777" w:rsidR="0054533D" w:rsidRPr="0029330B" w:rsidRDefault="0054533D" w:rsidP="00EB26D8">
            <w:pPr>
              <w:pStyle w:val="ListParagraph"/>
              <w:ind w:left="0"/>
              <w:rPr>
                <w:sz w:val="20"/>
              </w:rPr>
            </w:pPr>
            <w:r>
              <w:rPr>
                <w:sz w:val="20"/>
              </w:rPr>
              <w:t>2.3</w:t>
            </w:r>
          </w:p>
        </w:tc>
        <w:tc>
          <w:tcPr>
            <w:tcW w:w="851" w:type="dxa"/>
          </w:tcPr>
          <w:p w14:paraId="4B37332C" w14:textId="77777777" w:rsidR="0054533D" w:rsidRPr="0029330B" w:rsidRDefault="0054533D" w:rsidP="00EB26D8">
            <w:pPr>
              <w:pStyle w:val="ListParagraph"/>
              <w:ind w:left="0"/>
              <w:rPr>
                <w:sz w:val="20"/>
              </w:rPr>
            </w:pPr>
            <w:r>
              <w:rPr>
                <w:sz w:val="20"/>
              </w:rPr>
              <w:t>9.7</w:t>
            </w:r>
          </w:p>
        </w:tc>
      </w:tr>
      <w:tr w:rsidR="0054533D" w14:paraId="56695ED3" w14:textId="77777777" w:rsidTr="00EB26D8">
        <w:tc>
          <w:tcPr>
            <w:tcW w:w="992" w:type="dxa"/>
          </w:tcPr>
          <w:p w14:paraId="310EBC2B" w14:textId="77777777" w:rsidR="0054533D" w:rsidRPr="0029330B" w:rsidRDefault="0054533D" w:rsidP="00EB26D8">
            <w:pPr>
              <w:pStyle w:val="ListParagraph"/>
              <w:ind w:left="0"/>
              <w:rPr>
                <w:sz w:val="20"/>
              </w:rPr>
            </w:pPr>
            <w:r w:rsidRPr="0029330B">
              <w:rPr>
                <w:sz w:val="20"/>
              </w:rPr>
              <w:t>25-34</w:t>
            </w:r>
          </w:p>
        </w:tc>
        <w:tc>
          <w:tcPr>
            <w:tcW w:w="1276" w:type="dxa"/>
          </w:tcPr>
          <w:p w14:paraId="1D559344" w14:textId="77777777" w:rsidR="0054533D" w:rsidRPr="0029330B" w:rsidRDefault="0054533D" w:rsidP="00EB26D8">
            <w:pPr>
              <w:pStyle w:val="ListParagraph"/>
              <w:ind w:left="0"/>
              <w:rPr>
                <w:sz w:val="20"/>
              </w:rPr>
            </w:pPr>
            <w:r w:rsidRPr="0029330B">
              <w:rPr>
                <w:sz w:val="20"/>
              </w:rPr>
              <w:t>593</w:t>
            </w:r>
          </w:p>
        </w:tc>
        <w:tc>
          <w:tcPr>
            <w:tcW w:w="1134" w:type="dxa"/>
          </w:tcPr>
          <w:p w14:paraId="76FF62C7" w14:textId="77777777" w:rsidR="0054533D" w:rsidRPr="0029330B" w:rsidRDefault="0054533D" w:rsidP="00EB26D8">
            <w:pPr>
              <w:pStyle w:val="ListParagraph"/>
              <w:ind w:left="0"/>
              <w:rPr>
                <w:sz w:val="20"/>
              </w:rPr>
            </w:pPr>
            <w:r w:rsidRPr="0029330B">
              <w:rPr>
                <w:sz w:val="20"/>
              </w:rPr>
              <w:t>680,591</w:t>
            </w:r>
          </w:p>
        </w:tc>
        <w:tc>
          <w:tcPr>
            <w:tcW w:w="1276" w:type="dxa"/>
          </w:tcPr>
          <w:p w14:paraId="3E7D6CA5" w14:textId="77777777" w:rsidR="0054533D" w:rsidRPr="0029330B" w:rsidRDefault="0054533D" w:rsidP="00EB26D8">
            <w:pPr>
              <w:pStyle w:val="ListParagraph"/>
              <w:ind w:left="0"/>
              <w:rPr>
                <w:sz w:val="20"/>
              </w:rPr>
            </w:pPr>
            <w:r>
              <w:rPr>
                <w:sz w:val="20"/>
              </w:rPr>
              <w:t>4,908</w:t>
            </w:r>
          </w:p>
        </w:tc>
        <w:tc>
          <w:tcPr>
            <w:tcW w:w="992" w:type="dxa"/>
          </w:tcPr>
          <w:p w14:paraId="6CBDD59F" w14:textId="77777777" w:rsidR="0054533D" w:rsidRPr="0029330B" w:rsidRDefault="0054533D" w:rsidP="00EB26D8">
            <w:pPr>
              <w:pStyle w:val="ListParagraph"/>
              <w:ind w:left="0"/>
              <w:rPr>
                <w:sz w:val="20"/>
              </w:rPr>
            </w:pPr>
            <w:r w:rsidRPr="0029330B">
              <w:rPr>
                <w:sz w:val="20"/>
              </w:rPr>
              <w:t>87</w:t>
            </w:r>
          </w:p>
        </w:tc>
        <w:tc>
          <w:tcPr>
            <w:tcW w:w="992" w:type="dxa"/>
          </w:tcPr>
          <w:p w14:paraId="49B9333E" w14:textId="77777777" w:rsidR="0054533D" w:rsidRDefault="0054533D" w:rsidP="00EB26D8">
            <w:pPr>
              <w:pStyle w:val="ListParagraph"/>
              <w:ind w:left="0"/>
              <w:rPr>
                <w:sz w:val="20"/>
              </w:rPr>
            </w:pPr>
            <w:r>
              <w:rPr>
                <w:sz w:val="20"/>
              </w:rPr>
              <w:t>4</w:t>
            </w:r>
          </w:p>
        </w:tc>
        <w:tc>
          <w:tcPr>
            <w:tcW w:w="993" w:type="dxa"/>
          </w:tcPr>
          <w:p w14:paraId="60EF9C60" w14:textId="77777777" w:rsidR="0054533D" w:rsidRPr="0029330B" w:rsidRDefault="0054533D" w:rsidP="00EB26D8">
            <w:pPr>
              <w:pStyle w:val="ListParagraph"/>
              <w:ind w:left="0"/>
              <w:rPr>
                <w:sz w:val="20"/>
              </w:rPr>
            </w:pPr>
            <w:r>
              <w:rPr>
                <w:sz w:val="20"/>
              </w:rPr>
              <w:t>16</w:t>
            </w:r>
          </w:p>
        </w:tc>
        <w:tc>
          <w:tcPr>
            <w:tcW w:w="708" w:type="dxa"/>
          </w:tcPr>
          <w:p w14:paraId="634EFA52" w14:textId="77777777" w:rsidR="0054533D" w:rsidRPr="00EF3882" w:rsidRDefault="0054533D" w:rsidP="00EB26D8">
            <w:pPr>
              <w:pStyle w:val="ListParagraph"/>
              <w:ind w:left="0"/>
              <w:rPr>
                <w:b/>
                <w:sz w:val="20"/>
              </w:rPr>
            </w:pPr>
            <w:r w:rsidRPr="00EF3882">
              <w:rPr>
                <w:b/>
                <w:sz w:val="20"/>
              </w:rPr>
              <w:t>4</w:t>
            </w:r>
          </w:p>
        </w:tc>
        <w:tc>
          <w:tcPr>
            <w:tcW w:w="709" w:type="dxa"/>
          </w:tcPr>
          <w:p w14:paraId="67E607C2" w14:textId="77777777" w:rsidR="0054533D" w:rsidRPr="0029330B" w:rsidRDefault="0054533D" w:rsidP="00EB26D8">
            <w:pPr>
              <w:pStyle w:val="ListParagraph"/>
              <w:ind w:left="0"/>
              <w:rPr>
                <w:sz w:val="20"/>
              </w:rPr>
            </w:pPr>
            <w:r>
              <w:rPr>
                <w:sz w:val="20"/>
              </w:rPr>
              <w:t>1.9</w:t>
            </w:r>
          </w:p>
        </w:tc>
        <w:tc>
          <w:tcPr>
            <w:tcW w:w="851" w:type="dxa"/>
          </w:tcPr>
          <w:p w14:paraId="7EC493DC" w14:textId="77777777" w:rsidR="0054533D" w:rsidRPr="0029330B" w:rsidRDefault="0054533D" w:rsidP="00EB26D8">
            <w:pPr>
              <w:pStyle w:val="ListParagraph"/>
              <w:ind w:left="0"/>
              <w:rPr>
                <w:sz w:val="20"/>
              </w:rPr>
            </w:pPr>
            <w:r>
              <w:rPr>
                <w:sz w:val="20"/>
              </w:rPr>
              <w:t>5.6</w:t>
            </w:r>
          </w:p>
        </w:tc>
      </w:tr>
      <w:tr w:rsidR="0054533D" w14:paraId="7635B418" w14:textId="77777777" w:rsidTr="00EB26D8">
        <w:tc>
          <w:tcPr>
            <w:tcW w:w="992" w:type="dxa"/>
          </w:tcPr>
          <w:p w14:paraId="2367A0E4" w14:textId="77777777" w:rsidR="0054533D" w:rsidRPr="0029330B" w:rsidRDefault="0054533D" w:rsidP="00EB26D8">
            <w:pPr>
              <w:pStyle w:val="ListParagraph"/>
              <w:ind w:left="0"/>
              <w:rPr>
                <w:sz w:val="20"/>
              </w:rPr>
            </w:pPr>
            <w:r w:rsidRPr="0029330B">
              <w:rPr>
                <w:sz w:val="20"/>
              </w:rPr>
              <w:t>35-44</w:t>
            </w:r>
          </w:p>
        </w:tc>
        <w:tc>
          <w:tcPr>
            <w:tcW w:w="1276" w:type="dxa"/>
          </w:tcPr>
          <w:p w14:paraId="5994154E" w14:textId="77777777" w:rsidR="0054533D" w:rsidRPr="0029330B" w:rsidRDefault="0054533D" w:rsidP="00EB26D8">
            <w:pPr>
              <w:pStyle w:val="ListParagraph"/>
              <w:ind w:left="0"/>
              <w:rPr>
                <w:sz w:val="20"/>
              </w:rPr>
            </w:pPr>
            <w:r w:rsidRPr="0029330B">
              <w:rPr>
                <w:sz w:val="20"/>
              </w:rPr>
              <w:t>1,233</w:t>
            </w:r>
          </w:p>
        </w:tc>
        <w:tc>
          <w:tcPr>
            <w:tcW w:w="1134" w:type="dxa"/>
          </w:tcPr>
          <w:p w14:paraId="2102404F" w14:textId="77777777" w:rsidR="0054533D" w:rsidRPr="0029330B" w:rsidRDefault="0054533D" w:rsidP="00EB26D8">
            <w:pPr>
              <w:pStyle w:val="ListParagraph"/>
              <w:ind w:left="0"/>
              <w:rPr>
                <w:sz w:val="20"/>
              </w:rPr>
            </w:pPr>
            <w:r w:rsidRPr="0029330B">
              <w:rPr>
                <w:sz w:val="20"/>
              </w:rPr>
              <w:t>710,935</w:t>
            </w:r>
          </w:p>
        </w:tc>
        <w:tc>
          <w:tcPr>
            <w:tcW w:w="1276" w:type="dxa"/>
          </w:tcPr>
          <w:p w14:paraId="6E69CA8C" w14:textId="77777777" w:rsidR="0054533D" w:rsidRDefault="0054533D" w:rsidP="00EB26D8">
            <w:pPr>
              <w:pStyle w:val="ListParagraph"/>
              <w:ind w:left="0"/>
              <w:rPr>
                <w:sz w:val="20"/>
              </w:rPr>
            </w:pPr>
            <w:r>
              <w:rPr>
                <w:sz w:val="20"/>
              </w:rPr>
              <w:t>5,408</w:t>
            </w:r>
          </w:p>
        </w:tc>
        <w:tc>
          <w:tcPr>
            <w:tcW w:w="992" w:type="dxa"/>
          </w:tcPr>
          <w:p w14:paraId="6B8C515F" w14:textId="77777777" w:rsidR="0054533D" w:rsidRPr="0029330B" w:rsidRDefault="0054533D" w:rsidP="00EB26D8">
            <w:pPr>
              <w:pStyle w:val="ListParagraph"/>
              <w:ind w:left="0"/>
              <w:rPr>
                <w:sz w:val="20"/>
              </w:rPr>
            </w:pPr>
            <w:r>
              <w:rPr>
                <w:sz w:val="20"/>
              </w:rPr>
              <w:t>173</w:t>
            </w:r>
          </w:p>
        </w:tc>
        <w:tc>
          <w:tcPr>
            <w:tcW w:w="992" w:type="dxa"/>
          </w:tcPr>
          <w:p w14:paraId="011A94BD" w14:textId="77777777" w:rsidR="0054533D" w:rsidRDefault="0054533D" w:rsidP="00EB26D8">
            <w:pPr>
              <w:pStyle w:val="ListParagraph"/>
              <w:ind w:left="0"/>
              <w:rPr>
                <w:sz w:val="20"/>
              </w:rPr>
            </w:pPr>
            <w:r>
              <w:rPr>
                <w:sz w:val="20"/>
              </w:rPr>
              <w:t>9</w:t>
            </w:r>
          </w:p>
        </w:tc>
        <w:tc>
          <w:tcPr>
            <w:tcW w:w="993" w:type="dxa"/>
          </w:tcPr>
          <w:p w14:paraId="73C8C770" w14:textId="77777777" w:rsidR="0054533D" w:rsidRPr="0029330B" w:rsidRDefault="0054533D" w:rsidP="00EB26D8">
            <w:pPr>
              <w:pStyle w:val="ListParagraph"/>
              <w:ind w:left="0"/>
              <w:rPr>
                <w:sz w:val="20"/>
              </w:rPr>
            </w:pPr>
            <w:r>
              <w:rPr>
                <w:sz w:val="20"/>
              </w:rPr>
              <w:t>21</w:t>
            </w:r>
          </w:p>
        </w:tc>
        <w:tc>
          <w:tcPr>
            <w:tcW w:w="708" w:type="dxa"/>
          </w:tcPr>
          <w:p w14:paraId="7897F70A" w14:textId="77777777" w:rsidR="0054533D" w:rsidRPr="00EF3882" w:rsidRDefault="0054533D" w:rsidP="00EB26D8">
            <w:pPr>
              <w:pStyle w:val="ListParagraph"/>
              <w:ind w:left="0"/>
              <w:rPr>
                <w:b/>
                <w:sz w:val="20"/>
              </w:rPr>
            </w:pPr>
            <w:r w:rsidRPr="00EF3882">
              <w:rPr>
                <w:b/>
                <w:sz w:val="20"/>
              </w:rPr>
              <w:t>2</w:t>
            </w:r>
          </w:p>
        </w:tc>
        <w:tc>
          <w:tcPr>
            <w:tcW w:w="709" w:type="dxa"/>
          </w:tcPr>
          <w:p w14:paraId="78ED40D4" w14:textId="77777777" w:rsidR="0054533D" w:rsidRPr="0029330B" w:rsidRDefault="0054533D" w:rsidP="00EB26D8">
            <w:pPr>
              <w:pStyle w:val="ListParagraph"/>
              <w:ind w:left="0"/>
              <w:rPr>
                <w:sz w:val="20"/>
              </w:rPr>
            </w:pPr>
            <w:r>
              <w:rPr>
                <w:sz w:val="20"/>
              </w:rPr>
              <w:t>1.3</w:t>
            </w:r>
          </w:p>
        </w:tc>
        <w:tc>
          <w:tcPr>
            <w:tcW w:w="851" w:type="dxa"/>
          </w:tcPr>
          <w:p w14:paraId="40DCEB25" w14:textId="77777777" w:rsidR="0054533D" w:rsidRPr="0029330B" w:rsidRDefault="0054533D" w:rsidP="00EB26D8">
            <w:pPr>
              <w:pStyle w:val="ListParagraph"/>
              <w:ind w:left="0"/>
              <w:rPr>
                <w:sz w:val="20"/>
              </w:rPr>
            </w:pPr>
            <w:r>
              <w:rPr>
                <w:sz w:val="20"/>
              </w:rPr>
              <w:t>3.2</w:t>
            </w:r>
          </w:p>
        </w:tc>
      </w:tr>
      <w:tr w:rsidR="0054533D" w14:paraId="53FAB4F8" w14:textId="77777777" w:rsidTr="00EB26D8">
        <w:tc>
          <w:tcPr>
            <w:tcW w:w="992" w:type="dxa"/>
          </w:tcPr>
          <w:p w14:paraId="054AEBC4" w14:textId="77777777" w:rsidR="0054533D" w:rsidRPr="0029330B" w:rsidRDefault="0054533D" w:rsidP="00EB26D8">
            <w:pPr>
              <w:pStyle w:val="ListParagraph"/>
              <w:ind w:left="0"/>
              <w:rPr>
                <w:sz w:val="20"/>
              </w:rPr>
            </w:pPr>
            <w:r w:rsidRPr="0029330B">
              <w:rPr>
                <w:sz w:val="20"/>
              </w:rPr>
              <w:t>45-54</w:t>
            </w:r>
          </w:p>
        </w:tc>
        <w:tc>
          <w:tcPr>
            <w:tcW w:w="1276" w:type="dxa"/>
          </w:tcPr>
          <w:p w14:paraId="2643792C" w14:textId="77777777" w:rsidR="0054533D" w:rsidRPr="0029330B" w:rsidRDefault="0054533D" w:rsidP="00EB26D8">
            <w:pPr>
              <w:pStyle w:val="ListParagraph"/>
              <w:ind w:left="0"/>
              <w:rPr>
                <w:sz w:val="20"/>
              </w:rPr>
            </w:pPr>
            <w:r w:rsidRPr="0029330B">
              <w:rPr>
                <w:sz w:val="20"/>
              </w:rPr>
              <w:t>2,682</w:t>
            </w:r>
          </w:p>
        </w:tc>
        <w:tc>
          <w:tcPr>
            <w:tcW w:w="1134" w:type="dxa"/>
          </w:tcPr>
          <w:p w14:paraId="058C64F4" w14:textId="77777777" w:rsidR="0054533D" w:rsidRPr="0029330B" w:rsidRDefault="0054533D" w:rsidP="00EB26D8">
            <w:pPr>
              <w:pStyle w:val="ListParagraph"/>
              <w:ind w:left="0"/>
              <w:rPr>
                <w:sz w:val="20"/>
              </w:rPr>
            </w:pPr>
            <w:r w:rsidRPr="0029330B">
              <w:rPr>
                <w:sz w:val="20"/>
              </w:rPr>
              <w:t>789,569</w:t>
            </w:r>
          </w:p>
        </w:tc>
        <w:tc>
          <w:tcPr>
            <w:tcW w:w="1276" w:type="dxa"/>
          </w:tcPr>
          <w:p w14:paraId="7609A18E" w14:textId="77777777" w:rsidR="0054533D" w:rsidRDefault="0054533D" w:rsidP="00EB26D8">
            <w:pPr>
              <w:pStyle w:val="ListParagraph"/>
              <w:ind w:left="0"/>
              <w:rPr>
                <w:sz w:val="20"/>
              </w:rPr>
            </w:pPr>
            <w:r>
              <w:rPr>
                <w:sz w:val="20"/>
              </w:rPr>
              <w:t>6,324</w:t>
            </w:r>
          </w:p>
        </w:tc>
        <w:tc>
          <w:tcPr>
            <w:tcW w:w="992" w:type="dxa"/>
          </w:tcPr>
          <w:p w14:paraId="6A87B846" w14:textId="77777777" w:rsidR="0054533D" w:rsidRPr="0029330B" w:rsidRDefault="0054533D" w:rsidP="00EB26D8">
            <w:pPr>
              <w:pStyle w:val="ListParagraph"/>
              <w:ind w:left="0"/>
              <w:rPr>
                <w:sz w:val="20"/>
              </w:rPr>
            </w:pPr>
            <w:r>
              <w:rPr>
                <w:sz w:val="20"/>
              </w:rPr>
              <w:t>340</w:t>
            </w:r>
          </w:p>
        </w:tc>
        <w:tc>
          <w:tcPr>
            <w:tcW w:w="992" w:type="dxa"/>
          </w:tcPr>
          <w:p w14:paraId="73B540A6" w14:textId="77777777" w:rsidR="0054533D" w:rsidRDefault="0054533D" w:rsidP="00EB26D8">
            <w:pPr>
              <w:pStyle w:val="ListParagraph"/>
              <w:ind w:left="0"/>
              <w:rPr>
                <w:sz w:val="20"/>
              </w:rPr>
            </w:pPr>
            <w:r>
              <w:rPr>
                <w:sz w:val="20"/>
              </w:rPr>
              <w:t>21</w:t>
            </w:r>
          </w:p>
        </w:tc>
        <w:tc>
          <w:tcPr>
            <w:tcW w:w="993" w:type="dxa"/>
          </w:tcPr>
          <w:p w14:paraId="0B7E1DBD" w14:textId="77777777" w:rsidR="0054533D" w:rsidRPr="0029330B" w:rsidRDefault="0054533D" w:rsidP="00EB26D8">
            <w:pPr>
              <w:pStyle w:val="ListParagraph"/>
              <w:ind w:left="0"/>
              <w:rPr>
                <w:sz w:val="20"/>
              </w:rPr>
            </w:pPr>
            <w:r>
              <w:rPr>
                <w:sz w:val="20"/>
              </w:rPr>
              <w:t>34</w:t>
            </w:r>
          </w:p>
        </w:tc>
        <w:tc>
          <w:tcPr>
            <w:tcW w:w="708" w:type="dxa"/>
          </w:tcPr>
          <w:p w14:paraId="004791D6" w14:textId="77777777" w:rsidR="0054533D" w:rsidRPr="00EF3882" w:rsidRDefault="0054533D" w:rsidP="00EB26D8">
            <w:pPr>
              <w:pStyle w:val="ListParagraph"/>
              <w:ind w:left="0"/>
              <w:rPr>
                <w:b/>
                <w:sz w:val="20"/>
              </w:rPr>
            </w:pPr>
            <w:r w:rsidRPr="00EF3882">
              <w:rPr>
                <w:b/>
                <w:sz w:val="20"/>
              </w:rPr>
              <w:t>2</w:t>
            </w:r>
          </w:p>
        </w:tc>
        <w:tc>
          <w:tcPr>
            <w:tcW w:w="709" w:type="dxa"/>
          </w:tcPr>
          <w:p w14:paraId="54B27EBB" w14:textId="77777777" w:rsidR="0054533D" w:rsidRPr="0029330B" w:rsidRDefault="0054533D" w:rsidP="00EB26D8">
            <w:pPr>
              <w:pStyle w:val="ListParagraph"/>
              <w:ind w:left="0"/>
              <w:rPr>
                <w:sz w:val="20"/>
              </w:rPr>
            </w:pPr>
            <w:r>
              <w:rPr>
                <w:sz w:val="20"/>
              </w:rPr>
              <w:t>1.1</w:t>
            </w:r>
          </w:p>
        </w:tc>
        <w:tc>
          <w:tcPr>
            <w:tcW w:w="851" w:type="dxa"/>
          </w:tcPr>
          <w:p w14:paraId="5EB4AA6B" w14:textId="77777777" w:rsidR="0054533D" w:rsidRPr="0029330B" w:rsidRDefault="0054533D" w:rsidP="00EB26D8">
            <w:pPr>
              <w:pStyle w:val="ListParagraph"/>
              <w:ind w:left="0"/>
              <w:rPr>
                <w:sz w:val="20"/>
              </w:rPr>
            </w:pPr>
            <w:r>
              <w:rPr>
                <w:sz w:val="20"/>
              </w:rPr>
              <w:t>2.1</w:t>
            </w:r>
          </w:p>
        </w:tc>
      </w:tr>
      <w:tr w:rsidR="0054533D" w14:paraId="584B41B4" w14:textId="77777777" w:rsidTr="00EB26D8">
        <w:tc>
          <w:tcPr>
            <w:tcW w:w="992" w:type="dxa"/>
          </w:tcPr>
          <w:p w14:paraId="53FD6FB9" w14:textId="77777777" w:rsidR="0054533D" w:rsidRPr="0029330B" w:rsidRDefault="0054533D" w:rsidP="00EB26D8">
            <w:pPr>
              <w:pStyle w:val="ListParagraph"/>
              <w:ind w:left="0"/>
              <w:rPr>
                <w:sz w:val="20"/>
              </w:rPr>
            </w:pPr>
            <w:r w:rsidRPr="0029330B">
              <w:rPr>
                <w:sz w:val="20"/>
              </w:rPr>
              <w:t>55-64</w:t>
            </w:r>
          </w:p>
        </w:tc>
        <w:tc>
          <w:tcPr>
            <w:tcW w:w="1276" w:type="dxa"/>
          </w:tcPr>
          <w:p w14:paraId="3CB4000C" w14:textId="77777777" w:rsidR="0054533D" w:rsidRPr="0029330B" w:rsidRDefault="0054533D" w:rsidP="00EB26D8">
            <w:pPr>
              <w:pStyle w:val="ListParagraph"/>
              <w:ind w:left="0"/>
              <w:rPr>
                <w:sz w:val="20"/>
              </w:rPr>
            </w:pPr>
            <w:r w:rsidRPr="0029330B">
              <w:rPr>
                <w:sz w:val="20"/>
              </w:rPr>
              <w:t>5,355</w:t>
            </w:r>
          </w:p>
        </w:tc>
        <w:tc>
          <w:tcPr>
            <w:tcW w:w="1134" w:type="dxa"/>
          </w:tcPr>
          <w:p w14:paraId="60729F27" w14:textId="77777777" w:rsidR="0054533D" w:rsidRPr="0029330B" w:rsidRDefault="0054533D" w:rsidP="00EB26D8">
            <w:pPr>
              <w:pStyle w:val="ListParagraph"/>
              <w:ind w:left="0"/>
              <w:rPr>
                <w:sz w:val="20"/>
              </w:rPr>
            </w:pPr>
            <w:r w:rsidRPr="0029330B">
              <w:rPr>
                <w:sz w:val="20"/>
              </w:rPr>
              <w:t>664.607</w:t>
            </w:r>
          </w:p>
        </w:tc>
        <w:tc>
          <w:tcPr>
            <w:tcW w:w="1276" w:type="dxa"/>
          </w:tcPr>
          <w:p w14:paraId="2850905C" w14:textId="77777777" w:rsidR="0054533D" w:rsidRDefault="0054533D" w:rsidP="00EB26D8">
            <w:pPr>
              <w:pStyle w:val="ListParagraph"/>
              <w:ind w:left="0"/>
              <w:rPr>
                <w:sz w:val="20"/>
              </w:rPr>
            </w:pPr>
            <w:r>
              <w:rPr>
                <w:sz w:val="20"/>
              </w:rPr>
              <w:t>5,126</w:t>
            </w:r>
          </w:p>
        </w:tc>
        <w:tc>
          <w:tcPr>
            <w:tcW w:w="992" w:type="dxa"/>
          </w:tcPr>
          <w:p w14:paraId="35BED032" w14:textId="77777777" w:rsidR="0054533D" w:rsidRPr="0029330B" w:rsidRDefault="0054533D" w:rsidP="00EB26D8">
            <w:pPr>
              <w:pStyle w:val="ListParagraph"/>
              <w:ind w:left="0"/>
              <w:rPr>
                <w:sz w:val="20"/>
              </w:rPr>
            </w:pPr>
            <w:r>
              <w:rPr>
                <w:sz w:val="20"/>
              </w:rPr>
              <w:t>806</w:t>
            </w:r>
          </w:p>
        </w:tc>
        <w:tc>
          <w:tcPr>
            <w:tcW w:w="992" w:type="dxa"/>
          </w:tcPr>
          <w:p w14:paraId="7445DF89" w14:textId="77777777" w:rsidR="0054533D" w:rsidRDefault="0054533D" w:rsidP="00EB26D8">
            <w:pPr>
              <w:pStyle w:val="ListParagraph"/>
              <w:ind w:left="0"/>
              <w:rPr>
                <w:sz w:val="20"/>
              </w:rPr>
            </w:pPr>
            <w:r>
              <w:rPr>
                <w:sz w:val="20"/>
              </w:rPr>
              <w:t>41</w:t>
            </w:r>
          </w:p>
        </w:tc>
        <w:tc>
          <w:tcPr>
            <w:tcW w:w="993" w:type="dxa"/>
          </w:tcPr>
          <w:p w14:paraId="379D6EA6" w14:textId="77777777" w:rsidR="0054533D" w:rsidRPr="0029330B" w:rsidRDefault="0054533D" w:rsidP="00EB26D8">
            <w:pPr>
              <w:pStyle w:val="ListParagraph"/>
              <w:ind w:left="0"/>
              <w:rPr>
                <w:sz w:val="20"/>
              </w:rPr>
            </w:pPr>
            <w:r>
              <w:rPr>
                <w:sz w:val="20"/>
              </w:rPr>
              <w:t>49</w:t>
            </w:r>
          </w:p>
        </w:tc>
        <w:tc>
          <w:tcPr>
            <w:tcW w:w="708" w:type="dxa"/>
          </w:tcPr>
          <w:p w14:paraId="2DAAB517" w14:textId="77777777" w:rsidR="0054533D" w:rsidRPr="0029330B" w:rsidRDefault="0054533D" w:rsidP="00EB26D8">
            <w:pPr>
              <w:pStyle w:val="ListParagraph"/>
              <w:ind w:left="0"/>
              <w:rPr>
                <w:sz w:val="20"/>
              </w:rPr>
            </w:pPr>
            <w:r>
              <w:rPr>
                <w:sz w:val="20"/>
              </w:rPr>
              <w:t>1</w:t>
            </w:r>
          </w:p>
        </w:tc>
        <w:tc>
          <w:tcPr>
            <w:tcW w:w="709" w:type="dxa"/>
          </w:tcPr>
          <w:p w14:paraId="08F20495" w14:textId="77777777" w:rsidR="0054533D" w:rsidRPr="0029330B" w:rsidRDefault="0054533D" w:rsidP="00EB26D8">
            <w:pPr>
              <w:pStyle w:val="ListParagraph"/>
              <w:ind w:left="0"/>
              <w:rPr>
                <w:sz w:val="20"/>
              </w:rPr>
            </w:pPr>
            <w:r>
              <w:rPr>
                <w:sz w:val="20"/>
              </w:rPr>
              <w:t>0.9</w:t>
            </w:r>
          </w:p>
        </w:tc>
        <w:tc>
          <w:tcPr>
            <w:tcW w:w="851" w:type="dxa"/>
          </w:tcPr>
          <w:p w14:paraId="47A677B5" w14:textId="77777777" w:rsidR="0054533D" w:rsidRPr="0029330B" w:rsidRDefault="0054533D" w:rsidP="00EB26D8">
            <w:pPr>
              <w:pStyle w:val="ListParagraph"/>
              <w:ind w:left="0"/>
              <w:rPr>
                <w:sz w:val="20"/>
              </w:rPr>
            </w:pPr>
            <w:r>
              <w:rPr>
                <w:sz w:val="20"/>
              </w:rPr>
              <w:t>1.5</w:t>
            </w:r>
          </w:p>
        </w:tc>
      </w:tr>
      <w:tr w:rsidR="0054533D" w14:paraId="4469DC0C" w14:textId="77777777" w:rsidTr="00EB26D8">
        <w:tc>
          <w:tcPr>
            <w:tcW w:w="992" w:type="dxa"/>
          </w:tcPr>
          <w:p w14:paraId="5A248642" w14:textId="77777777" w:rsidR="0054533D" w:rsidRPr="0029330B" w:rsidRDefault="0054533D" w:rsidP="00EB26D8">
            <w:pPr>
              <w:pStyle w:val="ListParagraph"/>
              <w:ind w:left="0"/>
              <w:rPr>
                <w:sz w:val="20"/>
              </w:rPr>
            </w:pPr>
            <w:r w:rsidRPr="0029330B">
              <w:rPr>
                <w:sz w:val="20"/>
              </w:rPr>
              <w:t>65-74</w:t>
            </w:r>
          </w:p>
        </w:tc>
        <w:tc>
          <w:tcPr>
            <w:tcW w:w="1276" w:type="dxa"/>
          </w:tcPr>
          <w:p w14:paraId="463F7315" w14:textId="77777777" w:rsidR="0054533D" w:rsidRPr="0029330B" w:rsidRDefault="0054533D" w:rsidP="00EB26D8">
            <w:pPr>
              <w:pStyle w:val="ListParagraph"/>
              <w:ind w:left="0"/>
              <w:rPr>
                <w:sz w:val="20"/>
              </w:rPr>
            </w:pPr>
            <w:r w:rsidRPr="0029330B">
              <w:rPr>
                <w:sz w:val="20"/>
              </w:rPr>
              <w:t>10,213</w:t>
            </w:r>
          </w:p>
        </w:tc>
        <w:tc>
          <w:tcPr>
            <w:tcW w:w="1134" w:type="dxa"/>
          </w:tcPr>
          <w:p w14:paraId="0B2ED60E" w14:textId="77777777" w:rsidR="0054533D" w:rsidRPr="0029330B" w:rsidRDefault="0054533D" w:rsidP="00EB26D8">
            <w:pPr>
              <w:pStyle w:val="ListParagraph"/>
              <w:ind w:left="0"/>
              <w:rPr>
                <w:sz w:val="20"/>
              </w:rPr>
            </w:pPr>
            <w:r w:rsidRPr="0029330B">
              <w:rPr>
                <w:sz w:val="20"/>
              </w:rPr>
              <w:t>506,658</w:t>
            </w:r>
          </w:p>
        </w:tc>
        <w:tc>
          <w:tcPr>
            <w:tcW w:w="1276" w:type="dxa"/>
          </w:tcPr>
          <w:p w14:paraId="1ED6A05E" w14:textId="77777777" w:rsidR="0054533D" w:rsidRDefault="0054533D" w:rsidP="00EB26D8">
            <w:pPr>
              <w:pStyle w:val="ListParagraph"/>
              <w:ind w:left="0"/>
              <w:rPr>
                <w:sz w:val="20"/>
              </w:rPr>
            </w:pPr>
            <w:r>
              <w:rPr>
                <w:sz w:val="20"/>
              </w:rPr>
              <w:t>3,297</w:t>
            </w:r>
          </w:p>
        </w:tc>
        <w:tc>
          <w:tcPr>
            <w:tcW w:w="992" w:type="dxa"/>
          </w:tcPr>
          <w:p w14:paraId="2AD3025A" w14:textId="77777777" w:rsidR="0054533D" w:rsidRPr="0029330B" w:rsidRDefault="0054533D" w:rsidP="00EB26D8">
            <w:pPr>
              <w:pStyle w:val="ListParagraph"/>
              <w:ind w:left="0"/>
              <w:rPr>
                <w:sz w:val="20"/>
              </w:rPr>
            </w:pPr>
            <w:r>
              <w:rPr>
                <w:sz w:val="20"/>
              </w:rPr>
              <w:t>2,016</w:t>
            </w:r>
          </w:p>
        </w:tc>
        <w:tc>
          <w:tcPr>
            <w:tcW w:w="992" w:type="dxa"/>
          </w:tcPr>
          <w:p w14:paraId="7C0E061E" w14:textId="77777777" w:rsidR="0054533D" w:rsidRDefault="0054533D" w:rsidP="00EB26D8">
            <w:pPr>
              <w:pStyle w:val="ListParagraph"/>
              <w:ind w:left="0"/>
              <w:rPr>
                <w:sz w:val="20"/>
              </w:rPr>
            </w:pPr>
            <w:r>
              <w:rPr>
                <w:sz w:val="20"/>
              </w:rPr>
              <w:t>79</w:t>
            </w:r>
          </w:p>
        </w:tc>
        <w:tc>
          <w:tcPr>
            <w:tcW w:w="993" w:type="dxa"/>
          </w:tcPr>
          <w:p w14:paraId="410D9B6B" w14:textId="77777777" w:rsidR="0054533D" w:rsidRPr="0029330B" w:rsidRDefault="0054533D" w:rsidP="00EB26D8">
            <w:pPr>
              <w:pStyle w:val="ListParagraph"/>
              <w:ind w:left="0"/>
              <w:rPr>
                <w:sz w:val="20"/>
              </w:rPr>
            </w:pPr>
            <w:r>
              <w:rPr>
                <w:sz w:val="20"/>
              </w:rPr>
              <w:t>62</w:t>
            </w:r>
          </w:p>
        </w:tc>
        <w:tc>
          <w:tcPr>
            <w:tcW w:w="708" w:type="dxa"/>
          </w:tcPr>
          <w:p w14:paraId="42102EB7" w14:textId="77777777" w:rsidR="0054533D" w:rsidRPr="0029330B" w:rsidRDefault="0054533D" w:rsidP="00EB26D8">
            <w:pPr>
              <w:pStyle w:val="ListParagraph"/>
              <w:ind w:left="0"/>
              <w:rPr>
                <w:sz w:val="20"/>
              </w:rPr>
            </w:pPr>
            <w:r>
              <w:rPr>
                <w:sz w:val="20"/>
              </w:rPr>
              <w:t>1</w:t>
            </w:r>
          </w:p>
        </w:tc>
        <w:tc>
          <w:tcPr>
            <w:tcW w:w="709" w:type="dxa"/>
          </w:tcPr>
          <w:p w14:paraId="01DCE9F7" w14:textId="77777777" w:rsidR="0054533D" w:rsidRPr="0029330B" w:rsidRDefault="0054533D" w:rsidP="00EB26D8">
            <w:pPr>
              <w:pStyle w:val="ListParagraph"/>
              <w:ind w:left="0"/>
              <w:rPr>
                <w:sz w:val="20"/>
              </w:rPr>
            </w:pPr>
            <w:r>
              <w:rPr>
                <w:sz w:val="20"/>
              </w:rPr>
              <w:t>0.6</w:t>
            </w:r>
          </w:p>
        </w:tc>
        <w:tc>
          <w:tcPr>
            <w:tcW w:w="851" w:type="dxa"/>
          </w:tcPr>
          <w:p w14:paraId="13086726" w14:textId="77777777" w:rsidR="0054533D" w:rsidRPr="0029330B" w:rsidRDefault="0054533D" w:rsidP="00EB26D8">
            <w:pPr>
              <w:pStyle w:val="ListParagraph"/>
              <w:ind w:left="0"/>
              <w:rPr>
                <w:sz w:val="20"/>
              </w:rPr>
            </w:pPr>
            <w:r>
              <w:rPr>
                <w:sz w:val="20"/>
              </w:rPr>
              <w:t>1.0</w:t>
            </w:r>
          </w:p>
        </w:tc>
      </w:tr>
      <w:tr w:rsidR="0054533D" w14:paraId="17CF9129" w14:textId="77777777" w:rsidTr="00EB26D8">
        <w:tc>
          <w:tcPr>
            <w:tcW w:w="992" w:type="dxa"/>
          </w:tcPr>
          <w:p w14:paraId="2C2B8E87" w14:textId="77777777" w:rsidR="0054533D" w:rsidRPr="0029330B" w:rsidRDefault="0054533D" w:rsidP="00EB26D8">
            <w:pPr>
              <w:pStyle w:val="ListParagraph"/>
              <w:ind w:left="0"/>
              <w:rPr>
                <w:sz w:val="20"/>
              </w:rPr>
            </w:pPr>
            <w:r w:rsidRPr="0029330B">
              <w:rPr>
                <w:sz w:val="20"/>
              </w:rPr>
              <w:t>75+</w:t>
            </w:r>
          </w:p>
        </w:tc>
        <w:tc>
          <w:tcPr>
            <w:tcW w:w="1276" w:type="dxa"/>
          </w:tcPr>
          <w:p w14:paraId="1E07A68A" w14:textId="77777777" w:rsidR="0054533D" w:rsidRPr="0029330B" w:rsidRDefault="0054533D" w:rsidP="00EB26D8">
            <w:pPr>
              <w:pStyle w:val="ListParagraph"/>
              <w:ind w:left="0"/>
              <w:rPr>
                <w:sz w:val="20"/>
              </w:rPr>
            </w:pPr>
            <w:r w:rsidRPr="0029330B">
              <w:rPr>
                <w:sz w:val="20"/>
              </w:rPr>
              <w:t>34,031</w:t>
            </w:r>
          </w:p>
        </w:tc>
        <w:tc>
          <w:tcPr>
            <w:tcW w:w="1134" w:type="dxa"/>
          </w:tcPr>
          <w:p w14:paraId="268CB947" w14:textId="77777777" w:rsidR="0054533D" w:rsidRPr="0029330B" w:rsidRDefault="0054533D" w:rsidP="00EB26D8">
            <w:pPr>
              <w:pStyle w:val="ListParagraph"/>
              <w:ind w:left="0"/>
              <w:rPr>
                <w:sz w:val="20"/>
              </w:rPr>
            </w:pPr>
            <w:r w:rsidRPr="0029330B">
              <w:rPr>
                <w:sz w:val="20"/>
              </w:rPr>
              <w:t>418,089</w:t>
            </w:r>
          </w:p>
        </w:tc>
        <w:tc>
          <w:tcPr>
            <w:tcW w:w="1276" w:type="dxa"/>
          </w:tcPr>
          <w:p w14:paraId="7FAC94A8" w14:textId="77777777" w:rsidR="0054533D" w:rsidRDefault="0054533D" w:rsidP="00EB26D8">
            <w:pPr>
              <w:pStyle w:val="ListParagraph"/>
              <w:ind w:left="0"/>
              <w:rPr>
                <w:sz w:val="20"/>
              </w:rPr>
            </w:pPr>
            <w:r>
              <w:rPr>
                <w:sz w:val="20"/>
              </w:rPr>
              <w:t>2,889</w:t>
            </w:r>
          </w:p>
        </w:tc>
        <w:tc>
          <w:tcPr>
            <w:tcW w:w="992" w:type="dxa"/>
          </w:tcPr>
          <w:p w14:paraId="1ACFF642" w14:textId="77777777" w:rsidR="0054533D" w:rsidRPr="0029330B" w:rsidRDefault="0054533D" w:rsidP="00EB26D8">
            <w:pPr>
              <w:pStyle w:val="ListParagraph"/>
              <w:ind w:left="0"/>
              <w:rPr>
                <w:sz w:val="20"/>
              </w:rPr>
            </w:pPr>
            <w:r>
              <w:rPr>
                <w:sz w:val="20"/>
              </w:rPr>
              <w:t>8,142</w:t>
            </w:r>
          </w:p>
        </w:tc>
        <w:tc>
          <w:tcPr>
            <w:tcW w:w="992" w:type="dxa"/>
          </w:tcPr>
          <w:p w14:paraId="3726F3F4" w14:textId="77777777" w:rsidR="0054533D" w:rsidRDefault="0054533D" w:rsidP="00EB26D8">
            <w:pPr>
              <w:pStyle w:val="ListParagraph"/>
              <w:ind w:left="0"/>
              <w:rPr>
                <w:sz w:val="20"/>
              </w:rPr>
            </w:pPr>
            <w:r>
              <w:rPr>
                <w:sz w:val="20"/>
              </w:rPr>
              <w:t>235</w:t>
            </w:r>
          </w:p>
        </w:tc>
        <w:tc>
          <w:tcPr>
            <w:tcW w:w="993" w:type="dxa"/>
          </w:tcPr>
          <w:p w14:paraId="6C69B766" w14:textId="77777777" w:rsidR="0054533D" w:rsidRPr="0029330B" w:rsidRDefault="0054533D" w:rsidP="00EB26D8">
            <w:pPr>
              <w:pStyle w:val="ListParagraph"/>
              <w:ind w:left="0"/>
              <w:rPr>
                <w:sz w:val="20"/>
              </w:rPr>
            </w:pPr>
            <w:r>
              <w:rPr>
                <w:sz w:val="20"/>
              </w:rPr>
              <w:t>115</w:t>
            </w:r>
          </w:p>
        </w:tc>
        <w:tc>
          <w:tcPr>
            <w:tcW w:w="708" w:type="dxa"/>
          </w:tcPr>
          <w:p w14:paraId="2EADA324" w14:textId="77777777" w:rsidR="0054533D" w:rsidRPr="0029330B" w:rsidRDefault="0054533D" w:rsidP="00EB26D8">
            <w:pPr>
              <w:pStyle w:val="ListParagraph"/>
              <w:ind w:left="0"/>
              <w:rPr>
                <w:sz w:val="20"/>
              </w:rPr>
            </w:pPr>
            <w:r>
              <w:rPr>
                <w:sz w:val="20"/>
              </w:rPr>
              <w:t>0</w:t>
            </w:r>
          </w:p>
        </w:tc>
        <w:tc>
          <w:tcPr>
            <w:tcW w:w="709" w:type="dxa"/>
          </w:tcPr>
          <w:p w14:paraId="565862E2" w14:textId="77777777" w:rsidR="0054533D" w:rsidRPr="0029330B" w:rsidRDefault="0054533D" w:rsidP="00EB26D8">
            <w:pPr>
              <w:pStyle w:val="ListParagraph"/>
              <w:ind w:left="0"/>
              <w:rPr>
                <w:sz w:val="20"/>
              </w:rPr>
            </w:pPr>
            <w:r>
              <w:rPr>
                <w:sz w:val="20"/>
              </w:rPr>
              <w:t>0.4</w:t>
            </w:r>
          </w:p>
        </w:tc>
        <w:tc>
          <w:tcPr>
            <w:tcW w:w="851" w:type="dxa"/>
          </w:tcPr>
          <w:p w14:paraId="17D66AE5" w14:textId="77777777" w:rsidR="0054533D" w:rsidRPr="0029330B" w:rsidRDefault="0054533D" w:rsidP="00EB26D8">
            <w:pPr>
              <w:pStyle w:val="ListParagraph"/>
              <w:ind w:left="0"/>
              <w:rPr>
                <w:sz w:val="20"/>
              </w:rPr>
            </w:pPr>
            <w:r>
              <w:rPr>
                <w:sz w:val="20"/>
              </w:rPr>
              <w:t>0.6</w:t>
            </w:r>
          </w:p>
        </w:tc>
      </w:tr>
    </w:tbl>
    <w:p w14:paraId="11008DB1" w14:textId="77777777" w:rsidR="0054533D" w:rsidRDefault="0054533D" w:rsidP="0054533D">
      <w:pPr>
        <w:pStyle w:val="ListParagraph"/>
      </w:pPr>
    </w:p>
    <w:p w14:paraId="5D4870D4" w14:textId="77777777" w:rsidR="0054533D" w:rsidRDefault="0054533D" w:rsidP="0054533D">
      <w:pPr>
        <w:pStyle w:val="ListParagraph"/>
      </w:pPr>
      <w:r>
        <w:t>Table 2</w:t>
      </w:r>
      <w:r w:rsidRPr="000C2A9D">
        <w:t xml:space="preserve">: </w:t>
      </w:r>
      <w:r>
        <w:t xml:space="preserve">Data from the </w:t>
      </w:r>
      <w:r w:rsidRPr="000C2A9D">
        <w:t xml:space="preserve">Scotland </w:t>
      </w:r>
      <w:r>
        <w:t>Epilepsy Deaths</w:t>
      </w:r>
      <w:r w:rsidRPr="000C2A9D">
        <w:t xml:space="preserve"> study</w:t>
      </w:r>
      <w:r>
        <w:t xml:space="preserve"> [7]. SMR = Standardized Mortality Ratio. CI = Confidence Intervals. Significant differences shown in bold  </w:t>
      </w:r>
    </w:p>
    <w:p w14:paraId="3F1D5154" w14:textId="77777777" w:rsidR="0054533D" w:rsidRPr="000C2A9D" w:rsidRDefault="0054533D" w:rsidP="0054533D">
      <w:pPr>
        <w:pStyle w:val="ListParagraph"/>
      </w:pPr>
    </w:p>
    <w:p w14:paraId="62C5D4F6" w14:textId="141C750A" w:rsidR="0054533D" w:rsidRDefault="0054533D" w:rsidP="0054533D">
      <w:pPr>
        <w:pStyle w:val="ListParagraph"/>
      </w:pPr>
    </w:p>
    <w:p w14:paraId="22C2AF51" w14:textId="21CC701F" w:rsidR="008D708E" w:rsidRDefault="008D708E" w:rsidP="0054533D">
      <w:pPr>
        <w:pStyle w:val="ListParagraph"/>
      </w:pPr>
    </w:p>
    <w:p w14:paraId="3AF629DB" w14:textId="10B0932C" w:rsidR="008D708E" w:rsidRDefault="008D708E" w:rsidP="0054533D">
      <w:pPr>
        <w:pStyle w:val="ListParagraph"/>
      </w:pPr>
    </w:p>
    <w:p w14:paraId="610AC5F1" w14:textId="755888E9" w:rsidR="008D708E" w:rsidRDefault="008D708E" w:rsidP="0054533D">
      <w:pPr>
        <w:pStyle w:val="ListParagraph"/>
      </w:pPr>
    </w:p>
    <w:p w14:paraId="60895518" w14:textId="0F925CB4" w:rsidR="008D708E" w:rsidRDefault="008D708E" w:rsidP="0054533D">
      <w:pPr>
        <w:pStyle w:val="ListParagraph"/>
      </w:pPr>
    </w:p>
    <w:p w14:paraId="7CFB16D7" w14:textId="47A831D0" w:rsidR="008D708E" w:rsidRDefault="008D708E" w:rsidP="0054533D">
      <w:pPr>
        <w:pStyle w:val="ListParagraph"/>
      </w:pPr>
    </w:p>
    <w:p w14:paraId="1A8BCE35" w14:textId="00729256" w:rsidR="008D708E" w:rsidRDefault="008D708E" w:rsidP="0054533D">
      <w:pPr>
        <w:pStyle w:val="ListParagraph"/>
      </w:pPr>
    </w:p>
    <w:p w14:paraId="4664A0DE" w14:textId="1D7C4443" w:rsidR="008D708E" w:rsidRDefault="008D708E" w:rsidP="0054533D">
      <w:pPr>
        <w:pStyle w:val="ListParagraph"/>
      </w:pPr>
    </w:p>
    <w:p w14:paraId="43537497" w14:textId="73AC8BCF" w:rsidR="008D708E" w:rsidRDefault="008D708E" w:rsidP="0054533D">
      <w:pPr>
        <w:pStyle w:val="ListParagraph"/>
      </w:pPr>
    </w:p>
    <w:p w14:paraId="3D7C84ED" w14:textId="6D045455" w:rsidR="008D708E" w:rsidRDefault="008D708E" w:rsidP="0054533D">
      <w:pPr>
        <w:pStyle w:val="ListParagraph"/>
      </w:pPr>
    </w:p>
    <w:p w14:paraId="5A2431B8" w14:textId="39944EF7" w:rsidR="008D708E" w:rsidRDefault="008D708E" w:rsidP="0054533D">
      <w:pPr>
        <w:pStyle w:val="ListParagraph"/>
      </w:pPr>
    </w:p>
    <w:p w14:paraId="09A61B85" w14:textId="447A8339" w:rsidR="008D708E" w:rsidRDefault="008D708E" w:rsidP="0054533D">
      <w:pPr>
        <w:pStyle w:val="ListParagraph"/>
      </w:pPr>
    </w:p>
    <w:p w14:paraId="2B090D9B" w14:textId="155BBC5E" w:rsidR="008D708E" w:rsidRDefault="008D708E" w:rsidP="0054533D">
      <w:pPr>
        <w:pStyle w:val="ListParagraph"/>
      </w:pPr>
    </w:p>
    <w:p w14:paraId="7B561971" w14:textId="311B0634" w:rsidR="008D708E" w:rsidRDefault="008D708E" w:rsidP="0054533D">
      <w:pPr>
        <w:pStyle w:val="ListParagraph"/>
      </w:pPr>
    </w:p>
    <w:p w14:paraId="74C9BFFF" w14:textId="7AD781EF" w:rsidR="008D708E" w:rsidRDefault="008D708E" w:rsidP="0054533D">
      <w:pPr>
        <w:pStyle w:val="ListParagraph"/>
      </w:pPr>
    </w:p>
    <w:p w14:paraId="38A0A808" w14:textId="065B1EA4" w:rsidR="008D708E" w:rsidRDefault="008D708E" w:rsidP="0054533D">
      <w:pPr>
        <w:pStyle w:val="ListParagraph"/>
      </w:pPr>
    </w:p>
    <w:p w14:paraId="70B323FC" w14:textId="23787369" w:rsidR="008D708E" w:rsidRDefault="008D708E" w:rsidP="0054533D">
      <w:pPr>
        <w:pStyle w:val="ListParagraph"/>
      </w:pPr>
    </w:p>
    <w:p w14:paraId="5EF0362B" w14:textId="405B0436" w:rsidR="008D708E" w:rsidRDefault="008D708E" w:rsidP="0054533D">
      <w:pPr>
        <w:pStyle w:val="ListParagraph"/>
      </w:pPr>
    </w:p>
    <w:p w14:paraId="7EBD575E" w14:textId="40CDA37D" w:rsidR="008D708E" w:rsidRDefault="008D708E" w:rsidP="0054533D">
      <w:pPr>
        <w:pStyle w:val="ListParagraph"/>
      </w:pPr>
    </w:p>
    <w:p w14:paraId="2C05D372" w14:textId="768D7881" w:rsidR="008D708E" w:rsidRDefault="008D708E" w:rsidP="0054533D">
      <w:pPr>
        <w:pStyle w:val="ListParagraph"/>
      </w:pPr>
    </w:p>
    <w:p w14:paraId="2C54E0A1" w14:textId="77777777" w:rsidR="008D708E" w:rsidRPr="000C2A9D" w:rsidRDefault="008D708E" w:rsidP="0054533D">
      <w:pPr>
        <w:pStyle w:val="ListParagraph"/>
      </w:pPr>
    </w:p>
    <w:p w14:paraId="5A87CC37" w14:textId="77777777" w:rsidR="0054533D" w:rsidRPr="000C2A9D" w:rsidRDefault="0054533D" w:rsidP="0054533D">
      <w:pPr>
        <w:pStyle w:val="ListParagraph"/>
      </w:pPr>
    </w:p>
    <w:tbl>
      <w:tblPr>
        <w:tblStyle w:val="GridTable1Light"/>
        <w:tblpPr w:leftFromText="180" w:rightFromText="180" w:vertAnchor="text" w:horzAnchor="margin" w:tblpXSpec="center" w:tblpY="181"/>
        <w:tblW w:w="8784" w:type="dxa"/>
        <w:tblLook w:val="04A0" w:firstRow="1" w:lastRow="0" w:firstColumn="1" w:lastColumn="0" w:noHBand="0" w:noVBand="1"/>
      </w:tblPr>
      <w:tblGrid>
        <w:gridCol w:w="1985"/>
        <w:gridCol w:w="2410"/>
        <w:gridCol w:w="1560"/>
        <w:gridCol w:w="1695"/>
        <w:gridCol w:w="1134"/>
      </w:tblGrid>
      <w:tr w:rsidR="0054533D" w:rsidRPr="000C2A9D" w14:paraId="5041192B" w14:textId="77777777" w:rsidTr="00EB26D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hideMark/>
          </w:tcPr>
          <w:p w14:paraId="26B23492" w14:textId="77777777" w:rsidR="0054533D" w:rsidRPr="00780521" w:rsidRDefault="0054533D" w:rsidP="00EB26D8">
            <w:pPr>
              <w:rPr>
                <w:rFonts w:eastAsia="Times New Roman"/>
                <w:b w:val="0"/>
                <w:bCs w:val="0"/>
                <w:lang w:eastAsia="en-GB"/>
              </w:rPr>
            </w:pPr>
            <w:r w:rsidRPr="00780521">
              <w:rPr>
                <w:rFonts w:eastAsia="Times New Roman"/>
                <w:lang w:eastAsia="en-GB"/>
              </w:rPr>
              <w:t>NHS region</w:t>
            </w:r>
          </w:p>
        </w:tc>
        <w:tc>
          <w:tcPr>
            <w:tcW w:w="2410" w:type="dxa"/>
            <w:hideMark/>
          </w:tcPr>
          <w:p w14:paraId="1D978FAC" w14:textId="77777777" w:rsidR="0054533D" w:rsidRPr="00780521" w:rsidRDefault="0054533D" w:rsidP="00EB26D8">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780521">
              <w:rPr>
                <w:rFonts w:eastAsia="Times New Roman"/>
                <w:lang w:eastAsia="en-GB"/>
              </w:rPr>
              <w:t>Sub-region</w:t>
            </w:r>
          </w:p>
        </w:tc>
        <w:tc>
          <w:tcPr>
            <w:tcW w:w="1560" w:type="dxa"/>
            <w:hideMark/>
          </w:tcPr>
          <w:p w14:paraId="5A6F69A9" w14:textId="77777777" w:rsidR="0054533D" w:rsidRPr="00780521" w:rsidRDefault="0054533D" w:rsidP="00EB26D8">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780521">
              <w:rPr>
                <w:rFonts w:eastAsia="Times New Roman"/>
                <w:lang w:eastAsia="en-GB"/>
              </w:rPr>
              <w:t>Population per FTE Neurologist</w:t>
            </w:r>
          </w:p>
        </w:tc>
        <w:tc>
          <w:tcPr>
            <w:tcW w:w="1695" w:type="dxa"/>
            <w:hideMark/>
          </w:tcPr>
          <w:p w14:paraId="7F3570BA" w14:textId="77777777" w:rsidR="0054533D" w:rsidRPr="00780521" w:rsidRDefault="0054533D" w:rsidP="00EB26D8">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780521">
              <w:rPr>
                <w:rFonts w:eastAsia="Times New Roman"/>
                <w:lang w:eastAsia="en-GB"/>
              </w:rPr>
              <w:t>People with Epilepsy</w:t>
            </w:r>
          </w:p>
          <w:p w14:paraId="403284D5" w14:textId="77777777" w:rsidR="0054533D" w:rsidRPr="00780521" w:rsidRDefault="0054533D" w:rsidP="00EB26D8">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780521">
              <w:rPr>
                <w:rFonts w:eastAsia="Times New Roman"/>
                <w:lang w:eastAsia="en-GB"/>
              </w:rPr>
              <w:t xml:space="preserve"> per FTE Neurologist</w:t>
            </w:r>
          </w:p>
        </w:tc>
        <w:tc>
          <w:tcPr>
            <w:tcW w:w="1134" w:type="dxa"/>
          </w:tcPr>
          <w:p w14:paraId="6D1EC38E" w14:textId="77777777" w:rsidR="0054533D" w:rsidRPr="00780521" w:rsidRDefault="0054533D" w:rsidP="00EB26D8">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780521">
              <w:rPr>
                <w:rFonts w:eastAsia="Times New Roman"/>
                <w:lang w:eastAsia="en-GB"/>
              </w:rPr>
              <w:t>Training posts</w:t>
            </w:r>
          </w:p>
        </w:tc>
      </w:tr>
      <w:tr w:rsidR="0054533D" w:rsidRPr="000C2A9D" w14:paraId="56720F7B" w14:textId="77777777" w:rsidTr="00EB26D8">
        <w:trPr>
          <w:trHeight w:val="315"/>
        </w:trPr>
        <w:tc>
          <w:tcPr>
            <w:cnfStyle w:val="001000000000" w:firstRow="0" w:lastRow="0" w:firstColumn="1" w:lastColumn="0" w:oddVBand="0" w:evenVBand="0" w:oddHBand="0" w:evenHBand="0" w:firstRowFirstColumn="0" w:firstRowLastColumn="0" w:lastRowFirstColumn="0" w:lastRowLastColumn="0"/>
            <w:tcW w:w="1985" w:type="dxa"/>
            <w:vMerge w:val="restart"/>
            <w:noWrap/>
            <w:hideMark/>
          </w:tcPr>
          <w:p w14:paraId="6C6F66C0" w14:textId="77777777" w:rsidR="0054533D" w:rsidRPr="000C2A9D" w:rsidRDefault="0054533D" w:rsidP="00EB26D8">
            <w:pPr>
              <w:rPr>
                <w:rFonts w:eastAsia="Times New Roman"/>
                <w:color w:val="251B35"/>
                <w:lang w:eastAsia="en-GB"/>
              </w:rPr>
            </w:pPr>
            <w:r w:rsidRPr="000C2A9D">
              <w:rPr>
                <w:rFonts w:eastAsia="Times New Roman"/>
                <w:color w:val="251B35"/>
                <w:lang w:eastAsia="en-GB"/>
              </w:rPr>
              <w:t>London</w:t>
            </w:r>
          </w:p>
        </w:tc>
        <w:tc>
          <w:tcPr>
            <w:tcW w:w="2410" w:type="dxa"/>
            <w:noWrap/>
            <w:hideMark/>
          </w:tcPr>
          <w:p w14:paraId="08C5D5AE" w14:textId="77777777" w:rsidR="0054533D" w:rsidRPr="000C2A9D" w:rsidRDefault="0054533D" w:rsidP="00EB26D8">
            <w:pP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North East/Central London</w:t>
            </w:r>
          </w:p>
        </w:tc>
        <w:tc>
          <w:tcPr>
            <w:tcW w:w="1560" w:type="dxa"/>
            <w:noWrap/>
            <w:hideMark/>
          </w:tcPr>
          <w:p w14:paraId="28A3267D"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28,111</w:t>
            </w:r>
          </w:p>
        </w:tc>
        <w:tc>
          <w:tcPr>
            <w:tcW w:w="1695" w:type="dxa"/>
            <w:noWrap/>
            <w:hideMark/>
          </w:tcPr>
          <w:p w14:paraId="16085EAE"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161</w:t>
            </w:r>
          </w:p>
        </w:tc>
        <w:tc>
          <w:tcPr>
            <w:tcW w:w="1134" w:type="dxa"/>
            <w:vMerge w:val="restart"/>
          </w:tcPr>
          <w:p w14:paraId="5A2507CF" w14:textId="77777777" w:rsidR="0054533D" w:rsidRPr="000C2A9D" w:rsidRDefault="0054533D" w:rsidP="00EB26D8">
            <w:pP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p>
          <w:p w14:paraId="59A97ECB"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74</w:t>
            </w:r>
          </w:p>
        </w:tc>
      </w:tr>
      <w:tr w:rsidR="0054533D" w:rsidRPr="000C2A9D" w14:paraId="56D16221" w14:textId="77777777" w:rsidTr="00EB26D8">
        <w:trPr>
          <w:trHeight w:val="300"/>
        </w:trPr>
        <w:tc>
          <w:tcPr>
            <w:cnfStyle w:val="001000000000" w:firstRow="0" w:lastRow="0" w:firstColumn="1" w:lastColumn="0" w:oddVBand="0" w:evenVBand="0" w:oddHBand="0" w:evenHBand="0" w:firstRowFirstColumn="0" w:firstRowLastColumn="0" w:lastRowFirstColumn="0" w:lastRowLastColumn="0"/>
            <w:tcW w:w="1985" w:type="dxa"/>
            <w:vMerge/>
            <w:hideMark/>
          </w:tcPr>
          <w:p w14:paraId="70C8C470" w14:textId="77777777" w:rsidR="0054533D" w:rsidRPr="000C2A9D" w:rsidRDefault="0054533D" w:rsidP="00EB26D8">
            <w:pPr>
              <w:rPr>
                <w:rFonts w:eastAsia="Times New Roman"/>
                <w:color w:val="251B35"/>
                <w:lang w:eastAsia="en-GB"/>
              </w:rPr>
            </w:pPr>
          </w:p>
        </w:tc>
        <w:tc>
          <w:tcPr>
            <w:tcW w:w="2410" w:type="dxa"/>
            <w:noWrap/>
            <w:hideMark/>
          </w:tcPr>
          <w:p w14:paraId="6124E5F6" w14:textId="77777777" w:rsidR="0054533D" w:rsidRPr="000C2A9D" w:rsidRDefault="0054533D" w:rsidP="00EB26D8">
            <w:pP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North West London</w:t>
            </w:r>
          </w:p>
        </w:tc>
        <w:tc>
          <w:tcPr>
            <w:tcW w:w="1560" w:type="dxa"/>
            <w:noWrap/>
            <w:hideMark/>
          </w:tcPr>
          <w:p w14:paraId="5F96F026"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77,946</w:t>
            </w:r>
          </w:p>
        </w:tc>
        <w:tc>
          <w:tcPr>
            <w:tcW w:w="1695" w:type="dxa"/>
            <w:noWrap/>
            <w:hideMark/>
          </w:tcPr>
          <w:p w14:paraId="3C87BD38"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423</w:t>
            </w:r>
          </w:p>
        </w:tc>
        <w:tc>
          <w:tcPr>
            <w:tcW w:w="1134" w:type="dxa"/>
            <w:vMerge/>
          </w:tcPr>
          <w:p w14:paraId="3E72D7E6"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p>
        </w:tc>
      </w:tr>
      <w:tr w:rsidR="0054533D" w:rsidRPr="000C2A9D" w14:paraId="2B0022C9" w14:textId="77777777" w:rsidTr="00EB26D8">
        <w:trPr>
          <w:trHeight w:val="315"/>
        </w:trPr>
        <w:tc>
          <w:tcPr>
            <w:cnfStyle w:val="001000000000" w:firstRow="0" w:lastRow="0" w:firstColumn="1" w:lastColumn="0" w:oddVBand="0" w:evenVBand="0" w:oddHBand="0" w:evenHBand="0" w:firstRowFirstColumn="0" w:firstRowLastColumn="0" w:lastRowFirstColumn="0" w:lastRowLastColumn="0"/>
            <w:tcW w:w="1985" w:type="dxa"/>
            <w:vMerge/>
            <w:hideMark/>
          </w:tcPr>
          <w:p w14:paraId="39AE6215" w14:textId="77777777" w:rsidR="0054533D" w:rsidRPr="000C2A9D" w:rsidRDefault="0054533D" w:rsidP="00EB26D8">
            <w:pPr>
              <w:rPr>
                <w:rFonts w:eastAsia="Times New Roman"/>
                <w:color w:val="251B35"/>
                <w:lang w:eastAsia="en-GB"/>
              </w:rPr>
            </w:pPr>
          </w:p>
        </w:tc>
        <w:tc>
          <w:tcPr>
            <w:tcW w:w="2410" w:type="dxa"/>
            <w:noWrap/>
            <w:hideMark/>
          </w:tcPr>
          <w:p w14:paraId="71F58E27" w14:textId="77777777" w:rsidR="0054533D" w:rsidRPr="000C2A9D" w:rsidRDefault="0054533D" w:rsidP="00EB26D8">
            <w:pP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South London</w:t>
            </w:r>
          </w:p>
        </w:tc>
        <w:tc>
          <w:tcPr>
            <w:tcW w:w="1560" w:type="dxa"/>
            <w:noWrap/>
            <w:hideMark/>
          </w:tcPr>
          <w:p w14:paraId="745B55CA"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48,684</w:t>
            </w:r>
          </w:p>
        </w:tc>
        <w:tc>
          <w:tcPr>
            <w:tcW w:w="1695" w:type="dxa"/>
            <w:noWrap/>
            <w:hideMark/>
          </w:tcPr>
          <w:p w14:paraId="6EF72EAD"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281</w:t>
            </w:r>
          </w:p>
        </w:tc>
        <w:tc>
          <w:tcPr>
            <w:tcW w:w="1134" w:type="dxa"/>
            <w:vMerge/>
          </w:tcPr>
          <w:p w14:paraId="1BC68C46"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p>
        </w:tc>
      </w:tr>
      <w:tr w:rsidR="0054533D" w:rsidRPr="000C2A9D" w14:paraId="6186D7DF" w14:textId="77777777" w:rsidTr="00EB26D8">
        <w:trPr>
          <w:trHeight w:val="300"/>
        </w:trPr>
        <w:tc>
          <w:tcPr>
            <w:cnfStyle w:val="001000000000" w:firstRow="0" w:lastRow="0" w:firstColumn="1" w:lastColumn="0" w:oddVBand="0" w:evenVBand="0" w:oddHBand="0" w:evenHBand="0" w:firstRowFirstColumn="0" w:firstRowLastColumn="0" w:lastRowFirstColumn="0" w:lastRowLastColumn="0"/>
            <w:tcW w:w="1985" w:type="dxa"/>
            <w:vMerge w:val="restart"/>
            <w:noWrap/>
            <w:hideMark/>
          </w:tcPr>
          <w:p w14:paraId="3F434C31" w14:textId="77777777" w:rsidR="0054533D" w:rsidRPr="000C2A9D" w:rsidRDefault="0054533D" w:rsidP="00EB26D8">
            <w:pPr>
              <w:rPr>
                <w:rFonts w:eastAsia="Times New Roman"/>
                <w:color w:val="251B35"/>
                <w:lang w:eastAsia="en-GB"/>
              </w:rPr>
            </w:pPr>
            <w:r w:rsidRPr="000C2A9D">
              <w:rPr>
                <w:rFonts w:eastAsia="Times New Roman"/>
                <w:color w:val="251B35"/>
                <w:lang w:eastAsia="en-GB"/>
              </w:rPr>
              <w:t>Midlands and East</w:t>
            </w:r>
          </w:p>
        </w:tc>
        <w:tc>
          <w:tcPr>
            <w:tcW w:w="2410" w:type="dxa"/>
            <w:noWrap/>
            <w:hideMark/>
          </w:tcPr>
          <w:p w14:paraId="13CEBF1B" w14:textId="77777777" w:rsidR="0054533D" w:rsidRPr="000C2A9D" w:rsidRDefault="0054533D" w:rsidP="00EB26D8">
            <w:pP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East Midlands</w:t>
            </w:r>
          </w:p>
        </w:tc>
        <w:tc>
          <w:tcPr>
            <w:tcW w:w="1560" w:type="dxa"/>
            <w:noWrap/>
            <w:hideMark/>
          </w:tcPr>
          <w:p w14:paraId="7D863756"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146,651</w:t>
            </w:r>
          </w:p>
        </w:tc>
        <w:tc>
          <w:tcPr>
            <w:tcW w:w="1695" w:type="dxa"/>
            <w:noWrap/>
            <w:hideMark/>
          </w:tcPr>
          <w:p w14:paraId="2105D7DA"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1200</w:t>
            </w:r>
          </w:p>
        </w:tc>
        <w:tc>
          <w:tcPr>
            <w:tcW w:w="1134" w:type="dxa"/>
          </w:tcPr>
          <w:p w14:paraId="7836988A"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16</w:t>
            </w:r>
          </w:p>
        </w:tc>
      </w:tr>
      <w:tr w:rsidR="0054533D" w:rsidRPr="000C2A9D" w14:paraId="45FB0EA6" w14:textId="77777777" w:rsidTr="00EB26D8">
        <w:trPr>
          <w:trHeight w:val="315"/>
        </w:trPr>
        <w:tc>
          <w:tcPr>
            <w:cnfStyle w:val="001000000000" w:firstRow="0" w:lastRow="0" w:firstColumn="1" w:lastColumn="0" w:oddVBand="0" w:evenVBand="0" w:oddHBand="0" w:evenHBand="0" w:firstRowFirstColumn="0" w:firstRowLastColumn="0" w:lastRowFirstColumn="0" w:lastRowLastColumn="0"/>
            <w:tcW w:w="1985" w:type="dxa"/>
            <w:vMerge/>
            <w:hideMark/>
          </w:tcPr>
          <w:p w14:paraId="0D147C07" w14:textId="77777777" w:rsidR="0054533D" w:rsidRPr="000C2A9D" w:rsidRDefault="0054533D" w:rsidP="00EB26D8">
            <w:pPr>
              <w:rPr>
                <w:rFonts w:eastAsia="Times New Roman"/>
                <w:color w:val="251B35"/>
                <w:lang w:eastAsia="en-GB"/>
              </w:rPr>
            </w:pPr>
          </w:p>
        </w:tc>
        <w:tc>
          <w:tcPr>
            <w:tcW w:w="2410" w:type="dxa"/>
            <w:noWrap/>
            <w:hideMark/>
          </w:tcPr>
          <w:p w14:paraId="65E6CF3D" w14:textId="77777777" w:rsidR="0054533D" w:rsidRPr="000C2A9D" w:rsidRDefault="0054533D" w:rsidP="00EB26D8">
            <w:pP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East of England</w:t>
            </w:r>
          </w:p>
        </w:tc>
        <w:tc>
          <w:tcPr>
            <w:tcW w:w="1560" w:type="dxa"/>
            <w:noWrap/>
            <w:hideMark/>
          </w:tcPr>
          <w:p w14:paraId="62A947ED"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86,554</w:t>
            </w:r>
          </w:p>
        </w:tc>
        <w:tc>
          <w:tcPr>
            <w:tcW w:w="1695" w:type="dxa"/>
            <w:noWrap/>
            <w:hideMark/>
          </w:tcPr>
          <w:p w14:paraId="1339371A"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669</w:t>
            </w:r>
          </w:p>
        </w:tc>
        <w:tc>
          <w:tcPr>
            <w:tcW w:w="1134" w:type="dxa"/>
          </w:tcPr>
          <w:p w14:paraId="1503986B"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26</w:t>
            </w:r>
          </w:p>
        </w:tc>
      </w:tr>
      <w:tr w:rsidR="0054533D" w:rsidRPr="000C2A9D" w14:paraId="078DAB28" w14:textId="77777777" w:rsidTr="00EB26D8">
        <w:trPr>
          <w:trHeight w:val="300"/>
        </w:trPr>
        <w:tc>
          <w:tcPr>
            <w:cnfStyle w:val="001000000000" w:firstRow="0" w:lastRow="0" w:firstColumn="1" w:lastColumn="0" w:oddVBand="0" w:evenVBand="0" w:oddHBand="0" w:evenHBand="0" w:firstRowFirstColumn="0" w:firstRowLastColumn="0" w:lastRowFirstColumn="0" w:lastRowLastColumn="0"/>
            <w:tcW w:w="1985" w:type="dxa"/>
            <w:vMerge/>
            <w:hideMark/>
          </w:tcPr>
          <w:p w14:paraId="4B6DBE9C" w14:textId="77777777" w:rsidR="0054533D" w:rsidRPr="000C2A9D" w:rsidRDefault="0054533D" w:rsidP="00EB26D8">
            <w:pPr>
              <w:rPr>
                <w:rFonts w:eastAsia="Times New Roman"/>
                <w:color w:val="251B35"/>
                <w:lang w:eastAsia="en-GB"/>
              </w:rPr>
            </w:pPr>
          </w:p>
        </w:tc>
        <w:tc>
          <w:tcPr>
            <w:tcW w:w="2410" w:type="dxa"/>
            <w:noWrap/>
            <w:hideMark/>
          </w:tcPr>
          <w:p w14:paraId="4C364B60" w14:textId="77777777" w:rsidR="0054533D" w:rsidRPr="000C2A9D" w:rsidRDefault="0054533D" w:rsidP="00EB26D8">
            <w:pP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West Midlands</w:t>
            </w:r>
          </w:p>
        </w:tc>
        <w:tc>
          <w:tcPr>
            <w:tcW w:w="1560" w:type="dxa"/>
            <w:noWrap/>
            <w:hideMark/>
          </w:tcPr>
          <w:p w14:paraId="59F68082"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90,830</w:t>
            </w:r>
          </w:p>
        </w:tc>
        <w:tc>
          <w:tcPr>
            <w:tcW w:w="1695" w:type="dxa"/>
            <w:noWrap/>
            <w:hideMark/>
          </w:tcPr>
          <w:p w14:paraId="60ACE4E0"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790</w:t>
            </w:r>
          </w:p>
        </w:tc>
        <w:tc>
          <w:tcPr>
            <w:tcW w:w="1134" w:type="dxa"/>
          </w:tcPr>
          <w:p w14:paraId="63D5438F"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22</w:t>
            </w:r>
          </w:p>
        </w:tc>
      </w:tr>
      <w:tr w:rsidR="0054533D" w:rsidRPr="000C2A9D" w14:paraId="44FD8375" w14:textId="77777777" w:rsidTr="00EB26D8">
        <w:trPr>
          <w:trHeight w:val="315"/>
        </w:trPr>
        <w:tc>
          <w:tcPr>
            <w:cnfStyle w:val="001000000000" w:firstRow="0" w:lastRow="0" w:firstColumn="1" w:lastColumn="0" w:oddVBand="0" w:evenVBand="0" w:oddHBand="0" w:evenHBand="0" w:firstRowFirstColumn="0" w:firstRowLastColumn="0" w:lastRowFirstColumn="0" w:lastRowLastColumn="0"/>
            <w:tcW w:w="1985" w:type="dxa"/>
            <w:vMerge w:val="restart"/>
            <w:noWrap/>
            <w:hideMark/>
          </w:tcPr>
          <w:p w14:paraId="60EBC7B7" w14:textId="77777777" w:rsidR="0054533D" w:rsidRPr="000C2A9D" w:rsidRDefault="0054533D" w:rsidP="00EB26D8">
            <w:pPr>
              <w:rPr>
                <w:rFonts w:eastAsia="Times New Roman"/>
                <w:color w:val="251B35"/>
                <w:lang w:eastAsia="en-GB"/>
              </w:rPr>
            </w:pPr>
            <w:r w:rsidRPr="000C2A9D">
              <w:rPr>
                <w:rFonts w:eastAsia="Times New Roman"/>
                <w:color w:val="251B35"/>
                <w:lang w:eastAsia="en-GB"/>
              </w:rPr>
              <w:t>North</w:t>
            </w:r>
            <w:r>
              <w:rPr>
                <w:rFonts w:eastAsia="Times New Roman"/>
                <w:color w:val="251B35"/>
                <w:lang w:eastAsia="en-GB"/>
              </w:rPr>
              <w:t xml:space="preserve"> of England</w:t>
            </w:r>
          </w:p>
        </w:tc>
        <w:tc>
          <w:tcPr>
            <w:tcW w:w="2410" w:type="dxa"/>
            <w:noWrap/>
            <w:hideMark/>
          </w:tcPr>
          <w:p w14:paraId="50599B6F" w14:textId="77777777" w:rsidR="0054533D" w:rsidRPr="000C2A9D" w:rsidRDefault="0054533D" w:rsidP="00EB26D8">
            <w:pP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North West</w:t>
            </w:r>
          </w:p>
        </w:tc>
        <w:tc>
          <w:tcPr>
            <w:tcW w:w="1560" w:type="dxa"/>
            <w:noWrap/>
            <w:hideMark/>
          </w:tcPr>
          <w:p w14:paraId="18ACD701"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96,673</w:t>
            </w:r>
          </w:p>
        </w:tc>
        <w:tc>
          <w:tcPr>
            <w:tcW w:w="1695" w:type="dxa"/>
            <w:noWrap/>
            <w:hideMark/>
          </w:tcPr>
          <w:p w14:paraId="39C1077F"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881</w:t>
            </w:r>
          </w:p>
        </w:tc>
        <w:tc>
          <w:tcPr>
            <w:tcW w:w="1134" w:type="dxa"/>
          </w:tcPr>
          <w:p w14:paraId="3D496D93"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23</w:t>
            </w:r>
          </w:p>
        </w:tc>
      </w:tr>
      <w:tr w:rsidR="0054533D" w:rsidRPr="000C2A9D" w14:paraId="691A6B0A" w14:textId="77777777" w:rsidTr="00EB26D8">
        <w:trPr>
          <w:trHeight w:val="300"/>
        </w:trPr>
        <w:tc>
          <w:tcPr>
            <w:cnfStyle w:val="001000000000" w:firstRow="0" w:lastRow="0" w:firstColumn="1" w:lastColumn="0" w:oddVBand="0" w:evenVBand="0" w:oddHBand="0" w:evenHBand="0" w:firstRowFirstColumn="0" w:firstRowLastColumn="0" w:lastRowFirstColumn="0" w:lastRowLastColumn="0"/>
            <w:tcW w:w="1985" w:type="dxa"/>
            <w:vMerge/>
            <w:hideMark/>
          </w:tcPr>
          <w:p w14:paraId="4CA8FE4A" w14:textId="77777777" w:rsidR="0054533D" w:rsidRPr="000C2A9D" w:rsidRDefault="0054533D" w:rsidP="00EB26D8">
            <w:pPr>
              <w:rPr>
                <w:rFonts w:eastAsia="Times New Roman"/>
                <w:color w:val="251B35"/>
                <w:lang w:eastAsia="en-GB"/>
              </w:rPr>
            </w:pPr>
          </w:p>
        </w:tc>
        <w:tc>
          <w:tcPr>
            <w:tcW w:w="2410" w:type="dxa"/>
            <w:noWrap/>
            <w:hideMark/>
          </w:tcPr>
          <w:p w14:paraId="0A302E1C" w14:textId="77777777" w:rsidR="0054533D" w:rsidRPr="000C2A9D" w:rsidRDefault="0054533D" w:rsidP="00EB26D8">
            <w:pP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Northern</w:t>
            </w:r>
          </w:p>
        </w:tc>
        <w:tc>
          <w:tcPr>
            <w:tcW w:w="1560" w:type="dxa"/>
            <w:noWrap/>
            <w:hideMark/>
          </w:tcPr>
          <w:p w14:paraId="756597C0"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98,625</w:t>
            </w:r>
          </w:p>
        </w:tc>
        <w:tc>
          <w:tcPr>
            <w:tcW w:w="1695" w:type="dxa"/>
            <w:noWrap/>
            <w:hideMark/>
          </w:tcPr>
          <w:p w14:paraId="557B87B3"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923</w:t>
            </w:r>
          </w:p>
        </w:tc>
        <w:tc>
          <w:tcPr>
            <w:tcW w:w="1134" w:type="dxa"/>
          </w:tcPr>
          <w:p w14:paraId="7F11CE0B"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18</w:t>
            </w:r>
          </w:p>
        </w:tc>
      </w:tr>
      <w:tr w:rsidR="0054533D" w:rsidRPr="000C2A9D" w14:paraId="0454A590" w14:textId="77777777" w:rsidTr="00EB26D8">
        <w:trPr>
          <w:trHeight w:val="315"/>
        </w:trPr>
        <w:tc>
          <w:tcPr>
            <w:cnfStyle w:val="001000000000" w:firstRow="0" w:lastRow="0" w:firstColumn="1" w:lastColumn="0" w:oddVBand="0" w:evenVBand="0" w:oddHBand="0" w:evenHBand="0" w:firstRowFirstColumn="0" w:firstRowLastColumn="0" w:lastRowFirstColumn="0" w:lastRowLastColumn="0"/>
            <w:tcW w:w="1985" w:type="dxa"/>
            <w:vMerge/>
            <w:hideMark/>
          </w:tcPr>
          <w:p w14:paraId="35893FF7" w14:textId="77777777" w:rsidR="0054533D" w:rsidRPr="000C2A9D" w:rsidRDefault="0054533D" w:rsidP="00EB26D8">
            <w:pPr>
              <w:rPr>
                <w:rFonts w:eastAsia="Times New Roman"/>
                <w:color w:val="251B35"/>
                <w:lang w:eastAsia="en-GB"/>
              </w:rPr>
            </w:pPr>
          </w:p>
        </w:tc>
        <w:tc>
          <w:tcPr>
            <w:tcW w:w="2410" w:type="dxa"/>
            <w:noWrap/>
            <w:hideMark/>
          </w:tcPr>
          <w:p w14:paraId="6D67BEB2" w14:textId="77777777" w:rsidR="0054533D" w:rsidRPr="000C2A9D" w:rsidRDefault="0054533D" w:rsidP="00EB26D8">
            <w:pP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Yorkshire and the Humber</w:t>
            </w:r>
          </w:p>
        </w:tc>
        <w:tc>
          <w:tcPr>
            <w:tcW w:w="1560" w:type="dxa"/>
            <w:noWrap/>
            <w:hideMark/>
          </w:tcPr>
          <w:p w14:paraId="400B95F2"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86,363</w:t>
            </w:r>
          </w:p>
        </w:tc>
        <w:tc>
          <w:tcPr>
            <w:tcW w:w="1695" w:type="dxa"/>
            <w:noWrap/>
            <w:hideMark/>
          </w:tcPr>
          <w:p w14:paraId="17843251"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758</w:t>
            </w:r>
          </w:p>
        </w:tc>
        <w:tc>
          <w:tcPr>
            <w:tcW w:w="1134" w:type="dxa"/>
          </w:tcPr>
          <w:p w14:paraId="458B1941"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27</w:t>
            </w:r>
          </w:p>
        </w:tc>
      </w:tr>
      <w:tr w:rsidR="0054533D" w:rsidRPr="000C2A9D" w14:paraId="3107F13D" w14:textId="77777777" w:rsidTr="00EB26D8">
        <w:trPr>
          <w:trHeight w:val="300"/>
        </w:trPr>
        <w:tc>
          <w:tcPr>
            <w:cnfStyle w:val="001000000000" w:firstRow="0" w:lastRow="0" w:firstColumn="1" w:lastColumn="0" w:oddVBand="0" w:evenVBand="0" w:oddHBand="0" w:evenHBand="0" w:firstRowFirstColumn="0" w:firstRowLastColumn="0" w:lastRowFirstColumn="0" w:lastRowLastColumn="0"/>
            <w:tcW w:w="1985" w:type="dxa"/>
            <w:vMerge w:val="restart"/>
            <w:noWrap/>
            <w:hideMark/>
          </w:tcPr>
          <w:p w14:paraId="3E603BB6" w14:textId="77777777" w:rsidR="0054533D" w:rsidRPr="000C2A9D" w:rsidRDefault="0054533D" w:rsidP="00EB26D8">
            <w:pPr>
              <w:rPr>
                <w:rFonts w:eastAsia="Times New Roman"/>
                <w:color w:val="251B35"/>
                <w:lang w:eastAsia="en-GB"/>
              </w:rPr>
            </w:pPr>
            <w:r w:rsidRPr="000C2A9D">
              <w:rPr>
                <w:rFonts w:eastAsia="Times New Roman"/>
                <w:color w:val="251B35"/>
                <w:lang w:eastAsia="en-GB"/>
              </w:rPr>
              <w:t>South</w:t>
            </w:r>
            <w:r>
              <w:rPr>
                <w:rFonts w:eastAsia="Times New Roman"/>
                <w:color w:val="251B35"/>
                <w:lang w:eastAsia="en-GB"/>
              </w:rPr>
              <w:t xml:space="preserve"> of England</w:t>
            </w:r>
          </w:p>
        </w:tc>
        <w:tc>
          <w:tcPr>
            <w:tcW w:w="2410" w:type="dxa"/>
            <w:noWrap/>
            <w:hideMark/>
          </w:tcPr>
          <w:p w14:paraId="0CDF8A04" w14:textId="77777777" w:rsidR="0054533D" w:rsidRPr="000C2A9D" w:rsidRDefault="0054533D" w:rsidP="00EB26D8">
            <w:pP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Kent, Surrey and Sussex</w:t>
            </w:r>
          </w:p>
        </w:tc>
        <w:tc>
          <w:tcPr>
            <w:tcW w:w="1560" w:type="dxa"/>
            <w:noWrap/>
            <w:hideMark/>
          </w:tcPr>
          <w:p w14:paraId="76BE6735"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99,837</w:t>
            </w:r>
          </w:p>
        </w:tc>
        <w:tc>
          <w:tcPr>
            <w:tcW w:w="1695" w:type="dxa"/>
            <w:noWrap/>
            <w:hideMark/>
          </w:tcPr>
          <w:p w14:paraId="018A5F75"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763</w:t>
            </w:r>
          </w:p>
        </w:tc>
        <w:tc>
          <w:tcPr>
            <w:tcW w:w="1134" w:type="dxa"/>
          </w:tcPr>
          <w:p w14:paraId="347CC114"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19</w:t>
            </w:r>
          </w:p>
        </w:tc>
      </w:tr>
      <w:tr w:rsidR="0054533D" w:rsidRPr="000C2A9D" w14:paraId="2DC689EE" w14:textId="77777777" w:rsidTr="00EB26D8">
        <w:trPr>
          <w:trHeight w:val="300"/>
        </w:trPr>
        <w:tc>
          <w:tcPr>
            <w:cnfStyle w:val="001000000000" w:firstRow="0" w:lastRow="0" w:firstColumn="1" w:lastColumn="0" w:oddVBand="0" w:evenVBand="0" w:oddHBand="0" w:evenHBand="0" w:firstRowFirstColumn="0" w:firstRowLastColumn="0" w:lastRowFirstColumn="0" w:lastRowLastColumn="0"/>
            <w:tcW w:w="1985" w:type="dxa"/>
            <w:vMerge/>
            <w:hideMark/>
          </w:tcPr>
          <w:p w14:paraId="18BE6F64" w14:textId="77777777" w:rsidR="0054533D" w:rsidRPr="000C2A9D" w:rsidRDefault="0054533D" w:rsidP="00EB26D8">
            <w:pPr>
              <w:rPr>
                <w:rFonts w:eastAsia="Times New Roman"/>
                <w:color w:val="251B35"/>
                <w:lang w:eastAsia="en-GB"/>
              </w:rPr>
            </w:pPr>
          </w:p>
        </w:tc>
        <w:tc>
          <w:tcPr>
            <w:tcW w:w="2410" w:type="dxa"/>
            <w:noWrap/>
            <w:hideMark/>
          </w:tcPr>
          <w:p w14:paraId="5CC41054" w14:textId="77777777" w:rsidR="0054533D" w:rsidRPr="000C2A9D" w:rsidRDefault="0054533D" w:rsidP="00EB26D8">
            <w:pP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South West</w:t>
            </w:r>
          </w:p>
        </w:tc>
        <w:tc>
          <w:tcPr>
            <w:tcW w:w="1560" w:type="dxa"/>
            <w:noWrap/>
            <w:hideMark/>
          </w:tcPr>
          <w:p w14:paraId="68B3432A"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73,394</w:t>
            </w:r>
          </w:p>
        </w:tc>
        <w:tc>
          <w:tcPr>
            <w:tcW w:w="1695" w:type="dxa"/>
            <w:noWrap/>
            <w:hideMark/>
          </w:tcPr>
          <w:p w14:paraId="40247FEB"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611</w:t>
            </w:r>
          </w:p>
        </w:tc>
        <w:tc>
          <w:tcPr>
            <w:tcW w:w="1134" w:type="dxa"/>
          </w:tcPr>
          <w:p w14:paraId="534C3628"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20</w:t>
            </w:r>
          </w:p>
        </w:tc>
      </w:tr>
      <w:tr w:rsidR="0054533D" w:rsidRPr="000C2A9D" w14:paraId="13E4AFEA" w14:textId="77777777" w:rsidTr="00EB26D8">
        <w:trPr>
          <w:trHeight w:val="300"/>
        </w:trPr>
        <w:tc>
          <w:tcPr>
            <w:cnfStyle w:val="001000000000" w:firstRow="0" w:lastRow="0" w:firstColumn="1" w:lastColumn="0" w:oddVBand="0" w:evenVBand="0" w:oddHBand="0" w:evenHBand="0" w:firstRowFirstColumn="0" w:firstRowLastColumn="0" w:lastRowFirstColumn="0" w:lastRowLastColumn="0"/>
            <w:tcW w:w="1985" w:type="dxa"/>
            <w:vMerge/>
            <w:hideMark/>
          </w:tcPr>
          <w:p w14:paraId="34A62A6E" w14:textId="77777777" w:rsidR="0054533D" w:rsidRPr="000C2A9D" w:rsidRDefault="0054533D" w:rsidP="00EB26D8">
            <w:pPr>
              <w:rPr>
                <w:rFonts w:eastAsia="Times New Roman"/>
                <w:color w:val="251B35"/>
                <w:lang w:eastAsia="en-GB"/>
              </w:rPr>
            </w:pPr>
          </w:p>
        </w:tc>
        <w:tc>
          <w:tcPr>
            <w:tcW w:w="2410" w:type="dxa"/>
            <w:noWrap/>
            <w:hideMark/>
          </w:tcPr>
          <w:p w14:paraId="65B695ED" w14:textId="77777777" w:rsidR="0054533D" w:rsidRPr="000C2A9D" w:rsidRDefault="0054533D" w:rsidP="00EB26D8">
            <w:pP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Thames Valley</w:t>
            </w:r>
          </w:p>
        </w:tc>
        <w:tc>
          <w:tcPr>
            <w:tcW w:w="1560" w:type="dxa"/>
            <w:noWrap/>
            <w:hideMark/>
          </w:tcPr>
          <w:p w14:paraId="28A28861"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62,939</w:t>
            </w:r>
          </w:p>
        </w:tc>
        <w:tc>
          <w:tcPr>
            <w:tcW w:w="1695" w:type="dxa"/>
            <w:noWrap/>
            <w:hideMark/>
          </w:tcPr>
          <w:p w14:paraId="7E56BE90"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423</w:t>
            </w:r>
          </w:p>
        </w:tc>
        <w:tc>
          <w:tcPr>
            <w:tcW w:w="1134" w:type="dxa"/>
          </w:tcPr>
          <w:p w14:paraId="60D98589"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9</w:t>
            </w:r>
          </w:p>
        </w:tc>
      </w:tr>
      <w:tr w:rsidR="0054533D" w:rsidRPr="000C2A9D" w14:paraId="3A6B13CA" w14:textId="77777777" w:rsidTr="00EB26D8">
        <w:trPr>
          <w:trHeight w:val="300"/>
        </w:trPr>
        <w:tc>
          <w:tcPr>
            <w:cnfStyle w:val="001000000000" w:firstRow="0" w:lastRow="0" w:firstColumn="1" w:lastColumn="0" w:oddVBand="0" w:evenVBand="0" w:oddHBand="0" w:evenHBand="0" w:firstRowFirstColumn="0" w:firstRowLastColumn="0" w:lastRowFirstColumn="0" w:lastRowLastColumn="0"/>
            <w:tcW w:w="1985" w:type="dxa"/>
            <w:vMerge/>
            <w:hideMark/>
          </w:tcPr>
          <w:p w14:paraId="473D6100" w14:textId="77777777" w:rsidR="0054533D" w:rsidRPr="000C2A9D" w:rsidRDefault="0054533D" w:rsidP="00EB26D8">
            <w:pPr>
              <w:rPr>
                <w:rFonts w:eastAsia="Times New Roman"/>
                <w:color w:val="251B35"/>
                <w:lang w:eastAsia="en-GB"/>
              </w:rPr>
            </w:pPr>
          </w:p>
        </w:tc>
        <w:tc>
          <w:tcPr>
            <w:tcW w:w="2410" w:type="dxa"/>
            <w:noWrap/>
            <w:hideMark/>
          </w:tcPr>
          <w:p w14:paraId="18BF114C" w14:textId="77777777" w:rsidR="0054533D" w:rsidRPr="000C2A9D" w:rsidRDefault="0054533D" w:rsidP="00EB26D8">
            <w:pP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Wessex</w:t>
            </w:r>
          </w:p>
        </w:tc>
        <w:tc>
          <w:tcPr>
            <w:tcW w:w="1560" w:type="dxa"/>
            <w:noWrap/>
            <w:hideMark/>
          </w:tcPr>
          <w:p w14:paraId="75075158"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108,477</w:t>
            </w:r>
          </w:p>
        </w:tc>
        <w:tc>
          <w:tcPr>
            <w:tcW w:w="1695" w:type="dxa"/>
            <w:noWrap/>
            <w:hideMark/>
          </w:tcPr>
          <w:p w14:paraId="34C89AC6"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839</w:t>
            </w:r>
          </w:p>
        </w:tc>
        <w:tc>
          <w:tcPr>
            <w:tcW w:w="1134" w:type="dxa"/>
          </w:tcPr>
          <w:p w14:paraId="0EE676DF" w14:textId="77777777" w:rsidR="0054533D" w:rsidRPr="000C2A9D" w:rsidRDefault="0054533D" w:rsidP="00EB26D8">
            <w:pPr>
              <w:jc w:val="center"/>
              <w:cnfStyle w:val="000000000000" w:firstRow="0" w:lastRow="0" w:firstColumn="0" w:lastColumn="0" w:oddVBand="0" w:evenVBand="0" w:oddHBand="0" w:evenHBand="0" w:firstRowFirstColumn="0" w:firstRowLastColumn="0" w:lastRowFirstColumn="0" w:lastRowLastColumn="0"/>
              <w:rPr>
                <w:rFonts w:eastAsia="Times New Roman"/>
                <w:color w:val="251B35"/>
                <w:lang w:eastAsia="en-GB"/>
              </w:rPr>
            </w:pPr>
            <w:r w:rsidRPr="000C2A9D">
              <w:rPr>
                <w:rFonts w:eastAsia="Times New Roman"/>
                <w:color w:val="251B35"/>
                <w:lang w:eastAsia="en-GB"/>
              </w:rPr>
              <w:t>10</w:t>
            </w:r>
          </w:p>
        </w:tc>
      </w:tr>
    </w:tbl>
    <w:p w14:paraId="38E310DD" w14:textId="77777777" w:rsidR="0054533D" w:rsidRPr="000C2A9D" w:rsidRDefault="0054533D" w:rsidP="0054533D">
      <w:pPr>
        <w:pStyle w:val="ListParagraph"/>
      </w:pPr>
    </w:p>
    <w:p w14:paraId="7A0AB803" w14:textId="77777777" w:rsidR="0054533D" w:rsidRPr="000C2A9D" w:rsidRDefault="0054533D" w:rsidP="0054533D">
      <w:pPr>
        <w:ind w:left="709"/>
      </w:pPr>
      <w:r>
        <w:t>Table 3</w:t>
      </w:r>
      <w:r w:rsidRPr="000C2A9D">
        <w:t>: Neurology manpower, training posts and population</w:t>
      </w:r>
      <w:r>
        <w:t xml:space="preserve">. Manpower Data from [9] and population data from [3] and [5]. Figures are estimates, due to differences in data years.  </w:t>
      </w:r>
    </w:p>
    <w:p w14:paraId="2B8F03BE" w14:textId="2F05D15A" w:rsidR="0054533D" w:rsidRDefault="0054533D" w:rsidP="00C8569B">
      <w:pPr>
        <w:spacing w:after="0"/>
        <w:ind w:left="567" w:hanging="567"/>
      </w:pPr>
    </w:p>
    <w:p w14:paraId="0D3D45DC" w14:textId="02ADCC70" w:rsidR="00411A11" w:rsidRDefault="00411A11" w:rsidP="00C8569B">
      <w:pPr>
        <w:spacing w:after="0"/>
        <w:ind w:left="567" w:hanging="567"/>
      </w:pPr>
    </w:p>
    <w:p w14:paraId="60888B0D" w14:textId="714B4B90" w:rsidR="00411A11" w:rsidRDefault="00411A11" w:rsidP="00C8569B">
      <w:pPr>
        <w:spacing w:after="0"/>
        <w:ind w:left="567" w:hanging="567"/>
      </w:pPr>
    </w:p>
    <w:p w14:paraId="709EBBFC" w14:textId="149EA950" w:rsidR="00411A11" w:rsidRDefault="00411A11" w:rsidP="00C8569B">
      <w:pPr>
        <w:spacing w:after="0"/>
        <w:ind w:left="567" w:hanging="567"/>
      </w:pPr>
    </w:p>
    <w:p w14:paraId="25D211CB" w14:textId="07016746" w:rsidR="00411A11" w:rsidRDefault="00411A11" w:rsidP="00C8569B">
      <w:pPr>
        <w:spacing w:after="0"/>
        <w:ind w:left="567" w:hanging="567"/>
      </w:pPr>
    </w:p>
    <w:p w14:paraId="5BE3A9B1" w14:textId="47F1CD28" w:rsidR="00411A11" w:rsidRDefault="00411A11" w:rsidP="00C8569B">
      <w:pPr>
        <w:spacing w:after="0"/>
        <w:ind w:left="567" w:hanging="567"/>
      </w:pPr>
    </w:p>
    <w:p w14:paraId="225859EA" w14:textId="327E2C71" w:rsidR="00411A11" w:rsidRDefault="00411A11" w:rsidP="00C8569B">
      <w:pPr>
        <w:spacing w:after="0"/>
        <w:ind w:left="567" w:hanging="567"/>
      </w:pPr>
    </w:p>
    <w:p w14:paraId="2D7BBB00" w14:textId="7EC1C191" w:rsidR="00411A11" w:rsidRDefault="00411A11" w:rsidP="00C8569B">
      <w:pPr>
        <w:spacing w:after="0"/>
        <w:ind w:left="567" w:hanging="567"/>
      </w:pPr>
    </w:p>
    <w:p w14:paraId="6A2BDE52" w14:textId="2FFCD95D" w:rsidR="00411A11" w:rsidRDefault="00411A11" w:rsidP="00C8569B">
      <w:pPr>
        <w:spacing w:after="0"/>
        <w:ind w:left="567" w:hanging="567"/>
      </w:pPr>
    </w:p>
    <w:p w14:paraId="122B9C01" w14:textId="2E0C9653" w:rsidR="00411A11" w:rsidRDefault="00411A11" w:rsidP="00C8569B">
      <w:pPr>
        <w:spacing w:after="0"/>
        <w:ind w:left="567" w:hanging="567"/>
      </w:pPr>
    </w:p>
    <w:p w14:paraId="0F428808" w14:textId="77777777" w:rsidR="00411A11" w:rsidRPr="00411A11" w:rsidRDefault="00411A11" w:rsidP="00411A11">
      <w:pPr>
        <w:spacing w:line="256" w:lineRule="auto"/>
        <w:rPr>
          <w:rFonts w:eastAsia="Calibri"/>
        </w:rPr>
      </w:pPr>
      <w:r w:rsidRPr="00411A11">
        <w:rPr>
          <w:rFonts w:eastAsia="Calibri"/>
          <w:noProof/>
        </w:rPr>
        <w:lastRenderedPageBreak/>
        <w:drawing>
          <wp:inline distT="0" distB="0" distL="0" distR="0" wp14:anchorId="34EEB860" wp14:editId="45241444">
            <wp:extent cx="5734050" cy="4200525"/>
            <wp:effectExtent l="0" t="0" r="0"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4200525"/>
                    </a:xfrm>
                    <a:prstGeom prst="rect">
                      <a:avLst/>
                    </a:prstGeom>
                    <a:noFill/>
                    <a:ln>
                      <a:noFill/>
                    </a:ln>
                  </pic:spPr>
                </pic:pic>
              </a:graphicData>
            </a:graphic>
          </wp:inline>
        </w:drawing>
      </w:r>
    </w:p>
    <w:p w14:paraId="0669567A" w14:textId="77777777" w:rsidR="00411A11" w:rsidRPr="00411A11" w:rsidRDefault="00411A11" w:rsidP="00411A11">
      <w:pPr>
        <w:spacing w:line="256" w:lineRule="auto"/>
        <w:rPr>
          <w:rFonts w:eastAsia="Calibri"/>
        </w:rPr>
      </w:pPr>
      <w:r w:rsidRPr="00411A11">
        <w:rPr>
          <w:rFonts w:eastAsia="Calibri"/>
        </w:rPr>
        <w:t xml:space="preserve">Figure 1:  Age distribution in men and women of deaths associated with epilepsy in England, 2012-14. Figure and Data from [3] </w:t>
      </w:r>
    </w:p>
    <w:p w14:paraId="1227494F" w14:textId="77777777" w:rsidR="00411A11" w:rsidRPr="00411A11" w:rsidRDefault="00411A11" w:rsidP="00411A11">
      <w:pPr>
        <w:spacing w:line="256" w:lineRule="auto"/>
        <w:rPr>
          <w:rFonts w:eastAsia="Calibri"/>
        </w:rPr>
      </w:pPr>
    </w:p>
    <w:p w14:paraId="08341E04" w14:textId="77777777" w:rsidR="00411A11" w:rsidRPr="00411A11" w:rsidRDefault="00411A11" w:rsidP="00411A11">
      <w:pPr>
        <w:spacing w:line="256" w:lineRule="auto"/>
        <w:rPr>
          <w:rFonts w:eastAsia="Calibri"/>
        </w:rPr>
      </w:pPr>
    </w:p>
    <w:p w14:paraId="5270296A" w14:textId="77777777" w:rsidR="00411A11" w:rsidRPr="00411A11" w:rsidRDefault="00411A11" w:rsidP="00411A11">
      <w:pPr>
        <w:spacing w:line="256" w:lineRule="auto"/>
        <w:rPr>
          <w:rFonts w:eastAsia="Calibri"/>
        </w:rPr>
      </w:pPr>
    </w:p>
    <w:p w14:paraId="33F1968F" w14:textId="77777777" w:rsidR="00411A11" w:rsidRPr="00411A11" w:rsidRDefault="00411A11" w:rsidP="00411A11">
      <w:pPr>
        <w:spacing w:line="256" w:lineRule="auto"/>
        <w:rPr>
          <w:rFonts w:eastAsia="Calibri"/>
        </w:rPr>
      </w:pPr>
    </w:p>
    <w:p w14:paraId="5629B7A0" w14:textId="77777777" w:rsidR="00411A11" w:rsidRPr="00411A11" w:rsidRDefault="00411A11" w:rsidP="00411A11">
      <w:pPr>
        <w:spacing w:line="256" w:lineRule="auto"/>
        <w:rPr>
          <w:rFonts w:eastAsia="Calibri"/>
        </w:rPr>
      </w:pPr>
    </w:p>
    <w:p w14:paraId="19766080" w14:textId="77777777" w:rsidR="00411A11" w:rsidRPr="00411A11" w:rsidRDefault="00411A11" w:rsidP="00411A11">
      <w:pPr>
        <w:spacing w:line="256" w:lineRule="auto"/>
        <w:rPr>
          <w:rFonts w:eastAsia="Calibri"/>
        </w:rPr>
      </w:pPr>
    </w:p>
    <w:p w14:paraId="6D60CD23" w14:textId="77777777" w:rsidR="00411A11" w:rsidRPr="00411A11" w:rsidRDefault="00411A11" w:rsidP="00411A11">
      <w:pPr>
        <w:spacing w:line="256" w:lineRule="auto"/>
        <w:rPr>
          <w:rFonts w:eastAsia="Calibri"/>
        </w:rPr>
      </w:pPr>
    </w:p>
    <w:p w14:paraId="35AAB239" w14:textId="77777777" w:rsidR="00411A11" w:rsidRPr="00411A11" w:rsidRDefault="00411A11" w:rsidP="00411A11">
      <w:pPr>
        <w:spacing w:line="256" w:lineRule="auto"/>
        <w:rPr>
          <w:rFonts w:eastAsia="Calibri"/>
          <w:noProof/>
        </w:rPr>
      </w:pPr>
    </w:p>
    <w:p w14:paraId="70840DF2" w14:textId="77777777" w:rsidR="00411A11" w:rsidRPr="00411A11" w:rsidRDefault="00411A11" w:rsidP="00411A11">
      <w:pPr>
        <w:spacing w:line="256" w:lineRule="auto"/>
        <w:rPr>
          <w:rFonts w:eastAsia="Calibri"/>
          <w:noProof/>
        </w:rPr>
      </w:pPr>
    </w:p>
    <w:p w14:paraId="1517E392" w14:textId="77777777" w:rsidR="00411A11" w:rsidRPr="00411A11" w:rsidRDefault="00411A11" w:rsidP="00411A11">
      <w:pPr>
        <w:spacing w:line="256" w:lineRule="auto"/>
        <w:rPr>
          <w:rFonts w:eastAsia="Calibri"/>
          <w:noProof/>
        </w:rPr>
      </w:pPr>
    </w:p>
    <w:p w14:paraId="508205D2" w14:textId="77777777" w:rsidR="00411A11" w:rsidRPr="00411A11" w:rsidRDefault="00411A11" w:rsidP="00411A11">
      <w:pPr>
        <w:spacing w:line="256" w:lineRule="auto"/>
        <w:rPr>
          <w:rFonts w:eastAsia="Calibri"/>
          <w:noProof/>
        </w:rPr>
      </w:pPr>
    </w:p>
    <w:p w14:paraId="27262275" w14:textId="77777777" w:rsidR="00411A11" w:rsidRPr="00411A11" w:rsidRDefault="00411A11" w:rsidP="00411A11">
      <w:pPr>
        <w:spacing w:line="256" w:lineRule="auto"/>
        <w:rPr>
          <w:rFonts w:eastAsia="Calibri"/>
        </w:rPr>
      </w:pPr>
    </w:p>
    <w:p w14:paraId="7D049BD2" w14:textId="77777777" w:rsidR="00411A11" w:rsidRPr="00411A11" w:rsidRDefault="00411A11" w:rsidP="00411A11">
      <w:pPr>
        <w:spacing w:line="256" w:lineRule="auto"/>
        <w:ind w:left="720"/>
        <w:contextualSpacing/>
        <w:rPr>
          <w:rFonts w:eastAsia="Calibri"/>
        </w:rPr>
      </w:pPr>
    </w:p>
    <w:p w14:paraId="34DAC5C5" w14:textId="77777777" w:rsidR="00411A11" w:rsidRPr="00411A11" w:rsidRDefault="00411A11" w:rsidP="00411A11">
      <w:pPr>
        <w:spacing w:line="256" w:lineRule="auto"/>
        <w:rPr>
          <w:rFonts w:eastAsia="Calibri"/>
        </w:rPr>
      </w:pPr>
    </w:p>
    <w:p w14:paraId="47E1E16B" w14:textId="77777777" w:rsidR="00411A11" w:rsidRPr="00411A11" w:rsidRDefault="00411A11" w:rsidP="00411A11">
      <w:pPr>
        <w:spacing w:line="256" w:lineRule="auto"/>
        <w:ind w:left="720"/>
        <w:contextualSpacing/>
        <w:rPr>
          <w:rFonts w:eastAsia="Calibri"/>
        </w:rPr>
      </w:pPr>
      <w:r w:rsidRPr="00411A11">
        <w:rPr>
          <w:rFonts w:eastAsia="Calibri"/>
          <w:noProof/>
        </w:rPr>
        <w:lastRenderedPageBreak/>
        <w:drawing>
          <wp:inline distT="0" distB="0" distL="0" distR="0" wp14:anchorId="142A42EE" wp14:editId="34567037">
            <wp:extent cx="5334000" cy="348615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0" cy="3486150"/>
                    </a:xfrm>
                    <a:prstGeom prst="rect">
                      <a:avLst/>
                    </a:prstGeom>
                    <a:noFill/>
                    <a:ln>
                      <a:noFill/>
                    </a:ln>
                  </pic:spPr>
                </pic:pic>
              </a:graphicData>
            </a:graphic>
          </wp:inline>
        </w:drawing>
      </w:r>
    </w:p>
    <w:p w14:paraId="3F91B152" w14:textId="77777777" w:rsidR="00411A11" w:rsidRPr="00411A11" w:rsidRDefault="00411A11" w:rsidP="00411A11">
      <w:pPr>
        <w:spacing w:line="256" w:lineRule="auto"/>
        <w:ind w:left="720"/>
        <w:contextualSpacing/>
        <w:rPr>
          <w:rFonts w:eastAsia="Calibri"/>
          <w:noProof/>
        </w:rPr>
      </w:pPr>
      <w:r w:rsidRPr="00411A11">
        <w:rPr>
          <w:rFonts w:eastAsia="Calibri"/>
        </w:rPr>
        <w:t>Figure 2: Death with epilepsy per 100,000 population, according to deprivation decile. Figure and data from [3]</w:t>
      </w:r>
    </w:p>
    <w:p w14:paraId="534C5C66" w14:textId="77777777" w:rsidR="00411A11" w:rsidRPr="00411A11" w:rsidRDefault="00411A11" w:rsidP="00411A11">
      <w:pPr>
        <w:spacing w:line="256" w:lineRule="auto"/>
        <w:ind w:left="720"/>
        <w:contextualSpacing/>
        <w:rPr>
          <w:rFonts w:eastAsia="Calibri"/>
        </w:rPr>
      </w:pPr>
    </w:p>
    <w:p w14:paraId="33818514" w14:textId="77777777" w:rsidR="00411A11" w:rsidRPr="00411A11" w:rsidRDefault="00411A11" w:rsidP="00411A11">
      <w:pPr>
        <w:spacing w:line="256" w:lineRule="auto"/>
        <w:ind w:left="720"/>
        <w:contextualSpacing/>
        <w:rPr>
          <w:rFonts w:eastAsia="Calibri"/>
        </w:rPr>
      </w:pPr>
      <w:r w:rsidRPr="00411A11">
        <w:rPr>
          <w:rFonts w:eastAsia="Calibri"/>
          <w:noProof/>
        </w:rPr>
        <w:drawing>
          <wp:inline distT="0" distB="0" distL="0" distR="0" wp14:anchorId="731BB9F4" wp14:editId="09B9CCE4">
            <wp:extent cx="5057775" cy="3429000"/>
            <wp:effectExtent l="0" t="0" r="9525" b="0"/>
            <wp:docPr id="11" name="Chart 15">
              <a:extLst xmlns:a="http://schemas.openxmlformats.org/drawingml/2006/main">
                <a:ext uri="{FF2B5EF4-FFF2-40B4-BE49-F238E27FC236}">
                  <a16:creationId xmlns:a16="http://schemas.microsoft.com/office/drawing/2014/main" id="{678FEDA7-742C-4D22-8D87-5A4BDD55FD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ADB29CF" w14:textId="77777777" w:rsidR="00411A11" w:rsidRPr="00411A11" w:rsidRDefault="00411A11" w:rsidP="00411A11">
      <w:pPr>
        <w:spacing w:line="256" w:lineRule="auto"/>
        <w:ind w:left="720"/>
        <w:contextualSpacing/>
        <w:rPr>
          <w:rFonts w:eastAsia="Calibri"/>
        </w:rPr>
      </w:pPr>
    </w:p>
    <w:p w14:paraId="14DFA000" w14:textId="77777777" w:rsidR="00411A11" w:rsidRPr="00411A11" w:rsidRDefault="00411A11" w:rsidP="00411A11">
      <w:pPr>
        <w:spacing w:line="256" w:lineRule="auto"/>
        <w:ind w:left="720"/>
        <w:contextualSpacing/>
        <w:rPr>
          <w:rFonts w:eastAsia="Calibri"/>
        </w:rPr>
      </w:pPr>
      <w:r w:rsidRPr="00411A11">
        <w:rPr>
          <w:rFonts w:eastAsia="Calibri"/>
        </w:rPr>
        <w:t xml:space="preserve">Figure 3. Deprivation and seizure freedom for individual Clinical Commissioning Groups in England. Data from [5] CCG = Clinical Commissioning Group. IMD = Index of Multiple Deprivation. </w:t>
      </w:r>
    </w:p>
    <w:p w14:paraId="6209E382" w14:textId="77777777" w:rsidR="00411A11" w:rsidRPr="00411A11" w:rsidRDefault="00411A11" w:rsidP="00411A11">
      <w:pPr>
        <w:spacing w:line="256" w:lineRule="auto"/>
        <w:jc w:val="center"/>
        <w:rPr>
          <w:rFonts w:eastAsia="Calibri"/>
        </w:rPr>
      </w:pPr>
      <w:r w:rsidRPr="00411A11">
        <w:rPr>
          <w:rFonts w:eastAsia="Calibri"/>
          <w:noProof/>
        </w:rPr>
        <w:lastRenderedPageBreak/>
        <w:drawing>
          <wp:inline distT="0" distB="0" distL="0" distR="0" wp14:anchorId="37F5F50F" wp14:editId="71C71D0F">
            <wp:extent cx="6448425" cy="3876675"/>
            <wp:effectExtent l="0" t="0" r="9525" b="9525"/>
            <wp:docPr id="12" name="Chart 4">
              <a:extLst xmlns:a="http://schemas.openxmlformats.org/drawingml/2006/main">
                <a:ext uri="{FF2B5EF4-FFF2-40B4-BE49-F238E27FC236}">
                  <a16:creationId xmlns:a16="http://schemas.microsoft.com/office/drawing/2014/main" id="{46951374-923F-41AD-990E-7F0AAF4A4E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069E551" w14:textId="77777777" w:rsidR="00411A11" w:rsidRPr="00411A11" w:rsidRDefault="00411A11" w:rsidP="00411A11">
      <w:pPr>
        <w:spacing w:line="256" w:lineRule="auto"/>
        <w:rPr>
          <w:rFonts w:eastAsia="Calibri"/>
        </w:rPr>
      </w:pPr>
    </w:p>
    <w:p w14:paraId="698F2E43" w14:textId="77777777" w:rsidR="00411A11" w:rsidRPr="00411A11" w:rsidRDefault="00411A11" w:rsidP="00411A11">
      <w:pPr>
        <w:spacing w:line="256" w:lineRule="auto"/>
        <w:ind w:left="720"/>
        <w:contextualSpacing/>
        <w:rPr>
          <w:rFonts w:eastAsia="Calibri"/>
        </w:rPr>
      </w:pPr>
      <w:r w:rsidRPr="00411A11">
        <w:rPr>
          <w:rFonts w:eastAsia="Calibri"/>
        </w:rPr>
        <w:t xml:space="preserve">Figure 4: The effect of deprivation on the leading causes of death in England and Wales. Figure and data from [20]. Numbers/shaded bars refer to Deprivation deciles ranging from most deprived (10) to least deprived (1). Horizontal axis is number of deaths in 2016. </w:t>
      </w:r>
    </w:p>
    <w:p w14:paraId="33EFBE54" w14:textId="0F655DA2" w:rsidR="00411A11" w:rsidRDefault="00411A11" w:rsidP="00C8569B">
      <w:pPr>
        <w:spacing w:after="0"/>
        <w:ind w:left="567" w:hanging="567"/>
      </w:pPr>
    </w:p>
    <w:p w14:paraId="3EC5BD69" w14:textId="43002968" w:rsidR="00411A11" w:rsidRDefault="00411A11" w:rsidP="00C8569B">
      <w:pPr>
        <w:spacing w:after="0"/>
        <w:ind w:left="567" w:hanging="567"/>
      </w:pPr>
    </w:p>
    <w:p w14:paraId="78414076" w14:textId="77777777" w:rsidR="00411A11" w:rsidRPr="006826CF" w:rsidRDefault="00411A11" w:rsidP="00C8569B">
      <w:pPr>
        <w:spacing w:after="0"/>
        <w:ind w:left="567" w:hanging="567"/>
      </w:pPr>
    </w:p>
    <w:sectPr w:rsidR="00411A11" w:rsidRPr="006826CF" w:rsidSect="004F78B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2C0B"/>
    <w:multiLevelType w:val="hybridMultilevel"/>
    <w:tmpl w:val="D2B26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636A2A"/>
    <w:multiLevelType w:val="hybridMultilevel"/>
    <w:tmpl w:val="BD32C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C7BE5"/>
    <w:multiLevelType w:val="hybridMultilevel"/>
    <w:tmpl w:val="8626E8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3B51EC"/>
    <w:multiLevelType w:val="multilevel"/>
    <w:tmpl w:val="7110F6E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CC55CC"/>
    <w:multiLevelType w:val="hybridMultilevel"/>
    <w:tmpl w:val="ABFEB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C0462F"/>
    <w:multiLevelType w:val="hybridMultilevel"/>
    <w:tmpl w:val="8C3C5A6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B4075"/>
    <w:multiLevelType w:val="hybridMultilevel"/>
    <w:tmpl w:val="1890D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4A71D9"/>
    <w:multiLevelType w:val="hybridMultilevel"/>
    <w:tmpl w:val="15C48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651D25"/>
    <w:multiLevelType w:val="hybridMultilevel"/>
    <w:tmpl w:val="5442C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ED30F8"/>
    <w:multiLevelType w:val="hybridMultilevel"/>
    <w:tmpl w:val="9DE03814"/>
    <w:lvl w:ilvl="0" w:tplc="C002A688">
      <w:start w:val="1"/>
      <w:numFmt w:val="bullet"/>
      <w:lvlText w:val="•"/>
      <w:lvlJc w:val="left"/>
      <w:pPr>
        <w:tabs>
          <w:tab w:val="num" w:pos="720"/>
        </w:tabs>
        <w:ind w:left="720" w:hanging="360"/>
      </w:pPr>
      <w:rPr>
        <w:rFonts w:ascii="Arial" w:hAnsi="Arial" w:hint="default"/>
      </w:rPr>
    </w:lvl>
    <w:lvl w:ilvl="1" w:tplc="4C8E7154" w:tentative="1">
      <w:start w:val="1"/>
      <w:numFmt w:val="bullet"/>
      <w:lvlText w:val="•"/>
      <w:lvlJc w:val="left"/>
      <w:pPr>
        <w:tabs>
          <w:tab w:val="num" w:pos="1440"/>
        </w:tabs>
        <w:ind w:left="1440" w:hanging="360"/>
      </w:pPr>
      <w:rPr>
        <w:rFonts w:ascii="Arial" w:hAnsi="Arial" w:hint="default"/>
      </w:rPr>
    </w:lvl>
    <w:lvl w:ilvl="2" w:tplc="441A093C" w:tentative="1">
      <w:start w:val="1"/>
      <w:numFmt w:val="bullet"/>
      <w:lvlText w:val="•"/>
      <w:lvlJc w:val="left"/>
      <w:pPr>
        <w:tabs>
          <w:tab w:val="num" w:pos="2160"/>
        </w:tabs>
        <w:ind w:left="2160" w:hanging="360"/>
      </w:pPr>
      <w:rPr>
        <w:rFonts w:ascii="Arial" w:hAnsi="Arial" w:hint="default"/>
      </w:rPr>
    </w:lvl>
    <w:lvl w:ilvl="3" w:tplc="959608AE" w:tentative="1">
      <w:start w:val="1"/>
      <w:numFmt w:val="bullet"/>
      <w:lvlText w:val="•"/>
      <w:lvlJc w:val="left"/>
      <w:pPr>
        <w:tabs>
          <w:tab w:val="num" w:pos="2880"/>
        </w:tabs>
        <w:ind w:left="2880" w:hanging="360"/>
      </w:pPr>
      <w:rPr>
        <w:rFonts w:ascii="Arial" w:hAnsi="Arial" w:hint="default"/>
      </w:rPr>
    </w:lvl>
    <w:lvl w:ilvl="4" w:tplc="62B403B4" w:tentative="1">
      <w:start w:val="1"/>
      <w:numFmt w:val="bullet"/>
      <w:lvlText w:val="•"/>
      <w:lvlJc w:val="left"/>
      <w:pPr>
        <w:tabs>
          <w:tab w:val="num" w:pos="3600"/>
        </w:tabs>
        <w:ind w:left="3600" w:hanging="360"/>
      </w:pPr>
      <w:rPr>
        <w:rFonts w:ascii="Arial" w:hAnsi="Arial" w:hint="default"/>
      </w:rPr>
    </w:lvl>
    <w:lvl w:ilvl="5" w:tplc="67F0BC4A" w:tentative="1">
      <w:start w:val="1"/>
      <w:numFmt w:val="bullet"/>
      <w:lvlText w:val="•"/>
      <w:lvlJc w:val="left"/>
      <w:pPr>
        <w:tabs>
          <w:tab w:val="num" w:pos="4320"/>
        </w:tabs>
        <w:ind w:left="4320" w:hanging="360"/>
      </w:pPr>
      <w:rPr>
        <w:rFonts w:ascii="Arial" w:hAnsi="Arial" w:hint="default"/>
      </w:rPr>
    </w:lvl>
    <w:lvl w:ilvl="6" w:tplc="079C4E18" w:tentative="1">
      <w:start w:val="1"/>
      <w:numFmt w:val="bullet"/>
      <w:lvlText w:val="•"/>
      <w:lvlJc w:val="left"/>
      <w:pPr>
        <w:tabs>
          <w:tab w:val="num" w:pos="5040"/>
        </w:tabs>
        <w:ind w:left="5040" w:hanging="360"/>
      </w:pPr>
      <w:rPr>
        <w:rFonts w:ascii="Arial" w:hAnsi="Arial" w:hint="default"/>
      </w:rPr>
    </w:lvl>
    <w:lvl w:ilvl="7" w:tplc="4CE09E30" w:tentative="1">
      <w:start w:val="1"/>
      <w:numFmt w:val="bullet"/>
      <w:lvlText w:val="•"/>
      <w:lvlJc w:val="left"/>
      <w:pPr>
        <w:tabs>
          <w:tab w:val="num" w:pos="5760"/>
        </w:tabs>
        <w:ind w:left="5760" w:hanging="360"/>
      </w:pPr>
      <w:rPr>
        <w:rFonts w:ascii="Arial" w:hAnsi="Arial" w:hint="default"/>
      </w:rPr>
    </w:lvl>
    <w:lvl w:ilvl="8" w:tplc="0FD49F5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9"/>
  </w:num>
  <w:num w:numId="3">
    <w:abstractNumId w:val="4"/>
  </w:num>
  <w:num w:numId="4">
    <w:abstractNumId w:val="7"/>
  </w:num>
  <w:num w:numId="5">
    <w:abstractNumId w:val="3"/>
  </w:num>
  <w:num w:numId="6">
    <w:abstractNumId w:val="8"/>
  </w:num>
  <w:num w:numId="7">
    <w:abstractNumId w:val="6"/>
  </w:num>
  <w:num w:numId="8">
    <w:abstractNumId w:val="5"/>
  </w:num>
  <w:num w:numId="9">
    <w:abstractNumId w:val="2"/>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Epilepsy and Behavio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pttsszxnv29r1e2adav29tz00fr95zpdazv&quot;&gt;Hannah Library&lt;record-ids&gt;&lt;item&gt;6632&lt;/item&gt;&lt;item&gt;7630&lt;/item&gt;&lt;item&gt;7827&lt;/item&gt;&lt;item&gt;8755&lt;/item&gt;&lt;item&gt;9140&lt;/item&gt;&lt;item&gt;9170&lt;/item&gt;&lt;item&gt;9265&lt;/item&gt;&lt;item&gt;9282&lt;/item&gt;&lt;item&gt;9351&lt;/item&gt;&lt;item&gt;9628&lt;/item&gt;&lt;item&gt;9630&lt;/item&gt;&lt;item&gt;9632&lt;/item&gt;&lt;item&gt;9680&lt;/item&gt;&lt;item&gt;9686&lt;/item&gt;&lt;item&gt;9750&lt;/item&gt;&lt;item&gt;9773&lt;/item&gt;&lt;item&gt;9774&lt;/item&gt;&lt;item&gt;9775&lt;/item&gt;&lt;item&gt;9776&lt;/item&gt;&lt;item&gt;9777&lt;/item&gt;&lt;item&gt;9778&lt;/item&gt;&lt;item&gt;9779&lt;/item&gt;&lt;item&gt;9780&lt;/item&gt;&lt;item&gt;9781&lt;/item&gt;&lt;item&gt;9782&lt;/item&gt;&lt;item&gt;9783&lt;/item&gt;&lt;item&gt;9784&lt;/item&gt;&lt;item&gt;9787&lt;/item&gt;&lt;item&gt;9788&lt;/item&gt;&lt;item&gt;9789&lt;/item&gt;&lt;item&gt;9790&lt;/item&gt;&lt;item&gt;9791&lt;/item&gt;&lt;item&gt;9793&lt;/item&gt;&lt;item&gt;9794&lt;/item&gt;&lt;item&gt;9795&lt;/item&gt;&lt;item&gt;9798&lt;/item&gt;&lt;item&gt;9800&lt;/item&gt;&lt;item&gt;9819&lt;/item&gt;&lt;item&gt;9830&lt;/item&gt;&lt;item&gt;9831&lt;/item&gt;&lt;item&gt;9951&lt;/item&gt;&lt;item&gt;9952&lt;/item&gt;&lt;/record-ids&gt;&lt;/item&gt;&lt;/Libraries&gt;"/>
  </w:docVars>
  <w:rsids>
    <w:rsidRoot w:val="00C4122E"/>
    <w:rsid w:val="0000565C"/>
    <w:rsid w:val="00012819"/>
    <w:rsid w:val="00012E58"/>
    <w:rsid w:val="00013E65"/>
    <w:rsid w:val="00014BCD"/>
    <w:rsid w:val="00016CE6"/>
    <w:rsid w:val="00016FCB"/>
    <w:rsid w:val="0002339A"/>
    <w:rsid w:val="00027643"/>
    <w:rsid w:val="00031120"/>
    <w:rsid w:val="0003664C"/>
    <w:rsid w:val="0004420D"/>
    <w:rsid w:val="00046D66"/>
    <w:rsid w:val="00051BB0"/>
    <w:rsid w:val="0005227F"/>
    <w:rsid w:val="00054623"/>
    <w:rsid w:val="000614A2"/>
    <w:rsid w:val="00065752"/>
    <w:rsid w:val="00081255"/>
    <w:rsid w:val="00094E1B"/>
    <w:rsid w:val="00096A68"/>
    <w:rsid w:val="000A5679"/>
    <w:rsid w:val="000A58A4"/>
    <w:rsid w:val="000A5A0A"/>
    <w:rsid w:val="000B4209"/>
    <w:rsid w:val="000C1A60"/>
    <w:rsid w:val="000C32DE"/>
    <w:rsid w:val="000C4D9F"/>
    <w:rsid w:val="000D1B4A"/>
    <w:rsid w:val="000E4079"/>
    <w:rsid w:val="000E5D49"/>
    <w:rsid w:val="000F1BF3"/>
    <w:rsid w:val="000F6D31"/>
    <w:rsid w:val="001240B1"/>
    <w:rsid w:val="001301BB"/>
    <w:rsid w:val="00143778"/>
    <w:rsid w:val="00145F33"/>
    <w:rsid w:val="00150839"/>
    <w:rsid w:val="00154D1B"/>
    <w:rsid w:val="0016048E"/>
    <w:rsid w:val="00167EE2"/>
    <w:rsid w:val="00176693"/>
    <w:rsid w:val="00182561"/>
    <w:rsid w:val="00186912"/>
    <w:rsid w:val="00187066"/>
    <w:rsid w:val="00196D77"/>
    <w:rsid w:val="001A7821"/>
    <w:rsid w:val="001B4561"/>
    <w:rsid w:val="001B7B63"/>
    <w:rsid w:val="001C0A6D"/>
    <w:rsid w:val="001C257E"/>
    <w:rsid w:val="001F02C0"/>
    <w:rsid w:val="001F14BC"/>
    <w:rsid w:val="001F5C87"/>
    <w:rsid w:val="001F6B0E"/>
    <w:rsid w:val="00202EAF"/>
    <w:rsid w:val="00204EC5"/>
    <w:rsid w:val="0021197B"/>
    <w:rsid w:val="0021278A"/>
    <w:rsid w:val="00215790"/>
    <w:rsid w:val="002210AF"/>
    <w:rsid w:val="00234D9F"/>
    <w:rsid w:val="00237292"/>
    <w:rsid w:val="00237B72"/>
    <w:rsid w:val="0024296B"/>
    <w:rsid w:val="00251FFD"/>
    <w:rsid w:val="002650C7"/>
    <w:rsid w:val="00273E11"/>
    <w:rsid w:val="0027754F"/>
    <w:rsid w:val="00280E7A"/>
    <w:rsid w:val="002A66A0"/>
    <w:rsid w:val="002A6C19"/>
    <w:rsid w:val="002B2C4B"/>
    <w:rsid w:val="002B7673"/>
    <w:rsid w:val="002C7AE9"/>
    <w:rsid w:val="002D2684"/>
    <w:rsid w:val="002E39B1"/>
    <w:rsid w:val="002E4789"/>
    <w:rsid w:val="00307004"/>
    <w:rsid w:val="00311295"/>
    <w:rsid w:val="0031252B"/>
    <w:rsid w:val="00323131"/>
    <w:rsid w:val="00323AC4"/>
    <w:rsid w:val="00325789"/>
    <w:rsid w:val="0032659C"/>
    <w:rsid w:val="00331751"/>
    <w:rsid w:val="00333016"/>
    <w:rsid w:val="003363D9"/>
    <w:rsid w:val="00351C07"/>
    <w:rsid w:val="003707C3"/>
    <w:rsid w:val="00370D5F"/>
    <w:rsid w:val="00373227"/>
    <w:rsid w:val="00385A4C"/>
    <w:rsid w:val="00387594"/>
    <w:rsid w:val="003876AC"/>
    <w:rsid w:val="00397692"/>
    <w:rsid w:val="003A2CC2"/>
    <w:rsid w:val="003B397C"/>
    <w:rsid w:val="003F1934"/>
    <w:rsid w:val="003F423B"/>
    <w:rsid w:val="00406706"/>
    <w:rsid w:val="004116BE"/>
    <w:rsid w:val="00411A11"/>
    <w:rsid w:val="00413F05"/>
    <w:rsid w:val="004176D7"/>
    <w:rsid w:val="004240D1"/>
    <w:rsid w:val="004302B7"/>
    <w:rsid w:val="00443063"/>
    <w:rsid w:val="0045094B"/>
    <w:rsid w:val="00451E5E"/>
    <w:rsid w:val="004540A3"/>
    <w:rsid w:val="004544F0"/>
    <w:rsid w:val="00480051"/>
    <w:rsid w:val="004872C8"/>
    <w:rsid w:val="00492B54"/>
    <w:rsid w:val="00493D0B"/>
    <w:rsid w:val="004968AE"/>
    <w:rsid w:val="004A7084"/>
    <w:rsid w:val="004A77F7"/>
    <w:rsid w:val="004B1F31"/>
    <w:rsid w:val="004B3156"/>
    <w:rsid w:val="004B5736"/>
    <w:rsid w:val="004C03A3"/>
    <w:rsid w:val="004C4F9A"/>
    <w:rsid w:val="004D185C"/>
    <w:rsid w:val="004F3934"/>
    <w:rsid w:val="004F3BA1"/>
    <w:rsid w:val="004F78B6"/>
    <w:rsid w:val="0050400B"/>
    <w:rsid w:val="00504B11"/>
    <w:rsid w:val="00505F41"/>
    <w:rsid w:val="00516F8F"/>
    <w:rsid w:val="00517D51"/>
    <w:rsid w:val="00522F34"/>
    <w:rsid w:val="00523621"/>
    <w:rsid w:val="00524127"/>
    <w:rsid w:val="00530DCD"/>
    <w:rsid w:val="005376B6"/>
    <w:rsid w:val="00542C41"/>
    <w:rsid w:val="0054533D"/>
    <w:rsid w:val="005507E7"/>
    <w:rsid w:val="00556EF0"/>
    <w:rsid w:val="005644B4"/>
    <w:rsid w:val="00564A94"/>
    <w:rsid w:val="005732DD"/>
    <w:rsid w:val="00573B72"/>
    <w:rsid w:val="00583EC4"/>
    <w:rsid w:val="005916DC"/>
    <w:rsid w:val="005A118A"/>
    <w:rsid w:val="005A5D16"/>
    <w:rsid w:val="005B5B7F"/>
    <w:rsid w:val="005C279B"/>
    <w:rsid w:val="005D056C"/>
    <w:rsid w:val="005D5775"/>
    <w:rsid w:val="005F3A9F"/>
    <w:rsid w:val="005F55BE"/>
    <w:rsid w:val="005F75FD"/>
    <w:rsid w:val="00603C14"/>
    <w:rsid w:val="006245CF"/>
    <w:rsid w:val="00642C11"/>
    <w:rsid w:val="00644B51"/>
    <w:rsid w:val="00665DE2"/>
    <w:rsid w:val="00667602"/>
    <w:rsid w:val="00671605"/>
    <w:rsid w:val="0067226F"/>
    <w:rsid w:val="00673274"/>
    <w:rsid w:val="00674845"/>
    <w:rsid w:val="006826CF"/>
    <w:rsid w:val="00697F2A"/>
    <w:rsid w:val="006A1D9B"/>
    <w:rsid w:val="006A6EB3"/>
    <w:rsid w:val="006B7A5A"/>
    <w:rsid w:val="006D28F7"/>
    <w:rsid w:val="006D3413"/>
    <w:rsid w:val="006D646B"/>
    <w:rsid w:val="006E3AF2"/>
    <w:rsid w:val="006E6BDF"/>
    <w:rsid w:val="00700488"/>
    <w:rsid w:val="00704BF0"/>
    <w:rsid w:val="007073FD"/>
    <w:rsid w:val="00707A77"/>
    <w:rsid w:val="00727780"/>
    <w:rsid w:val="00741479"/>
    <w:rsid w:val="007604A8"/>
    <w:rsid w:val="00774297"/>
    <w:rsid w:val="007841B2"/>
    <w:rsid w:val="00790415"/>
    <w:rsid w:val="00794D6A"/>
    <w:rsid w:val="007C3C10"/>
    <w:rsid w:val="007C5CB7"/>
    <w:rsid w:val="007D4A59"/>
    <w:rsid w:val="007D7005"/>
    <w:rsid w:val="007E291A"/>
    <w:rsid w:val="007E6EDB"/>
    <w:rsid w:val="007F325E"/>
    <w:rsid w:val="007F5713"/>
    <w:rsid w:val="00826173"/>
    <w:rsid w:val="00843F0A"/>
    <w:rsid w:val="00844887"/>
    <w:rsid w:val="008574EF"/>
    <w:rsid w:val="00867EC1"/>
    <w:rsid w:val="00867F09"/>
    <w:rsid w:val="0087603C"/>
    <w:rsid w:val="00885D87"/>
    <w:rsid w:val="00892D82"/>
    <w:rsid w:val="008B2768"/>
    <w:rsid w:val="008B2939"/>
    <w:rsid w:val="008C0FBE"/>
    <w:rsid w:val="008C50BF"/>
    <w:rsid w:val="008D0484"/>
    <w:rsid w:val="008D189A"/>
    <w:rsid w:val="008D708E"/>
    <w:rsid w:val="008D7A39"/>
    <w:rsid w:val="008F2ADB"/>
    <w:rsid w:val="009128C9"/>
    <w:rsid w:val="0091782F"/>
    <w:rsid w:val="00921FB2"/>
    <w:rsid w:val="00934223"/>
    <w:rsid w:val="009432C2"/>
    <w:rsid w:val="00966676"/>
    <w:rsid w:val="009825ED"/>
    <w:rsid w:val="00983047"/>
    <w:rsid w:val="009958A5"/>
    <w:rsid w:val="009B7090"/>
    <w:rsid w:val="009C42B8"/>
    <w:rsid w:val="009C53EE"/>
    <w:rsid w:val="009D39D7"/>
    <w:rsid w:val="009D7AB7"/>
    <w:rsid w:val="009E09E1"/>
    <w:rsid w:val="009E6816"/>
    <w:rsid w:val="00A01C93"/>
    <w:rsid w:val="00A06F01"/>
    <w:rsid w:val="00A07719"/>
    <w:rsid w:val="00A3669C"/>
    <w:rsid w:val="00A631CC"/>
    <w:rsid w:val="00A64670"/>
    <w:rsid w:val="00A64F79"/>
    <w:rsid w:val="00A65653"/>
    <w:rsid w:val="00A72BFC"/>
    <w:rsid w:val="00A73CFD"/>
    <w:rsid w:val="00A83568"/>
    <w:rsid w:val="00A84D77"/>
    <w:rsid w:val="00A87910"/>
    <w:rsid w:val="00AB0935"/>
    <w:rsid w:val="00AB229D"/>
    <w:rsid w:val="00AB741D"/>
    <w:rsid w:val="00AC11DA"/>
    <w:rsid w:val="00AD307E"/>
    <w:rsid w:val="00AE02E2"/>
    <w:rsid w:val="00AE17E6"/>
    <w:rsid w:val="00AE395D"/>
    <w:rsid w:val="00AF4E4E"/>
    <w:rsid w:val="00B02F8D"/>
    <w:rsid w:val="00B3386E"/>
    <w:rsid w:val="00B35074"/>
    <w:rsid w:val="00B35F94"/>
    <w:rsid w:val="00B64C52"/>
    <w:rsid w:val="00B77FEB"/>
    <w:rsid w:val="00B817D5"/>
    <w:rsid w:val="00B853D0"/>
    <w:rsid w:val="00B96369"/>
    <w:rsid w:val="00BA5F7C"/>
    <w:rsid w:val="00BE7990"/>
    <w:rsid w:val="00BF62D5"/>
    <w:rsid w:val="00C16EB5"/>
    <w:rsid w:val="00C20CA2"/>
    <w:rsid w:val="00C21060"/>
    <w:rsid w:val="00C229D9"/>
    <w:rsid w:val="00C25EC1"/>
    <w:rsid w:val="00C4073E"/>
    <w:rsid w:val="00C4122E"/>
    <w:rsid w:val="00C44528"/>
    <w:rsid w:val="00C5069F"/>
    <w:rsid w:val="00C75F58"/>
    <w:rsid w:val="00C8569B"/>
    <w:rsid w:val="00C87FCC"/>
    <w:rsid w:val="00C900F3"/>
    <w:rsid w:val="00C92441"/>
    <w:rsid w:val="00C92A78"/>
    <w:rsid w:val="00C930B3"/>
    <w:rsid w:val="00C9452B"/>
    <w:rsid w:val="00C953A6"/>
    <w:rsid w:val="00C95740"/>
    <w:rsid w:val="00CA0085"/>
    <w:rsid w:val="00CA3D91"/>
    <w:rsid w:val="00CA3DBC"/>
    <w:rsid w:val="00CB54E5"/>
    <w:rsid w:val="00CB7129"/>
    <w:rsid w:val="00CD04B9"/>
    <w:rsid w:val="00CD5B35"/>
    <w:rsid w:val="00D07210"/>
    <w:rsid w:val="00D212A7"/>
    <w:rsid w:val="00D3482F"/>
    <w:rsid w:val="00D4078E"/>
    <w:rsid w:val="00D50D68"/>
    <w:rsid w:val="00D54632"/>
    <w:rsid w:val="00D60E5A"/>
    <w:rsid w:val="00D61A52"/>
    <w:rsid w:val="00D755FA"/>
    <w:rsid w:val="00D92B7D"/>
    <w:rsid w:val="00DA0369"/>
    <w:rsid w:val="00DB4035"/>
    <w:rsid w:val="00DB477F"/>
    <w:rsid w:val="00DB6E95"/>
    <w:rsid w:val="00DB73F1"/>
    <w:rsid w:val="00DE1B3D"/>
    <w:rsid w:val="00DF0DC5"/>
    <w:rsid w:val="00E06D7D"/>
    <w:rsid w:val="00E0732B"/>
    <w:rsid w:val="00E16A41"/>
    <w:rsid w:val="00E345E7"/>
    <w:rsid w:val="00E35BEE"/>
    <w:rsid w:val="00E63241"/>
    <w:rsid w:val="00E65BA0"/>
    <w:rsid w:val="00E80514"/>
    <w:rsid w:val="00E839E0"/>
    <w:rsid w:val="00E84A12"/>
    <w:rsid w:val="00E84C18"/>
    <w:rsid w:val="00E941C0"/>
    <w:rsid w:val="00E96EF5"/>
    <w:rsid w:val="00EA1BD3"/>
    <w:rsid w:val="00EA6A86"/>
    <w:rsid w:val="00EA7398"/>
    <w:rsid w:val="00EC0BC5"/>
    <w:rsid w:val="00EC371B"/>
    <w:rsid w:val="00EC7DC3"/>
    <w:rsid w:val="00ED0AEA"/>
    <w:rsid w:val="00ED73B9"/>
    <w:rsid w:val="00EE01F5"/>
    <w:rsid w:val="00F00372"/>
    <w:rsid w:val="00F1051E"/>
    <w:rsid w:val="00F16DA3"/>
    <w:rsid w:val="00F21066"/>
    <w:rsid w:val="00F328C4"/>
    <w:rsid w:val="00F346ED"/>
    <w:rsid w:val="00F417F2"/>
    <w:rsid w:val="00F426EC"/>
    <w:rsid w:val="00F53ECD"/>
    <w:rsid w:val="00F577FF"/>
    <w:rsid w:val="00F60D1C"/>
    <w:rsid w:val="00F67784"/>
    <w:rsid w:val="00F6794A"/>
    <w:rsid w:val="00F76584"/>
    <w:rsid w:val="00F83596"/>
    <w:rsid w:val="00F83A8D"/>
    <w:rsid w:val="00F86F44"/>
    <w:rsid w:val="00F957F8"/>
    <w:rsid w:val="00FA3724"/>
    <w:rsid w:val="00FB0FF4"/>
    <w:rsid w:val="00FB6D0A"/>
    <w:rsid w:val="00FD2C6C"/>
    <w:rsid w:val="00FE1097"/>
    <w:rsid w:val="00FE1ED7"/>
    <w:rsid w:val="00FF67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AB788F"/>
  <w15:docId w15:val="{BAC81C8F-6A84-420A-98E2-FC249201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3FD"/>
    <w:pPr>
      <w:spacing w:line="360" w:lineRule="auto"/>
    </w:pPr>
    <w:rPr>
      <w:rFonts w:ascii="Arial" w:hAnsi="Arial" w:cs="Arial"/>
    </w:rPr>
  </w:style>
  <w:style w:type="paragraph" w:styleId="Heading1">
    <w:name w:val="heading 1"/>
    <w:basedOn w:val="ListParagraph"/>
    <w:next w:val="Normal"/>
    <w:link w:val="Heading1Char"/>
    <w:uiPriority w:val="9"/>
    <w:qFormat/>
    <w:rsid w:val="00C953A6"/>
    <w:pPr>
      <w:numPr>
        <w:numId w:val="5"/>
      </w:numPr>
      <w:outlineLvl w:val="0"/>
    </w:pPr>
    <w:rPr>
      <w:b/>
    </w:rPr>
  </w:style>
  <w:style w:type="paragraph" w:styleId="Heading2">
    <w:name w:val="heading 2"/>
    <w:basedOn w:val="Heading1"/>
    <w:next w:val="Normal"/>
    <w:link w:val="Heading2Char"/>
    <w:uiPriority w:val="9"/>
    <w:unhideWhenUsed/>
    <w:qFormat/>
    <w:rsid w:val="00774297"/>
    <w:pPr>
      <w:numPr>
        <w:ilvl w:val="1"/>
      </w:numPr>
      <w:ind w:left="426"/>
      <w:outlineLvl w:val="1"/>
    </w:pPr>
    <w:rPr>
      <w:b w:val="0"/>
    </w:rPr>
  </w:style>
  <w:style w:type="paragraph" w:styleId="Heading4">
    <w:name w:val="heading 4"/>
    <w:basedOn w:val="Normal"/>
    <w:link w:val="Heading4Char"/>
    <w:uiPriority w:val="9"/>
    <w:qFormat/>
    <w:rsid w:val="008F2AD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2819"/>
    <w:pPr>
      <w:ind w:left="720"/>
      <w:contextualSpacing/>
    </w:pPr>
  </w:style>
  <w:style w:type="character" w:styleId="Hyperlink">
    <w:name w:val="Hyperlink"/>
    <w:basedOn w:val="DefaultParagraphFont"/>
    <w:uiPriority w:val="99"/>
    <w:unhideWhenUsed/>
    <w:rsid w:val="003B397C"/>
    <w:rPr>
      <w:color w:val="0563C1" w:themeColor="hyperlink"/>
      <w:u w:val="single"/>
    </w:rPr>
  </w:style>
  <w:style w:type="character" w:customStyle="1" w:styleId="UnresolvedMention1">
    <w:name w:val="Unresolved Mention1"/>
    <w:basedOn w:val="DefaultParagraphFont"/>
    <w:uiPriority w:val="99"/>
    <w:semiHidden/>
    <w:unhideWhenUsed/>
    <w:rsid w:val="003B397C"/>
    <w:rPr>
      <w:color w:val="605E5C"/>
      <w:shd w:val="clear" w:color="auto" w:fill="E1DFDD"/>
    </w:rPr>
  </w:style>
  <w:style w:type="character" w:styleId="HTMLCite">
    <w:name w:val="HTML Cite"/>
    <w:basedOn w:val="DefaultParagraphFont"/>
    <w:uiPriority w:val="99"/>
    <w:semiHidden/>
    <w:unhideWhenUsed/>
    <w:rsid w:val="004F3934"/>
    <w:rPr>
      <w:i/>
      <w:iCs/>
    </w:rPr>
  </w:style>
  <w:style w:type="character" w:customStyle="1" w:styleId="cs1-format">
    <w:name w:val="cs1-format"/>
    <w:basedOn w:val="DefaultParagraphFont"/>
    <w:rsid w:val="004F3934"/>
  </w:style>
  <w:style w:type="character" w:customStyle="1" w:styleId="reference-accessdate">
    <w:name w:val="reference-accessdate"/>
    <w:basedOn w:val="DefaultParagraphFont"/>
    <w:rsid w:val="004F3934"/>
  </w:style>
  <w:style w:type="character" w:customStyle="1" w:styleId="nowrap">
    <w:name w:val="nowrap"/>
    <w:basedOn w:val="DefaultParagraphFont"/>
    <w:rsid w:val="004F3934"/>
  </w:style>
  <w:style w:type="paragraph" w:styleId="NormalWeb">
    <w:name w:val="Normal (Web)"/>
    <w:basedOn w:val="Normal"/>
    <w:uiPriority w:val="99"/>
    <w:semiHidden/>
    <w:unhideWhenUsed/>
    <w:rsid w:val="00051B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5C279B"/>
  </w:style>
  <w:style w:type="character" w:styleId="FollowedHyperlink">
    <w:name w:val="FollowedHyperlink"/>
    <w:basedOn w:val="DefaultParagraphFont"/>
    <w:uiPriority w:val="99"/>
    <w:semiHidden/>
    <w:unhideWhenUsed/>
    <w:rsid w:val="00DA0369"/>
    <w:rPr>
      <w:color w:val="954F72" w:themeColor="followedHyperlink"/>
      <w:u w:val="single"/>
    </w:rPr>
  </w:style>
  <w:style w:type="character" w:customStyle="1" w:styleId="footnotereference">
    <w:name w:val="footnotereference"/>
    <w:basedOn w:val="DefaultParagraphFont"/>
    <w:rsid w:val="00F21066"/>
  </w:style>
  <w:style w:type="character" w:customStyle="1" w:styleId="Heading4Char">
    <w:name w:val="Heading 4 Char"/>
    <w:basedOn w:val="DefaultParagraphFont"/>
    <w:link w:val="Heading4"/>
    <w:uiPriority w:val="9"/>
    <w:rsid w:val="008F2ADB"/>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C953A6"/>
    <w:rPr>
      <w:rFonts w:ascii="Arial" w:hAnsi="Arial" w:cs="Arial"/>
      <w:b/>
    </w:rPr>
  </w:style>
  <w:style w:type="paragraph" w:styleId="BalloonText">
    <w:name w:val="Balloon Text"/>
    <w:basedOn w:val="Normal"/>
    <w:link w:val="BalloonTextChar"/>
    <w:uiPriority w:val="99"/>
    <w:semiHidden/>
    <w:unhideWhenUsed/>
    <w:rsid w:val="000C1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A60"/>
    <w:rPr>
      <w:rFonts w:ascii="Segoe UI" w:hAnsi="Segoe UI" w:cs="Segoe UI"/>
      <w:sz w:val="18"/>
      <w:szCs w:val="18"/>
    </w:rPr>
  </w:style>
  <w:style w:type="character" w:styleId="CommentReference">
    <w:name w:val="annotation reference"/>
    <w:basedOn w:val="DefaultParagraphFont"/>
    <w:uiPriority w:val="99"/>
    <w:semiHidden/>
    <w:unhideWhenUsed/>
    <w:rsid w:val="00727780"/>
    <w:rPr>
      <w:sz w:val="16"/>
      <w:szCs w:val="16"/>
    </w:rPr>
  </w:style>
  <w:style w:type="paragraph" w:styleId="CommentText">
    <w:name w:val="annotation text"/>
    <w:basedOn w:val="Normal"/>
    <w:link w:val="CommentTextChar"/>
    <w:uiPriority w:val="99"/>
    <w:unhideWhenUsed/>
    <w:rsid w:val="00727780"/>
    <w:pPr>
      <w:spacing w:line="240" w:lineRule="auto"/>
    </w:pPr>
    <w:rPr>
      <w:sz w:val="20"/>
      <w:szCs w:val="20"/>
    </w:rPr>
  </w:style>
  <w:style w:type="character" w:customStyle="1" w:styleId="CommentTextChar">
    <w:name w:val="Comment Text Char"/>
    <w:basedOn w:val="DefaultParagraphFont"/>
    <w:link w:val="CommentText"/>
    <w:uiPriority w:val="99"/>
    <w:rsid w:val="00727780"/>
    <w:rPr>
      <w:sz w:val="20"/>
      <w:szCs w:val="20"/>
    </w:rPr>
  </w:style>
  <w:style w:type="paragraph" w:styleId="CommentSubject">
    <w:name w:val="annotation subject"/>
    <w:basedOn w:val="CommentText"/>
    <w:next w:val="CommentText"/>
    <w:link w:val="CommentSubjectChar"/>
    <w:uiPriority w:val="99"/>
    <w:semiHidden/>
    <w:unhideWhenUsed/>
    <w:rsid w:val="00727780"/>
    <w:rPr>
      <w:b/>
      <w:bCs/>
    </w:rPr>
  </w:style>
  <w:style w:type="character" w:customStyle="1" w:styleId="CommentSubjectChar">
    <w:name w:val="Comment Subject Char"/>
    <w:basedOn w:val="CommentTextChar"/>
    <w:link w:val="CommentSubject"/>
    <w:uiPriority w:val="99"/>
    <w:semiHidden/>
    <w:rsid w:val="00727780"/>
    <w:rPr>
      <w:b/>
      <w:bCs/>
      <w:sz w:val="20"/>
      <w:szCs w:val="20"/>
    </w:rPr>
  </w:style>
  <w:style w:type="character" w:customStyle="1" w:styleId="Heading2Char">
    <w:name w:val="Heading 2 Char"/>
    <w:basedOn w:val="DefaultParagraphFont"/>
    <w:link w:val="Heading2"/>
    <w:uiPriority w:val="9"/>
    <w:rsid w:val="00774297"/>
    <w:rPr>
      <w:rFonts w:ascii="Arial" w:hAnsi="Arial" w:cs="Arial"/>
    </w:rPr>
  </w:style>
  <w:style w:type="character" w:customStyle="1" w:styleId="ListParagraphChar">
    <w:name w:val="List Paragraph Char"/>
    <w:basedOn w:val="DefaultParagraphFont"/>
    <w:link w:val="ListParagraph"/>
    <w:uiPriority w:val="34"/>
    <w:rsid w:val="002E39B1"/>
  </w:style>
  <w:style w:type="paragraph" w:customStyle="1" w:styleId="EndNoteBibliographyTitle">
    <w:name w:val="EndNote Bibliography Title"/>
    <w:basedOn w:val="Normal"/>
    <w:link w:val="EndNoteBibliographyTitleChar"/>
    <w:rsid w:val="0079041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90415"/>
    <w:rPr>
      <w:rFonts w:ascii="Calibri" w:hAnsi="Calibri" w:cs="Calibri"/>
      <w:noProof/>
      <w:lang w:val="en-US"/>
    </w:rPr>
  </w:style>
  <w:style w:type="paragraph" w:customStyle="1" w:styleId="EndNoteBibliography">
    <w:name w:val="EndNote Bibliography"/>
    <w:basedOn w:val="Normal"/>
    <w:link w:val="EndNoteBibliographyChar"/>
    <w:rsid w:val="0079041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90415"/>
    <w:rPr>
      <w:rFonts w:ascii="Calibri" w:hAnsi="Calibri" w:cs="Calibri"/>
      <w:noProof/>
      <w:lang w:val="en-US"/>
    </w:rPr>
  </w:style>
  <w:style w:type="paragraph" w:styleId="PlainText">
    <w:name w:val="Plain Text"/>
    <w:basedOn w:val="Normal"/>
    <w:link w:val="PlainTextChar"/>
    <w:uiPriority w:val="99"/>
    <w:semiHidden/>
    <w:unhideWhenUsed/>
    <w:rsid w:val="00AF4E4E"/>
    <w:pPr>
      <w:spacing w:after="0" w:line="240" w:lineRule="auto"/>
    </w:pPr>
    <w:rPr>
      <w:rFonts w:cstheme="minorBidi"/>
      <w:sz w:val="20"/>
      <w:szCs w:val="21"/>
    </w:rPr>
  </w:style>
  <w:style w:type="character" w:customStyle="1" w:styleId="PlainTextChar">
    <w:name w:val="Plain Text Char"/>
    <w:basedOn w:val="DefaultParagraphFont"/>
    <w:link w:val="PlainText"/>
    <w:uiPriority w:val="99"/>
    <w:semiHidden/>
    <w:rsid w:val="00AF4E4E"/>
    <w:rPr>
      <w:rFonts w:ascii="Arial" w:hAnsi="Arial"/>
      <w:sz w:val="20"/>
      <w:szCs w:val="21"/>
    </w:rPr>
  </w:style>
  <w:style w:type="character" w:customStyle="1" w:styleId="UnresolvedMention2">
    <w:name w:val="Unresolved Mention2"/>
    <w:basedOn w:val="DefaultParagraphFont"/>
    <w:uiPriority w:val="99"/>
    <w:semiHidden/>
    <w:unhideWhenUsed/>
    <w:rsid w:val="00E345E7"/>
    <w:rPr>
      <w:color w:val="605E5C"/>
      <w:shd w:val="clear" w:color="auto" w:fill="E1DFDD"/>
    </w:rPr>
  </w:style>
  <w:style w:type="character" w:styleId="UnresolvedMention">
    <w:name w:val="Unresolved Mention"/>
    <w:basedOn w:val="DefaultParagraphFont"/>
    <w:uiPriority w:val="99"/>
    <w:semiHidden/>
    <w:unhideWhenUsed/>
    <w:rsid w:val="00F67784"/>
    <w:rPr>
      <w:color w:val="605E5C"/>
      <w:shd w:val="clear" w:color="auto" w:fill="E1DFDD"/>
    </w:rPr>
  </w:style>
  <w:style w:type="paragraph" w:styleId="Revision">
    <w:name w:val="Revision"/>
    <w:hidden/>
    <w:uiPriority w:val="99"/>
    <w:semiHidden/>
    <w:rsid w:val="00F67784"/>
    <w:pPr>
      <w:spacing w:after="0" w:line="240" w:lineRule="auto"/>
    </w:pPr>
    <w:rPr>
      <w:rFonts w:ascii="Arial" w:hAnsi="Arial" w:cs="Arial"/>
    </w:rPr>
  </w:style>
  <w:style w:type="table" w:styleId="GridTable1Light">
    <w:name w:val="Grid Table 1 Light"/>
    <w:basedOn w:val="TableNormal"/>
    <w:uiPriority w:val="46"/>
    <w:rsid w:val="005453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545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08572">
      <w:bodyDiv w:val="1"/>
      <w:marLeft w:val="0"/>
      <w:marRight w:val="0"/>
      <w:marTop w:val="0"/>
      <w:marBottom w:val="0"/>
      <w:divBdr>
        <w:top w:val="none" w:sz="0" w:space="0" w:color="auto"/>
        <w:left w:val="none" w:sz="0" w:space="0" w:color="auto"/>
        <w:bottom w:val="none" w:sz="0" w:space="0" w:color="auto"/>
        <w:right w:val="none" w:sz="0" w:space="0" w:color="auto"/>
      </w:divBdr>
    </w:div>
    <w:div w:id="129328752">
      <w:bodyDiv w:val="1"/>
      <w:marLeft w:val="0"/>
      <w:marRight w:val="0"/>
      <w:marTop w:val="0"/>
      <w:marBottom w:val="0"/>
      <w:divBdr>
        <w:top w:val="none" w:sz="0" w:space="0" w:color="auto"/>
        <w:left w:val="none" w:sz="0" w:space="0" w:color="auto"/>
        <w:bottom w:val="none" w:sz="0" w:space="0" w:color="auto"/>
        <w:right w:val="none" w:sz="0" w:space="0" w:color="auto"/>
      </w:divBdr>
    </w:div>
    <w:div w:id="152140645">
      <w:bodyDiv w:val="1"/>
      <w:marLeft w:val="0"/>
      <w:marRight w:val="0"/>
      <w:marTop w:val="0"/>
      <w:marBottom w:val="0"/>
      <w:divBdr>
        <w:top w:val="none" w:sz="0" w:space="0" w:color="auto"/>
        <w:left w:val="none" w:sz="0" w:space="0" w:color="auto"/>
        <w:bottom w:val="none" w:sz="0" w:space="0" w:color="auto"/>
        <w:right w:val="none" w:sz="0" w:space="0" w:color="auto"/>
      </w:divBdr>
    </w:div>
    <w:div w:id="155924245">
      <w:bodyDiv w:val="1"/>
      <w:marLeft w:val="0"/>
      <w:marRight w:val="0"/>
      <w:marTop w:val="0"/>
      <w:marBottom w:val="0"/>
      <w:divBdr>
        <w:top w:val="none" w:sz="0" w:space="0" w:color="auto"/>
        <w:left w:val="none" w:sz="0" w:space="0" w:color="auto"/>
        <w:bottom w:val="none" w:sz="0" w:space="0" w:color="auto"/>
        <w:right w:val="none" w:sz="0" w:space="0" w:color="auto"/>
      </w:divBdr>
    </w:div>
    <w:div w:id="218632624">
      <w:bodyDiv w:val="1"/>
      <w:marLeft w:val="0"/>
      <w:marRight w:val="0"/>
      <w:marTop w:val="0"/>
      <w:marBottom w:val="0"/>
      <w:divBdr>
        <w:top w:val="none" w:sz="0" w:space="0" w:color="auto"/>
        <w:left w:val="none" w:sz="0" w:space="0" w:color="auto"/>
        <w:bottom w:val="none" w:sz="0" w:space="0" w:color="auto"/>
        <w:right w:val="none" w:sz="0" w:space="0" w:color="auto"/>
      </w:divBdr>
    </w:div>
    <w:div w:id="226383419">
      <w:bodyDiv w:val="1"/>
      <w:marLeft w:val="0"/>
      <w:marRight w:val="0"/>
      <w:marTop w:val="0"/>
      <w:marBottom w:val="0"/>
      <w:divBdr>
        <w:top w:val="none" w:sz="0" w:space="0" w:color="auto"/>
        <w:left w:val="none" w:sz="0" w:space="0" w:color="auto"/>
        <w:bottom w:val="none" w:sz="0" w:space="0" w:color="auto"/>
        <w:right w:val="none" w:sz="0" w:space="0" w:color="auto"/>
      </w:divBdr>
    </w:div>
    <w:div w:id="248537557">
      <w:bodyDiv w:val="1"/>
      <w:marLeft w:val="0"/>
      <w:marRight w:val="0"/>
      <w:marTop w:val="0"/>
      <w:marBottom w:val="0"/>
      <w:divBdr>
        <w:top w:val="none" w:sz="0" w:space="0" w:color="auto"/>
        <w:left w:val="none" w:sz="0" w:space="0" w:color="auto"/>
        <w:bottom w:val="none" w:sz="0" w:space="0" w:color="auto"/>
        <w:right w:val="none" w:sz="0" w:space="0" w:color="auto"/>
      </w:divBdr>
    </w:div>
    <w:div w:id="331376824">
      <w:bodyDiv w:val="1"/>
      <w:marLeft w:val="0"/>
      <w:marRight w:val="0"/>
      <w:marTop w:val="0"/>
      <w:marBottom w:val="0"/>
      <w:divBdr>
        <w:top w:val="none" w:sz="0" w:space="0" w:color="auto"/>
        <w:left w:val="none" w:sz="0" w:space="0" w:color="auto"/>
        <w:bottom w:val="none" w:sz="0" w:space="0" w:color="auto"/>
        <w:right w:val="none" w:sz="0" w:space="0" w:color="auto"/>
      </w:divBdr>
    </w:div>
    <w:div w:id="350379409">
      <w:bodyDiv w:val="1"/>
      <w:marLeft w:val="0"/>
      <w:marRight w:val="0"/>
      <w:marTop w:val="0"/>
      <w:marBottom w:val="0"/>
      <w:divBdr>
        <w:top w:val="none" w:sz="0" w:space="0" w:color="auto"/>
        <w:left w:val="none" w:sz="0" w:space="0" w:color="auto"/>
        <w:bottom w:val="none" w:sz="0" w:space="0" w:color="auto"/>
        <w:right w:val="none" w:sz="0" w:space="0" w:color="auto"/>
      </w:divBdr>
    </w:div>
    <w:div w:id="540555804">
      <w:bodyDiv w:val="1"/>
      <w:marLeft w:val="0"/>
      <w:marRight w:val="0"/>
      <w:marTop w:val="0"/>
      <w:marBottom w:val="0"/>
      <w:divBdr>
        <w:top w:val="none" w:sz="0" w:space="0" w:color="auto"/>
        <w:left w:val="none" w:sz="0" w:space="0" w:color="auto"/>
        <w:bottom w:val="none" w:sz="0" w:space="0" w:color="auto"/>
        <w:right w:val="none" w:sz="0" w:space="0" w:color="auto"/>
      </w:divBdr>
    </w:div>
    <w:div w:id="548494268">
      <w:bodyDiv w:val="1"/>
      <w:marLeft w:val="0"/>
      <w:marRight w:val="0"/>
      <w:marTop w:val="0"/>
      <w:marBottom w:val="0"/>
      <w:divBdr>
        <w:top w:val="none" w:sz="0" w:space="0" w:color="auto"/>
        <w:left w:val="none" w:sz="0" w:space="0" w:color="auto"/>
        <w:bottom w:val="none" w:sz="0" w:space="0" w:color="auto"/>
        <w:right w:val="none" w:sz="0" w:space="0" w:color="auto"/>
      </w:divBdr>
    </w:div>
    <w:div w:id="601883155">
      <w:bodyDiv w:val="1"/>
      <w:marLeft w:val="0"/>
      <w:marRight w:val="0"/>
      <w:marTop w:val="0"/>
      <w:marBottom w:val="0"/>
      <w:divBdr>
        <w:top w:val="none" w:sz="0" w:space="0" w:color="auto"/>
        <w:left w:val="none" w:sz="0" w:space="0" w:color="auto"/>
        <w:bottom w:val="none" w:sz="0" w:space="0" w:color="auto"/>
        <w:right w:val="none" w:sz="0" w:space="0" w:color="auto"/>
      </w:divBdr>
      <w:divsChild>
        <w:div w:id="1373651396">
          <w:marLeft w:val="0"/>
          <w:marRight w:val="0"/>
          <w:marTop w:val="0"/>
          <w:marBottom w:val="0"/>
          <w:divBdr>
            <w:top w:val="none" w:sz="0" w:space="0" w:color="auto"/>
            <w:left w:val="none" w:sz="0" w:space="0" w:color="auto"/>
            <w:bottom w:val="none" w:sz="0" w:space="0" w:color="auto"/>
            <w:right w:val="none" w:sz="0" w:space="0" w:color="auto"/>
          </w:divBdr>
        </w:div>
        <w:div w:id="466169026">
          <w:marLeft w:val="0"/>
          <w:marRight w:val="0"/>
          <w:marTop w:val="0"/>
          <w:marBottom w:val="0"/>
          <w:divBdr>
            <w:top w:val="none" w:sz="0" w:space="0" w:color="auto"/>
            <w:left w:val="none" w:sz="0" w:space="0" w:color="auto"/>
            <w:bottom w:val="none" w:sz="0" w:space="0" w:color="auto"/>
            <w:right w:val="none" w:sz="0" w:space="0" w:color="auto"/>
          </w:divBdr>
        </w:div>
      </w:divsChild>
    </w:div>
    <w:div w:id="1093478613">
      <w:bodyDiv w:val="1"/>
      <w:marLeft w:val="0"/>
      <w:marRight w:val="0"/>
      <w:marTop w:val="0"/>
      <w:marBottom w:val="0"/>
      <w:divBdr>
        <w:top w:val="none" w:sz="0" w:space="0" w:color="auto"/>
        <w:left w:val="none" w:sz="0" w:space="0" w:color="auto"/>
        <w:bottom w:val="none" w:sz="0" w:space="0" w:color="auto"/>
        <w:right w:val="none" w:sz="0" w:space="0" w:color="auto"/>
      </w:divBdr>
    </w:div>
    <w:div w:id="1171412377">
      <w:bodyDiv w:val="1"/>
      <w:marLeft w:val="0"/>
      <w:marRight w:val="0"/>
      <w:marTop w:val="0"/>
      <w:marBottom w:val="0"/>
      <w:divBdr>
        <w:top w:val="none" w:sz="0" w:space="0" w:color="auto"/>
        <w:left w:val="none" w:sz="0" w:space="0" w:color="auto"/>
        <w:bottom w:val="none" w:sz="0" w:space="0" w:color="auto"/>
        <w:right w:val="none" w:sz="0" w:space="0" w:color="auto"/>
      </w:divBdr>
    </w:div>
    <w:div w:id="1202940008">
      <w:bodyDiv w:val="1"/>
      <w:marLeft w:val="0"/>
      <w:marRight w:val="0"/>
      <w:marTop w:val="0"/>
      <w:marBottom w:val="0"/>
      <w:divBdr>
        <w:top w:val="none" w:sz="0" w:space="0" w:color="auto"/>
        <w:left w:val="none" w:sz="0" w:space="0" w:color="auto"/>
        <w:bottom w:val="none" w:sz="0" w:space="0" w:color="auto"/>
        <w:right w:val="none" w:sz="0" w:space="0" w:color="auto"/>
      </w:divBdr>
    </w:div>
    <w:div w:id="1210528393">
      <w:bodyDiv w:val="1"/>
      <w:marLeft w:val="0"/>
      <w:marRight w:val="0"/>
      <w:marTop w:val="0"/>
      <w:marBottom w:val="0"/>
      <w:divBdr>
        <w:top w:val="none" w:sz="0" w:space="0" w:color="auto"/>
        <w:left w:val="none" w:sz="0" w:space="0" w:color="auto"/>
        <w:bottom w:val="none" w:sz="0" w:space="0" w:color="auto"/>
        <w:right w:val="none" w:sz="0" w:space="0" w:color="auto"/>
      </w:divBdr>
      <w:divsChild>
        <w:div w:id="1313561528">
          <w:marLeft w:val="0"/>
          <w:marRight w:val="0"/>
          <w:marTop w:val="120"/>
          <w:marBottom w:val="360"/>
          <w:divBdr>
            <w:top w:val="none" w:sz="0" w:space="0" w:color="auto"/>
            <w:left w:val="none" w:sz="0" w:space="0" w:color="auto"/>
            <w:bottom w:val="none" w:sz="0" w:space="0" w:color="auto"/>
            <w:right w:val="none" w:sz="0" w:space="0" w:color="auto"/>
          </w:divBdr>
          <w:divsChild>
            <w:div w:id="1362437885">
              <w:marLeft w:val="0"/>
              <w:marRight w:val="0"/>
              <w:marTop w:val="0"/>
              <w:marBottom w:val="0"/>
              <w:divBdr>
                <w:top w:val="none" w:sz="0" w:space="0" w:color="auto"/>
                <w:left w:val="none" w:sz="0" w:space="0" w:color="auto"/>
                <w:bottom w:val="none" w:sz="0" w:space="0" w:color="auto"/>
                <w:right w:val="none" w:sz="0" w:space="0" w:color="auto"/>
              </w:divBdr>
            </w:div>
            <w:div w:id="9650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1624">
      <w:bodyDiv w:val="1"/>
      <w:marLeft w:val="0"/>
      <w:marRight w:val="0"/>
      <w:marTop w:val="0"/>
      <w:marBottom w:val="0"/>
      <w:divBdr>
        <w:top w:val="none" w:sz="0" w:space="0" w:color="auto"/>
        <w:left w:val="none" w:sz="0" w:space="0" w:color="auto"/>
        <w:bottom w:val="none" w:sz="0" w:space="0" w:color="auto"/>
        <w:right w:val="none" w:sz="0" w:space="0" w:color="auto"/>
      </w:divBdr>
      <w:divsChild>
        <w:div w:id="738479398">
          <w:marLeft w:val="0"/>
          <w:marRight w:val="0"/>
          <w:marTop w:val="34"/>
          <w:marBottom w:val="34"/>
          <w:divBdr>
            <w:top w:val="none" w:sz="0" w:space="0" w:color="auto"/>
            <w:left w:val="none" w:sz="0" w:space="0" w:color="auto"/>
            <w:bottom w:val="none" w:sz="0" w:space="0" w:color="auto"/>
            <w:right w:val="none" w:sz="0" w:space="0" w:color="auto"/>
          </w:divBdr>
        </w:div>
      </w:divsChild>
    </w:div>
    <w:div w:id="1276450809">
      <w:bodyDiv w:val="1"/>
      <w:marLeft w:val="0"/>
      <w:marRight w:val="0"/>
      <w:marTop w:val="0"/>
      <w:marBottom w:val="0"/>
      <w:divBdr>
        <w:top w:val="none" w:sz="0" w:space="0" w:color="auto"/>
        <w:left w:val="none" w:sz="0" w:space="0" w:color="auto"/>
        <w:bottom w:val="none" w:sz="0" w:space="0" w:color="auto"/>
        <w:right w:val="none" w:sz="0" w:space="0" w:color="auto"/>
      </w:divBdr>
      <w:divsChild>
        <w:div w:id="920331942">
          <w:marLeft w:val="0"/>
          <w:marRight w:val="0"/>
          <w:marTop w:val="0"/>
          <w:marBottom w:val="0"/>
          <w:divBdr>
            <w:top w:val="none" w:sz="0" w:space="0" w:color="auto"/>
            <w:left w:val="none" w:sz="0" w:space="0" w:color="auto"/>
            <w:bottom w:val="none" w:sz="0" w:space="0" w:color="auto"/>
            <w:right w:val="none" w:sz="0" w:space="0" w:color="auto"/>
          </w:divBdr>
        </w:div>
      </w:divsChild>
    </w:div>
    <w:div w:id="1292399776">
      <w:bodyDiv w:val="1"/>
      <w:marLeft w:val="0"/>
      <w:marRight w:val="0"/>
      <w:marTop w:val="0"/>
      <w:marBottom w:val="0"/>
      <w:divBdr>
        <w:top w:val="none" w:sz="0" w:space="0" w:color="auto"/>
        <w:left w:val="none" w:sz="0" w:space="0" w:color="auto"/>
        <w:bottom w:val="none" w:sz="0" w:space="0" w:color="auto"/>
        <w:right w:val="none" w:sz="0" w:space="0" w:color="auto"/>
      </w:divBdr>
    </w:div>
    <w:div w:id="1387414372">
      <w:bodyDiv w:val="1"/>
      <w:marLeft w:val="0"/>
      <w:marRight w:val="0"/>
      <w:marTop w:val="0"/>
      <w:marBottom w:val="0"/>
      <w:divBdr>
        <w:top w:val="none" w:sz="0" w:space="0" w:color="auto"/>
        <w:left w:val="none" w:sz="0" w:space="0" w:color="auto"/>
        <w:bottom w:val="none" w:sz="0" w:space="0" w:color="auto"/>
        <w:right w:val="none" w:sz="0" w:space="0" w:color="auto"/>
      </w:divBdr>
      <w:divsChild>
        <w:div w:id="1560552149">
          <w:marLeft w:val="0"/>
          <w:marRight w:val="0"/>
          <w:marTop w:val="0"/>
          <w:marBottom w:val="0"/>
          <w:divBdr>
            <w:top w:val="none" w:sz="0" w:space="0" w:color="auto"/>
            <w:left w:val="none" w:sz="0" w:space="0" w:color="auto"/>
            <w:bottom w:val="none" w:sz="0" w:space="0" w:color="auto"/>
            <w:right w:val="none" w:sz="0" w:space="0" w:color="auto"/>
          </w:divBdr>
          <w:divsChild>
            <w:div w:id="1213539653">
              <w:marLeft w:val="0"/>
              <w:marRight w:val="0"/>
              <w:marTop w:val="0"/>
              <w:marBottom w:val="165"/>
              <w:divBdr>
                <w:top w:val="none" w:sz="0" w:space="0" w:color="auto"/>
                <w:left w:val="none" w:sz="0" w:space="0" w:color="auto"/>
                <w:bottom w:val="none" w:sz="0" w:space="0" w:color="auto"/>
                <w:right w:val="none" w:sz="0" w:space="0" w:color="auto"/>
              </w:divBdr>
            </w:div>
          </w:divsChild>
        </w:div>
        <w:div w:id="782698662">
          <w:marLeft w:val="0"/>
          <w:marRight w:val="0"/>
          <w:marTop w:val="165"/>
          <w:marBottom w:val="165"/>
          <w:divBdr>
            <w:top w:val="none" w:sz="0" w:space="0" w:color="auto"/>
            <w:left w:val="none" w:sz="0" w:space="0" w:color="auto"/>
            <w:bottom w:val="none" w:sz="0" w:space="0" w:color="auto"/>
            <w:right w:val="none" w:sz="0" w:space="0" w:color="auto"/>
          </w:divBdr>
          <w:divsChild>
            <w:div w:id="1667323120">
              <w:marLeft w:val="0"/>
              <w:marRight w:val="0"/>
              <w:marTop w:val="0"/>
              <w:marBottom w:val="0"/>
              <w:divBdr>
                <w:top w:val="none" w:sz="0" w:space="0" w:color="auto"/>
                <w:left w:val="none" w:sz="0" w:space="0" w:color="auto"/>
                <w:bottom w:val="none" w:sz="0" w:space="0" w:color="auto"/>
                <w:right w:val="none" w:sz="0" w:space="0" w:color="auto"/>
              </w:divBdr>
              <w:divsChild>
                <w:div w:id="15779405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12850942">
      <w:bodyDiv w:val="1"/>
      <w:marLeft w:val="0"/>
      <w:marRight w:val="0"/>
      <w:marTop w:val="0"/>
      <w:marBottom w:val="0"/>
      <w:divBdr>
        <w:top w:val="none" w:sz="0" w:space="0" w:color="auto"/>
        <w:left w:val="none" w:sz="0" w:space="0" w:color="auto"/>
        <w:bottom w:val="none" w:sz="0" w:space="0" w:color="auto"/>
        <w:right w:val="none" w:sz="0" w:space="0" w:color="auto"/>
      </w:divBdr>
    </w:div>
    <w:div w:id="1564874091">
      <w:bodyDiv w:val="1"/>
      <w:marLeft w:val="0"/>
      <w:marRight w:val="0"/>
      <w:marTop w:val="0"/>
      <w:marBottom w:val="0"/>
      <w:divBdr>
        <w:top w:val="none" w:sz="0" w:space="0" w:color="auto"/>
        <w:left w:val="none" w:sz="0" w:space="0" w:color="auto"/>
        <w:bottom w:val="none" w:sz="0" w:space="0" w:color="auto"/>
        <w:right w:val="none" w:sz="0" w:space="0" w:color="auto"/>
      </w:divBdr>
    </w:div>
    <w:div w:id="1735198856">
      <w:bodyDiv w:val="1"/>
      <w:marLeft w:val="0"/>
      <w:marRight w:val="0"/>
      <w:marTop w:val="0"/>
      <w:marBottom w:val="0"/>
      <w:divBdr>
        <w:top w:val="none" w:sz="0" w:space="0" w:color="auto"/>
        <w:left w:val="none" w:sz="0" w:space="0" w:color="auto"/>
        <w:bottom w:val="none" w:sz="0" w:space="0" w:color="auto"/>
        <w:right w:val="none" w:sz="0" w:space="0" w:color="auto"/>
      </w:divBdr>
    </w:div>
    <w:div w:id="1749956231">
      <w:bodyDiv w:val="1"/>
      <w:marLeft w:val="0"/>
      <w:marRight w:val="0"/>
      <w:marTop w:val="0"/>
      <w:marBottom w:val="0"/>
      <w:divBdr>
        <w:top w:val="none" w:sz="0" w:space="0" w:color="auto"/>
        <w:left w:val="none" w:sz="0" w:space="0" w:color="auto"/>
        <w:bottom w:val="none" w:sz="0" w:space="0" w:color="auto"/>
        <w:right w:val="none" w:sz="0" w:space="0" w:color="auto"/>
      </w:divBdr>
      <w:divsChild>
        <w:div w:id="1380393655">
          <w:marLeft w:val="0"/>
          <w:marRight w:val="0"/>
          <w:marTop w:val="120"/>
          <w:marBottom w:val="360"/>
          <w:divBdr>
            <w:top w:val="none" w:sz="0" w:space="0" w:color="auto"/>
            <w:left w:val="none" w:sz="0" w:space="0" w:color="auto"/>
            <w:bottom w:val="none" w:sz="0" w:space="0" w:color="auto"/>
            <w:right w:val="none" w:sz="0" w:space="0" w:color="auto"/>
          </w:divBdr>
          <w:divsChild>
            <w:div w:id="975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6150">
      <w:bodyDiv w:val="1"/>
      <w:marLeft w:val="0"/>
      <w:marRight w:val="0"/>
      <w:marTop w:val="0"/>
      <w:marBottom w:val="0"/>
      <w:divBdr>
        <w:top w:val="none" w:sz="0" w:space="0" w:color="auto"/>
        <w:left w:val="none" w:sz="0" w:space="0" w:color="auto"/>
        <w:bottom w:val="none" w:sz="0" w:space="0" w:color="auto"/>
        <w:right w:val="none" w:sz="0" w:space="0" w:color="auto"/>
      </w:divBdr>
      <w:divsChild>
        <w:div w:id="765687824">
          <w:marLeft w:val="360"/>
          <w:marRight w:val="0"/>
          <w:marTop w:val="200"/>
          <w:marBottom w:val="0"/>
          <w:divBdr>
            <w:top w:val="none" w:sz="0" w:space="0" w:color="auto"/>
            <w:left w:val="none" w:sz="0" w:space="0" w:color="auto"/>
            <w:bottom w:val="none" w:sz="0" w:space="0" w:color="auto"/>
            <w:right w:val="none" w:sz="0" w:space="0" w:color="auto"/>
          </w:divBdr>
        </w:div>
        <w:div w:id="559169958">
          <w:marLeft w:val="360"/>
          <w:marRight w:val="0"/>
          <w:marTop w:val="200"/>
          <w:marBottom w:val="0"/>
          <w:divBdr>
            <w:top w:val="none" w:sz="0" w:space="0" w:color="auto"/>
            <w:left w:val="none" w:sz="0" w:space="0" w:color="auto"/>
            <w:bottom w:val="none" w:sz="0" w:space="0" w:color="auto"/>
            <w:right w:val="none" w:sz="0" w:space="0" w:color="auto"/>
          </w:divBdr>
        </w:div>
        <w:div w:id="190463454">
          <w:marLeft w:val="360"/>
          <w:marRight w:val="0"/>
          <w:marTop w:val="200"/>
          <w:marBottom w:val="0"/>
          <w:divBdr>
            <w:top w:val="none" w:sz="0" w:space="0" w:color="auto"/>
            <w:left w:val="none" w:sz="0" w:space="0" w:color="auto"/>
            <w:bottom w:val="none" w:sz="0" w:space="0" w:color="auto"/>
            <w:right w:val="none" w:sz="0" w:space="0" w:color="auto"/>
          </w:divBdr>
        </w:div>
        <w:div w:id="1983727169">
          <w:marLeft w:val="360"/>
          <w:marRight w:val="0"/>
          <w:marTop w:val="200"/>
          <w:marBottom w:val="0"/>
          <w:divBdr>
            <w:top w:val="none" w:sz="0" w:space="0" w:color="auto"/>
            <w:left w:val="none" w:sz="0" w:space="0" w:color="auto"/>
            <w:bottom w:val="none" w:sz="0" w:space="0" w:color="auto"/>
            <w:right w:val="none" w:sz="0" w:space="0" w:color="auto"/>
          </w:divBdr>
        </w:div>
        <w:div w:id="176967325">
          <w:marLeft w:val="360"/>
          <w:marRight w:val="0"/>
          <w:marTop w:val="200"/>
          <w:marBottom w:val="0"/>
          <w:divBdr>
            <w:top w:val="none" w:sz="0" w:space="0" w:color="auto"/>
            <w:left w:val="none" w:sz="0" w:space="0" w:color="auto"/>
            <w:bottom w:val="none" w:sz="0" w:space="0" w:color="auto"/>
            <w:right w:val="none" w:sz="0" w:space="0" w:color="auto"/>
          </w:divBdr>
        </w:div>
      </w:divsChild>
    </w:div>
    <w:div w:id="1831558831">
      <w:bodyDiv w:val="1"/>
      <w:marLeft w:val="0"/>
      <w:marRight w:val="0"/>
      <w:marTop w:val="0"/>
      <w:marBottom w:val="0"/>
      <w:divBdr>
        <w:top w:val="none" w:sz="0" w:space="0" w:color="auto"/>
        <w:left w:val="none" w:sz="0" w:space="0" w:color="auto"/>
        <w:bottom w:val="none" w:sz="0" w:space="0" w:color="auto"/>
        <w:right w:val="none" w:sz="0" w:space="0" w:color="auto"/>
      </w:divBdr>
    </w:div>
    <w:div w:id="1836337331">
      <w:bodyDiv w:val="1"/>
      <w:marLeft w:val="0"/>
      <w:marRight w:val="0"/>
      <w:marTop w:val="0"/>
      <w:marBottom w:val="0"/>
      <w:divBdr>
        <w:top w:val="none" w:sz="0" w:space="0" w:color="auto"/>
        <w:left w:val="none" w:sz="0" w:space="0" w:color="auto"/>
        <w:bottom w:val="none" w:sz="0" w:space="0" w:color="auto"/>
        <w:right w:val="none" w:sz="0" w:space="0" w:color="auto"/>
      </w:divBdr>
    </w:div>
    <w:div w:id="1916163697">
      <w:bodyDiv w:val="1"/>
      <w:marLeft w:val="0"/>
      <w:marRight w:val="0"/>
      <w:marTop w:val="0"/>
      <w:marBottom w:val="0"/>
      <w:divBdr>
        <w:top w:val="none" w:sz="0" w:space="0" w:color="auto"/>
        <w:left w:val="none" w:sz="0" w:space="0" w:color="auto"/>
        <w:bottom w:val="none" w:sz="0" w:space="0" w:color="auto"/>
        <w:right w:val="none" w:sz="0" w:space="0" w:color="auto"/>
      </w:divBdr>
      <w:divsChild>
        <w:div w:id="2108689155">
          <w:marLeft w:val="0"/>
          <w:marRight w:val="0"/>
          <w:marTop w:val="120"/>
          <w:marBottom w:val="360"/>
          <w:divBdr>
            <w:top w:val="none" w:sz="0" w:space="0" w:color="auto"/>
            <w:left w:val="none" w:sz="0" w:space="0" w:color="auto"/>
            <w:bottom w:val="none" w:sz="0" w:space="0" w:color="auto"/>
            <w:right w:val="none" w:sz="0" w:space="0" w:color="auto"/>
          </w:divBdr>
          <w:divsChild>
            <w:div w:id="968514662">
              <w:marLeft w:val="0"/>
              <w:marRight w:val="0"/>
              <w:marTop w:val="0"/>
              <w:marBottom w:val="0"/>
              <w:divBdr>
                <w:top w:val="none" w:sz="0" w:space="0" w:color="auto"/>
                <w:left w:val="none" w:sz="0" w:space="0" w:color="auto"/>
                <w:bottom w:val="none" w:sz="0" w:space="0" w:color="auto"/>
                <w:right w:val="none" w:sz="0" w:space="0" w:color="auto"/>
              </w:divBdr>
            </w:div>
            <w:div w:id="15492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hrc@sgul.ac.uk" TargetMode="External"/><Relationship Id="rId13" Type="http://schemas.openxmlformats.org/officeDocument/2006/relationships/hyperlink" Target="https://www.theabn.org/resources/abn/a/abn-acute-neurology-survey-2017.html" TargetMode="External"/><Relationship Id="rId18" Type="http://schemas.openxmlformats.org/officeDocument/2006/relationships/hyperlink" Target="https://digital.nhs.uk/news-and-events/latest-news/ae-attendances-increase-by-22-per-cent-in-the-last-decade" TargetMode="Externa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hyperlink" Target="mailto:hannahrc@sgul.ac.uk" TargetMode="External"/><Relationship Id="rId12" Type="http://schemas.openxmlformats.org/officeDocument/2006/relationships/hyperlink" Target="https://www.rcplondon.ac.uk/projects/outputs/focus-physicians-2017-18-census-uk-consultants-and-higher-specialty-trainees" TargetMode="External"/><Relationship Id="rId17" Type="http://schemas.openxmlformats.org/officeDocument/2006/relationships/hyperlink" Target="https://www.epilepsy.org.uk/support-for-you/epilepsy-and-you-self-management-includes-free-membership?utm_source=tiles&amp;utm_medium=online&amp;utm_campaign=epandyoumember2018" TargetMode="External"/><Relationship Id="rId2" Type="http://schemas.openxmlformats.org/officeDocument/2006/relationships/numbering" Target="numbering.xml"/><Relationship Id="rId16" Type="http://schemas.openxmlformats.org/officeDocument/2006/relationships/hyperlink" Target="https://www.kingsfund.org.uk/sites/default/files/field/field_publication_file/supporting-people-manage-health-patient-activation-may14.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hyperlink" Target="mailto:hannahrc@sgul.ac.uk" TargetMode="External"/><Relationship Id="rId11" Type="http://schemas.openxmlformats.org/officeDocument/2006/relationships/hyperlink" Target="http://tools.england.nhs.uk/cfv2016/neurological/atla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gital.nhs.uk/data-and-information/publications/statistical/hospital-accident--emergency-activity/2016-17" TargetMode="External"/><Relationship Id="rId23" Type="http://schemas.openxmlformats.org/officeDocument/2006/relationships/fontTable" Target="fontTable.xml"/><Relationship Id="rId10" Type="http://schemas.openxmlformats.org/officeDocument/2006/relationships/hyperlink" Target="https://www.gov.uk/government/uploads/system/uploads/attachment_data/file/683998/Deaths_associated_with_neurological_conditions_data_briefing.pdf"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ngland.nhs.uk/wp-content/uploads/2016/07/nhse-annual-rep-201516.pdf" TargetMode="External"/><Relationship Id="rId14" Type="http://schemas.openxmlformats.org/officeDocument/2006/relationships/hyperlink" Target="https://www.rcplondon.ac.uk/projects/outputs/2016-17-census-uk-consultants-and-higher-specialty-trainees" TargetMode="External"/><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aul\Documents\PaulsWork\Plansandschemes\NCEPOD\focuspackdat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Paul\Downloads\top10leadingcausesbyimdenglandandwalesseperately20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Seizure Freedom (%) vs Deprivation (IMD)</a:t>
            </a:r>
          </a:p>
        </c:rich>
      </c:tx>
      <c:layout>
        <c:manualLayout>
          <c:xMode val="edge"/>
          <c:yMode val="edge"/>
          <c:x val="0.19292620082144504"/>
          <c:y val="2.04678598193348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456988042978536"/>
          <c:y val="0.1031178792623226"/>
          <c:w val="0.8239478734483503"/>
          <c:h val="0.80003865193540424"/>
        </c:manualLayout>
      </c:layout>
      <c:scatterChart>
        <c:scatterStyle val="lineMarker"/>
        <c:varyColors val="0"/>
        <c:ser>
          <c:idx val="0"/>
          <c:order val="0"/>
          <c:tx>
            <c:strRef>
              <c:f>'CCG Organisations'!$J$5</c:f>
              <c:strCache>
                <c:ptCount val="1"/>
                <c:pt idx="0">
                  <c:v>Seizure Freedom</c:v>
                </c:pt>
              </c:strCache>
            </c:strRef>
          </c:tx>
          <c:spPr>
            <a:ln w="28575" cap="rnd">
              <a:noFill/>
              <a:round/>
            </a:ln>
            <a:effectLst/>
          </c:spPr>
          <c:marker>
            <c:symbol val="circle"/>
            <c:size val="5"/>
            <c:spPr>
              <a:solidFill>
                <a:schemeClr val="dk1">
                  <a:tint val="88500"/>
                </a:schemeClr>
              </a:solidFill>
              <a:ln w="9525">
                <a:solidFill>
                  <a:schemeClr val="dk1">
                    <a:tint val="88500"/>
                  </a:schemeClr>
                </a:solidFill>
              </a:ln>
              <a:effectLst/>
            </c:spPr>
          </c:marker>
          <c:trendline>
            <c:spPr>
              <a:ln w="19050" cap="rnd">
                <a:solidFill>
                  <a:schemeClr val="dk1">
                    <a:tint val="88500"/>
                  </a:schemeClr>
                </a:solidFill>
                <a:prstDash val="sysDot"/>
              </a:ln>
              <a:effectLst/>
            </c:spPr>
            <c:trendlineType val="linear"/>
            <c:dispRSqr val="0"/>
            <c:dispEq val="0"/>
          </c:trendline>
          <c:xVal>
            <c:numRef>
              <c:f>'CCG Organisations'!$I$6:$I$214</c:f>
              <c:numCache>
                <c:formatCode>0.0</c:formatCode>
                <c:ptCount val="209"/>
                <c:pt idx="0">
                  <c:v>23.6</c:v>
                </c:pt>
                <c:pt idx="1">
                  <c:v>30.2</c:v>
                </c:pt>
                <c:pt idx="2">
                  <c:v>20.7</c:v>
                </c:pt>
                <c:pt idx="3">
                  <c:v>27.4</c:v>
                </c:pt>
                <c:pt idx="4">
                  <c:v>20.5</c:v>
                </c:pt>
                <c:pt idx="5">
                  <c:v>34.5</c:v>
                </c:pt>
                <c:pt idx="6">
                  <c:v>30.6</c:v>
                </c:pt>
                <c:pt idx="7">
                  <c:v>29.7</c:v>
                </c:pt>
                <c:pt idx="8">
                  <c:v>34.200000000000003</c:v>
                </c:pt>
                <c:pt idx="9">
                  <c:v>42</c:v>
                </c:pt>
                <c:pt idx="10">
                  <c:v>28.4</c:v>
                </c:pt>
                <c:pt idx="11">
                  <c:v>21.8</c:v>
                </c:pt>
                <c:pt idx="12">
                  <c:v>39.700000000000003</c:v>
                </c:pt>
                <c:pt idx="13">
                  <c:v>17.5</c:v>
                </c:pt>
                <c:pt idx="14">
                  <c:v>30.3</c:v>
                </c:pt>
                <c:pt idx="15">
                  <c:v>28.1</c:v>
                </c:pt>
                <c:pt idx="16">
                  <c:v>11.9</c:v>
                </c:pt>
                <c:pt idx="17">
                  <c:v>33.700000000000003</c:v>
                </c:pt>
                <c:pt idx="18">
                  <c:v>21.8</c:v>
                </c:pt>
                <c:pt idx="19">
                  <c:v>31.9</c:v>
                </c:pt>
                <c:pt idx="20">
                  <c:v>33</c:v>
                </c:pt>
                <c:pt idx="21">
                  <c:v>21.2</c:v>
                </c:pt>
                <c:pt idx="22">
                  <c:v>41.4</c:v>
                </c:pt>
                <c:pt idx="23">
                  <c:v>21.9</c:v>
                </c:pt>
                <c:pt idx="24">
                  <c:v>46.8</c:v>
                </c:pt>
                <c:pt idx="25">
                  <c:v>35</c:v>
                </c:pt>
                <c:pt idx="26">
                  <c:v>16.600000000000001</c:v>
                </c:pt>
                <c:pt idx="27">
                  <c:v>31</c:v>
                </c:pt>
                <c:pt idx="28">
                  <c:v>18.399999999999999</c:v>
                </c:pt>
                <c:pt idx="29">
                  <c:v>19.100000000000001</c:v>
                </c:pt>
                <c:pt idx="30">
                  <c:v>29.8</c:v>
                </c:pt>
                <c:pt idx="31">
                  <c:v>27.9</c:v>
                </c:pt>
                <c:pt idx="32">
                  <c:v>15.4</c:v>
                </c:pt>
                <c:pt idx="33">
                  <c:v>19.3</c:v>
                </c:pt>
                <c:pt idx="34">
                  <c:v>19.3</c:v>
                </c:pt>
                <c:pt idx="35">
                  <c:v>17.5</c:v>
                </c:pt>
                <c:pt idx="36">
                  <c:v>20</c:v>
                </c:pt>
                <c:pt idx="37">
                  <c:v>24.9</c:v>
                </c:pt>
                <c:pt idx="38">
                  <c:v>18.100000000000001</c:v>
                </c:pt>
                <c:pt idx="39">
                  <c:v>18.899999999999999</c:v>
                </c:pt>
                <c:pt idx="40">
                  <c:v>29.6</c:v>
                </c:pt>
                <c:pt idx="41">
                  <c:v>22.7</c:v>
                </c:pt>
                <c:pt idx="42">
                  <c:v>32.299999999999997</c:v>
                </c:pt>
                <c:pt idx="43">
                  <c:v>24.6</c:v>
                </c:pt>
                <c:pt idx="44">
                  <c:v>20</c:v>
                </c:pt>
                <c:pt idx="45">
                  <c:v>51.6</c:v>
                </c:pt>
                <c:pt idx="46">
                  <c:v>29.1</c:v>
                </c:pt>
                <c:pt idx="47">
                  <c:v>16.3</c:v>
                </c:pt>
                <c:pt idx="48">
                  <c:v>21.6</c:v>
                </c:pt>
                <c:pt idx="49">
                  <c:v>23.4</c:v>
                </c:pt>
                <c:pt idx="50">
                  <c:v>14.5</c:v>
                </c:pt>
                <c:pt idx="51">
                  <c:v>10.4</c:v>
                </c:pt>
                <c:pt idx="52">
                  <c:v>41.2</c:v>
                </c:pt>
                <c:pt idx="53">
                  <c:v>36.5</c:v>
                </c:pt>
                <c:pt idx="54">
                  <c:v>30.9</c:v>
                </c:pt>
                <c:pt idx="55">
                  <c:v>27</c:v>
                </c:pt>
                <c:pt idx="56">
                  <c:v>21.4</c:v>
                </c:pt>
                <c:pt idx="57">
                  <c:v>28.3</c:v>
                </c:pt>
                <c:pt idx="58">
                  <c:v>24</c:v>
                </c:pt>
                <c:pt idx="59">
                  <c:v>27.6</c:v>
                </c:pt>
                <c:pt idx="60">
                  <c:v>12.3</c:v>
                </c:pt>
                <c:pt idx="61">
                  <c:v>26.9</c:v>
                </c:pt>
                <c:pt idx="62">
                  <c:v>26.3</c:v>
                </c:pt>
                <c:pt idx="63">
                  <c:v>25.8</c:v>
                </c:pt>
                <c:pt idx="64">
                  <c:v>11</c:v>
                </c:pt>
                <c:pt idx="65">
                  <c:v>21.8</c:v>
                </c:pt>
                <c:pt idx="66">
                  <c:v>24.5</c:v>
                </c:pt>
                <c:pt idx="67">
                  <c:v>33.1</c:v>
                </c:pt>
                <c:pt idx="68">
                  <c:v>20.7</c:v>
                </c:pt>
                <c:pt idx="69">
                  <c:v>27</c:v>
                </c:pt>
                <c:pt idx="70">
                  <c:v>17.8</c:v>
                </c:pt>
                <c:pt idx="71">
                  <c:v>18.399999999999999</c:v>
                </c:pt>
                <c:pt idx="72">
                  <c:v>18.5</c:v>
                </c:pt>
                <c:pt idx="73">
                  <c:v>18</c:v>
                </c:pt>
                <c:pt idx="74">
                  <c:v>36.9</c:v>
                </c:pt>
                <c:pt idx="75">
                  <c:v>17.399999999999999</c:v>
                </c:pt>
                <c:pt idx="76">
                  <c:v>14.3</c:v>
                </c:pt>
                <c:pt idx="77">
                  <c:v>7.7</c:v>
                </c:pt>
                <c:pt idx="78">
                  <c:v>16.399999999999999</c:v>
                </c:pt>
                <c:pt idx="79">
                  <c:v>21.5</c:v>
                </c:pt>
                <c:pt idx="80">
                  <c:v>13.4</c:v>
                </c:pt>
                <c:pt idx="81">
                  <c:v>37.299999999999997</c:v>
                </c:pt>
                <c:pt idx="82">
                  <c:v>19.7</c:v>
                </c:pt>
                <c:pt idx="83">
                  <c:v>24.5</c:v>
                </c:pt>
                <c:pt idx="84">
                  <c:v>23</c:v>
                </c:pt>
                <c:pt idx="85">
                  <c:v>18</c:v>
                </c:pt>
                <c:pt idx="86">
                  <c:v>19.7</c:v>
                </c:pt>
                <c:pt idx="87">
                  <c:v>17.3</c:v>
                </c:pt>
                <c:pt idx="88">
                  <c:v>20.8</c:v>
                </c:pt>
                <c:pt idx="89">
                  <c:v>15.9</c:v>
                </c:pt>
                <c:pt idx="90">
                  <c:v>37.799999999999997</c:v>
                </c:pt>
                <c:pt idx="91">
                  <c:v>16.7</c:v>
                </c:pt>
                <c:pt idx="92">
                  <c:v>17.2</c:v>
                </c:pt>
                <c:pt idx="93">
                  <c:v>15</c:v>
                </c:pt>
                <c:pt idx="94">
                  <c:v>11.6</c:v>
                </c:pt>
                <c:pt idx="95">
                  <c:v>17.399999999999999</c:v>
                </c:pt>
                <c:pt idx="96">
                  <c:v>13.2</c:v>
                </c:pt>
                <c:pt idx="97">
                  <c:v>33.6</c:v>
                </c:pt>
                <c:pt idx="98">
                  <c:v>24.9</c:v>
                </c:pt>
                <c:pt idx="99">
                  <c:v>30.4</c:v>
                </c:pt>
                <c:pt idx="100">
                  <c:v>33.200000000000003</c:v>
                </c:pt>
                <c:pt idx="101">
                  <c:v>22.1</c:v>
                </c:pt>
                <c:pt idx="102">
                  <c:v>14.9</c:v>
                </c:pt>
                <c:pt idx="103">
                  <c:v>16.399999999999999</c:v>
                </c:pt>
                <c:pt idx="104">
                  <c:v>13.1</c:v>
                </c:pt>
                <c:pt idx="105">
                  <c:v>17.399999999999999</c:v>
                </c:pt>
                <c:pt idx="106">
                  <c:v>28.5</c:v>
                </c:pt>
                <c:pt idx="107">
                  <c:v>11.4</c:v>
                </c:pt>
                <c:pt idx="108">
                  <c:v>27.6</c:v>
                </c:pt>
                <c:pt idx="109">
                  <c:v>13.9</c:v>
                </c:pt>
                <c:pt idx="110">
                  <c:v>22</c:v>
                </c:pt>
                <c:pt idx="111">
                  <c:v>17.899999999999999</c:v>
                </c:pt>
                <c:pt idx="112">
                  <c:v>22.9</c:v>
                </c:pt>
                <c:pt idx="113">
                  <c:v>16</c:v>
                </c:pt>
                <c:pt idx="114">
                  <c:v>21.6</c:v>
                </c:pt>
                <c:pt idx="115">
                  <c:v>16.100000000000001</c:v>
                </c:pt>
                <c:pt idx="116">
                  <c:v>23.2</c:v>
                </c:pt>
                <c:pt idx="117">
                  <c:v>16.399999999999999</c:v>
                </c:pt>
                <c:pt idx="118">
                  <c:v>34.6</c:v>
                </c:pt>
                <c:pt idx="119">
                  <c:v>17.8</c:v>
                </c:pt>
                <c:pt idx="120">
                  <c:v>16.2</c:v>
                </c:pt>
                <c:pt idx="121">
                  <c:v>26.7</c:v>
                </c:pt>
                <c:pt idx="122">
                  <c:v>15.2</c:v>
                </c:pt>
                <c:pt idx="123">
                  <c:v>25</c:v>
                </c:pt>
                <c:pt idx="124">
                  <c:v>34.700000000000003</c:v>
                </c:pt>
                <c:pt idx="125">
                  <c:v>23.6</c:v>
                </c:pt>
                <c:pt idx="126">
                  <c:v>23.6</c:v>
                </c:pt>
                <c:pt idx="127">
                  <c:v>27</c:v>
                </c:pt>
                <c:pt idx="128">
                  <c:v>22.5</c:v>
                </c:pt>
                <c:pt idx="129">
                  <c:v>25.5</c:v>
                </c:pt>
                <c:pt idx="130">
                  <c:v>24.4</c:v>
                </c:pt>
                <c:pt idx="131">
                  <c:v>31</c:v>
                </c:pt>
                <c:pt idx="132">
                  <c:v>14.3</c:v>
                </c:pt>
                <c:pt idx="133">
                  <c:v>17.899999999999999</c:v>
                </c:pt>
                <c:pt idx="134">
                  <c:v>18.100000000000001</c:v>
                </c:pt>
                <c:pt idx="135">
                  <c:v>32.5</c:v>
                </c:pt>
                <c:pt idx="136">
                  <c:v>11.1</c:v>
                </c:pt>
                <c:pt idx="137">
                  <c:v>28.9</c:v>
                </c:pt>
                <c:pt idx="138">
                  <c:v>28.6</c:v>
                </c:pt>
                <c:pt idx="139">
                  <c:v>32.9</c:v>
                </c:pt>
                <c:pt idx="140">
                  <c:v>20.2</c:v>
                </c:pt>
                <c:pt idx="141">
                  <c:v>10</c:v>
                </c:pt>
                <c:pt idx="142">
                  <c:v>29.5</c:v>
                </c:pt>
                <c:pt idx="143">
                  <c:v>14.9</c:v>
                </c:pt>
                <c:pt idx="144">
                  <c:v>14.6</c:v>
                </c:pt>
                <c:pt idx="145">
                  <c:v>35.700000000000003</c:v>
                </c:pt>
                <c:pt idx="146">
                  <c:v>30.2</c:v>
                </c:pt>
                <c:pt idx="147">
                  <c:v>18.3</c:v>
                </c:pt>
                <c:pt idx="148">
                  <c:v>26.1</c:v>
                </c:pt>
                <c:pt idx="149">
                  <c:v>25.7</c:v>
                </c:pt>
                <c:pt idx="150">
                  <c:v>17.3</c:v>
                </c:pt>
                <c:pt idx="151">
                  <c:v>23.4</c:v>
                </c:pt>
                <c:pt idx="152">
                  <c:v>17.3</c:v>
                </c:pt>
                <c:pt idx="153">
                  <c:v>18</c:v>
                </c:pt>
                <c:pt idx="154">
                  <c:v>15.8</c:v>
                </c:pt>
                <c:pt idx="155">
                  <c:v>17.8</c:v>
                </c:pt>
                <c:pt idx="156">
                  <c:v>18.899999999999999</c:v>
                </c:pt>
                <c:pt idx="157">
                  <c:v>11.2</c:v>
                </c:pt>
                <c:pt idx="158">
                  <c:v>8.3000000000000007</c:v>
                </c:pt>
                <c:pt idx="159">
                  <c:v>25.8</c:v>
                </c:pt>
                <c:pt idx="160">
                  <c:v>22.3</c:v>
                </c:pt>
                <c:pt idx="161">
                  <c:v>8.3000000000000007</c:v>
                </c:pt>
                <c:pt idx="162">
                  <c:v>10.8</c:v>
                </c:pt>
                <c:pt idx="163">
                  <c:v>22.7</c:v>
                </c:pt>
                <c:pt idx="164">
                  <c:v>8.9</c:v>
                </c:pt>
                <c:pt idx="165">
                  <c:v>27.3</c:v>
                </c:pt>
                <c:pt idx="166">
                  <c:v>31.6</c:v>
                </c:pt>
                <c:pt idx="167">
                  <c:v>9.6999999999999993</c:v>
                </c:pt>
                <c:pt idx="168">
                  <c:v>9.1</c:v>
                </c:pt>
                <c:pt idx="169">
                  <c:v>10.8</c:v>
                </c:pt>
                <c:pt idx="170">
                  <c:v>13.6</c:v>
                </c:pt>
                <c:pt idx="171">
                  <c:v>23.1</c:v>
                </c:pt>
                <c:pt idx="172">
                  <c:v>11.1</c:v>
                </c:pt>
                <c:pt idx="173">
                  <c:v>10.7</c:v>
                </c:pt>
                <c:pt idx="174">
                  <c:v>11.6</c:v>
                </c:pt>
                <c:pt idx="175">
                  <c:v>27.1</c:v>
                </c:pt>
                <c:pt idx="176">
                  <c:v>22.9</c:v>
                </c:pt>
                <c:pt idx="177">
                  <c:v>15.9</c:v>
                </c:pt>
                <c:pt idx="178">
                  <c:v>22.3</c:v>
                </c:pt>
                <c:pt idx="179">
                  <c:v>26.9</c:v>
                </c:pt>
                <c:pt idx="180">
                  <c:v>10.8</c:v>
                </c:pt>
                <c:pt idx="181">
                  <c:v>10.6</c:v>
                </c:pt>
                <c:pt idx="182">
                  <c:v>9.5</c:v>
                </c:pt>
                <c:pt idx="183">
                  <c:v>5.7</c:v>
                </c:pt>
                <c:pt idx="184">
                  <c:v>12.1</c:v>
                </c:pt>
                <c:pt idx="185">
                  <c:v>27.2</c:v>
                </c:pt>
                <c:pt idx="186">
                  <c:v>16.399999999999999</c:v>
                </c:pt>
                <c:pt idx="187">
                  <c:v>15</c:v>
                </c:pt>
                <c:pt idx="188">
                  <c:v>23.8</c:v>
                </c:pt>
                <c:pt idx="189">
                  <c:v>15.8</c:v>
                </c:pt>
                <c:pt idx="190">
                  <c:v>17.8</c:v>
                </c:pt>
                <c:pt idx="191">
                  <c:v>11.4</c:v>
                </c:pt>
                <c:pt idx="192">
                  <c:v>17.5</c:v>
                </c:pt>
                <c:pt idx="193">
                  <c:v>26.9</c:v>
                </c:pt>
                <c:pt idx="194">
                  <c:v>36.6</c:v>
                </c:pt>
                <c:pt idx="195">
                  <c:v>27.3</c:v>
                </c:pt>
                <c:pt idx="196">
                  <c:v>41.1</c:v>
                </c:pt>
                <c:pt idx="197">
                  <c:v>21.3</c:v>
                </c:pt>
                <c:pt idx="198">
                  <c:v>15</c:v>
                </c:pt>
                <c:pt idx="199">
                  <c:v>19.600000000000001</c:v>
                </c:pt>
                <c:pt idx="200">
                  <c:v>13.9</c:v>
                </c:pt>
                <c:pt idx="201">
                  <c:v>24.5</c:v>
                </c:pt>
                <c:pt idx="202">
                  <c:v>8</c:v>
                </c:pt>
                <c:pt idx="203">
                  <c:v>12.4</c:v>
                </c:pt>
                <c:pt idx="204">
                  <c:v>12.1</c:v>
                </c:pt>
                <c:pt idx="205">
                  <c:v>9.9</c:v>
                </c:pt>
                <c:pt idx="206">
                  <c:v>13.5</c:v>
                </c:pt>
                <c:pt idx="207">
                  <c:v>19.899999999999999</c:v>
                </c:pt>
                <c:pt idx="208">
                  <c:v>22.7</c:v>
                </c:pt>
              </c:numCache>
            </c:numRef>
          </c:xVal>
          <c:yVal>
            <c:numRef>
              <c:f>'CCG Organisations'!$J$6:$J$214</c:f>
              <c:numCache>
                <c:formatCode>0.0</c:formatCode>
                <c:ptCount val="209"/>
                <c:pt idx="0">
                  <c:v>58.6</c:v>
                </c:pt>
                <c:pt idx="1">
                  <c:v>56.9</c:v>
                </c:pt>
                <c:pt idx="2">
                  <c:v>59.5</c:v>
                </c:pt>
                <c:pt idx="3">
                  <c:v>56.7</c:v>
                </c:pt>
                <c:pt idx="4">
                  <c:v>63.4</c:v>
                </c:pt>
                <c:pt idx="5">
                  <c:v>52.2</c:v>
                </c:pt>
                <c:pt idx="6">
                  <c:v>56.7</c:v>
                </c:pt>
                <c:pt idx="7">
                  <c:v>50.2</c:v>
                </c:pt>
                <c:pt idx="8">
                  <c:v>52.2</c:v>
                </c:pt>
                <c:pt idx="9">
                  <c:v>54.6</c:v>
                </c:pt>
                <c:pt idx="10">
                  <c:v>53.2</c:v>
                </c:pt>
                <c:pt idx="11">
                  <c:v>64.8</c:v>
                </c:pt>
                <c:pt idx="12">
                  <c:v>49.7</c:v>
                </c:pt>
                <c:pt idx="13">
                  <c:v>65.400000000000006</c:v>
                </c:pt>
                <c:pt idx="14">
                  <c:v>52.2</c:v>
                </c:pt>
                <c:pt idx="15">
                  <c:v>55.1</c:v>
                </c:pt>
                <c:pt idx="16">
                  <c:v>66.7</c:v>
                </c:pt>
                <c:pt idx="17">
                  <c:v>55.2</c:v>
                </c:pt>
                <c:pt idx="18">
                  <c:v>59</c:v>
                </c:pt>
                <c:pt idx="19">
                  <c:v>53.6</c:v>
                </c:pt>
                <c:pt idx="20">
                  <c:v>56.8</c:v>
                </c:pt>
                <c:pt idx="21">
                  <c:v>62.2</c:v>
                </c:pt>
                <c:pt idx="22">
                  <c:v>53</c:v>
                </c:pt>
                <c:pt idx="23">
                  <c:v>58.8</c:v>
                </c:pt>
                <c:pt idx="24">
                  <c:v>46.5</c:v>
                </c:pt>
                <c:pt idx="25">
                  <c:v>47.4</c:v>
                </c:pt>
                <c:pt idx="26">
                  <c:v>61.2</c:v>
                </c:pt>
                <c:pt idx="27">
                  <c:v>51.4</c:v>
                </c:pt>
                <c:pt idx="28">
                  <c:v>65.5</c:v>
                </c:pt>
                <c:pt idx="29">
                  <c:v>66.3</c:v>
                </c:pt>
                <c:pt idx="30">
                  <c:v>55.7</c:v>
                </c:pt>
                <c:pt idx="31">
                  <c:v>54.8</c:v>
                </c:pt>
                <c:pt idx="32">
                  <c:v>63.1</c:v>
                </c:pt>
                <c:pt idx="33">
                  <c:v>56.4</c:v>
                </c:pt>
                <c:pt idx="34">
                  <c:v>62.1</c:v>
                </c:pt>
                <c:pt idx="35">
                  <c:v>64.099999999999994</c:v>
                </c:pt>
                <c:pt idx="36">
                  <c:v>58.2</c:v>
                </c:pt>
                <c:pt idx="37">
                  <c:v>61.2</c:v>
                </c:pt>
                <c:pt idx="38">
                  <c:v>55.1</c:v>
                </c:pt>
                <c:pt idx="39">
                  <c:v>63.1</c:v>
                </c:pt>
                <c:pt idx="40">
                  <c:v>54.1</c:v>
                </c:pt>
                <c:pt idx="41">
                  <c:v>54.7</c:v>
                </c:pt>
                <c:pt idx="42">
                  <c:v>57.9</c:v>
                </c:pt>
                <c:pt idx="43">
                  <c:v>58</c:v>
                </c:pt>
                <c:pt idx="44">
                  <c:v>62</c:v>
                </c:pt>
                <c:pt idx="45">
                  <c:v>50.6</c:v>
                </c:pt>
                <c:pt idx="46">
                  <c:v>57</c:v>
                </c:pt>
                <c:pt idx="47">
                  <c:v>60.5</c:v>
                </c:pt>
                <c:pt idx="48">
                  <c:v>59.7</c:v>
                </c:pt>
                <c:pt idx="49">
                  <c:v>61.4</c:v>
                </c:pt>
                <c:pt idx="50">
                  <c:v>66.099999999999994</c:v>
                </c:pt>
                <c:pt idx="51">
                  <c:v>68.2</c:v>
                </c:pt>
                <c:pt idx="52">
                  <c:v>46.6</c:v>
                </c:pt>
                <c:pt idx="53">
                  <c:v>54.8</c:v>
                </c:pt>
                <c:pt idx="54">
                  <c:v>65.8</c:v>
                </c:pt>
                <c:pt idx="55">
                  <c:v>62.3</c:v>
                </c:pt>
                <c:pt idx="56">
                  <c:v>65</c:v>
                </c:pt>
                <c:pt idx="57">
                  <c:v>60.1</c:v>
                </c:pt>
                <c:pt idx="58">
                  <c:v>58.4</c:v>
                </c:pt>
                <c:pt idx="59">
                  <c:v>59.1</c:v>
                </c:pt>
                <c:pt idx="60">
                  <c:v>65.5</c:v>
                </c:pt>
                <c:pt idx="61">
                  <c:v>59.2</c:v>
                </c:pt>
                <c:pt idx="62">
                  <c:v>80.7</c:v>
                </c:pt>
                <c:pt idx="63">
                  <c:v>62</c:v>
                </c:pt>
                <c:pt idx="64">
                  <c:v>82.9</c:v>
                </c:pt>
                <c:pt idx="65">
                  <c:v>63.6</c:v>
                </c:pt>
                <c:pt idx="66">
                  <c:v>59.7</c:v>
                </c:pt>
                <c:pt idx="67">
                  <c:v>76.2</c:v>
                </c:pt>
                <c:pt idx="68">
                  <c:v>80.2</c:v>
                </c:pt>
                <c:pt idx="69">
                  <c:v>58.7</c:v>
                </c:pt>
                <c:pt idx="70">
                  <c:v>63</c:v>
                </c:pt>
                <c:pt idx="71">
                  <c:v>63.5</c:v>
                </c:pt>
                <c:pt idx="72">
                  <c:v>66.7</c:v>
                </c:pt>
                <c:pt idx="73">
                  <c:v>62.1</c:v>
                </c:pt>
                <c:pt idx="74">
                  <c:v>55.8</c:v>
                </c:pt>
                <c:pt idx="75">
                  <c:v>59.9</c:v>
                </c:pt>
                <c:pt idx="76">
                  <c:v>69.3</c:v>
                </c:pt>
                <c:pt idx="77">
                  <c:v>67.3</c:v>
                </c:pt>
                <c:pt idx="78">
                  <c:v>87.1</c:v>
                </c:pt>
                <c:pt idx="79">
                  <c:v>60.9</c:v>
                </c:pt>
                <c:pt idx="80">
                  <c:v>83.9</c:v>
                </c:pt>
                <c:pt idx="81">
                  <c:v>55.1</c:v>
                </c:pt>
                <c:pt idx="82">
                  <c:v>57.1</c:v>
                </c:pt>
                <c:pt idx="83">
                  <c:v>63.5</c:v>
                </c:pt>
                <c:pt idx="84">
                  <c:v>56.2</c:v>
                </c:pt>
                <c:pt idx="85">
                  <c:v>56.7</c:v>
                </c:pt>
                <c:pt idx="86">
                  <c:v>66.900000000000006</c:v>
                </c:pt>
                <c:pt idx="87">
                  <c:v>55.3</c:v>
                </c:pt>
                <c:pt idx="88">
                  <c:v>66</c:v>
                </c:pt>
                <c:pt idx="89">
                  <c:v>66.7</c:v>
                </c:pt>
                <c:pt idx="90">
                  <c:v>62.9</c:v>
                </c:pt>
                <c:pt idx="91">
                  <c:v>59.8</c:v>
                </c:pt>
                <c:pt idx="92">
                  <c:v>66.599999999999994</c:v>
                </c:pt>
                <c:pt idx="93">
                  <c:v>51.6</c:v>
                </c:pt>
                <c:pt idx="94">
                  <c:v>67.8</c:v>
                </c:pt>
                <c:pt idx="95">
                  <c:v>66.099999999999994</c:v>
                </c:pt>
                <c:pt idx="96">
                  <c:v>55.8</c:v>
                </c:pt>
                <c:pt idx="97">
                  <c:v>51.9</c:v>
                </c:pt>
                <c:pt idx="98">
                  <c:v>55.5</c:v>
                </c:pt>
                <c:pt idx="99">
                  <c:v>59.8</c:v>
                </c:pt>
                <c:pt idx="100">
                  <c:v>60.9</c:v>
                </c:pt>
                <c:pt idx="101">
                  <c:v>65.5</c:v>
                </c:pt>
                <c:pt idx="102">
                  <c:v>66.599999999999994</c:v>
                </c:pt>
                <c:pt idx="103">
                  <c:v>59</c:v>
                </c:pt>
                <c:pt idx="104">
                  <c:v>66.099999999999994</c:v>
                </c:pt>
                <c:pt idx="105">
                  <c:v>55.1</c:v>
                </c:pt>
                <c:pt idx="106">
                  <c:v>52.4</c:v>
                </c:pt>
                <c:pt idx="107">
                  <c:v>68.5</c:v>
                </c:pt>
                <c:pt idx="108">
                  <c:v>57.9</c:v>
                </c:pt>
                <c:pt idx="109">
                  <c:v>63.5</c:v>
                </c:pt>
                <c:pt idx="110">
                  <c:v>61.2</c:v>
                </c:pt>
                <c:pt idx="111">
                  <c:v>55.1</c:v>
                </c:pt>
                <c:pt idx="112">
                  <c:v>56.5</c:v>
                </c:pt>
                <c:pt idx="113">
                  <c:v>58.2</c:v>
                </c:pt>
                <c:pt idx="114">
                  <c:v>65.7</c:v>
                </c:pt>
                <c:pt idx="115">
                  <c:v>65.400000000000006</c:v>
                </c:pt>
                <c:pt idx="116">
                  <c:v>56</c:v>
                </c:pt>
                <c:pt idx="117">
                  <c:v>57.9</c:v>
                </c:pt>
                <c:pt idx="118">
                  <c:v>64.599999999999994</c:v>
                </c:pt>
                <c:pt idx="119">
                  <c:v>67</c:v>
                </c:pt>
                <c:pt idx="120">
                  <c:v>68.2</c:v>
                </c:pt>
                <c:pt idx="121">
                  <c:v>60.9</c:v>
                </c:pt>
                <c:pt idx="122">
                  <c:v>65.5</c:v>
                </c:pt>
                <c:pt idx="123">
                  <c:v>61.1</c:v>
                </c:pt>
                <c:pt idx="124">
                  <c:v>61.3</c:v>
                </c:pt>
                <c:pt idx="125">
                  <c:v>63.3</c:v>
                </c:pt>
                <c:pt idx="126">
                  <c:v>63.2</c:v>
                </c:pt>
                <c:pt idx="127">
                  <c:v>65.2</c:v>
                </c:pt>
                <c:pt idx="128">
                  <c:v>62.3</c:v>
                </c:pt>
                <c:pt idx="129">
                  <c:v>62.3</c:v>
                </c:pt>
                <c:pt idx="130">
                  <c:v>61.2</c:v>
                </c:pt>
                <c:pt idx="131">
                  <c:v>63.7</c:v>
                </c:pt>
                <c:pt idx="132">
                  <c:v>65.400000000000006</c:v>
                </c:pt>
                <c:pt idx="133">
                  <c:v>70</c:v>
                </c:pt>
                <c:pt idx="134">
                  <c:v>66.599999999999994</c:v>
                </c:pt>
                <c:pt idx="135">
                  <c:v>54.2</c:v>
                </c:pt>
                <c:pt idx="136">
                  <c:v>70.5</c:v>
                </c:pt>
                <c:pt idx="137">
                  <c:v>59.6</c:v>
                </c:pt>
                <c:pt idx="138">
                  <c:v>58.7</c:v>
                </c:pt>
                <c:pt idx="139">
                  <c:v>60.2</c:v>
                </c:pt>
                <c:pt idx="140">
                  <c:v>65.2</c:v>
                </c:pt>
                <c:pt idx="141">
                  <c:v>71</c:v>
                </c:pt>
                <c:pt idx="142">
                  <c:v>59.9</c:v>
                </c:pt>
                <c:pt idx="143">
                  <c:v>59.9</c:v>
                </c:pt>
                <c:pt idx="144">
                  <c:v>66.400000000000006</c:v>
                </c:pt>
                <c:pt idx="145">
                  <c:v>49.6</c:v>
                </c:pt>
                <c:pt idx="146">
                  <c:v>62.7</c:v>
                </c:pt>
                <c:pt idx="147">
                  <c:v>61.7</c:v>
                </c:pt>
                <c:pt idx="148">
                  <c:v>58.5</c:v>
                </c:pt>
                <c:pt idx="149">
                  <c:v>61.4</c:v>
                </c:pt>
                <c:pt idx="150">
                  <c:v>64.8</c:v>
                </c:pt>
                <c:pt idx="151">
                  <c:v>57.6</c:v>
                </c:pt>
                <c:pt idx="152">
                  <c:v>65.400000000000006</c:v>
                </c:pt>
                <c:pt idx="153">
                  <c:v>63.8</c:v>
                </c:pt>
                <c:pt idx="154">
                  <c:v>60.3</c:v>
                </c:pt>
                <c:pt idx="155">
                  <c:v>59</c:v>
                </c:pt>
                <c:pt idx="156">
                  <c:v>66.099999999999994</c:v>
                </c:pt>
                <c:pt idx="157">
                  <c:v>68.400000000000006</c:v>
                </c:pt>
                <c:pt idx="158">
                  <c:v>59.5</c:v>
                </c:pt>
                <c:pt idx="159">
                  <c:v>65.8</c:v>
                </c:pt>
                <c:pt idx="160">
                  <c:v>58.2</c:v>
                </c:pt>
                <c:pt idx="161">
                  <c:v>67.5</c:v>
                </c:pt>
                <c:pt idx="162">
                  <c:v>67.8</c:v>
                </c:pt>
                <c:pt idx="163">
                  <c:v>58.2</c:v>
                </c:pt>
                <c:pt idx="164">
                  <c:v>77.3</c:v>
                </c:pt>
                <c:pt idx="165">
                  <c:v>61.6</c:v>
                </c:pt>
                <c:pt idx="166">
                  <c:v>60.1</c:v>
                </c:pt>
                <c:pt idx="167">
                  <c:v>72.5</c:v>
                </c:pt>
                <c:pt idx="168">
                  <c:v>68.5</c:v>
                </c:pt>
                <c:pt idx="169">
                  <c:v>63.2</c:v>
                </c:pt>
                <c:pt idx="170">
                  <c:v>63.3</c:v>
                </c:pt>
                <c:pt idx="171">
                  <c:v>63.6</c:v>
                </c:pt>
                <c:pt idx="172">
                  <c:v>69.2</c:v>
                </c:pt>
                <c:pt idx="173">
                  <c:v>70.5</c:v>
                </c:pt>
                <c:pt idx="174">
                  <c:v>65.7</c:v>
                </c:pt>
                <c:pt idx="175">
                  <c:v>62.1</c:v>
                </c:pt>
                <c:pt idx="176">
                  <c:v>68.7</c:v>
                </c:pt>
                <c:pt idx="177">
                  <c:v>63.2</c:v>
                </c:pt>
                <c:pt idx="178">
                  <c:v>68</c:v>
                </c:pt>
                <c:pt idx="179">
                  <c:v>60</c:v>
                </c:pt>
                <c:pt idx="180">
                  <c:v>69.900000000000006</c:v>
                </c:pt>
                <c:pt idx="181">
                  <c:v>67.599999999999994</c:v>
                </c:pt>
                <c:pt idx="182">
                  <c:v>67.599999999999994</c:v>
                </c:pt>
                <c:pt idx="183">
                  <c:v>73.099999999999994</c:v>
                </c:pt>
                <c:pt idx="184">
                  <c:v>68.099999999999994</c:v>
                </c:pt>
                <c:pt idx="185">
                  <c:v>58.4</c:v>
                </c:pt>
                <c:pt idx="186">
                  <c:v>66.400000000000006</c:v>
                </c:pt>
                <c:pt idx="187">
                  <c:v>66.3</c:v>
                </c:pt>
                <c:pt idx="188">
                  <c:v>54.8</c:v>
                </c:pt>
                <c:pt idx="189">
                  <c:v>62.6</c:v>
                </c:pt>
                <c:pt idx="190">
                  <c:v>50</c:v>
                </c:pt>
                <c:pt idx="191">
                  <c:v>66.2</c:v>
                </c:pt>
                <c:pt idx="192">
                  <c:v>63.1</c:v>
                </c:pt>
                <c:pt idx="193">
                  <c:v>54.5</c:v>
                </c:pt>
                <c:pt idx="194">
                  <c:v>59</c:v>
                </c:pt>
                <c:pt idx="195">
                  <c:v>55</c:v>
                </c:pt>
                <c:pt idx="196">
                  <c:v>47.2</c:v>
                </c:pt>
                <c:pt idx="197">
                  <c:v>57.2</c:v>
                </c:pt>
                <c:pt idx="198">
                  <c:v>84.7</c:v>
                </c:pt>
                <c:pt idx="199">
                  <c:v>66.5</c:v>
                </c:pt>
                <c:pt idx="200">
                  <c:v>64.7</c:v>
                </c:pt>
                <c:pt idx="201">
                  <c:v>61.9</c:v>
                </c:pt>
                <c:pt idx="202">
                  <c:v>70.3</c:v>
                </c:pt>
                <c:pt idx="203">
                  <c:v>67.5</c:v>
                </c:pt>
                <c:pt idx="204">
                  <c:v>62.1</c:v>
                </c:pt>
                <c:pt idx="205">
                  <c:v>68.400000000000006</c:v>
                </c:pt>
                <c:pt idx="206">
                  <c:v>66.5</c:v>
                </c:pt>
                <c:pt idx="207">
                  <c:v>56.1</c:v>
                </c:pt>
                <c:pt idx="208">
                  <c:v>51.1</c:v>
                </c:pt>
              </c:numCache>
            </c:numRef>
          </c:yVal>
          <c:smooth val="0"/>
          <c:extLst>
            <c:ext xmlns:c16="http://schemas.microsoft.com/office/drawing/2014/chart" uri="{C3380CC4-5D6E-409C-BE32-E72D297353CC}">
              <c16:uniqueId val="{00000001-9A71-471C-8A54-B75EF44F6837}"/>
            </c:ext>
          </c:extLst>
        </c:ser>
        <c:dLbls>
          <c:showLegendKey val="0"/>
          <c:showVal val="0"/>
          <c:showCatName val="0"/>
          <c:showSerName val="0"/>
          <c:showPercent val="0"/>
          <c:showBubbleSize val="0"/>
        </c:dLbls>
        <c:axId val="485554192"/>
        <c:axId val="476856560"/>
      </c:scatterChart>
      <c:valAx>
        <c:axId val="4855541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CCGs by Index of Multiple Deprivation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856560"/>
        <c:crosses val="autoZero"/>
        <c:crossBetween val="midCat"/>
      </c:valAx>
      <c:valAx>
        <c:axId val="476856560"/>
        <c:scaling>
          <c:orientation val="minMax"/>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12 month seizure freedom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55419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Deprivation and leading cause of death England and Wales 2016 </a:t>
            </a:r>
          </a:p>
        </c:rich>
      </c:tx>
      <c:layout>
        <c:manualLayout>
          <c:xMode val="edge"/>
          <c:yMode val="edge"/>
          <c:x val="0.13031630170316302"/>
          <c:y val="9.5238095238095233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5599274543236845"/>
          <c:y val="0.26947493632261482"/>
          <c:w val="0.46211749078810405"/>
          <c:h val="0.67076063767891081"/>
        </c:manualLayout>
      </c:layout>
      <c:barChart>
        <c:barDir val="bar"/>
        <c:grouping val="clustered"/>
        <c:varyColors val="0"/>
        <c:ser>
          <c:idx val="0"/>
          <c:order val="0"/>
          <c:tx>
            <c:strRef>
              <c:f>'Table 3'!$C$5</c:f>
              <c:strCache>
                <c:ptCount val="1"/>
                <c:pt idx="0">
                  <c:v>1</c:v>
                </c:pt>
              </c:strCache>
            </c:strRef>
          </c:tx>
          <c:spPr>
            <a:solidFill>
              <a:schemeClr val="accent1"/>
            </a:solidFill>
            <a:ln>
              <a:noFill/>
            </a:ln>
            <a:effectLst/>
          </c:spPr>
          <c:invertIfNegative val="0"/>
          <c:cat>
            <c:strRef>
              <c:f>'Table 3'!$B$6:$B$15</c:f>
              <c:strCache>
                <c:ptCount val="10"/>
                <c:pt idx="0">
                  <c:v>Malignant neoplasm of colon, sigmoid, rectum and anus</c:v>
                </c:pt>
                <c:pt idx="1">
                  <c:v>Malignant neoplasm of trachea, bronchus and lung</c:v>
                </c:pt>
                <c:pt idx="2">
                  <c:v>Malignant neoplasm of prostate</c:v>
                </c:pt>
                <c:pt idx="3">
                  <c:v>Malignant neoplasms, stated or presumed to be primary of lymphoid, haematopoietic and related tissue</c:v>
                </c:pt>
                <c:pt idx="4">
                  <c:v>Dementia and Alzheimer disease</c:v>
                </c:pt>
                <c:pt idx="5">
                  <c:v>Ischaemic heart diseases</c:v>
                </c:pt>
                <c:pt idx="6">
                  <c:v>Cerebrovascular diseases</c:v>
                </c:pt>
                <c:pt idx="7">
                  <c:v>Influenza and pneumonia</c:v>
                </c:pt>
                <c:pt idx="8">
                  <c:v>Chronic lower respiratory diseases</c:v>
                </c:pt>
                <c:pt idx="9">
                  <c:v>Cirrhosis and other diseases of liver</c:v>
                </c:pt>
              </c:strCache>
            </c:strRef>
          </c:cat>
          <c:val>
            <c:numRef>
              <c:f>'Table 3'!$C$6:$C$15</c:f>
              <c:numCache>
                <c:formatCode>#,##0</c:formatCode>
                <c:ptCount val="10"/>
                <c:pt idx="0">
                  <c:v>693</c:v>
                </c:pt>
                <c:pt idx="1">
                  <c:v>2156</c:v>
                </c:pt>
                <c:pt idx="2">
                  <c:v>694</c:v>
                </c:pt>
                <c:pt idx="3">
                  <c:v>485</c:v>
                </c:pt>
                <c:pt idx="4">
                  <c:v>1780</c:v>
                </c:pt>
                <c:pt idx="5">
                  <c:v>3844</c:v>
                </c:pt>
                <c:pt idx="6">
                  <c:v>1214</c:v>
                </c:pt>
                <c:pt idx="7">
                  <c:v>1155</c:v>
                </c:pt>
                <c:pt idx="8">
                  <c:v>2179</c:v>
                </c:pt>
                <c:pt idx="9">
                  <c:v>900</c:v>
                </c:pt>
              </c:numCache>
            </c:numRef>
          </c:val>
          <c:extLst>
            <c:ext xmlns:c16="http://schemas.microsoft.com/office/drawing/2014/chart" uri="{C3380CC4-5D6E-409C-BE32-E72D297353CC}">
              <c16:uniqueId val="{00000000-95E2-4A30-8B34-C041C52E2DE7}"/>
            </c:ext>
          </c:extLst>
        </c:ser>
        <c:ser>
          <c:idx val="1"/>
          <c:order val="1"/>
          <c:tx>
            <c:strRef>
              <c:f>'Table 3'!$D$5</c:f>
              <c:strCache>
                <c:ptCount val="1"/>
                <c:pt idx="0">
                  <c:v>2</c:v>
                </c:pt>
              </c:strCache>
            </c:strRef>
          </c:tx>
          <c:spPr>
            <a:solidFill>
              <a:schemeClr val="accent2"/>
            </a:solidFill>
            <a:ln>
              <a:noFill/>
            </a:ln>
            <a:effectLst/>
          </c:spPr>
          <c:invertIfNegative val="0"/>
          <c:cat>
            <c:strRef>
              <c:f>'Table 3'!$B$6:$B$15</c:f>
              <c:strCache>
                <c:ptCount val="10"/>
                <c:pt idx="0">
                  <c:v>Malignant neoplasm of colon, sigmoid, rectum and anus</c:v>
                </c:pt>
                <c:pt idx="1">
                  <c:v>Malignant neoplasm of trachea, bronchus and lung</c:v>
                </c:pt>
                <c:pt idx="2">
                  <c:v>Malignant neoplasm of prostate</c:v>
                </c:pt>
                <c:pt idx="3">
                  <c:v>Malignant neoplasms, stated or presumed to be primary of lymphoid, haematopoietic and related tissue</c:v>
                </c:pt>
                <c:pt idx="4">
                  <c:v>Dementia and Alzheimer disease</c:v>
                </c:pt>
                <c:pt idx="5">
                  <c:v>Ischaemic heart diseases</c:v>
                </c:pt>
                <c:pt idx="6">
                  <c:v>Cerebrovascular diseases</c:v>
                </c:pt>
                <c:pt idx="7">
                  <c:v>Influenza and pneumonia</c:v>
                </c:pt>
                <c:pt idx="8">
                  <c:v>Chronic lower respiratory diseases</c:v>
                </c:pt>
                <c:pt idx="9">
                  <c:v>Cirrhosis and other diseases of liver</c:v>
                </c:pt>
              </c:strCache>
            </c:strRef>
          </c:cat>
          <c:val>
            <c:numRef>
              <c:f>'Table 3'!$D$6:$D$15</c:f>
              <c:numCache>
                <c:formatCode>#,##0</c:formatCode>
                <c:ptCount val="10"/>
                <c:pt idx="0">
                  <c:v>648</c:v>
                </c:pt>
                <c:pt idx="1">
                  <c:v>1797</c:v>
                </c:pt>
                <c:pt idx="2">
                  <c:v>729</c:v>
                </c:pt>
                <c:pt idx="3">
                  <c:v>485</c:v>
                </c:pt>
                <c:pt idx="4">
                  <c:v>1880</c:v>
                </c:pt>
                <c:pt idx="5">
                  <c:v>3368</c:v>
                </c:pt>
                <c:pt idx="6">
                  <c:v>1232</c:v>
                </c:pt>
                <c:pt idx="7">
                  <c:v>1109</c:v>
                </c:pt>
                <c:pt idx="8">
                  <c:v>1855</c:v>
                </c:pt>
                <c:pt idx="9">
                  <c:v>662</c:v>
                </c:pt>
              </c:numCache>
            </c:numRef>
          </c:val>
          <c:extLst>
            <c:ext xmlns:c16="http://schemas.microsoft.com/office/drawing/2014/chart" uri="{C3380CC4-5D6E-409C-BE32-E72D297353CC}">
              <c16:uniqueId val="{00000001-95E2-4A30-8B34-C041C52E2DE7}"/>
            </c:ext>
          </c:extLst>
        </c:ser>
        <c:ser>
          <c:idx val="2"/>
          <c:order val="2"/>
          <c:tx>
            <c:strRef>
              <c:f>'Table 3'!$E$5</c:f>
              <c:strCache>
                <c:ptCount val="1"/>
                <c:pt idx="0">
                  <c:v>3</c:v>
                </c:pt>
              </c:strCache>
            </c:strRef>
          </c:tx>
          <c:spPr>
            <a:solidFill>
              <a:schemeClr val="accent3"/>
            </a:solidFill>
            <a:ln>
              <a:noFill/>
            </a:ln>
            <a:effectLst/>
          </c:spPr>
          <c:invertIfNegative val="0"/>
          <c:cat>
            <c:strRef>
              <c:f>'Table 3'!$B$6:$B$15</c:f>
              <c:strCache>
                <c:ptCount val="10"/>
                <c:pt idx="0">
                  <c:v>Malignant neoplasm of colon, sigmoid, rectum and anus</c:v>
                </c:pt>
                <c:pt idx="1">
                  <c:v>Malignant neoplasm of trachea, bronchus and lung</c:v>
                </c:pt>
                <c:pt idx="2">
                  <c:v>Malignant neoplasm of prostate</c:v>
                </c:pt>
                <c:pt idx="3">
                  <c:v>Malignant neoplasms, stated or presumed to be primary of lymphoid, haematopoietic and related tissue</c:v>
                </c:pt>
                <c:pt idx="4">
                  <c:v>Dementia and Alzheimer disease</c:v>
                </c:pt>
                <c:pt idx="5">
                  <c:v>Ischaemic heart diseases</c:v>
                </c:pt>
                <c:pt idx="6">
                  <c:v>Cerebrovascular diseases</c:v>
                </c:pt>
                <c:pt idx="7">
                  <c:v>Influenza and pneumonia</c:v>
                </c:pt>
                <c:pt idx="8">
                  <c:v>Chronic lower respiratory diseases</c:v>
                </c:pt>
                <c:pt idx="9">
                  <c:v>Cirrhosis and other diseases of liver</c:v>
                </c:pt>
              </c:strCache>
            </c:strRef>
          </c:cat>
          <c:val>
            <c:numRef>
              <c:f>'Table 3'!$E$6:$E$15</c:f>
              <c:numCache>
                <c:formatCode>#,##0</c:formatCode>
                <c:ptCount val="10"/>
                <c:pt idx="0">
                  <c:v>675</c:v>
                </c:pt>
                <c:pt idx="1">
                  <c:v>1702</c:v>
                </c:pt>
                <c:pt idx="2">
                  <c:v>793</c:v>
                </c:pt>
                <c:pt idx="3">
                  <c:v>525</c:v>
                </c:pt>
                <c:pt idx="4">
                  <c:v>1905</c:v>
                </c:pt>
                <c:pt idx="5">
                  <c:v>3463</c:v>
                </c:pt>
                <c:pt idx="6">
                  <c:v>1253</c:v>
                </c:pt>
                <c:pt idx="7">
                  <c:v>1117</c:v>
                </c:pt>
                <c:pt idx="8">
                  <c:v>1687</c:v>
                </c:pt>
                <c:pt idx="9">
                  <c:v>555</c:v>
                </c:pt>
              </c:numCache>
            </c:numRef>
          </c:val>
          <c:extLst>
            <c:ext xmlns:c16="http://schemas.microsoft.com/office/drawing/2014/chart" uri="{C3380CC4-5D6E-409C-BE32-E72D297353CC}">
              <c16:uniqueId val="{00000002-95E2-4A30-8B34-C041C52E2DE7}"/>
            </c:ext>
          </c:extLst>
        </c:ser>
        <c:ser>
          <c:idx val="3"/>
          <c:order val="3"/>
          <c:tx>
            <c:strRef>
              <c:f>'Table 3'!$F$5</c:f>
              <c:strCache>
                <c:ptCount val="1"/>
                <c:pt idx="0">
                  <c:v>4</c:v>
                </c:pt>
              </c:strCache>
            </c:strRef>
          </c:tx>
          <c:spPr>
            <a:solidFill>
              <a:schemeClr val="accent4"/>
            </a:solidFill>
            <a:ln>
              <a:noFill/>
            </a:ln>
            <a:effectLst/>
          </c:spPr>
          <c:invertIfNegative val="0"/>
          <c:cat>
            <c:strRef>
              <c:f>'Table 3'!$B$6:$B$15</c:f>
              <c:strCache>
                <c:ptCount val="10"/>
                <c:pt idx="0">
                  <c:v>Malignant neoplasm of colon, sigmoid, rectum and anus</c:v>
                </c:pt>
                <c:pt idx="1">
                  <c:v>Malignant neoplasm of trachea, bronchus and lung</c:v>
                </c:pt>
                <c:pt idx="2">
                  <c:v>Malignant neoplasm of prostate</c:v>
                </c:pt>
                <c:pt idx="3">
                  <c:v>Malignant neoplasms, stated or presumed to be primary of lymphoid, haematopoietic and related tissue</c:v>
                </c:pt>
                <c:pt idx="4">
                  <c:v>Dementia and Alzheimer disease</c:v>
                </c:pt>
                <c:pt idx="5">
                  <c:v>Ischaemic heart diseases</c:v>
                </c:pt>
                <c:pt idx="6">
                  <c:v>Cerebrovascular diseases</c:v>
                </c:pt>
                <c:pt idx="7">
                  <c:v>Influenza and pneumonia</c:v>
                </c:pt>
                <c:pt idx="8">
                  <c:v>Chronic lower respiratory diseases</c:v>
                </c:pt>
                <c:pt idx="9">
                  <c:v>Cirrhosis and other diseases of liver</c:v>
                </c:pt>
              </c:strCache>
            </c:strRef>
          </c:cat>
          <c:val>
            <c:numRef>
              <c:f>'Table 3'!$F$6:$F$15</c:f>
              <c:numCache>
                <c:formatCode>#,##0</c:formatCode>
                <c:ptCount val="10"/>
                <c:pt idx="0">
                  <c:v>703</c:v>
                </c:pt>
                <c:pt idx="1">
                  <c:v>1664</c:v>
                </c:pt>
                <c:pt idx="2">
                  <c:v>939</c:v>
                </c:pt>
                <c:pt idx="3">
                  <c:v>647</c:v>
                </c:pt>
                <c:pt idx="4">
                  <c:v>1952</c:v>
                </c:pt>
                <c:pt idx="5">
                  <c:v>3425</c:v>
                </c:pt>
                <c:pt idx="6">
                  <c:v>1280</c:v>
                </c:pt>
                <c:pt idx="7">
                  <c:v>1176</c:v>
                </c:pt>
                <c:pt idx="8">
                  <c:v>1538</c:v>
                </c:pt>
                <c:pt idx="9">
                  <c:v>483</c:v>
                </c:pt>
              </c:numCache>
            </c:numRef>
          </c:val>
          <c:extLst>
            <c:ext xmlns:c16="http://schemas.microsoft.com/office/drawing/2014/chart" uri="{C3380CC4-5D6E-409C-BE32-E72D297353CC}">
              <c16:uniqueId val="{00000003-95E2-4A30-8B34-C041C52E2DE7}"/>
            </c:ext>
          </c:extLst>
        </c:ser>
        <c:ser>
          <c:idx val="4"/>
          <c:order val="4"/>
          <c:tx>
            <c:strRef>
              <c:f>'Table 3'!$G$5</c:f>
              <c:strCache>
                <c:ptCount val="1"/>
                <c:pt idx="0">
                  <c:v>5</c:v>
                </c:pt>
              </c:strCache>
            </c:strRef>
          </c:tx>
          <c:spPr>
            <a:solidFill>
              <a:schemeClr val="accent5"/>
            </a:solidFill>
            <a:ln>
              <a:noFill/>
            </a:ln>
            <a:effectLst/>
          </c:spPr>
          <c:invertIfNegative val="0"/>
          <c:cat>
            <c:strRef>
              <c:f>'Table 3'!$B$6:$B$15</c:f>
              <c:strCache>
                <c:ptCount val="10"/>
                <c:pt idx="0">
                  <c:v>Malignant neoplasm of colon, sigmoid, rectum and anus</c:v>
                </c:pt>
                <c:pt idx="1">
                  <c:v>Malignant neoplasm of trachea, bronchus and lung</c:v>
                </c:pt>
                <c:pt idx="2">
                  <c:v>Malignant neoplasm of prostate</c:v>
                </c:pt>
                <c:pt idx="3">
                  <c:v>Malignant neoplasms, stated or presumed to be primary of lymphoid, haematopoietic and related tissue</c:v>
                </c:pt>
                <c:pt idx="4">
                  <c:v>Dementia and Alzheimer disease</c:v>
                </c:pt>
                <c:pt idx="5">
                  <c:v>Ischaemic heart diseases</c:v>
                </c:pt>
                <c:pt idx="6">
                  <c:v>Cerebrovascular diseases</c:v>
                </c:pt>
                <c:pt idx="7">
                  <c:v>Influenza and pneumonia</c:v>
                </c:pt>
                <c:pt idx="8">
                  <c:v>Chronic lower respiratory diseases</c:v>
                </c:pt>
                <c:pt idx="9">
                  <c:v>Cirrhosis and other diseases of liver</c:v>
                </c:pt>
              </c:strCache>
            </c:strRef>
          </c:cat>
          <c:val>
            <c:numRef>
              <c:f>'Table 3'!$G$6:$G$15</c:f>
              <c:numCache>
                <c:formatCode>#,##0</c:formatCode>
                <c:ptCount val="10"/>
                <c:pt idx="0">
                  <c:v>767</c:v>
                </c:pt>
                <c:pt idx="1">
                  <c:v>1613</c:v>
                </c:pt>
                <c:pt idx="2">
                  <c:v>998</c:v>
                </c:pt>
                <c:pt idx="3">
                  <c:v>628</c:v>
                </c:pt>
                <c:pt idx="4">
                  <c:v>2088</c:v>
                </c:pt>
                <c:pt idx="5">
                  <c:v>3365</c:v>
                </c:pt>
                <c:pt idx="6">
                  <c:v>1355</c:v>
                </c:pt>
                <c:pt idx="7">
                  <c:v>1212</c:v>
                </c:pt>
                <c:pt idx="8">
                  <c:v>1491</c:v>
                </c:pt>
                <c:pt idx="9">
                  <c:v>432</c:v>
                </c:pt>
              </c:numCache>
            </c:numRef>
          </c:val>
          <c:extLst>
            <c:ext xmlns:c16="http://schemas.microsoft.com/office/drawing/2014/chart" uri="{C3380CC4-5D6E-409C-BE32-E72D297353CC}">
              <c16:uniqueId val="{00000004-95E2-4A30-8B34-C041C52E2DE7}"/>
            </c:ext>
          </c:extLst>
        </c:ser>
        <c:ser>
          <c:idx val="5"/>
          <c:order val="5"/>
          <c:tx>
            <c:strRef>
              <c:f>'Table 3'!$H$5</c:f>
              <c:strCache>
                <c:ptCount val="1"/>
                <c:pt idx="0">
                  <c:v>6</c:v>
                </c:pt>
              </c:strCache>
            </c:strRef>
          </c:tx>
          <c:spPr>
            <a:solidFill>
              <a:schemeClr val="accent6"/>
            </a:solidFill>
            <a:ln>
              <a:noFill/>
            </a:ln>
            <a:effectLst/>
          </c:spPr>
          <c:invertIfNegative val="0"/>
          <c:cat>
            <c:strRef>
              <c:f>'Table 3'!$B$6:$B$15</c:f>
              <c:strCache>
                <c:ptCount val="10"/>
                <c:pt idx="0">
                  <c:v>Malignant neoplasm of colon, sigmoid, rectum and anus</c:v>
                </c:pt>
                <c:pt idx="1">
                  <c:v>Malignant neoplasm of trachea, bronchus and lung</c:v>
                </c:pt>
                <c:pt idx="2">
                  <c:v>Malignant neoplasm of prostate</c:v>
                </c:pt>
                <c:pt idx="3">
                  <c:v>Malignant neoplasms, stated or presumed to be primary of lymphoid, haematopoietic and related tissue</c:v>
                </c:pt>
                <c:pt idx="4">
                  <c:v>Dementia and Alzheimer disease</c:v>
                </c:pt>
                <c:pt idx="5">
                  <c:v>Ischaemic heart diseases</c:v>
                </c:pt>
                <c:pt idx="6">
                  <c:v>Cerebrovascular diseases</c:v>
                </c:pt>
                <c:pt idx="7">
                  <c:v>Influenza and pneumonia</c:v>
                </c:pt>
                <c:pt idx="8">
                  <c:v>Chronic lower respiratory diseases</c:v>
                </c:pt>
                <c:pt idx="9">
                  <c:v>Cirrhosis and other diseases of liver</c:v>
                </c:pt>
              </c:strCache>
            </c:strRef>
          </c:cat>
          <c:val>
            <c:numRef>
              <c:f>'Table 3'!$H$6:$H$15</c:f>
              <c:numCache>
                <c:formatCode>#,##0</c:formatCode>
                <c:ptCount val="10"/>
                <c:pt idx="0">
                  <c:v>779</c:v>
                </c:pt>
                <c:pt idx="1">
                  <c:v>1549</c:v>
                </c:pt>
                <c:pt idx="2">
                  <c:v>1174</c:v>
                </c:pt>
                <c:pt idx="3">
                  <c:v>636</c:v>
                </c:pt>
                <c:pt idx="4">
                  <c:v>2220</c:v>
                </c:pt>
                <c:pt idx="5">
                  <c:v>3408</c:v>
                </c:pt>
                <c:pt idx="6">
                  <c:v>1398</c:v>
                </c:pt>
                <c:pt idx="7">
                  <c:v>1230</c:v>
                </c:pt>
                <c:pt idx="8">
                  <c:v>1405</c:v>
                </c:pt>
                <c:pt idx="9">
                  <c:v>417</c:v>
                </c:pt>
              </c:numCache>
            </c:numRef>
          </c:val>
          <c:extLst>
            <c:ext xmlns:c16="http://schemas.microsoft.com/office/drawing/2014/chart" uri="{C3380CC4-5D6E-409C-BE32-E72D297353CC}">
              <c16:uniqueId val="{00000005-95E2-4A30-8B34-C041C52E2DE7}"/>
            </c:ext>
          </c:extLst>
        </c:ser>
        <c:ser>
          <c:idx val="6"/>
          <c:order val="6"/>
          <c:tx>
            <c:strRef>
              <c:f>'Table 3'!$I$5</c:f>
              <c:strCache>
                <c:ptCount val="1"/>
                <c:pt idx="0">
                  <c:v>7</c:v>
                </c:pt>
              </c:strCache>
            </c:strRef>
          </c:tx>
          <c:spPr>
            <a:solidFill>
              <a:schemeClr val="accent1">
                <a:lumMod val="60000"/>
              </a:schemeClr>
            </a:solidFill>
            <a:ln>
              <a:noFill/>
            </a:ln>
            <a:effectLst/>
          </c:spPr>
          <c:invertIfNegative val="0"/>
          <c:cat>
            <c:strRef>
              <c:f>'Table 3'!$B$6:$B$15</c:f>
              <c:strCache>
                <c:ptCount val="10"/>
                <c:pt idx="0">
                  <c:v>Malignant neoplasm of colon, sigmoid, rectum and anus</c:v>
                </c:pt>
                <c:pt idx="1">
                  <c:v>Malignant neoplasm of trachea, bronchus and lung</c:v>
                </c:pt>
                <c:pt idx="2">
                  <c:v>Malignant neoplasm of prostate</c:v>
                </c:pt>
                <c:pt idx="3">
                  <c:v>Malignant neoplasms, stated or presumed to be primary of lymphoid, haematopoietic and related tissue</c:v>
                </c:pt>
                <c:pt idx="4">
                  <c:v>Dementia and Alzheimer disease</c:v>
                </c:pt>
                <c:pt idx="5">
                  <c:v>Ischaemic heart diseases</c:v>
                </c:pt>
                <c:pt idx="6">
                  <c:v>Cerebrovascular diseases</c:v>
                </c:pt>
                <c:pt idx="7">
                  <c:v>Influenza and pneumonia</c:v>
                </c:pt>
                <c:pt idx="8">
                  <c:v>Chronic lower respiratory diseases</c:v>
                </c:pt>
                <c:pt idx="9">
                  <c:v>Cirrhosis and other diseases of liver</c:v>
                </c:pt>
              </c:strCache>
            </c:strRef>
          </c:cat>
          <c:val>
            <c:numRef>
              <c:f>'Table 3'!$I$6:$I$15</c:f>
              <c:numCache>
                <c:formatCode>#,##0</c:formatCode>
                <c:ptCount val="10"/>
                <c:pt idx="0">
                  <c:v>823</c:v>
                </c:pt>
                <c:pt idx="1">
                  <c:v>1446</c:v>
                </c:pt>
                <c:pt idx="2">
                  <c:v>1131</c:v>
                </c:pt>
                <c:pt idx="3">
                  <c:v>722</c:v>
                </c:pt>
                <c:pt idx="4">
                  <c:v>2129</c:v>
                </c:pt>
                <c:pt idx="5">
                  <c:v>3157</c:v>
                </c:pt>
                <c:pt idx="6">
                  <c:v>1381</c:v>
                </c:pt>
                <c:pt idx="7">
                  <c:v>1184</c:v>
                </c:pt>
                <c:pt idx="8">
                  <c:v>1373</c:v>
                </c:pt>
                <c:pt idx="9">
                  <c:v>394</c:v>
                </c:pt>
              </c:numCache>
            </c:numRef>
          </c:val>
          <c:extLst>
            <c:ext xmlns:c16="http://schemas.microsoft.com/office/drawing/2014/chart" uri="{C3380CC4-5D6E-409C-BE32-E72D297353CC}">
              <c16:uniqueId val="{00000006-95E2-4A30-8B34-C041C52E2DE7}"/>
            </c:ext>
          </c:extLst>
        </c:ser>
        <c:ser>
          <c:idx val="7"/>
          <c:order val="7"/>
          <c:tx>
            <c:strRef>
              <c:f>'Table 3'!$J$5</c:f>
              <c:strCache>
                <c:ptCount val="1"/>
                <c:pt idx="0">
                  <c:v>8</c:v>
                </c:pt>
              </c:strCache>
            </c:strRef>
          </c:tx>
          <c:spPr>
            <a:solidFill>
              <a:schemeClr val="accent2">
                <a:lumMod val="60000"/>
              </a:schemeClr>
            </a:solidFill>
            <a:ln>
              <a:noFill/>
            </a:ln>
            <a:effectLst/>
          </c:spPr>
          <c:invertIfNegative val="0"/>
          <c:cat>
            <c:strRef>
              <c:f>'Table 3'!$B$6:$B$15</c:f>
              <c:strCache>
                <c:ptCount val="10"/>
                <c:pt idx="0">
                  <c:v>Malignant neoplasm of colon, sigmoid, rectum and anus</c:v>
                </c:pt>
                <c:pt idx="1">
                  <c:v>Malignant neoplasm of trachea, bronchus and lung</c:v>
                </c:pt>
                <c:pt idx="2">
                  <c:v>Malignant neoplasm of prostate</c:v>
                </c:pt>
                <c:pt idx="3">
                  <c:v>Malignant neoplasms, stated or presumed to be primary of lymphoid, haematopoietic and related tissue</c:v>
                </c:pt>
                <c:pt idx="4">
                  <c:v>Dementia and Alzheimer disease</c:v>
                </c:pt>
                <c:pt idx="5">
                  <c:v>Ischaemic heart diseases</c:v>
                </c:pt>
                <c:pt idx="6">
                  <c:v>Cerebrovascular diseases</c:v>
                </c:pt>
                <c:pt idx="7">
                  <c:v>Influenza and pneumonia</c:v>
                </c:pt>
                <c:pt idx="8">
                  <c:v>Chronic lower respiratory diseases</c:v>
                </c:pt>
                <c:pt idx="9">
                  <c:v>Cirrhosis and other diseases of liver</c:v>
                </c:pt>
              </c:strCache>
            </c:strRef>
          </c:cat>
          <c:val>
            <c:numRef>
              <c:f>'Table 3'!$J$6:$J$15</c:f>
              <c:numCache>
                <c:formatCode>#,##0</c:formatCode>
                <c:ptCount val="10"/>
                <c:pt idx="0">
                  <c:v>751</c:v>
                </c:pt>
                <c:pt idx="1">
                  <c:v>1323</c:v>
                </c:pt>
                <c:pt idx="2">
                  <c:v>1121</c:v>
                </c:pt>
                <c:pt idx="3">
                  <c:v>723</c:v>
                </c:pt>
                <c:pt idx="4">
                  <c:v>2096</c:v>
                </c:pt>
                <c:pt idx="5">
                  <c:v>3182</c:v>
                </c:pt>
                <c:pt idx="6">
                  <c:v>1362</c:v>
                </c:pt>
                <c:pt idx="7">
                  <c:v>1195</c:v>
                </c:pt>
                <c:pt idx="8">
                  <c:v>1226</c:v>
                </c:pt>
                <c:pt idx="9">
                  <c:v>335</c:v>
                </c:pt>
              </c:numCache>
            </c:numRef>
          </c:val>
          <c:extLst>
            <c:ext xmlns:c16="http://schemas.microsoft.com/office/drawing/2014/chart" uri="{C3380CC4-5D6E-409C-BE32-E72D297353CC}">
              <c16:uniqueId val="{00000007-95E2-4A30-8B34-C041C52E2DE7}"/>
            </c:ext>
          </c:extLst>
        </c:ser>
        <c:ser>
          <c:idx val="8"/>
          <c:order val="8"/>
          <c:tx>
            <c:strRef>
              <c:f>'Table 3'!$K$5</c:f>
              <c:strCache>
                <c:ptCount val="1"/>
                <c:pt idx="0">
                  <c:v>9</c:v>
                </c:pt>
              </c:strCache>
            </c:strRef>
          </c:tx>
          <c:spPr>
            <a:solidFill>
              <a:schemeClr val="accent3">
                <a:lumMod val="60000"/>
              </a:schemeClr>
            </a:solidFill>
            <a:ln>
              <a:noFill/>
            </a:ln>
            <a:effectLst/>
          </c:spPr>
          <c:invertIfNegative val="0"/>
          <c:cat>
            <c:strRef>
              <c:f>'Table 3'!$B$6:$B$15</c:f>
              <c:strCache>
                <c:ptCount val="10"/>
                <c:pt idx="0">
                  <c:v>Malignant neoplasm of colon, sigmoid, rectum and anus</c:v>
                </c:pt>
                <c:pt idx="1">
                  <c:v>Malignant neoplasm of trachea, bronchus and lung</c:v>
                </c:pt>
                <c:pt idx="2">
                  <c:v>Malignant neoplasm of prostate</c:v>
                </c:pt>
                <c:pt idx="3">
                  <c:v>Malignant neoplasms, stated or presumed to be primary of lymphoid, haematopoietic and related tissue</c:v>
                </c:pt>
                <c:pt idx="4">
                  <c:v>Dementia and Alzheimer disease</c:v>
                </c:pt>
                <c:pt idx="5">
                  <c:v>Ischaemic heart diseases</c:v>
                </c:pt>
                <c:pt idx="6">
                  <c:v>Cerebrovascular diseases</c:v>
                </c:pt>
                <c:pt idx="7">
                  <c:v>Influenza and pneumonia</c:v>
                </c:pt>
                <c:pt idx="8">
                  <c:v>Chronic lower respiratory diseases</c:v>
                </c:pt>
                <c:pt idx="9">
                  <c:v>Cirrhosis and other diseases of liver</c:v>
                </c:pt>
              </c:strCache>
            </c:strRef>
          </c:cat>
          <c:val>
            <c:numRef>
              <c:f>'Table 3'!$K$6:$K$15</c:f>
              <c:numCache>
                <c:formatCode>#,##0</c:formatCode>
                <c:ptCount val="10"/>
                <c:pt idx="0">
                  <c:v>789</c:v>
                </c:pt>
                <c:pt idx="1">
                  <c:v>1247</c:v>
                </c:pt>
                <c:pt idx="2">
                  <c:v>1127</c:v>
                </c:pt>
                <c:pt idx="3">
                  <c:v>727</c:v>
                </c:pt>
                <c:pt idx="4">
                  <c:v>2096</c:v>
                </c:pt>
                <c:pt idx="5">
                  <c:v>2984</c:v>
                </c:pt>
                <c:pt idx="6">
                  <c:v>1321</c:v>
                </c:pt>
                <c:pt idx="7">
                  <c:v>1132</c:v>
                </c:pt>
                <c:pt idx="8">
                  <c:v>1089</c:v>
                </c:pt>
                <c:pt idx="9">
                  <c:v>303</c:v>
                </c:pt>
              </c:numCache>
            </c:numRef>
          </c:val>
          <c:extLst>
            <c:ext xmlns:c16="http://schemas.microsoft.com/office/drawing/2014/chart" uri="{C3380CC4-5D6E-409C-BE32-E72D297353CC}">
              <c16:uniqueId val="{00000008-95E2-4A30-8B34-C041C52E2DE7}"/>
            </c:ext>
          </c:extLst>
        </c:ser>
        <c:ser>
          <c:idx val="9"/>
          <c:order val="9"/>
          <c:tx>
            <c:strRef>
              <c:f>'Table 3'!$L$5</c:f>
              <c:strCache>
                <c:ptCount val="1"/>
                <c:pt idx="0">
                  <c:v>10</c:v>
                </c:pt>
              </c:strCache>
            </c:strRef>
          </c:tx>
          <c:spPr>
            <a:solidFill>
              <a:schemeClr val="accent4">
                <a:lumMod val="60000"/>
              </a:schemeClr>
            </a:solidFill>
            <a:ln>
              <a:noFill/>
            </a:ln>
            <a:effectLst/>
          </c:spPr>
          <c:invertIfNegative val="0"/>
          <c:cat>
            <c:strRef>
              <c:f>'Table 3'!$B$6:$B$15</c:f>
              <c:strCache>
                <c:ptCount val="10"/>
                <c:pt idx="0">
                  <c:v>Malignant neoplasm of colon, sigmoid, rectum and anus</c:v>
                </c:pt>
                <c:pt idx="1">
                  <c:v>Malignant neoplasm of trachea, bronchus and lung</c:v>
                </c:pt>
                <c:pt idx="2">
                  <c:v>Malignant neoplasm of prostate</c:v>
                </c:pt>
                <c:pt idx="3">
                  <c:v>Malignant neoplasms, stated or presumed to be primary of lymphoid, haematopoietic and related tissue</c:v>
                </c:pt>
                <c:pt idx="4">
                  <c:v>Dementia and Alzheimer disease</c:v>
                </c:pt>
                <c:pt idx="5">
                  <c:v>Ischaemic heart diseases</c:v>
                </c:pt>
                <c:pt idx="6">
                  <c:v>Cerebrovascular diseases</c:v>
                </c:pt>
                <c:pt idx="7">
                  <c:v>Influenza and pneumonia</c:v>
                </c:pt>
                <c:pt idx="8">
                  <c:v>Chronic lower respiratory diseases</c:v>
                </c:pt>
                <c:pt idx="9">
                  <c:v>Cirrhosis and other diseases of liver</c:v>
                </c:pt>
              </c:strCache>
            </c:strRef>
          </c:cat>
          <c:val>
            <c:numRef>
              <c:f>'Table 3'!$L$6:$L$15</c:f>
              <c:numCache>
                <c:formatCode>#,##0</c:formatCode>
                <c:ptCount val="10"/>
                <c:pt idx="0">
                  <c:v>769</c:v>
                </c:pt>
                <c:pt idx="1">
                  <c:v>1117</c:v>
                </c:pt>
                <c:pt idx="2">
                  <c:v>1146</c:v>
                </c:pt>
                <c:pt idx="3">
                  <c:v>675</c:v>
                </c:pt>
                <c:pt idx="4">
                  <c:v>1839</c:v>
                </c:pt>
                <c:pt idx="5">
                  <c:v>2660</c:v>
                </c:pt>
                <c:pt idx="6">
                  <c:v>1197</c:v>
                </c:pt>
                <c:pt idx="7">
                  <c:v>1067</c:v>
                </c:pt>
                <c:pt idx="8">
                  <c:v>900</c:v>
                </c:pt>
                <c:pt idx="9">
                  <c:v>269</c:v>
                </c:pt>
              </c:numCache>
            </c:numRef>
          </c:val>
          <c:extLst>
            <c:ext xmlns:c16="http://schemas.microsoft.com/office/drawing/2014/chart" uri="{C3380CC4-5D6E-409C-BE32-E72D297353CC}">
              <c16:uniqueId val="{00000009-95E2-4A30-8B34-C041C52E2DE7}"/>
            </c:ext>
          </c:extLst>
        </c:ser>
        <c:dLbls>
          <c:showLegendKey val="0"/>
          <c:showVal val="0"/>
          <c:showCatName val="0"/>
          <c:showSerName val="0"/>
          <c:showPercent val="0"/>
          <c:showBubbleSize val="0"/>
        </c:dLbls>
        <c:gapWidth val="182"/>
        <c:axId val="421177872"/>
        <c:axId val="421173936"/>
      </c:barChart>
      <c:catAx>
        <c:axId val="421177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173936"/>
        <c:crosses val="autoZero"/>
        <c:auto val="1"/>
        <c:lblAlgn val="ctr"/>
        <c:lblOffset val="100"/>
        <c:noMultiLvlLbl val="0"/>
      </c:catAx>
      <c:valAx>
        <c:axId val="421173936"/>
        <c:scaling>
          <c:orientation val="minMax"/>
          <c:max val="40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solidFill>
              <a:schemeClr val="accent1">
                <a:alpha val="9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177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99CC4-AC6B-45DB-86B0-482AE51C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7063</Words>
  <Characters>107488</Characters>
  <Application>Microsoft Office Word</Application>
  <DocSecurity>0</DocSecurity>
  <Lines>895</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Morrish</dc:creator>
  <cp:keywords/>
  <dc:description/>
  <cp:lastModifiedBy>Hannah C_ck</cp:lastModifiedBy>
  <cp:revision>4</cp:revision>
  <cp:lastPrinted>2019-05-29T17:03:00Z</cp:lastPrinted>
  <dcterms:created xsi:type="dcterms:W3CDTF">2019-07-24T14:51:00Z</dcterms:created>
  <dcterms:modified xsi:type="dcterms:W3CDTF">2019-11-13T09:27:00Z</dcterms:modified>
</cp:coreProperties>
</file>