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4D7" w:rsidRDefault="001044D7" w:rsidP="00BD65E1">
      <w:pPr>
        <w:spacing w:after="0" w:line="360" w:lineRule="auto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Supplementary Material: C</w:t>
      </w:r>
      <w:r w:rsidRPr="00F5489B">
        <w:rPr>
          <w:rFonts w:ascii="Times New Roman" w:hAnsi="Times New Roman"/>
          <w:b/>
          <w:sz w:val="28"/>
          <w:szCs w:val="26"/>
        </w:rPr>
        <w:t>ell Senescence and Cerebral Small Vessel Disease in the Brains of Older People, Aged 80+</w:t>
      </w:r>
    </w:p>
    <w:p w:rsidR="001044D7" w:rsidRDefault="001044D7" w:rsidP="00BD65E1">
      <w:pPr>
        <w:spacing w:after="0" w:line="360" w:lineRule="auto"/>
        <w:rPr>
          <w:rFonts w:ascii="Times New Roman" w:hAnsi="Times New Roman"/>
          <w:b/>
          <w:sz w:val="28"/>
          <w:szCs w:val="26"/>
        </w:rPr>
      </w:pPr>
    </w:p>
    <w:p w:rsidR="00251CFE" w:rsidRPr="00251CFE" w:rsidRDefault="00251CFE" w:rsidP="00251CFE">
      <w:pPr>
        <w:spacing w:after="0" w:line="360" w:lineRule="auto"/>
        <w:rPr>
          <w:rFonts w:ascii="Times New Roman" w:hAnsi="Times New Roman"/>
          <w:bCs/>
          <w:sz w:val="24"/>
          <w:szCs w:val="24"/>
          <w:vertAlign w:val="superscript"/>
        </w:rPr>
      </w:pPr>
      <w:r w:rsidRPr="00251CFE">
        <w:rPr>
          <w:rFonts w:ascii="Times New Roman" w:hAnsi="Times New Roman"/>
          <w:sz w:val="24"/>
          <w:szCs w:val="24"/>
        </w:rPr>
        <w:t>Emma J Norton BSc</w:t>
      </w:r>
      <w:r w:rsidRPr="00251CFE">
        <w:rPr>
          <w:rFonts w:ascii="Times New Roman" w:hAnsi="Times New Roman"/>
          <w:sz w:val="24"/>
          <w:szCs w:val="24"/>
          <w:vertAlign w:val="superscript"/>
        </w:rPr>
        <w:t>1</w:t>
      </w:r>
      <w:r w:rsidRPr="00251CFE">
        <w:rPr>
          <w:rFonts w:ascii="Times New Roman" w:hAnsi="Times New Roman"/>
          <w:sz w:val="24"/>
          <w:szCs w:val="24"/>
        </w:rPr>
        <w:t>, Leslie R Bridges</w:t>
      </w:r>
      <w:r w:rsidRPr="00251CFE">
        <w:rPr>
          <w:rFonts w:ascii="Times New Roman" w:hAnsi="Times New Roman"/>
          <w:bCs/>
          <w:sz w:val="24"/>
          <w:szCs w:val="24"/>
        </w:rPr>
        <w:t xml:space="preserve"> MD FRCPath</w:t>
      </w:r>
      <w:r w:rsidRPr="00251CFE">
        <w:rPr>
          <w:rFonts w:ascii="Times New Roman" w:hAnsi="Times New Roman"/>
          <w:bCs/>
          <w:sz w:val="24"/>
          <w:szCs w:val="24"/>
          <w:vertAlign w:val="superscript"/>
        </w:rPr>
        <w:t>1,2</w:t>
      </w:r>
      <w:r w:rsidRPr="00251CFE">
        <w:rPr>
          <w:rFonts w:ascii="Times New Roman" w:hAnsi="Times New Roman"/>
          <w:bCs/>
          <w:sz w:val="24"/>
          <w:szCs w:val="24"/>
        </w:rPr>
        <w:t>,</w:t>
      </w:r>
      <w:r w:rsidRPr="00251CFE">
        <w:rPr>
          <w:rFonts w:ascii="Times New Roman" w:hAnsi="Times New Roman"/>
          <w:sz w:val="24"/>
          <w:szCs w:val="24"/>
        </w:rPr>
        <w:t xml:space="preserve"> Lawrence C Kenyon MD PhD</w:t>
      </w:r>
      <w:r w:rsidRPr="00251CFE">
        <w:rPr>
          <w:rFonts w:ascii="Times New Roman" w:hAnsi="Times New Roman"/>
          <w:sz w:val="24"/>
          <w:szCs w:val="24"/>
          <w:vertAlign w:val="superscript"/>
        </w:rPr>
        <w:t>3</w:t>
      </w:r>
      <w:r w:rsidRPr="00251CFE">
        <w:rPr>
          <w:rFonts w:ascii="Times New Roman" w:hAnsi="Times New Roman"/>
          <w:sz w:val="24"/>
          <w:szCs w:val="24"/>
        </w:rPr>
        <w:t xml:space="preserve">, </w:t>
      </w:r>
      <w:r w:rsidRPr="00251CFE">
        <w:rPr>
          <w:rFonts w:ascii="Times New Roman" w:hAnsi="Times New Roman"/>
          <w:bCs/>
          <w:sz w:val="24"/>
          <w:szCs w:val="24"/>
        </w:rPr>
        <w:t>Margaret M Esiri DM FRCPath</w:t>
      </w:r>
      <w:r w:rsidRPr="00251CFE">
        <w:rPr>
          <w:rFonts w:ascii="Times New Roman" w:hAnsi="Times New Roman"/>
          <w:bCs/>
          <w:sz w:val="24"/>
          <w:szCs w:val="24"/>
          <w:vertAlign w:val="superscript"/>
        </w:rPr>
        <w:t>4,5</w:t>
      </w:r>
      <w:r w:rsidRPr="00251CFE">
        <w:rPr>
          <w:rFonts w:ascii="Times New Roman" w:hAnsi="Times New Roman"/>
          <w:bCs/>
          <w:sz w:val="24"/>
          <w:szCs w:val="24"/>
        </w:rPr>
        <w:t>,</w:t>
      </w:r>
      <w:r w:rsidRPr="00251CFE">
        <w:rPr>
          <w:rFonts w:ascii="Times New Roman" w:hAnsi="Times New Roman"/>
          <w:sz w:val="24"/>
          <w:szCs w:val="24"/>
        </w:rPr>
        <w:t xml:space="preserve"> Dorothy C Bennett PhD</w:t>
      </w:r>
      <w:r w:rsidRPr="00251CFE">
        <w:rPr>
          <w:rFonts w:ascii="Times New Roman" w:hAnsi="Times New Roman"/>
          <w:sz w:val="24"/>
          <w:szCs w:val="24"/>
          <w:vertAlign w:val="superscript"/>
        </w:rPr>
        <w:t>1</w:t>
      </w:r>
      <w:r w:rsidRPr="00251CFE">
        <w:rPr>
          <w:rFonts w:ascii="Times New Roman" w:hAnsi="Times New Roman"/>
          <w:sz w:val="24"/>
          <w:szCs w:val="24"/>
        </w:rPr>
        <w:t>, Atticus H Hainsworth</w:t>
      </w:r>
      <w:r w:rsidRPr="00251CFE">
        <w:rPr>
          <w:rFonts w:ascii="Times New Roman" w:hAnsi="Times New Roman"/>
          <w:bCs/>
          <w:sz w:val="24"/>
          <w:szCs w:val="24"/>
        </w:rPr>
        <w:t xml:space="preserve"> PhD</w:t>
      </w:r>
      <w:r w:rsidRPr="00251CFE">
        <w:rPr>
          <w:rFonts w:ascii="Times New Roman" w:hAnsi="Times New Roman"/>
          <w:bCs/>
          <w:sz w:val="24"/>
          <w:szCs w:val="24"/>
          <w:vertAlign w:val="superscript"/>
        </w:rPr>
        <w:t>1,6</w:t>
      </w:r>
    </w:p>
    <w:p w:rsidR="00251CFE" w:rsidRPr="00251CFE" w:rsidRDefault="00251CFE" w:rsidP="00251CFE">
      <w:pPr>
        <w:spacing w:after="0" w:line="360" w:lineRule="auto"/>
        <w:rPr>
          <w:rFonts w:ascii="Times New Roman" w:hAnsi="Times New Roman"/>
          <w:bCs/>
          <w:vertAlign w:val="superscript"/>
        </w:rPr>
      </w:pPr>
    </w:p>
    <w:p w:rsidR="00251CFE" w:rsidRPr="00251CFE" w:rsidRDefault="00251CFE" w:rsidP="00251CFE">
      <w:pPr>
        <w:spacing w:after="0" w:line="360" w:lineRule="auto"/>
        <w:rPr>
          <w:rFonts w:ascii="Times New Roman" w:hAnsi="Times New Roman"/>
          <w:bCs/>
          <w:vertAlign w:val="superscript"/>
        </w:rPr>
      </w:pPr>
      <w:r w:rsidRPr="00251CFE">
        <w:rPr>
          <w:rFonts w:ascii="Times New Roman" w:hAnsi="Times New Roman"/>
          <w:vertAlign w:val="superscript"/>
        </w:rPr>
        <w:t>1</w:t>
      </w:r>
      <w:r w:rsidRPr="00251CFE">
        <w:rPr>
          <w:rFonts w:ascii="Times New Roman" w:hAnsi="Times New Roman"/>
        </w:rPr>
        <w:t xml:space="preserve">Molecular and Clinical Sciences Research Institute, St George’s, University of London, Cranmer Terrace, London, UK, SW17 0RE. </w:t>
      </w:r>
      <w:r w:rsidRPr="00251CFE">
        <w:rPr>
          <w:rFonts w:ascii="Times New Roman" w:hAnsi="Times New Roman"/>
          <w:vertAlign w:val="superscript"/>
        </w:rPr>
        <w:t>2</w:t>
      </w:r>
      <w:r w:rsidRPr="00251CFE">
        <w:rPr>
          <w:rFonts w:ascii="Times New Roman" w:hAnsi="Times New Roman"/>
        </w:rPr>
        <w:t xml:space="preserve">Department of Cellular Pathology, </w:t>
      </w:r>
      <w:r w:rsidRPr="00251CFE">
        <w:rPr>
          <w:rFonts w:ascii="Times New Roman" w:hAnsi="Times New Roman"/>
          <w:bCs/>
        </w:rPr>
        <w:t xml:space="preserve">St George’s University Hospitals NHS Foundation Trust, </w:t>
      </w:r>
      <w:proofErr w:type="spellStart"/>
      <w:r w:rsidRPr="00251CFE">
        <w:rPr>
          <w:rFonts w:ascii="Times New Roman" w:hAnsi="Times New Roman"/>
          <w:bCs/>
        </w:rPr>
        <w:t>Blackshaw</w:t>
      </w:r>
      <w:proofErr w:type="spellEnd"/>
      <w:r w:rsidRPr="00251CFE">
        <w:rPr>
          <w:rFonts w:ascii="Times New Roman" w:hAnsi="Times New Roman"/>
          <w:bCs/>
        </w:rPr>
        <w:t xml:space="preserve"> Road, London, UK, SW17 0QT</w:t>
      </w:r>
      <w:r w:rsidRPr="00251CFE">
        <w:rPr>
          <w:rFonts w:ascii="Times New Roman" w:hAnsi="Times New Roman"/>
        </w:rPr>
        <w:t>.</w:t>
      </w:r>
      <w:r w:rsidRPr="00251CFE">
        <w:rPr>
          <w:rFonts w:ascii="Times New Roman" w:hAnsi="Times New Roman"/>
          <w:vertAlign w:val="superscript"/>
        </w:rPr>
        <w:t xml:space="preserve"> 3</w:t>
      </w:r>
      <w:r w:rsidRPr="00251CFE">
        <w:rPr>
          <w:rFonts w:ascii="Times New Roman" w:hAnsi="Times New Roman"/>
        </w:rPr>
        <w:t>Department of Pathology, Anatomy &amp; Cell Biology,</w:t>
      </w:r>
      <w:r w:rsidRPr="00251CFE">
        <w:rPr>
          <w:rFonts w:ascii="Times New Roman" w:hAnsi="Times New Roman"/>
          <w:vertAlign w:val="superscript"/>
        </w:rPr>
        <w:t xml:space="preserve"> </w:t>
      </w:r>
      <w:r w:rsidRPr="00251CFE">
        <w:rPr>
          <w:rFonts w:ascii="Times New Roman" w:hAnsi="Times New Roman"/>
        </w:rPr>
        <w:t>Thomas Jefferson University Hospital, 132 S. 10</w:t>
      </w:r>
      <w:r w:rsidRPr="00251CFE">
        <w:rPr>
          <w:rFonts w:ascii="Times New Roman" w:hAnsi="Times New Roman"/>
          <w:vertAlign w:val="superscript"/>
        </w:rPr>
        <w:t>th</w:t>
      </w:r>
      <w:r w:rsidRPr="00251CFE">
        <w:rPr>
          <w:rFonts w:ascii="Times New Roman" w:hAnsi="Times New Roman"/>
        </w:rPr>
        <w:t xml:space="preserve"> St. Philadelphia, PA, USA, 19107. </w:t>
      </w:r>
      <w:r w:rsidRPr="00251CFE">
        <w:rPr>
          <w:rFonts w:ascii="Times New Roman" w:hAnsi="Times New Roman"/>
          <w:bCs/>
          <w:vertAlign w:val="superscript"/>
        </w:rPr>
        <w:t>4</w:t>
      </w:r>
      <w:r w:rsidRPr="00251CFE">
        <w:rPr>
          <w:rFonts w:ascii="Times New Roman" w:hAnsi="Times New Roman"/>
          <w:bCs/>
        </w:rPr>
        <w:t>Department of Neuropathology, Oxford-Radcliffe NHS Trust, Oxford, UK.</w:t>
      </w:r>
      <w:r w:rsidRPr="00251CFE">
        <w:rPr>
          <w:rFonts w:ascii="Times New Roman" w:hAnsi="Times New Roman"/>
          <w:bCs/>
          <w:vertAlign w:val="superscript"/>
        </w:rPr>
        <w:t xml:space="preserve"> 5</w:t>
      </w:r>
      <w:r w:rsidRPr="00251CFE">
        <w:rPr>
          <w:rFonts w:ascii="Times New Roman" w:hAnsi="Times New Roman"/>
          <w:bCs/>
        </w:rPr>
        <w:t>Department of Clinical Neurology, Oxford University, John Radcliffe Hospital, Oxford, UK.</w:t>
      </w:r>
      <w:r w:rsidRPr="00251CFE">
        <w:rPr>
          <w:rFonts w:ascii="Times New Roman" w:hAnsi="Times New Roman"/>
        </w:rPr>
        <w:t xml:space="preserve"> </w:t>
      </w:r>
      <w:r w:rsidRPr="00251CFE">
        <w:rPr>
          <w:rFonts w:ascii="Times New Roman" w:hAnsi="Times New Roman"/>
          <w:bCs/>
          <w:vertAlign w:val="superscript"/>
        </w:rPr>
        <w:t>6</w:t>
      </w:r>
      <w:r w:rsidRPr="00251CFE">
        <w:rPr>
          <w:rFonts w:ascii="Times New Roman" w:hAnsi="Times New Roman"/>
          <w:bCs/>
        </w:rPr>
        <w:t xml:space="preserve">Department of Neurology, St George’s University Hospitals NHS Foundation Trust, </w:t>
      </w:r>
      <w:proofErr w:type="spellStart"/>
      <w:r w:rsidRPr="00251CFE">
        <w:rPr>
          <w:rFonts w:ascii="Times New Roman" w:hAnsi="Times New Roman"/>
          <w:bCs/>
        </w:rPr>
        <w:t>Blackshaw</w:t>
      </w:r>
      <w:proofErr w:type="spellEnd"/>
      <w:r w:rsidRPr="00251CFE">
        <w:rPr>
          <w:rFonts w:ascii="Times New Roman" w:hAnsi="Times New Roman"/>
          <w:bCs/>
        </w:rPr>
        <w:t xml:space="preserve"> Road, London, UK, SW17 0QT.</w:t>
      </w:r>
      <w:r w:rsidRPr="00251CFE">
        <w:rPr>
          <w:rFonts w:ascii="Times New Roman" w:hAnsi="Times New Roman"/>
          <w:bCs/>
          <w:vertAlign w:val="superscript"/>
        </w:rPr>
        <w:t xml:space="preserve"> </w:t>
      </w:r>
    </w:p>
    <w:p w:rsidR="00251CFE" w:rsidRPr="00251CFE" w:rsidRDefault="00251CFE" w:rsidP="00251CFE">
      <w:pPr>
        <w:spacing w:after="0" w:line="360" w:lineRule="auto"/>
        <w:rPr>
          <w:rFonts w:ascii="Times New Roman" w:hAnsi="Times New Roman"/>
          <w:bCs/>
          <w:sz w:val="14"/>
          <w:vertAlign w:val="superscript"/>
        </w:rPr>
      </w:pPr>
    </w:p>
    <w:p w:rsidR="00251CFE" w:rsidRPr="00251CFE" w:rsidRDefault="00251CFE" w:rsidP="00251CFE">
      <w:pPr>
        <w:spacing w:after="0" w:line="360" w:lineRule="auto"/>
        <w:rPr>
          <w:rFonts w:ascii="Times New Roman" w:hAnsi="Times New Roman"/>
        </w:rPr>
      </w:pPr>
      <w:r w:rsidRPr="00251CFE">
        <w:rPr>
          <w:rFonts w:ascii="Times New Roman" w:hAnsi="Times New Roman"/>
          <w:b/>
        </w:rPr>
        <w:t>Correspondence:</w:t>
      </w:r>
      <w:r w:rsidRPr="00251CFE">
        <w:rPr>
          <w:rFonts w:ascii="Times New Roman" w:hAnsi="Times New Roman"/>
        </w:rPr>
        <w:t xml:space="preserve"> Dr Atticus H Hainsworth PhD, Clinical Neurosciences </w:t>
      </w:r>
      <w:proofErr w:type="spellStart"/>
      <w:r w:rsidRPr="00251CFE">
        <w:rPr>
          <w:rFonts w:ascii="Times New Roman" w:hAnsi="Times New Roman"/>
        </w:rPr>
        <w:t>Mailpoint</w:t>
      </w:r>
      <w:proofErr w:type="spellEnd"/>
      <w:r w:rsidRPr="00251CFE">
        <w:rPr>
          <w:rFonts w:ascii="Times New Roman" w:hAnsi="Times New Roman"/>
        </w:rPr>
        <w:t xml:space="preserve"> J-0B, St George’s, University of London, Cranmer Terrace, London, SW17 0RE, United Kingdom. </w:t>
      </w:r>
    </w:p>
    <w:p w:rsidR="00251CFE" w:rsidRPr="00251CFE" w:rsidRDefault="00251CFE" w:rsidP="00251CFE">
      <w:pPr>
        <w:spacing w:after="0" w:line="360" w:lineRule="auto"/>
        <w:rPr>
          <w:rFonts w:ascii="Times New Roman" w:hAnsi="Times New Roman"/>
        </w:rPr>
      </w:pPr>
      <w:r w:rsidRPr="00251CFE">
        <w:rPr>
          <w:rFonts w:ascii="Times New Roman" w:hAnsi="Times New Roman"/>
        </w:rPr>
        <w:t>Tel: +44 208 725 5586</w:t>
      </w:r>
      <w:r w:rsidRPr="00251CFE">
        <w:rPr>
          <w:rFonts w:ascii="Times New Roman" w:hAnsi="Times New Roman"/>
        </w:rPr>
        <w:tab/>
        <w:t xml:space="preserve">Fax: +44 208 725 2950        email: </w:t>
      </w:r>
      <w:hyperlink r:id="rId7" w:history="1">
        <w:r w:rsidRPr="00251CFE">
          <w:rPr>
            <w:rFonts w:ascii="Times New Roman" w:hAnsi="Times New Roman"/>
            <w:color w:val="0000FF"/>
            <w:u w:val="single"/>
          </w:rPr>
          <w:t>ahainsworth@sgul.ac.uk</w:t>
        </w:r>
      </w:hyperlink>
      <w:r w:rsidRPr="00251CFE">
        <w:rPr>
          <w:rFonts w:ascii="Times New Roman" w:hAnsi="Times New Roman"/>
          <w:u w:val="single"/>
        </w:rPr>
        <w:t xml:space="preserve"> </w:t>
      </w:r>
    </w:p>
    <w:p w:rsidR="00251CFE" w:rsidRDefault="00251CFE" w:rsidP="00BD65E1">
      <w:pPr>
        <w:spacing w:after="0" w:line="360" w:lineRule="auto"/>
        <w:rPr>
          <w:rFonts w:ascii="Times New Roman" w:hAnsi="Times New Roman"/>
          <w:b/>
          <w:sz w:val="28"/>
          <w:szCs w:val="26"/>
        </w:rPr>
      </w:pPr>
    </w:p>
    <w:p w:rsidR="00251CFE" w:rsidRDefault="00251CFE" w:rsidP="00BD65E1">
      <w:pPr>
        <w:spacing w:after="0" w:line="360" w:lineRule="auto"/>
        <w:rPr>
          <w:rFonts w:ascii="Times New Roman" w:hAnsi="Times New Roman"/>
          <w:b/>
          <w:sz w:val="28"/>
          <w:szCs w:val="26"/>
        </w:rPr>
      </w:pPr>
    </w:p>
    <w:p w:rsidR="00251CFE" w:rsidRPr="00F5489B" w:rsidRDefault="00251CFE" w:rsidP="00BD65E1">
      <w:pPr>
        <w:spacing w:after="0" w:line="360" w:lineRule="auto"/>
        <w:rPr>
          <w:rFonts w:ascii="Times New Roman" w:hAnsi="Times New Roman"/>
          <w:b/>
          <w:sz w:val="28"/>
          <w:szCs w:val="26"/>
        </w:rPr>
      </w:pPr>
    </w:p>
    <w:p w:rsidR="00251CFE" w:rsidRDefault="00251CF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D65E1" w:rsidRDefault="00BD65E1" w:rsidP="00BD65E1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Morphometric Protocol: </w:t>
      </w:r>
      <w:r w:rsidR="00931948">
        <w:rPr>
          <w:rFonts w:ascii="Times New Roman" w:hAnsi="Times New Roman"/>
          <w:b/>
          <w:sz w:val="24"/>
          <w:szCs w:val="24"/>
        </w:rPr>
        <w:t>percentage of SAHF-positive nuclei nuclear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31948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nclusion </w:t>
      </w:r>
      <w:r w:rsidR="00931948"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b/>
          <w:sz w:val="24"/>
          <w:szCs w:val="24"/>
        </w:rPr>
        <w:t xml:space="preserve">riteria </w:t>
      </w:r>
    </w:p>
    <w:p w:rsidR="00BD65E1" w:rsidRPr="00BD65E1" w:rsidRDefault="00BD65E1" w:rsidP="00BD65E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calculate the percentage of SAHF-positive nuclei, n</w:t>
      </w:r>
      <w:r w:rsidRPr="00BD65E1">
        <w:rPr>
          <w:rFonts w:ascii="Times New Roman" w:hAnsi="Times New Roman"/>
          <w:sz w:val="24"/>
          <w:szCs w:val="24"/>
        </w:rPr>
        <w:t xml:space="preserve">uclear counts were conducted for the nuclei visible within the vessel wall visible after staining with anti-H3K9me3. </w:t>
      </w:r>
      <w:r>
        <w:rPr>
          <w:rFonts w:ascii="Times New Roman" w:hAnsi="Times New Roman"/>
          <w:sz w:val="24"/>
          <w:szCs w:val="24"/>
        </w:rPr>
        <w:t>From this, a percentage of SAHF-positive</w:t>
      </w:r>
      <w:r w:rsidRPr="00BD65E1">
        <w:rPr>
          <w:rFonts w:ascii="Times New Roman" w:hAnsi="Times New Roman"/>
          <w:sz w:val="24"/>
          <w:szCs w:val="24"/>
        </w:rPr>
        <w:t xml:space="preserve"> to total observed nuclei was calculated for each vessel.</w:t>
      </w:r>
    </w:p>
    <w:p w:rsidR="00BD65E1" w:rsidRPr="00BD65E1" w:rsidRDefault="00BD65E1" w:rsidP="00BD65E1">
      <w:pPr>
        <w:spacing w:line="360" w:lineRule="auto"/>
        <w:rPr>
          <w:rFonts w:ascii="Times New Roman" w:hAnsi="Times New Roman"/>
          <w:sz w:val="24"/>
          <w:szCs w:val="24"/>
        </w:rPr>
      </w:pPr>
      <w:r w:rsidRPr="00BD65E1">
        <w:rPr>
          <w:rFonts w:ascii="Times New Roman" w:hAnsi="Times New Roman"/>
          <w:i/>
          <w:sz w:val="24"/>
          <w:szCs w:val="24"/>
        </w:rPr>
        <w:t>Criteria for “SAHF-positive”:</w:t>
      </w:r>
      <w:r w:rsidRPr="00BD65E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Pr="00BD65E1">
        <w:rPr>
          <w:rFonts w:ascii="Times New Roman" w:hAnsi="Times New Roman"/>
          <w:sz w:val="24"/>
          <w:szCs w:val="24"/>
        </w:rPr>
        <w:t>onfident identification of punctate dots or “stipples” across the whole nucleus. This is based on the documented appearance of SAHFs: 30-50 distinct, dense foci distinguishable from chromatin in non-senescent cells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D65E1" w:rsidRPr="00BD65E1" w:rsidRDefault="00BD65E1" w:rsidP="00BD65E1">
      <w:pPr>
        <w:spacing w:line="360" w:lineRule="auto"/>
        <w:rPr>
          <w:rFonts w:ascii="Times New Roman" w:hAnsi="Times New Roman"/>
          <w:sz w:val="24"/>
          <w:szCs w:val="24"/>
        </w:rPr>
      </w:pPr>
      <w:r w:rsidRPr="00BD65E1">
        <w:rPr>
          <w:rFonts w:ascii="Times New Roman" w:hAnsi="Times New Roman"/>
          <w:i/>
          <w:sz w:val="24"/>
          <w:szCs w:val="24"/>
        </w:rPr>
        <w:t>Criteria for non-senescent:</w:t>
      </w:r>
      <w:r w:rsidRPr="00BD65E1">
        <w:rPr>
          <w:rFonts w:ascii="Times New Roman" w:hAnsi="Times New Roman"/>
          <w:sz w:val="24"/>
          <w:szCs w:val="24"/>
        </w:rPr>
        <w:t xml:space="preserve"> distinct stipples not seen within the nucleus; uniform dark staining across the whole nucleus or staining exclusively around the nuclear membrane</w:t>
      </w:r>
      <w:r>
        <w:rPr>
          <w:rFonts w:ascii="Times New Roman" w:hAnsi="Times New Roman"/>
          <w:sz w:val="24"/>
          <w:szCs w:val="24"/>
        </w:rPr>
        <w:t>.</w:t>
      </w:r>
    </w:p>
    <w:p w:rsidR="00931948" w:rsidRPr="0051270B" w:rsidRDefault="00BD65E1" w:rsidP="00BD65E1">
      <w:pPr>
        <w:spacing w:line="360" w:lineRule="auto"/>
        <w:rPr>
          <w:rFonts w:ascii="Times New Roman" w:hAnsi="Times New Roman"/>
          <w:sz w:val="24"/>
          <w:szCs w:val="24"/>
        </w:rPr>
      </w:pPr>
      <w:r w:rsidRPr="00BD65E1">
        <w:rPr>
          <w:rFonts w:ascii="Times New Roman" w:hAnsi="Times New Roman"/>
          <w:i/>
          <w:sz w:val="24"/>
          <w:szCs w:val="24"/>
        </w:rPr>
        <w:t>Criteria for exclusion</w:t>
      </w:r>
      <w:r w:rsidRPr="00BD65E1">
        <w:rPr>
          <w:rFonts w:ascii="Times New Roman" w:hAnsi="Times New Roman"/>
          <w:sz w:val="24"/>
          <w:szCs w:val="24"/>
        </w:rPr>
        <w:t>: nuclei of endothelial cells (judged by shape and position within the vessel wall</w:t>
      </w:r>
      <w:r>
        <w:rPr>
          <w:rFonts w:ascii="Times New Roman" w:hAnsi="Times New Roman"/>
          <w:sz w:val="24"/>
          <w:szCs w:val="24"/>
        </w:rPr>
        <w:t>, Figure S1</w:t>
      </w:r>
      <w:r w:rsidRPr="00BD65E1">
        <w:rPr>
          <w:rFonts w:ascii="Times New Roman" w:hAnsi="Times New Roman"/>
          <w:sz w:val="24"/>
          <w:szCs w:val="24"/>
        </w:rPr>
        <w:t>), those obviously within the lumen of the vessel or outside the vessel wall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1270B" w:rsidRPr="0051270B" w:rsidRDefault="0051270B" w:rsidP="0051270B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51270B">
        <w:rPr>
          <w:rFonts w:ascii="Times New Roman" w:hAnsi="Times New Roman"/>
          <w:b/>
          <w:sz w:val="24"/>
          <w:szCs w:val="24"/>
        </w:rPr>
        <w:t xml:space="preserve">Figure S1 Immunohistochemistry of Endothelial Cells in Cerebral Small Arteries </w:t>
      </w:r>
    </w:p>
    <w:p w:rsidR="00935F6C" w:rsidRDefault="001044D7" w:rsidP="00BD65E1">
      <w:pPr>
        <w:spacing w:line="360" w:lineRule="auto"/>
      </w:pPr>
      <w:r w:rsidRPr="001044D7">
        <w:rPr>
          <w:noProof/>
          <w:lang w:eastAsia="en-GB"/>
        </w:rPr>
        <w:drawing>
          <wp:inline distT="0" distB="0" distL="0" distR="0">
            <wp:extent cx="5731510" cy="1510421"/>
            <wp:effectExtent l="0" t="0" r="2540" b="0"/>
            <wp:docPr id="1" name="Picture 1" descr="C:\Users\m1401333\AppData\Local\Temp\K9H3 CD34 SMA 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1401333\AppData\Local\Temp\K9H3 CD34 SMA F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FE" w:rsidRDefault="00251CFE" w:rsidP="00BD65E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Example of immunolabelling of small arteries in neighbouring sections with an endothelial-specific marker (CD34, panel A) or a myocyte-specific marker (SMA, panel B) or the senescence marker H3K9me3 (panel C). </w:t>
      </w:r>
      <w:r w:rsidR="005D6BD7">
        <w:rPr>
          <w:rFonts w:ascii="Times New Roman" w:hAnsi="Times New Roman"/>
          <w:sz w:val="24"/>
          <w:szCs w:val="24"/>
        </w:rPr>
        <w:t xml:space="preserve">Immunolabelling is visualised by DAB chromogen (brown in A, B, black in C). </w:t>
      </w:r>
      <w:r>
        <w:rPr>
          <w:rFonts w:ascii="Times New Roman" w:hAnsi="Times New Roman"/>
          <w:sz w:val="24"/>
          <w:szCs w:val="24"/>
        </w:rPr>
        <w:t xml:space="preserve">Panels A and B are counterstained with the chromatin stain </w:t>
      </w:r>
      <w:proofErr w:type="spellStart"/>
      <w:r>
        <w:rPr>
          <w:rFonts w:ascii="Times New Roman" w:hAnsi="Times New Roman"/>
          <w:sz w:val="24"/>
          <w:szCs w:val="24"/>
        </w:rPr>
        <w:t>hematoxylin</w:t>
      </w:r>
      <w:proofErr w:type="spellEnd"/>
      <w:r>
        <w:rPr>
          <w:rFonts w:ascii="Times New Roman" w:hAnsi="Times New Roman"/>
          <w:sz w:val="24"/>
          <w:szCs w:val="24"/>
        </w:rPr>
        <w:t xml:space="preserve">, while C is counterstained with the cytoplasmic stain Light Green. In panel A, endothelia </w:t>
      </w:r>
      <w:r w:rsidR="005D6BD7">
        <w:rPr>
          <w:rFonts w:ascii="Times New Roman" w:hAnsi="Times New Roman"/>
          <w:sz w:val="24"/>
          <w:szCs w:val="24"/>
        </w:rPr>
        <w:t xml:space="preserve">lining the vessel lumen </w:t>
      </w:r>
      <w:r>
        <w:rPr>
          <w:rFonts w:ascii="Times New Roman" w:hAnsi="Times New Roman"/>
          <w:sz w:val="24"/>
          <w:szCs w:val="24"/>
        </w:rPr>
        <w:t xml:space="preserve">are clearly immunolabelled </w:t>
      </w:r>
      <w:r w:rsidR="005D6BD7">
        <w:rPr>
          <w:rFonts w:ascii="Times New Roman" w:hAnsi="Times New Roman"/>
          <w:sz w:val="24"/>
          <w:szCs w:val="24"/>
        </w:rPr>
        <w:t xml:space="preserve">while myocytes (arrowheads) are negative. In B, endothelial cells (arrows) are negative. In C, examples of nuclei assumed to be endothelia are marked (arrows). </w:t>
      </w:r>
      <w:r>
        <w:rPr>
          <w:rFonts w:ascii="Times New Roman" w:hAnsi="Times New Roman"/>
          <w:sz w:val="24"/>
          <w:szCs w:val="24"/>
        </w:rPr>
        <w:t>Scale bars 20 µm.</w:t>
      </w:r>
    </w:p>
    <w:p w:rsidR="00251CFE" w:rsidRDefault="00251CFE" w:rsidP="0093194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270B" w:rsidRDefault="0051270B" w:rsidP="0093194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E30CC6" w:rsidRDefault="00E30CC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31948" w:rsidRDefault="00931948" w:rsidP="00931948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Morphometric Protocol: calculation of the area fraction of SAHF-positive nuclei (AF%)</w:t>
      </w:r>
    </w:p>
    <w:p w:rsidR="00481ABF" w:rsidRDefault="00A856AC" w:rsidP="00481AB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area fraction of SAHF-positive nuclei within the vessel wall (AF%) was calculated using the software ImageJ </w:t>
      </w:r>
      <w:r w:rsidRPr="00931948">
        <w:rPr>
          <w:rFonts w:ascii="Times New Roman" w:hAnsi="Times New Roman"/>
          <w:sz w:val="24"/>
          <w:szCs w:val="24"/>
        </w:rPr>
        <w:t>(available in the public domain)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31948">
        <w:rPr>
          <w:rFonts w:ascii="Times New Roman" w:hAnsi="Times New Roman"/>
          <w:sz w:val="24"/>
          <w:szCs w:val="24"/>
        </w:rPr>
        <w:t>First, a colour deconvolution macro (Methyl Green DAB) was used to separate the green, brown and red components of the photogra</w:t>
      </w:r>
      <w:r>
        <w:rPr>
          <w:rFonts w:ascii="Times New Roman" w:hAnsi="Times New Roman"/>
          <w:sz w:val="24"/>
          <w:szCs w:val="24"/>
        </w:rPr>
        <w:t>ph into three separate images (F</w:t>
      </w:r>
      <w:r w:rsidRPr="00931948">
        <w:rPr>
          <w:rFonts w:ascii="Times New Roman" w:hAnsi="Times New Roman"/>
          <w:sz w:val="24"/>
          <w:szCs w:val="24"/>
        </w:rPr>
        <w:t xml:space="preserve">igure </w:t>
      </w:r>
      <w:r>
        <w:rPr>
          <w:rFonts w:ascii="Times New Roman" w:hAnsi="Times New Roman"/>
          <w:sz w:val="24"/>
          <w:szCs w:val="24"/>
        </w:rPr>
        <w:t>S2</w:t>
      </w:r>
      <w:r w:rsidRPr="00931948">
        <w:rPr>
          <w:rFonts w:ascii="Times New Roman" w:hAnsi="Times New Roman"/>
          <w:sz w:val="24"/>
          <w:szCs w:val="24"/>
        </w:rPr>
        <w:t xml:space="preserve">A-D). Using the brown image, a threshold (Maximum Entropy) was applied to select only the nuclei (figure </w:t>
      </w:r>
      <w:r>
        <w:rPr>
          <w:rFonts w:ascii="Times New Roman" w:hAnsi="Times New Roman"/>
          <w:sz w:val="24"/>
          <w:szCs w:val="24"/>
        </w:rPr>
        <w:t>S2</w:t>
      </w:r>
      <w:r w:rsidRPr="00931948">
        <w:rPr>
          <w:rFonts w:ascii="Times New Roman" w:hAnsi="Times New Roman"/>
          <w:sz w:val="24"/>
          <w:szCs w:val="24"/>
        </w:rPr>
        <w:t>E). The freeform tool allowed the outer circumference of the vessel</w:t>
      </w:r>
      <w:r>
        <w:rPr>
          <w:rFonts w:ascii="Times New Roman" w:hAnsi="Times New Roman"/>
          <w:sz w:val="24"/>
          <w:szCs w:val="24"/>
        </w:rPr>
        <w:t xml:space="preserve"> to be traced (figure S2</w:t>
      </w:r>
      <w:r w:rsidRPr="00931948">
        <w:rPr>
          <w:rFonts w:ascii="Times New Roman" w:hAnsi="Times New Roman"/>
          <w:sz w:val="24"/>
          <w:szCs w:val="24"/>
        </w:rPr>
        <w:t>F). Within this, of the areas selected by the threshold, areas between 1-500 square pixels were analysed and a</w:t>
      </w:r>
      <w:r>
        <w:rPr>
          <w:rFonts w:ascii="Times New Roman" w:hAnsi="Times New Roman"/>
          <w:sz w:val="24"/>
          <w:szCs w:val="24"/>
        </w:rPr>
        <w:t xml:space="preserve"> percentage area taken (figure S2</w:t>
      </w:r>
      <w:r w:rsidRPr="00931948">
        <w:rPr>
          <w:rFonts w:ascii="Times New Roman" w:hAnsi="Times New Roman"/>
          <w:sz w:val="24"/>
          <w:szCs w:val="24"/>
        </w:rPr>
        <w:t>G). The size restriction excluded uniformly dark, non-senescent appearing nuclei. This allowed the calculated value to represent the area fraction of the vessel wall containing SA</w:t>
      </w:r>
      <w:r>
        <w:rPr>
          <w:rFonts w:ascii="Times New Roman" w:hAnsi="Times New Roman"/>
          <w:sz w:val="24"/>
          <w:szCs w:val="24"/>
        </w:rPr>
        <w:t xml:space="preserve">HF-positive, stippled nuclei.  </w:t>
      </w:r>
      <w:r w:rsidRPr="00931948">
        <w:rPr>
          <w:rFonts w:ascii="Times New Roman" w:hAnsi="Times New Roman"/>
          <w:sz w:val="24"/>
          <w:szCs w:val="24"/>
        </w:rPr>
        <w:t>The computer-generated results were evaluated to assess for outliers,</w:t>
      </w:r>
      <w:r>
        <w:rPr>
          <w:rFonts w:ascii="Times New Roman" w:hAnsi="Times New Roman"/>
          <w:sz w:val="24"/>
          <w:szCs w:val="24"/>
        </w:rPr>
        <w:t xml:space="preserve"> for example caused by histology</w:t>
      </w:r>
      <w:r w:rsidRPr="00931948">
        <w:rPr>
          <w:rFonts w:ascii="Times New Roman" w:hAnsi="Times New Roman"/>
          <w:sz w:val="24"/>
          <w:szCs w:val="24"/>
        </w:rPr>
        <w:t xml:space="preserve"> or image artefact.</w:t>
      </w:r>
    </w:p>
    <w:p w:rsidR="00481ABF" w:rsidRDefault="00334F57" w:rsidP="0093194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267221">
        <w:rPr>
          <w:rFonts w:ascii="Times New Roman" w:hAnsi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/>
          <w:b/>
          <w:sz w:val="24"/>
          <w:szCs w:val="24"/>
        </w:rPr>
        <w:t>S2</w:t>
      </w:r>
      <w:r w:rsidRPr="00267221">
        <w:rPr>
          <w:rFonts w:ascii="Times New Roman" w:hAnsi="Times New Roman"/>
          <w:b/>
          <w:sz w:val="24"/>
          <w:szCs w:val="24"/>
        </w:rPr>
        <w:t xml:space="preserve"> </w:t>
      </w:r>
      <w:r w:rsidRPr="00334F57">
        <w:rPr>
          <w:rFonts w:ascii="Times New Roman" w:hAnsi="Times New Roman"/>
          <w:b/>
          <w:sz w:val="24"/>
          <w:szCs w:val="24"/>
        </w:rPr>
        <w:t xml:space="preserve">Schematic of </w:t>
      </w:r>
      <w:r>
        <w:rPr>
          <w:rFonts w:ascii="Times New Roman" w:hAnsi="Times New Roman"/>
          <w:b/>
          <w:sz w:val="24"/>
          <w:szCs w:val="24"/>
        </w:rPr>
        <w:t xml:space="preserve">methodology used to </w:t>
      </w:r>
      <w:r w:rsidR="003E40B4">
        <w:rPr>
          <w:rFonts w:ascii="Times New Roman" w:hAnsi="Times New Roman"/>
          <w:b/>
          <w:sz w:val="24"/>
          <w:szCs w:val="24"/>
        </w:rPr>
        <w:t>calculate</w:t>
      </w:r>
      <w:r>
        <w:rPr>
          <w:rFonts w:ascii="Times New Roman" w:hAnsi="Times New Roman"/>
          <w:b/>
          <w:sz w:val="24"/>
          <w:szCs w:val="24"/>
        </w:rPr>
        <w:t xml:space="preserve"> the </w:t>
      </w:r>
      <w:r w:rsidR="003E40B4">
        <w:rPr>
          <w:rFonts w:ascii="Times New Roman" w:hAnsi="Times New Roman"/>
          <w:b/>
          <w:sz w:val="24"/>
          <w:szCs w:val="24"/>
        </w:rPr>
        <w:t xml:space="preserve">SAHF-positive </w:t>
      </w:r>
      <w:r>
        <w:rPr>
          <w:rFonts w:ascii="Times New Roman" w:hAnsi="Times New Roman"/>
          <w:b/>
          <w:sz w:val="24"/>
          <w:szCs w:val="24"/>
        </w:rPr>
        <w:t>area fraction</w:t>
      </w:r>
      <w:r w:rsidR="003E40B4">
        <w:rPr>
          <w:rFonts w:ascii="Times New Roman" w:hAnsi="Times New Roman"/>
          <w:b/>
          <w:sz w:val="24"/>
          <w:szCs w:val="24"/>
        </w:rPr>
        <w:t>.</w:t>
      </w:r>
      <w:r w:rsidR="00931948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08650" cy="57086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54" cy="57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BF" w:rsidRPr="00481ABF" w:rsidRDefault="00481ABF" w:rsidP="00481ABF">
      <w:pPr>
        <w:spacing w:line="360" w:lineRule="auto"/>
        <w:rPr>
          <w:rFonts w:ascii="Times New Roman" w:hAnsi="Times New Roman"/>
          <w:sz w:val="24"/>
          <w:szCs w:val="24"/>
        </w:rPr>
      </w:pPr>
      <w:r w:rsidRPr="00481AB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</w:t>
      </w:r>
      <w:r w:rsidRPr="00481ABF">
        <w:rPr>
          <w:rFonts w:ascii="Times New Roman" w:hAnsi="Times New Roman"/>
          <w:sz w:val="24"/>
          <w:szCs w:val="24"/>
        </w:rPr>
        <w:t>) Photograph imported into ImageJ (</w:t>
      </w:r>
      <w:r>
        <w:rPr>
          <w:rFonts w:ascii="Times New Roman" w:hAnsi="Times New Roman"/>
          <w:sz w:val="24"/>
          <w:szCs w:val="24"/>
        </w:rPr>
        <w:t>from a non-</w:t>
      </w:r>
      <w:proofErr w:type="spellStart"/>
      <w:r>
        <w:rPr>
          <w:rFonts w:ascii="Times New Roman" w:hAnsi="Times New Roman"/>
          <w:sz w:val="24"/>
          <w:szCs w:val="24"/>
        </w:rPr>
        <w:t>cSVD</w:t>
      </w:r>
      <w:proofErr w:type="spellEnd"/>
      <w:r>
        <w:rPr>
          <w:rFonts w:ascii="Times New Roman" w:hAnsi="Times New Roman"/>
          <w:sz w:val="24"/>
          <w:szCs w:val="24"/>
        </w:rPr>
        <w:t xml:space="preserve"> case</w:t>
      </w:r>
      <w:r w:rsidRPr="00481ABF">
        <w:rPr>
          <w:rFonts w:ascii="Times New Roman" w:hAnsi="Times New Roman"/>
          <w:sz w:val="24"/>
          <w:szCs w:val="24"/>
        </w:rPr>
        <w:t>, 84-year-old male)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1AB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B</w:t>
      </w:r>
      <w:r w:rsidRPr="00481ABF">
        <w:rPr>
          <w:rFonts w:ascii="Times New Roman" w:hAnsi="Times New Roman"/>
          <w:sz w:val="24"/>
          <w:szCs w:val="24"/>
        </w:rPr>
        <w:t>) Colour 1 image (green), created using colour deconvolution macro</w:t>
      </w:r>
      <w:r>
        <w:rPr>
          <w:rFonts w:ascii="Times New Roman" w:hAnsi="Times New Roman"/>
          <w:sz w:val="24"/>
          <w:szCs w:val="24"/>
        </w:rPr>
        <w:t>. (C</w:t>
      </w:r>
      <w:r w:rsidRPr="00481ABF">
        <w:rPr>
          <w:rFonts w:ascii="Times New Roman" w:hAnsi="Times New Roman"/>
          <w:sz w:val="24"/>
          <w:szCs w:val="24"/>
        </w:rPr>
        <w:t>) Colour 2 image (brown), created using colour deconvolution macro - used in subsequent analysis</w:t>
      </w:r>
      <w:proofErr w:type="gramStart"/>
      <w:r>
        <w:rPr>
          <w:rFonts w:ascii="Times New Roman" w:hAnsi="Times New Roman"/>
          <w:sz w:val="24"/>
          <w:szCs w:val="24"/>
        </w:rPr>
        <w:t xml:space="preserve">. </w:t>
      </w:r>
      <w:proofErr w:type="gramEnd"/>
      <w:r>
        <w:rPr>
          <w:rFonts w:ascii="Times New Roman" w:hAnsi="Times New Roman"/>
          <w:sz w:val="24"/>
          <w:szCs w:val="24"/>
        </w:rPr>
        <w:t>(D</w:t>
      </w:r>
      <w:r w:rsidRPr="00481ABF">
        <w:rPr>
          <w:rFonts w:ascii="Times New Roman" w:hAnsi="Times New Roman"/>
          <w:sz w:val="24"/>
          <w:szCs w:val="24"/>
        </w:rPr>
        <w:t>) Colour 3 image (red), created using colour deconvolution macro</w:t>
      </w:r>
      <w:r>
        <w:rPr>
          <w:rFonts w:ascii="Times New Roman" w:hAnsi="Times New Roman"/>
          <w:sz w:val="24"/>
          <w:szCs w:val="24"/>
        </w:rPr>
        <w:t>.</w:t>
      </w:r>
    </w:p>
    <w:p w:rsidR="00481ABF" w:rsidRDefault="00481ABF" w:rsidP="0093194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81ABF" w:rsidRDefault="00481ABF" w:rsidP="0093194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1948" w:rsidRPr="00931948" w:rsidRDefault="00931948" w:rsidP="0093194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676900" cy="55633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60" cy="55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57" w:rsidRPr="00334F57" w:rsidRDefault="00481ABF" w:rsidP="00334F5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S2 continued.  </w:t>
      </w:r>
      <w:r w:rsidR="00334F5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E</w:t>
      </w:r>
      <w:r w:rsidR="00334F57">
        <w:rPr>
          <w:rFonts w:ascii="Times New Roman" w:hAnsi="Times New Roman"/>
          <w:sz w:val="24"/>
          <w:szCs w:val="24"/>
        </w:rPr>
        <w:t>)</w:t>
      </w:r>
      <w:r w:rsidR="00334F57" w:rsidRPr="00334F57">
        <w:rPr>
          <w:rFonts w:ascii="Times New Roman" w:hAnsi="Times New Roman"/>
          <w:sz w:val="24"/>
          <w:szCs w:val="24"/>
        </w:rPr>
        <w:t xml:space="preserve"> Photograph after application of Maximum Entropy threshold to select nuclei</w:t>
      </w:r>
      <w:r>
        <w:rPr>
          <w:rFonts w:ascii="Times New Roman" w:hAnsi="Times New Roman"/>
          <w:sz w:val="24"/>
          <w:szCs w:val="24"/>
        </w:rPr>
        <w:t xml:space="preserve">. </w:t>
      </w:r>
      <w:r w:rsidR="00334F5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F</w:t>
      </w:r>
      <w:r w:rsidR="00334F57">
        <w:rPr>
          <w:rFonts w:ascii="Times New Roman" w:hAnsi="Times New Roman"/>
          <w:sz w:val="24"/>
          <w:szCs w:val="24"/>
        </w:rPr>
        <w:t>)</w:t>
      </w:r>
      <w:r w:rsidR="00334F57" w:rsidRPr="00334F57">
        <w:rPr>
          <w:rFonts w:ascii="Times New Roman" w:hAnsi="Times New Roman"/>
          <w:sz w:val="24"/>
          <w:szCs w:val="24"/>
        </w:rPr>
        <w:t xml:space="preserve"> Photograph showing </w:t>
      </w:r>
      <w:r w:rsidR="00334F57">
        <w:rPr>
          <w:rFonts w:ascii="Times New Roman" w:hAnsi="Times New Roman"/>
          <w:sz w:val="24"/>
          <w:szCs w:val="24"/>
        </w:rPr>
        <w:t xml:space="preserve">freeform </w:t>
      </w:r>
      <w:r w:rsidR="00334F57" w:rsidRPr="00334F57">
        <w:rPr>
          <w:rFonts w:ascii="Times New Roman" w:hAnsi="Times New Roman"/>
          <w:sz w:val="24"/>
          <w:szCs w:val="24"/>
        </w:rPr>
        <w:t>outlin</w:t>
      </w:r>
      <w:r w:rsidR="00334F57">
        <w:rPr>
          <w:rFonts w:ascii="Times New Roman" w:hAnsi="Times New Roman"/>
          <w:sz w:val="24"/>
          <w:szCs w:val="24"/>
        </w:rPr>
        <w:t>e</w:t>
      </w:r>
      <w:r w:rsidR="00334F57" w:rsidRPr="00334F57">
        <w:rPr>
          <w:rFonts w:ascii="Times New Roman" w:hAnsi="Times New Roman"/>
          <w:sz w:val="24"/>
          <w:szCs w:val="24"/>
        </w:rPr>
        <w:t xml:space="preserve"> </w:t>
      </w:r>
      <w:r w:rsidR="00334F57">
        <w:rPr>
          <w:rFonts w:ascii="Times New Roman" w:hAnsi="Times New Roman"/>
          <w:sz w:val="24"/>
          <w:szCs w:val="24"/>
        </w:rPr>
        <w:t xml:space="preserve">(yellow line) </w:t>
      </w:r>
      <w:r w:rsidR="00334F57" w:rsidRPr="00334F57">
        <w:rPr>
          <w:rFonts w:ascii="Times New Roman" w:hAnsi="Times New Roman"/>
          <w:sz w:val="24"/>
          <w:szCs w:val="24"/>
        </w:rPr>
        <w:t xml:space="preserve">of </w:t>
      </w:r>
      <w:r w:rsidR="00334F57">
        <w:rPr>
          <w:rFonts w:ascii="Times New Roman" w:hAnsi="Times New Roman"/>
          <w:sz w:val="24"/>
          <w:szCs w:val="24"/>
        </w:rPr>
        <w:t xml:space="preserve">the </w:t>
      </w:r>
      <w:r w:rsidR="00334F57" w:rsidRPr="00334F57">
        <w:rPr>
          <w:rFonts w:ascii="Times New Roman" w:hAnsi="Times New Roman"/>
          <w:sz w:val="24"/>
          <w:szCs w:val="24"/>
        </w:rPr>
        <w:t xml:space="preserve">outer </w:t>
      </w:r>
      <w:bookmarkStart w:id="0" w:name="_GoBack"/>
      <w:bookmarkEnd w:id="0"/>
      <w:r w:rsidR="00334F57" w:rsidRPr="00334F57">
        <w:rPr>
          <w:rFonts w:ascii="Times New Roman" w:hAnsi="Times New Roman"/>
          <w:sz w:val="24"/>
          <w:szCs w:val="24"/>
        </w:rPr>
        <w:t xml:space="preserve">circumference of </w:t>
      </w:r>
      <w:r w:rsidR="00334F57">
        <w:rPr>
          <w:rFonts w:ascii="Times New Roman" w:hAnsi="Times New Roman"/>
          <w:sz w:val="24"/>
          <w:szCs w:val="24"/>
        </w:rPr>
        <w:t xml:space="preserve">the </w:t>
      </w:r>
      <w:r w:rsidR="00334F57" w:rsidRPr="00334F57">
        <w:rPr>
          <w:rFonts w:ascii="Times New Roman" w:hAnsi="Times New Roman"/>
          <w:sz w:val="24"/>
          <w:szCs w:val="24"/>
        </w:rPr>
        <w:t>vessel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334F57"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G</w:t>
      </w:r>
      <w:r w:rsidR="00334F57">
        <w:rPr>
          <w:rFonts w:ascii="Times New Roman" w:hAnsi="Times New Roman"/>
          <w:sz w:val="24"/>
          <w:szCs w:val="24"/>
        </w:rPr>
        <w:t>)</w:t>
      </w:r>
      <w:r w:rsidR="00334F57" w:rsidRPr="00334F57">
        <w:rPr>
          <w:rFonts w:ascii="Times New Roman" w:hAnsi="Times New Roman"/>
          <w:sz w:val="24"/>
          <w:szCs w:val="24"/>
        </w:rPr>
        <w:t xml:space="preserve"> Photograph showing are</w:t>
      </w:r>
      <w:r w:rsidR="00A856AC">
        <w:rPr>
          <w:rFonts w:ascii="Times New Roman" w:hAnsi="Times New Roman"/>
          <w:sz w:val="24"/>
          <w:szCs w:val="24"/>
        </w:rPr>
        <w:t>as analysed to create the area fraction of SAHF-positive nuclei</w:t>
      </w:r>
      <w:r w:rsidR="00334F57" w:rsidRPr="00334F57">
        <w:rPr>
          <w:rFonts w:ascii="Times New Roman" w:hAnsi="Times New Roman"/>
          <w:sz w:val="24"/>
          <w:szCs w:val="24"/>
        </w:rPr>
        <w:t xml:space="preserve"> (large, homogenously stained nuclei shown to be excluded)</w:t>
      </w:r>
      <w:r>
        <w:rPr>
          <w:rFonts w:ascii="Times New Roman" w:hAnsi="Times New Roman"/>
          <w:sz w:val="24"/>
          <w:szCs w:val="24"/>
        </w:rPr>
        <w:t>.</w:t>
      </w:r>
    </w:p>
    <w:p w:rsidR="001044D7" w:rsidRDefault="001044D7" w:rsidP="00BD65E1">
      <w:pPr>
        <w:spacing w:line="360" w:lineRule="auto"/>
      </w:pPr>
    </w:p>
    <w:p w:rsidR="00334F57" w:rsidRDefault="00334F57" w:rsidP="00BD65E1">
      <w:pPr>
        <w:spacing w:line="360" w:lineRule="auto"/>
      </w:pPr>
    </w:p>
    <w:sectPr w:rsidR="00334F57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E7D" w:rsidRDefault="00755E7D" w:rsidP="00D512D6">
      <w:pPr>
        <w:spacing w:after="0" w:line="240" w:lineRule="auto"/>
      </w:pPr>
      <w:r>
        <w:separator/>
      </w:r>
    </w:p>
  </w:endnote>
  <w:endnote w:type="continuationSeparator" w:id="0">
    <w:p w:rsidR="00755E7D" w:rsidRDefault="00755E7D" w:rsidP="00D5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51951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12D6" w:rsidRDefault="00D512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12D6" w:rsidRDefault="00D512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E7D" w:rsidRDefault="00755E7D" w:rsidP="00D512D6">
      <w:pPr>
        <w:spacing w:after="0" w:line="240" w:lineRule="auto"/>
      </w:pPr>
      <w:r>
        <w:separator/>
      </w:r>
    </w:p>
  </w:footnote>
  <w:footnote w:type="continuationSeparator" w:id="0">
    <w:p w:rsidR="00755E7D" w:rsidRDefault="00755E7D" w:rsidP="00D51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2D6" w:rsidRDefault="00D512D6">
    <w:pPr>
      <w:pStyle w:val="Header"/>
    </w:pPr>
    <w:r>
      <w:t>Norton et al. Supplementary file</w:t>
    </w:r>
  </w:p>
  <w:p w:rsidR="00D512D6" w:rsidRDefault="00D512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5B3E99"/>
    <w:multiLevelType w:val="hybridMultilevel"/>
    <w:tmpl w:val="DBCCD834"/>
    <w:lvl w:ilvl="0" w:tplc="745455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4D7"/>
    <w:rsid w:val="000246EB"/>
    <w:rsid w:val="001044D7"/>
    <w:rsid w:val="00251CFE"/>
    <w:rsid w:val="00334F57"/>
    <w:rsid w:val="003E40B4"/>
    <w:rsid w:val="00481ABF"/>
    <w:rsid w:val="0049371C"/>
    <w:rsid w:val="0051270B"/>
    <w:rsid w:val="005D6BD7"/>
    <w:rsid w:val="00755E7D"/>
    <w:rsid w:val="00931948"/>
    <w:rsid w:val="00935F6C"/>
    <w:rsid w:val="00A856AC"/>
    <w:rsid w:val="00BD65E1"/>
    <w:rsid w:val="00D512D6"/>
    <w:rsid w:val="00E30CC6"/>
    <w:rsid w:val="00F64915"/>
    <w:rsid w:val="00FC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B9E1F"/>
  <w15:chartTrackingRefBased/>
  <w15:docId w15:val="{A793E25E-15F1-4BFF-9C6B-C11A66F72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44D7"/>
    <w:rPr>
      <w:rFonts w:eastAsia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4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1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2D6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51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2D6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hainsworth@sgul.ac.u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SGUL</Company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Norton</dc:creator>
  <cp:keywords/>
  <dc:description/>
  <cp:lastModifiedBy>Atticus Hainsworth</cp:lastModifiedBy>
  <cp:revision>6</cp:revision>
  <dcterms:created xsi:type="dcterms:W3CDTF">2019-07-21T03:51:00Z</dcterms:created>
  <dcterms:modified xsi:type="dcterms:W3CDTF">2019-07-21T04:59:00Z</dcterms:modified>
</cp:coreProperties>
</file>