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A69019" w14:textId="78236AFA" w:rsidR="008D3ABB" w:rsidRDefault="00343D29">
      <w:pPr>
        <w:pStyle w:val="Normal1"/>
        <w:rPr>
          <w:b/>
        </w:rPr>
      </w:pPr>
      <w:r>
        <w:rPr>
          <w:b/>
        </w:rPr>
        <w:t>Introduction</w:t>
      </w:r>
    </w:p>
    <w:p w14:paraId="0EF2CD80" w14:textId="77777777" w:rsidR="008D3ABB" w:rsidRDefault="008D3ABB">
      <w:pPr>
        <w:pStyle w:val="Normal1"/>
      </w:pPr>
    </w:p>
    <w:p w14:paraId="13C266BE" w14:textId="017628B4" w:rsidR="008D3ABB" w:rsidRDefault="00343D29" w:rsidP="00D57B3F">
      <w:pPr>
        <w:pStyle w:val="Normal1"/>
        <w:spacing w:line="480" w:lineRule="auto"/>
        <w:jc w:val="both"/>
      </w:pPr>
      <w:r>
        <w:t xml:space="preserve">Inappropriate antimicrobial prescribing is a major and modifiable contributor to the spread of antimicrobial resistance. In the United Kingdom (UK), 79% </w:t>
      </w:r>
      <w:r w:rsidR="00F836A5">
        <w:rPr>
          <w:lang w:val="en-GB"/>
        </w:rPr>
        <w:t xml:space="preserve">of </w:t>
      </w:r>
      <w:r>
        <w:t xml:space="preserve">antibiotics are prescribed by </w:t>
      </w:r>
      <w:r w:rsidR="00F35E70">
        <w:rPr>
          <w:lang w:val="en-GB"/>
        </w:rPr>
        <w:t>g</w:t>
      </w:r>
      <w:r>
        <w:t xml:space="preserve">eneral </w:t>
      </w:r>
      <w:r w:rsidR="00F35E70">
        <w:rPr>
          <w:lang w:val="en-GB"/>
        </w:rPr>
        <w:t>p</w:t>
      </w:r>
      <w:r>
        <w:t>ractitioners (GPs) [</w:t>
      </w:r>
      <w:r w:rsidR="00E62290">
        <w:rPr>
          <w:lang w:val="en-GB"/>
        </w:rPr>
        <w:t>1</w:t>
      </w:r>
      <w:r>
        <w:t>], most commonly for the diagnosis of acute respiratory tract infection [</w:t>
      </w:r>
      <w:r w:rsidR="00E62290">
        <w:rPr>
          <w:lang w:val="en-GB"/>
        </w:rPr>
        <w:t>2</w:t>
      </w:r>
      <w:r>
        <w:t>], including tonsillitis.</w:t>
      </w:r>
    </w:p>
    <w:p w14:paraId="23EC4631" w14:textId="18F44AA4" w:rsidR="008D3ABB" w:rsidRDefault="00343D29" w:rsidP="00D57B3F">
      <w:pPr>
        <w:pStyle w:val="Normal1"/>
        <w:spacing w:line="480" w:lineRule="auto"/>
        <w:jc w:val="both"/>
      </w:pPr>
      <w:r>
        <w:t xml:space="preserve">Antibiotic treatment is indicated only for bacterial tonsillitis, the most common bacterial aetiology being group A </w:t>
      </w:r>
      <w:r>
        <w:rPr>
          <w:i/>
        </w:rPr>
        <w:t>Streptococcus</w:t>
      </w:r>
      <w:r>
        <w:t xml:space="preserve"> (GAS)</w:t>
      </w:r>
      <w:r w:rsidR="00473156">
        <w:rPr>
          <w:lang w:val="en-GB"/>
        </w:rPr>
        <w:t>.</w:t>
      </w:r>
      <w:r>
        <w:t xml:space="preserve"> </w:t>
      </w:r>
      <w:r w:rsidR="00246F14">
        <w:rPr>
          <w:lang w:val="en-GB"/>
        </w:rPr>
        <w:t>Current</w:t>
      </w:r>
      <w:r w:rsidR="00246F14">
        <w:t xml:space="preserve"> </w:t>
      </w:r>
      <w:r>
        <w:t xml:space="preserve">UK National Institute for Health and Care Excellence (NICE) </w:t>
      </w:r>
      <w:r w:rsidR="00246F14">
        <w:rPr>
          <w:lang w:val="en-GB"/>
        </w:rPr>
        <w:t>guidance</w:t>
      </w:r>
      <w:r w:rsidR="00246F14">
        <w:t xml:space="preserve"> </w:t>
      </w:r>
      <w:r>
        <w:t>recommend</w:t>
      </w:r>
      <w:r w:rsidR="00246F14">
        <w:rPr>
          <w:lang w:val="en-GB"/>
        </w:rPr>
        <w:t xml:space="preserve">s considering an antibiotic prescription in children and adults with three or more Centor </w:t>
      </w:r>
      <w:r w:rsidR="00246F14">
        <w:t>(tonsillar exudates, swollen tender anterior cervical nodes, fever, lack of cough</w:t>
      </w:r>
      <w:r w:rsidR="00246F14">
        <w:rPr>
          <w:lang w:val="en-GB"/>
        </w:rPr>
        <w:t>, [4]</w:t>
      </w:r>
      <w:r w:rsidR="00246F14">
        <w:t>)</w:t>
      </w:r>
      <w:r w:rsidR="00246F14">
        <w:rPr>
          <w:lang w:val="en-GB"/>
        </w:rPr>
        <w:t xml:space="preserve"> or four or more </w:t>
      </w:r>
      <w:proofErr w:type="spellStart"/>
      <w:r w:rsidR="00246F14">
        <w:rPr>
          <w:lang w:val="en-GB"/>
        </w:rPr>
        <w:t>FeverPAIN</w:t>
      </w:r>
      <w:proofErr w:type="spellEnd"/>
      <w:r w:rsidR="00246F14">
        <w:rPr>
          <w:lang w:val="en-GB"/>
        </w:rPr>
        <w:t xml:space="preserve"> (</w:t>
      </w:r>
      <w:r w:rsidR="00246F14" w:rsidRPr="00D36BD0">
        <w:rPr>
          <w:rFonts w:eastAsia="Arial Unicode MS"/>
        </w:rPr>
        <w:t xml:space="preserve">(Fever, Pus, rapid Attendance </w:t>
      </w:r>
      <w:r w:rsidR="00246F14">
        <w:rPr>
          <w:rFonts w:eastAsia="Arial Unicode MS"/>
          <w:lang w:val="en-GB"/>
        </w:rPr>
        <w:t>[</w:t>
      </w:r>
      <w:r w:rsidR="00246F14" w:rsidRPr="00D36BD0">
        <w:rPr>
          <w:rFonts w:eastAsia="Arial Unicode MS"/>
        </w:rPr>
        <w:t>illness ≤3 days</w:t>
      </w:r>
      <w:r w:rsidR="00246F14">
        <w:rPr>
          <w:rFonts w:eastAsia="Arial Unicode MS"/>
          <w:lang w:val="en-GB"/>
        </w:rPr>
        <w:t>]</w:t>
      </w:r>
      <w:r w:rsidR="00246F14" w:rsidRPr="00D36BD0">
        <w:rPr>
          <w:rFonts w:eastAsia="Arial Unicode MS"/>
        </w:rPr>
        <w:t xml:space="preserve">, severe </w:t>
      </w:r>
      <w:r w:rsidR="002815AB">
        <w:rPr>
          <w:rFonts w:eastAsia="Arial Unicode MS"/>
          <w:lang w:val="en-GB"/>
        </w:rPr>
        <w:t>I</w:t>
      </w:r>
      <w:r w:rsidR="00246F14">
        <w:rPr>
          <w:rFonts w:eastAsia="Arial Unicode MS"/>
          <w:lang w:val="en-GB"/>
        </w:rPr>
        <w:t>n</w:t>
      </w:r>
      <w:r w:rsidR="00246F14" w:rsidRPr="00D36BD0">
        <w:rPr>
          <w:rFonts w:eastAsia="Arial Unicode MS"/>
        </w:rPr>
        <w:t xml:space="preserve">flammation, </w:t>
      </w:r>
      <w:r w:rsidR="002815AB">
        <w:rPr>
          <w:rFonts w:eastAsia="Arial Unicode MS"/>
          <w:lang w:val="en-GB"/>
        </w:rPr>
        <w:t>N</w:t>
      </w:r>
      <w:r w:rsidR="00246F14" w:rsidRPr="00D36BD0">
        <w:rPr>
          <w:rFonts w:eastAsia="Arial Unicode MS"/>
        </w:rPr>
        <w:t>o cough or coryza</w:t>
      </w:r>
      <w:r w:rsidR="00246F14">
        <w:rPr>
          <w:rFonts w:eastAsia="Arial Unicode MS"/>
          <w:lang w:val="en-GB"/>
        </w:rPr>
        <w:t xml:space="preserve"> [5]</w:t>
      </w:r>
      <w:r w:rsidR="00246F14" w:rsidRPr="00D36BD0">
        <w:rPr>
          <w:rFonts w:eastAsia="Arial Unicode MS"/>
        </w:rPr>
        <w:t>)</w:t>
      </w:r>
      <w:r w:rsidR="00246F14">
        <w:t xml:space="preserve"> </w:t>
      </w:r>
      <w:r w:rsidR="00246F14">
        <w:rPr>
          <w:lang w:val="en-GB"/>
        </w:rPr>
        <w:t>criteria [3].</w:t>
      </w:r>
      <w:r>
        <w:t xml:space="preserve"> </w:t>
      </w:r>
      <w:r w:rsidR="00246F14">
        <w:rPr>
          <w:lang w:val="en-GB"/>
        </w:rPr>
        <w:t>It</w:t>
      </w:r>
      <w:r>
        <w:t xml:space="preserve"> is unclear whether </w:t>
      </w:r>
      <w:r w:rsidR="00246F14">
        <w:rPr>
          <w:lang w:val="en-GB"/>
        </w:rPr>
        <w:t xml:space="preserve">this </w:t>
      </w:r>
      <w:r w:rsidR="00A306E7">
        <w:rPr>
          <w:lang w:val="en-GB"/>
        </w:rPr>
        <w:t>guidance</w:t>
      </w:r>
      <w:r w:rsidR="00473156">
        <w:rPr>
          <w:lang w:val="en-GB"/>
        </w:rPr>
        <w:t xml:space="preserve"> is</w:t>
      </w:r>
      <w:r>
        <w:t xml:space="preserve"> followed, as up to 83% patients with sore throat are prescribed antibiotics in some primary care practices [</w:t>
      </w:r>
      <w:r w:rsidR="00E62290">
        <w:rPr>
          <w:lang w:val="en-GB"/>
        </w:rPr>
        <w:t>2</w:t>
      </w:r>
      <w:r>
        <w:t>], and many GPs do not use Centor</w:t>
      </w:r>
      <w:r w:rsidR="00246F14">
        <w:rPr>
          <w:lang w:val="en-GB"/>
        </w:rPr>
        <w:t xml:space="preserve"> or </w:t>
      </w:r>
      <w:proofErr w:type="spellStart"/>
      <w:r w:rsidR="00246F14">
        <w:rPr>
          <w:lang w:val="en-GB"/>
        </w:rPr>
        <w:t>FeverPAIN</w:t>
      </w:r>
      <w:proofErr w:type="spellEnd"/>
      <w:r>
        <w:t xml:space="preserve"> criteria.</w:t>
      </w:r>
    </w:p>
    <w:p w14:paraId="517F3FBB" w14:textId="77777777" w:rsidR="008D3ABB" w:rsidRDefault="008D3ABB" w:rsidP="00246F14">
      <w:pPr>
        <w:pStyle w:val="Normal1"/>
        <w:spacing w:line="480" w:lineRule="auto"/>
        <w:jc w:val="both"/>
      </w:pPr>
    </w:p>
    <w:p w14:paraId="19BCCEC4" w14:textId="67C5E600" w:rsidR="008D3ABB" w:rsidRPr="009E026D" w:rsidRDefault="00343D29" w:rsidP="0091462C">
      <w:pPr>
        <w:pStyle w:val="Normal1"/>
        <w:spacing w:line="480" w:lineRule="auto"/>
        <w:jc w:val="both"/>
        <w:rPr>
          <w:lang w:val="en-GB"/>
        </w:rPr>
      </w:pPr>
      <w:r>
        <w:t>In December 2015</w:t>
      </w:r>
      <w:r w:rsidR="0091462C">
        <w:rPr>
          <w:lang w:val="en-GB"/>
        </w:rPr>
        <w:t xml:space="preserve"> and for the first time in the UK</w:t>
      </w:r>
      <w:r>
        <w:t>, St. George’s Hospital Pediatric Emergency Department (PED) implemented a nucleic acid amplification-based point-of-care test (POCT) for GAS</w:t>
      </w:r>
      <w:r w:rsidR="00F57037">
        <w:rPr>
          <w:lang w:val="en-GB"/>
        </w:rPr>
        <w:t>, which has</w:t>
      </w:r>
      <w:r w:rsidR="00E40855">
        <w:rPr>
          <w:lang w:val="en-GB"/>
        </w:rPr>
        <w:t xml:space="preserve"> </w:t>
      </w:r>
      <w:r>
        <w:t>98% sensitivity and specificity [</w:t>
      </w:r>
      <w:r w:rsidR="008706B4">
        <w:rPr>
          <w:lang w:val="en-GB"/>
        </w:rPr>
        <w:t>6</w:t>
      </w:r>
      <w:r>
        <w:t xml:space="preserve">]. </w:t>
      </w:r>
      <w:bookmarkStart w:id="0" w:name="_Hlk531014089"/>
      <w:r>
        <w:t xml:space="preserve">The aim of our study was to </w:t>
      </w:r>
      <w:r w:rsidR="00C7639E">
        <w:rPr>
          <w:lang w:val="en-GB"/>
        </w:rPr>
        <w:t xml:space="preserve">describe the </w:t>
      </w:r>
      <w:r>
        <w:t xml:space="preserve">pragmatic implementation of testing for GAS in pediatric tonsillitis and </w:t>
      </w:r>
      <w:r w:rsidR="00C7639E">
        <w:rPr>
          <w:lang w:val="en-GB"/>
        </w:rPr>
        <w:t xml:space="preserve">the association between test results and antibiotic prescribing at our </w:t>
      </w:r>
      <w:proofErr w:type="spellStart"/>
      <w:r w:rsidR="00F35E70">
        <w:rPr>
          <w:lang w:val="en-GB"/>
        </w:rPr>
        <w:t>center</w:t>
      </w:r>
      <w:proofErr w:type="spellEnd"/>
      <w:r w:rsidR="00C7639E">
        <w:rPr>
          <w:lang w:val="en-GB"/>
        </w:rPr>
        <w:t>.</w:t>
      </w:r>
      <w:bookmarkEnd w:id="0"/>
    </w:p>
    <w:p w14:paraId="7B54E2E8" w14:textId="77777777" w:rsidR="008D3ABB" w:rsidRDefault="008D3ABB">
      <w:pPr>
        <w:pStyle w:val="Normal1"/>
        <w:rPr>
          <w:b/>
        </w:rPr>
      </w:pPr>
    </w:p>
    <w:p w14:paraId="0291D6D8" w14:textId="77777777" w:rsidR="008D3ABB" w:rsidRDefault="00343D29">
      <w:pPr>
        <w:pStyle w:val="Normal1"/>
        <w:rPr>
          <w:b/>
        </w:rPr>
      </w:pPr>
      <w:r>
        <w:rPr>
          <w:b/>
        </w:rPr>
        <w:t>Methods</w:t>
      </w:r>
    </w:p>
    <w:p w14:paraId="2FEBD9FC" w14:textId="77777777" w:rsidR="008D3ABB" w:rsidRDefault="008D3ABB">
      <w:pPr>
        <w:pStyle w:val="Normal1"/>
      </w:pPr>
    </w:p>
    <w:p w14:paraId="06167743" w14:textId="4D0AB5FD" w:rsidR="008D3ABB" w:rsidRPr="009E026D" w:rsidRDefault="00473156" w:rsidP="0091462C">
      <w:pPr>
        <w:pStyle w:val="Normal1"/>
        <w:spacing w:line="480" w:lineRule="auto"/>
        <w:jc w:val="both"/>
        <w:rPr>
          <w:lang w:val="en-GB"/>
        </w:rPr>
      </w:pPr>
      <w:r w:rsidRPr="008549B7">
        <w:t xml:space="preserve">The </w:t>
      </w:r>
      <w:r w:rsidR="00C6364F" w:rsidRPr="008549B7">
        <w:rPr>
          <w:lang w:val="en-GB"/>
        </w:rPr>
        <w:t>Child Admission Bundle for Infection (</w:t>
      </w:r>
      <w:r w:rsidRPr="008549B7">
        <w:t>CABIN</w:t>
      </w:r>
      <w:r w:rsidR="00C6364F" w:rsidRPr="008549B7">
        <w:rPr>
          <w:lang w:val="en-GB"/>
        </w:rPr>
        <w:t>)</w:t>
      </w:r>
      <w:r w:rsidRPr="008549B7">
        <w:t xml:space="preserve"> team, with support from PED leadership, disseminated an algorithm describing criteria for testing and proposed treatment of suspected GAS tonsillitis</w:t>
      </w:r>
      <w:r w:rsidRPr="008549B7">
        <w:rPr>
          <w:lang w:val="en-GB"/>
        </w:rPr>
        <w:t xml:space="preserve"> based on NICE guidance</w:t>
      </w:r>
      <w:r w:rsidRPr="008549B7">
        <w:t>.</w:t>
      </w:r>
      <w:r w:rsidRPr="008549B7">
        <w:rPr>
          <w:lang w:val="en-GB"/>
        </w:rPr>
        <w:t xml:space="preserve"> </w:t>
      </w:r>
      <w:bookmarkStart w:id="1" w:name="_Hlk531015267"/>
      <w:r w:rsidR="00F269DF">
        <w:rPr>
          <w:lang w:val="en-GB"/>
        </w:rPr>
        <w:t>It was emailed to all doctors working in PED, posted on PED teaching boards, and presented at PED teaching conferences</w:t>
      </w:r>
      <w:r w:rsidR="00CD5B6A">
        <w:rPr>
          <w:lang w:val="en-GB"/>
        </w:rPr>
        <w:t>, with i</w:t>
      </w:r>
      <w:r w:rsidR="00F269DF">
        <w:rPr>
          <w:lang w:val="en-GB"/>
        </w:rPr>
        <w:t xml:space="preserve">n-person and email reminders throughout the data collection phase. </w:t>
      </w:r>
      <w:bookmarkStart w:id="2" w:name="_Hlk531015328"/>
      <w:bookmarkEnd w:id="1"/>
      <w:r w:rsidR="00810298">
        <w:rPr>
          <w:lang w:val="en-GB"/>
        </w:rPr>
        <w:t>T</w:t>
      </w:r>
      <w:r w:rsidR="00343D29" w:rsidRPr="008549B7">
        <w:t xml:space="preserve">he Alere™ i Strep A (Waltham, Massachusetts, USA) </w:t>
      </w:r>
      <w:r w:rsidR="00810298">
        <w:rPr>
          <w:lang w:val="en-GB"/>
        </w:rPr>
        <w:t xml:space="preserve">instrument was made available to PED clinicians. </w:t>
      </w:r>
      <w:r w:rsidR="0058222A">
        <w:rPr>
          <w:lang w:val="en-GB"/>
        </w:rPr>
        <w:t xml:space="preserve">This </w:t>
      </w:r>
      <w:r w:rsidR="00CD5B6A">
        <w:rPr>
          <w:lang w:val="en-GB"/>
        </w:rPr>
        <w:t xml:space="preserve">molecular-based </w:t>
      </w:r>
      <w:r w:rsidR="0058222A" w:rsidRPr="0058222A">
        <w:lastRenderedPageBreak/>
        <w:t xml:space="preserve">test provides results in 8 minutes or less on </w:t>
      </w:r>
      <w:r w:rsidR="0058222A">
        <w:rPr>
          <w:lang w:val="en-GB"/>
        </w:rPr>
        <w:t xml:space="preserve">an easy-to-use, small desktop </w:t>
      </w:r>
      <w:r w:rsidR="0058222A" w:rsidRPr="0058222A">
        <w:t>platform</w:t>
      </w:r>
      <w:r w:rsidR="0058222A">
        <w:rPr>
          <w:lang w:val="en-GB"/>
        </w:rPr>
        <w:t xml:space="preserve">. </w:t>
      </w:r>
      <w:bookmarkStart w:id="3" w:name="_Hlk531185257"/>
      <w:r w:rsidR="00810298">
        <w:rPr>
          <w:lang w:val="en-GB"/>
        </w:rPr>
        <w:t>Staff were instructed to test throat swabs obtained from</w:t>
      </w:r>
      <w:r w:rsidR="00F269DF">
        <w:rPr>
          <w:lang w:val="en-GB"/>
        </w:rPr>
        <w:t xml:space="preserve"> patients 16</w:t>
      </w:r>
      <w:r w:rsidR="00C433B8">
        <w:rPr>
          <w:lang w:val="en-GB"/>
        </w:rPr>
        <w:t xml:space="preserve"> years of age</w:t>
      </w:r>
      <w:r w:rsidR="00F269DF">
        <w:rPr>
          <w:lang w:val="en-GB"/>
        </w:rPr>
        <w:t xml:space="preserve"> and younger who presented to </w:t>
      </w:r>
      <w:r w:rsidR="00810298" w:rsidRPr="008549B7">
        <w:t xml:space="preserve">St. George’s Hospital PED between December 2015 and January 2017 with </w:t>
      </w:r>
      <w:r w:rsidR="003D717A">
        <w:rPr>
          <w:lang w:val="en-GB"/>
        </w:rPr>
        <w:t>suspected tonsillitis</w:t>
      </w:r>
      <w:r w:rsidR="00810298">
        <w:rPr>
          <w:lang w:val="en-GB"/>
        </w:rPr>
        <w:t xml:space="preserve"> </w:t>
      </w:r>
      <w:r w:rsidR="006045E6">
        <w:rPr>
          <w:lang w:val="en-GB"/>
        </w:rPr>
        <w:t>if</w:t>
      </w:r>
      <w:r w:rsidR="00F269DF">
        <w:rPr>
          <w:lang w:val="en-GB"/>
        </w:rPr>
        <w:t xml:space="preserve"> enough Centor or </w:t>
      </w:r>
      <w:proofErr w:type="spellStart"/>
      <w:r w:rsidR="00F269DF">
        <w:rPr>
          <w:lang w:val="en-GB"/>
        </w:rPr>
        <w:t>FeverPAIN</w:t>
      </w:r>
      <w:proofErr w:type="spellEnd"/>
      <w:r w:rsidR="00F269DF">
        <w:rPr>
          <w:lang w:val="en-GB"/>
        </w:rPr>
        <w:t xml:space="preserve"> criteria</w:t>
      </w:r>
      <w:r w:rsidR="00117B3E">
        <w:rPr>
          <w:lang w:val="en-GB"/>
        </w:rPr>
        <w:t xml:space="preserve"> </w:t>
      </w:r>
      <w:r w:rsidR="006045E6">
        <w:rPr>
          <w:lang w:val="en-GB"/>
        </w:rPr>
        <w:t>were met</w:t>
      </w:r>
      <w:bookmarkEnd w:id="3"/>
      <w:r w:rsidR="00F269DF">
        <w:rPr>
          <w:lang w:val="en-GB"/>
        </w:rPr>
        <w:t>.</w:t>
      </w:r>
      <w:r w:rsidR="009C74A8">
        <w:rPr>
          <w:lang w:val="en-GB"/>
        </w:rPr>
        <w:t xml:space="preserve"> A</w:t>
      </w:r>
      <w:r w:rsidR="009C74A8" w:rsidRPr="008549B7">
        <w:t>s part of the CABIN 2 study</w:t>
      </w:r>
      <w:r w:rsidR="009C74A8">
        <w:rPr>
          <w:lang w:val="en-GB"/>
        </w:rPr>
        <w:t xml:space="preserve"> [7],</w:t>
      </w:r>
      <w:r w:rsidR="00810298">
        <w:rPr>
          <w:lang w:val="en-GB"/>
        </w:rPr>
        <w:t xml:space="preserve"> </w:t>
      </w:r>
      <w:r w:rsidR="009C74A8">
        <w:rPr>
          <w:lang w:val="en-GB"/>
        </w:rPr>
        <w:t>c</w:t>
      </w:r>
      <w:r w:rsidR="00810298" w:rsidRPr="008549B7">
        <w:t xml:space="preserve">linical information, including presence of Centor and FeverPAIN criteria, POCT results and outpatient antibiotic prescriptions, was collected </w:t>
      </w:r>
      <w:r w:rsidR="009C74A8">
        <w:rPr>
          <w:lang w:val="en-GB"/>
        </w:rPr>
        <w:t>on all patients in whom a rapid test was performed</w:t>
      </w:r>
      <w:r w:rsidR="00810298" w:rsidRPr="008549B7">
        <w:t>.</w:t>
      </w:r>
    </w:p>
    <w:bookmarkEnd w:id="2"/>
    <w:p w14:paraId="26EA003C" w14:textId="77777777" w:rsidR="008D3ABB" w:rsidRPr="008549B7" w:rsidRDefault="008D3ABB" w:rsidP="0091462C">
      <w:pPr>
        <w:pStyle w:val="Normal1"/>
        <w:spacing w:line="480" w:lineRule="auto"/>
        <w:jc w:val="both"/>
      </w:pPr>
    </w:p>
    <w:p w14:paraId="7A17CECB" w14:textId="77777777" w:rsidR="008D3ABB" w:rsidRPr="008549B7" w:rsidRDefault="00343D29" w:rsidP="0091462C">
      <w:pPr>
        <w:pStyle w:val="Normal1"/>
        <w:spacing w:line="480" w:lineRule="auto"/>
        <w:jc w:val="both"/>
      </w:pPr>
      <w:r w:rsidRPr="0058222A">
        <w:rPr>
          <w:rFonts w:eastAsia="Arial Unicode MS"/>
        </w:rPr>
        <w:t>Centor criteria were defined as: presence of tonsillar exudates, swollen tender anterior cervical nodes, temperature greater than 38.3°C, absence of cough. FeverPAIN criteria</w:t>
      </w:r>
      <w:r w:rsidRPr="008A5458">
        <w:rPr>
          <w:rFonts w:eastAsia="Arial Unicode MS"/>
        </w:rPr>
        <w:t xml:space="preserve"> were defined as: fever reported by the carers or measured in PED, presence of pus on tonsils, fever duration ≤ 3 days (as proxy for illness duration ≤ 3 days), documentation of tonsil inflammation, no cough or coryza.</w:t>
      </w:r>
    </w:p>
    <w:p w14:paraId="7E652925" w14:textId="77777777" w:rsidR="008D3ABB" w:rsidRPr="008549B7" w:rsidRDefault="008D3ABB" w:rsidP="0091462C">
      <w:pPr>
        <w:pStyle w:val="Normal1"/>
        <w:spacing w:line="480" w:lineRule="auto"/>
        <w:jc w:val="both"/>
      </w:pPr>
    </w:p>
    <w:p w14:paraId="654D8A19" w14:textId="3A060825" w:rsidR="008D3ABB" w:rsidRPr="009E026D" w:rsidRDefault="00A60DE9" w:rsidP="0091462C">
      <w:pPr>
        <w:pStyle w:val="Normal1"/>
        <w:spacing w:line="480" w:lineRule="auto"/>
        <w:jc w:val="both"/>
        <w:rPr>
          <w:highlight w:val="white"/>
          <w:lang w:val="en-GB"/>
        </w:rPr>
      </w:pPr>
      <w:bookmarkStart w:id="4" w:name="_Hlk531185563"/>
      <w:r>
        <w:rPr>
          <w:lang w:val="en-GB"/>
        </w:rPr>
        <w:t>We</w:t>
      </w:r>
      <w:r w:rsidR="00777DC6">
        <w:rPr>
          <w:highlight w:val="white"/>
          <w:lang w:val="en-GB"/>
        </w:rPr>
        <w:t xml:space="preserve"> </w:t>
      </w:r>
      <w:r w:rsidR="00011064">
        <w:rPr>
          <w:highlight w:val="white"/>
          <w:lang w:val="en-GB"/>
        </w:rPr>
        <w:t xml:space="preserve">performed a descriptive analysis, </w:t>
      </w:r>
      <w:r w:rsidR="00777DC6">
        <w:rPr>
          <w:highlight w:val="white"/>
          <w:lang w:val="en-GB"/>
        </w:rPr>
        <w:t>measur</w:t>
      </w:r>
      <w:r w:rsidR="00011064">
        <w:rPr>
          <w:highlight w:val="white"/>
          <w:lang w:val="en-GB"/>
        </w:rPr>
        <w:t>ed</w:t>
      </w:r>
      <w:r w:rsidR="00777DC6">
        <w:rPr>
          <w:highlight w:val="white"/>
          <w:lang w:val="en-GB"/>
        </w:rPr>
        <w:t xml:space="preserve"> the association between GAS POCT result and outpatient antibiotic prescribing</w:t>
      </w:r>
      <w:r w:rsidR="00011064">
        <w:rPr>
          <w:highlight w:val="white"/>
          <w:lang w:val="en-GB"/>
        </w:rPr>
        <w:t xml:space="preserve"> using an odds ratio calculation</w:t>
      </w:r>
      <w:r w:rsidR="00777DC6">
        <w:rPr>
          <w:highlight w:val="white"/>
          <w:lang w:val="en-GB"/>
        </w:rPr>
        <w:t xml:space="preserve">, </w:t>
      </w:r>
      <w:r>
        <w:rPr>
          <w:lang w:val="en-GB"/>
        </w:rPr>
        <w:t>and defined</w:t>
      </w:r>
      <w:r w:rsidR="00A306E7">
        <w:rPr>
          <w:lang w:val="en-GB"/>
        </w:rPr>
        <w:t xml:space="preserve"> </w:t>
      </w:r>
      <w:r w:rsidR="00777DC6">
        <w:rPr>
          <w:lang w:val="en-GB"/>
        </w:rPr>
        <w:t>t</w:t>
      </w:r>
      <w:r w:rsidR="00343D29" w:rsidRPr="008549B7">
        <w:t>he areas under the receiver-operating characteristic (ROC) curves for Centor score and FeverPAIN score</w:t>
      </w:r>
      <w:bookmarkEnd w:id="4"/>
      <w:r w:rsidR="00777DC6">
        <w:rPr>
          <w:lang w:val="en-GB"/>
        </w:rPr>
        <w:t>.</w:t>
      </w:r>
      <w:r>
        <w:rPr>
          <w:highlight w:val="white"/>
          <w:lang w:val="en-GB"/>
        </w:rPr>
        <w:t xml:space="preserve"> All statistical tests were performed using the software package R (Vienna, Austria).</w:t>
      </w:r>
    </w:p>
    <w:p w14:paraId="6AB7DDD6" w14:textId="77777777" w:rsidR="008D3ABB" w:rsidRPr="008549B7" w:rsidRDefault="008D3ABB" w:rsidP="0091462C">
      <w:pPr>
        <w:pStyle w:val="Normal1"/>
        <w:spacing w:line="480" w:lineRule="auto"/>
        <w:jc w:val="both"/>
        <w:rPr>
          <w:highlight w:val="white"/>
        </w:rPr>
      </w:pPr>
    </w:p>
    <w:p w14:paraId="2AC64524" w14:textId="77777777" w:rsidR="008D3ABB" w:rsidRDefault="00343D29">
      <w:pPr>
        <w:pStyle w:val="Normal1"/>
        <w:rPr>
          <w:b/>
        </w:rPr>
      </w:pPr>
      <w:r>
        <w:rPr>
          <w:b/>
        </w:rPr>
        <w:t>Results</w:t>
      </w:r>
    </w:p>
    <w:p w14:paraId="13574D39" w14:textId="77777777" w:rsidR="008D3ABB" w:rsidRDefault="008D3ABB">
      <w:pPr>
        <w:pStyle w:val="Normal1"/>
        <w:rPr>
          <w:b/>
        </w:rPr>
      </w:pPr>
    </w:p>
    <w:p w14:paraId="173A40B4" w14:textId="721DE8A7" w:rsidR="008D3ABB" w:rsidRPr="00BF7BDF" w:rsidRDefault="00343D29" w:rsidP="00D22C02">
      <w:pPr>
        <w:pStyle w:val="Normal1"/>
        <w:spacing w:line="480" w:lineRule="auto"/>
        <w:jc w:val="both"/>
      </w:pPr>
      <w:r w:rsidRPr="00BF7BDF">
        <w:t xml:space="preserve">A total of 339 children were tested with the Strep A POCT. </w:t>
      </w:r>
      <w:bookmarkStart w:id="5" w:name="_Hlk531015623"/>
      <w:r w:rsidRPr="00BF7BDF">
        <w:t>Sore throat or difficulty swallowing was documented in 107 (32%) cases</w:t>
      </w:r>
      <w:bookmarkEnd w:id="5"/>
      <w:r w:rsidRPr="00BF7BDF">
        <w:t>.</w:t>
      </w:r>
      <w:r w:rsidR="003D717A">
        <w:rPr>
          <w:lang w:val="en-GB"/>
        </w:rPr>
        <w:t xml:space="preserve"> The median age was 2.8 years.</w:t>
      </w:r>
      <w:r w:rsidRPr="00BF7BDF">
        <w:t xml:space="preserve"> </w:t>
      </w:r>
      <w:r w:rsidR="005C2506">
        <w:rPr>
          <w:lang w:val="en-GB"/>
        </w:rPr>
        <w:t>One hundred and thirty-eight</w:t>
      </w:r>
      <w:r w:rsidR="00670719">
        <w:rPr>
          <w:lang w:val="en-GB"/>
        </w:rPr>
        <w:t xml:space="preserve"> patients</w:t>
      </w:r>
      <w:r w:rsidR="005C2506">
        <w:rPr>
          <w:lang w:val="en-GB"/>
        </w:rPr>
        <w:t xml:space="preserve"> (45%) were female. </w:t>
      </w:r>
      <w:r w:rsidRPr="00BF7BDF">
        <w:t>Two hundred and eighty nine (85%) children had fever, 186 (55%) absence of cough, 144 (42%) tonsillar exudates and 101 (30%) had cervical lymphadenopathy.</w:t>
      </w:r>
    </w:p>
    <w:p w14:paraId="30D0E753" w14:textId="77777777" w:rsidR="008D3ABB" w:rsidRPr="00BF7BDF" w:rsidRDefault="008D3ABB" w:rsidP="00D22C02">
      <w:pPr>
        <w:pStyle w:val="Normal1"/>
        <w:spacing w:line="480" w:lineRule="auto"/>
        <w:jc w:val="both"/>
      </w:pPr>
    </w:p>
    <w:p w14:paraId="59471BE4" w14:textId="721B7E51" w:rsidR="008D3ABB" w:rsidRPr="00BF7BDF" w:rsidRDefault="00343D29" w:rsidP="00D22C02">
      <w:pPr>
        <w:pStyle w:val="Normal1"/>
        <w:spacing w:line="480" w:lineRule="auto"/>
        <w:jc w:val="both"/>
      </w:pPr>
      <w:r w:rsidRPr="00D22C02">
        <w:rPr>
          <w:rFonts w:eastAsia="Arial Unicode MS"/>
        </w:rPr>
        <w:t xml:space="preserve">Only 114 of 339 children (34%) fulfilled ≥ 3 Centor criteria, warranting </w:t>
      </w:r>
      <w:r w:rsidR="00F57037" w:rsidRPr="00D22C02">
        <w:rPr>
          <w:rFonts w:eastAsia="Arial Unicode MS"/>
          <w:lang w:val="en-GB"/>
        </w:rPr>
        <w:t xml:space="preserve">POCT </w:t>
      </w:r>
      <w:r w:rsidRPr="00D22C02">
        <w:rPr>
          <w:rFonts w:eastAsia="Arial Unicode MS"/>
        </w:rPr>
        <w:t xml:space="preserve">testing or empiric </w:t>
      </w:r>
      <w:r w:rsidRPr="00D22C02">
        <w:rPr>
          <w:rFonts w:eastAsia="Arial Unicode MS"/>
        </w:rPr>
        <w:lastRenderedPageBreak/>
        <w:t xml:space="preserve">treatment. The remaining 225 children (66%) had less than three criteria present: 8 (2%) fulfilled no criterion, 86 (25%) one and 133 (39%) two criteria. </w:t>
      </w:r>
    </w:p>
    <w:p w14:paraId="1805D146" w14:textId="77777777" w:rsidR="008D3ABB" w:rsidRPr="00BF7BDF" w:rsidRDefault="008D3ABB" w:rsidP="00D22C02">
      <w:pPr>
        <w:pStyle w:val="Normal1"/>
        <w:spacing w:line="480" w:lineRule="auto"/>
        <w:jc w:val="both"/>
      </w:pPr>
    </w:p>
    <w:p w14:paraId="323A1CEF" w14:textId="77777777" w:rsidR="008D3ABB" w:rsidRPr="00BF7BDF" w:rsidRDefault="00343D29" w:rsidP="00D22C02">
      <w:pPr>
        <w:pStyle w:val="Normal1"/>
        <w:spacing w:line="480" w:lineRule="auto"/>
        <w:jc w:val="both"/>
      </w:pPr>
      <w:r w:rsidRPr="00D22C02">
        <w:rPr>
          <w:rFonts w:eastAsia="Arial Unicode MS"/>
        </w:rPr>
        <w:t>With regards to the FeverPAIN criteria, tonsil inflammation was documented in 256 children (76%), absence of cough or coryza in 253 (75%), fever duration ≤ 3 days in 204 (60%), and purulent tonsils in 144 (42%). Only 168 (49%) of tested patients had 4 or more criteria, warranting testing or empiric treatment. Three cases (1%) fulfilled no criterion, 20 (6%) one, 58 (17%) two, and 90 (27%) three criteria.</w:t>
      </w:r>
    </w:p>
    <w:p w14:paraId="7A74C0A2" w14:textId="77777777" w:rsidR="008D3ABB" w:rsidRPr="00BF7BDF" w:rsidRDefault="008D3ABB" w:rsidP="00D22C02">
      <w:pPr>
        <w:pStyle w:val="Normal1"/>
        <w:spacing w:line="480" w:lineRule="auto"/>
        <w:jc w:val="both"/>
      </w:pPr>
    </w:p>
    <w:p w14:paraId="6C0EEF73" w14:textId="1F7C690B" w:rsidR="008D3ABB" w:rsidRPr="00BF7BDF" w:rsidRDefault="00343D29" w:rsidP="00D22C02">
      <w:pPr>
        <w:pStyle w:val="Normal1"/>
        <w:spacing w:line="480" w:lineRule="auto"/>
        <w:jc w:val="both"/>
      </w:pPr>
      <w:r w:rsidRPr="00D22C02">
        <w:rPr>
          <w:rFonts w:eastAsia="Arial Unicode MS"/>
        </w:rPr>
        <w:t xml:space="preserve">Of 282 children with ≥ </w:t>
      </w:r>
      <w:r w:rsidR="006D654C">
        <w:rPr>
          <w:rFonts w:eastAsia="Arial Unicode MS"/>
          <w:lang w:val="en-GB"/>
        </w:rPr>
        <w:t>3</w:t>
      </w:r>
      <w:r w:rsidRPr="00D22C02">
        <w:rPr>
          <w:rFonts w:eastAsia="Arial Unicode MS"/>
        </w:rPr>
        <w:t xml:space="preserve"> Centor or ≥ 4 FeverPAIN criteria, 101 (36%) had both ≥ 3 Centor and ≥ 4 FeverPAIN criteria. </w:t>
      </w:r>
    </w:p>
    <w:p w14:paraId="1404FE80" w14:textId="59DF907E" w:rsidR="008D3ABB" w:rsidRPr="00BF7BDF" w:rsidRDefault="009A7ADB" w:rsidP="00D22C02">
      <w:pPr>
        <w:pStyle w:val="Normal1"/>
        <w:spacing w:line="480" w:lineRule="auto"/>
        <w:jc w:val="both"/>
      </w:pPr>
      <w:r w:rsidRPr="009E026D">
        <w:t>The most common</w:t>
      </w:r>
      <w:proofErr w:type="spellStart"/>
      <w:r>
        <w:rPr>
          <w:lang w:val="en-GB"/>
        </w:rPr>
        <w:t>ly</w:t>
      </w:r>
      <w:proofErr w:type="spellEnd"/>
      <w:r w:rsidRPr="009E026D">
        <w:t xml:space="preserve"> listed diagnoses among children who received the POCT were as follows: tonsillitis (43%), viral illness, not otherwise specified (14%), upper respiratory tract infection (13%), Influenza or Influenza-like illness (3%), and Scarlet fever (2%). </w:t>
      </w:r>
      <w:r>
        <w:rPr>
          <w:lang w:val="en-GB"/>
        </w:rPr>
        <w:t>The diagnosis was missing in 2% of cases.</w:t>
      </w:r>
    </w:p>
    <w:p w14:paraId="1A8FBCF7" w14:textId="0C90CEA2" w:rsidR="0068297C" w:rsidRDefault="00343D29" w:rsidP="00D22C02">
      <w:pPr>
        <w:pStyle w:val="Normal1"/>
        <w:spacing w:line="480" w:lineRule="auto"/>
        <w:jc w:val="both"/>
        <w:rPr>
          <w:lang w:val="en-GB"/>
        </w:rPr>
      </w:pPr>
      <w:r w:rsidRPr="00BF7BDF">
        <w:t>The rate of invalid results</w:t>
      </w:r>
      <w:r w:rsidR="009A5899" w:rsidRPr="00BF7BDF">
        <w:rPr>
          <w:lang w:val="en-GB"/>
        </w:rPr>
        <w:t xml:space="preserve">, a technical issue often related to incorrect handling of </w:t>
      </w:r>
      <w:r w:rsidRPr="00BF7BDF">
        <w:t>the Alere i Strep A</w:t>
      </w:r>
      <w:r w:rsidR="009A5899" w:rsidRPr="00BF7BDF">
        <w:rPr>
          <w:lang w:val="en-GB"/>
        </w:rPr>
        <w:t>,</w:t>
      </w:r>
      <w:r w:rsidRPr="00BF7BDF">
        <w:t xml:space="preserve"> was 9% in our cohort. </w:t>
      </w:r>
      <w:r w:rsidR="00230FDF">
        <w:rPr>
          <w:lang w:val="en-GB"/>
        </w:rPr>
        <w:t>Figure 1 describes the flow of</w:t>
      </w:r>
      <w:r w:rsidR="00230FDF">
        <w:t xml:space="preserve"> of participants according to </w:t>
      </w:r>
      <w:r w:rsidR="002E2E23">
        <w:rPr>
          <w:lang w:val="en-GB"/>
        </w:rPr>
        <w:t>g</w:t>
      </w:r>
      <w:r w:rsidR="00230FDF">
        <w:t xml:space="preserve">roup A </w:t>
      </w:r>
      <w:r w:rsidR="00230FDF" w:rsidRPr="00174F39">
        <w:rPr>
          <w:i/>
        </w:rPr>
        <w:t>Streptococcus</w:t>
      </w:r>
      <w:r w:rsidR="00230FDF">
        <w:t xml:space="preserve"> POCT result</w:t>
      </w:r>
      <w:r w:rsidR="00230FDF">
        <w:rPr>
          <w:lang w:val="en-GB"/>
        </w:rPr>
        <w:t xml:space="preserve"> and</w:t>
      </w:r>
      <w:r w:rsidR="00230FDF" w:rsidRPr="00BF7BDF">
        <w:t xml:space="preserve"> outpatient antibiotic prescription</w:t>
      </w:r>
      <w:r w:rsidR="00230FDF">
        <w:rPr>
          <w:lang w:val="en-GB"/>
        </w:rPr>
        <w:t xml:space="preserve">. </w:t>
      </w:r>
      <w:r w:rsidRPr="00BF7BDF">
        <w:t>Of 308 cases with a valid POCT result, 70 (23%) had a positive result and 107 (35%) resulted in an outpatient antibiotic prescription. Ninety-one percent of patients with a positive GAS POCT result were prescribed an antibiotic</w:t>
      </w:r>
      <w:r w:rsidR="00F07607">
        <w:rPr>
          <w:lang w:val="en-GB"/>
        </w:rPr>
        <w:t xml:space="preserve"> (n = 64)</w:t>
      </w:r>
      <w:r w:rsidRPr="00BF7BDF">
        <w:t>, and 82% with a negative GAS POCT result did not receive a prescription</w:t>
      </w:r>
      <w:r w:rsidR="00F07607">
        <w:rPr>
          <w:lang w:val="en-GB"/>
        </w:rPr>
        <w:t xml:space="preserve"> (n = 195)</w:t>
      </w:r>
      <w:r w:rsidRPr="00BF7BDF">
        <w:t>. There was no documented outpatient prescription in 6 cases</w:t>
      </w:r>
      <w:r w:rsidR="00F07607">
        <w:rPr>
          <w:lang w:val="en-GB"/>
        </w:rPr>
        <w:t xml:space="preserve"> with positive POCT result</w:t>
      </w:r>
      <w:r w:rsidRPr="00BF7BDF">
        <w:t>; these patients either received intravenous antibiotics or were admitted to the pediatric ward. Fourty-three children were prescribed an antibiotic, in most cases targeting GAS</w:t>
      </w:r>
      <w:r w:rsidR="009259C6" w:rsidRPr="00BF7BDF">
        <w:rPr>
          <w:lang w:val="en-GB"/>
        </w:rPr>
        <w:t xml:space="preserve"> (penicillin)</w:t>
      </w:r>
      <w:r w:rsidRPr="00BF7BDF">
        <w:t xml:space="preserve">, despite a negative GAS POCT result. </w:t>
      </w:r>
      <w:r w:rsidR="007854BA" w:rsidRPr="00BF7BDF">
        <w:rPr>
          <w:lang w:val="en-GB"/>
        </w:rPr>
        <w:t>Of 107 patients who received an antibiotic in this cohort, 43 (40%) had a</w:t>
      </w:r>
      <w:r w:rsidR="00FC0791" w:rsidRPr="00BF7BDF">
        <w:rPr>
          <w:lang w:val="en-GB"/>
        </w:rPr>
        <w:t xml:space="preserve"> negative GAS POCT result.</w:t>
      </w:r>
    </w:p>
    <w:p w14:paraId="376FC1A4" w14:textId="6E38756F" w:rsidR="008D3ABB" w:rsidRDefault="0068297C" w:rsidP="00D22C02">
      <w:pPr>
        <w:pStyle w:val="Normal1"/>
        <w:spacing w:line="480" w:lineRule="auto"/>
        <w:jc w:val="both"/>
      </w:pPr>
      <w:r>
        <w:rPr>
          <w:lang w:val="en-GB"/>
        </w:rPr>
        <w:t>There was a strong and significant association between POCT result and antibiotic prescribing</w:t>
      </w:r>
      <w:r w:rsidR="002C6068">
        <w:rPr>
          <w:lang w:val="en-GB"/>
        </w:rPr>
        <w:t xml:space="preserve">: </w:t>
      </w:r>
      <w:r w:rsidR="002C6068" w:rsidRPr="009E026D">
        <w:rPr>
          <w:lang w:val="en-GB"/>
        </w:rPr>
        <w:t>64 of 70 (91%) children with a positive result</w:t>
      </w:r>
      <w:r w:rsidR="002C6068">
        <w:rPr>
          <w:lang w:val="en-GB"/>
        </w:rPr>
        <w:t xml:space="preserve"> received a prescription</w:t>
      </w:r>
      <w:r w:rsidR="002C6068" w:rsidRPr="009E026D">
        <w:rPr>
          <w:lang w:val="en-GB"/>
        </w:rPr>
        <w:t xml:space="preserve">, compared </w:t>
      </w:r>
      <w:r w:rsidR="00C433B8">
        <w:rPr>
          <w:lang w:val="en-GB"/>
        </w:rPr>
        <w:lastRenderedPageBreak/>
        <w:t>with</w:t>
      </w:r>
      <w:bookmarkStart w:id="6" w:name="_GoBack"/>
      <w:bookmarkEnd w:id="6"/>
      <w:r w:rsidR="002C6068" w:rsidRPr="009E026D">
        <w:rPr>
          <w:lang w:val="en-GB"/>
        </w:rPr>
        <w:t xml:space="preserve"> 43 of 238 (18%) children with a negative result</w:t>
      </w:r>
      <w:r w:rsidR="002C6068">
        <w:rPr>
          <w:lang w:val="en-GB"/>
        </w:rPr>
        <w:t xml:space="preserve"> (odds ratio </w:t>
      </w:r>
      <w:r w:rsidR="00217040">
        <w:rPr>
          <w:lang w:val="en-GB"/>
        </w:rPr>
        <w:t xml:space="preserve">[OR] </w:t>
      </w:r>
      <w:r w:rsidR="002C6068">
        <w:rPr>
          <w:lang w:val="en-GB"/>
        </w:rPr>
        <w:t xml:space="preserve">48, </w:t>
      </w:r>
      <w:r w:rsidR="00070929">
        <w:rPr>
          <w:lang w:val="en-GB"/>
        </w:rPr>
        <w:t xml:space="preserve">95% </w:t>
      </w:r>
      <w:r w:rsidR="002C6068">
        <w:rPr>
          <w:lang w:val="en-GB"/>
        </w:rPr>
        <w:t>confidence interval</w:t>
      </w:r>
      <w:r w:rsidR="00217040">
        <w:rPr>
          <w:lang w:val="en-GB"/>
        </w:rPr>
        <w:t xml:space="preserve"> [CI]</w:t>
      </w:r>
      <w:r w:rsidR="002C6068">
        <w:rPr>
          <w:lang w:val="en-GB"/>
        </w:rPr>
        <w:t xml:space="preserve"> 20–119).</w:t>
      </w:r>
      <w:r w:rsidR="00217040">
        <w:rPr>
          <w:lang w:val="en-GB"/>
        </w:rPr>
        <w:t xml:space="preserve"> </w:t>
      </w:r>
      <w:bookmarkStart w:id="7" w:name="_Hlk532822277"/>
      <w:r w:rsidR="00E35278">
        <w:rPr>
          <w:lang w:val="en-GB"/>
        </w:rPr>
        <w:t>In</w:t>
      </w:r>
      <w:r w:rsidR="00217040">
        <w:rPr>
          <w:lang w:val="en-GB"/>
        </w:rPr>
        <w:t xml:space="preserve"> contrast, </w:t>
      </w:r>
      <w:r w:rsidR="000E564F">
        <w:rPr>
          <w:lang w:val="en-GB"/>
        </w:rPr>
        <w:t xml:space="preserve">the association between </w:t>
      </w:r>
      <w:r w:rsidR="00217040">
        <w:rPr>
          <w:lang w:val="en-GB"/>
        </w:rPr>
        <w:t xml:space="preserve">clinical </w:t>
      </w:r>
      <w:r w:rsidR="000E564F">
        <w:rPr>
          <w:lang w:val="en-GB"/>
        </w:rPr>
        <w:t>criteria</w:t>
      </w:r>
      <w:r w:rsidR="00217040">
        <w:rPr>
          <w:lang w:val="en-GB"/>
        </w:rPr>
        <w:t xml:space="preserve"> </w:t>
      </w:r>
      <w:r w:rsidR="000E564F">
        <w:rPr>
          <w:lang w:val="en-GB"/>
        </w:rPr>
        <w:t xml:space="preserve">and antibiotic prescribing was of a lesser magnitude. It was significant for the following factors: age </w:t>
      </w:r>
      <w:r w:rsidR="006D654C" w:rsidRPr="00D22C02">
        <w:rPr>
          <w:rFonts w:eastAsia="Arial Unicode MS"/>
        </w:rPr>
        <w:t>≥</w:t>
      </w:r>
      <w:r w:rsidR="006D654C">
        <w:rPr>
          <w:rFonts w:eastAsia="Arial Unicode MS"/>
          <w:lang w:val="en-GB"/>
        </w:rPr>
        <w:t xml:space="preserve"> 3 years </w:t>
      </w:r>
      <w:r w:rsidR="000E564F">
        <w:rPr>
          <w:lang w:val="en-GB"/>
        </w:rPr>
        <w:t xml:space="preserve">(OR 3.11, CI 1.90-5.08), </w:t>
      </w:r>
      <w:r w:rsidR="006D654C" w:rsidRPr="00D22C02">
        <w:rPr>
          <w:rFonts w:eastAsia="Arial Unicode MS"/>
        </w:rPr>
        <w:t>≥</w:t>
      </w:r>
      <w:r w:rsidR="006D654C">
        <w:rPr>
          <w:rFonts w:eastAsia="Arial Unicode MS"/>
          <w:lang w:val="en-GB"/>
        </w:rPr>
        <w:t xml:space="preserve"> 3 </w:t>
      </w:r>
      <w:r w:rsidR="000E564F">
        <w:rPr>
          <w:lang w:val="en-GB"/>
        </w:rPr>
        <w:t xml:space="preserve">Centor criteria (OR 2.30, CI 1.41-3.76) and </w:t>
      </w:r>
      <w:r w:rsidR="006D654C" w:rsidRPr="00D22C02">
        <w:rPr>
          <w:rFonts w:eastAsia="Arial Unicode MS"/>
        </w:rPr>
        <w:t>≥</w:t>
      </w:r>
      <w:r w:rsidR="006D654C">
        <w:rPr>
          <w:rFonts w:eastAsia="Arial Unicode MS"/>
          <w:lang w:val="en-GB"/>
        </w:rPr>
        <w:t xml:space="preserve"> 4 </w:t>
      </w:r>
      <w:proofErr w:type="spellStart"/>
      <w:r w:rsidR="000E564F">
        <w:rPr>
          <w:lang w:val="en-GB"/>
        </w:rPr>
        <w:t>FeverPAIN</w:t>
      </w:r>
      <w:proofErr w:type="spellEnd"/>
      <w:r w:rsidR="000E564F">
        <w:rPr>
          <w:lang w:val="en-GB"/>
        </w:rPr>
        <w:t xml:space="preserve"> criteria (OR 1.77, CI 1.10-2.85). Patient sex was not associated with outpatient antibiotic prescribing (OR 0.84, CI 0.52-1.34). </w:t>
      </w:r>
      <w:bookmarkEnd w:id="7"/>
      <w:r w:rsidR="00343D29" w:rsidRPr="00BF7BDF">
        <w:t>Neither score, as used in this cohort, performed well in the prediction of a positive POCT result. The area under the ROC curve was 0.6</w:t>
      </w:r>
      <w:r w:rsidR="0099714D">
        <w:rPr>
          <w:lang w:val="en-GB"/>
        </w:rPr>
        <w:t>2 (CI 0.53-0.69)</w:t>
      </w:r>
      <w:r w:rsidR="00343D29" w:rsidRPr="00BF7BDF">
        <w:t xml:space="preserve"> for </w:t>
      </w:r>
      <w:r w:rsidR="00B44A38" w:rsidRPr="00BF7BDF">
        <w:rPr>
          <w:lang w:val="en-GB"/>
        </w:rPr>
        <w:t xml:space="preserve">the </w:t>
      </w:r>
      <w:r w:rsidR="00343D29" w:rsidRPr="00BF7BDF">
        <w:t>Centor score and 0.5</w:t>
      </w:r>
      <w:r w:rsidR="0099714D">
        <w:rPr>
          <w:lang w:val="en-GB"/>
        </w:rPr>
        <w:t>7 (CI 0.49-0.65)</w:t>
      </w:r>
      <w:r w:rsidR="00343D29" w:rsidRPr="00BF7BDF">
        <w:t xml:space="preserve"> for </w:t>
      </w:r>
      <w:r w:rsidR="00B44A38" w:rsidRPr="00BF7BDF">
        <w:rPr>
          <w:lang w:val="en-GB"/>
        </w:rPr>
        <w:t xml:space="preserve">the </w:t>
      </w:r>
      <w:r w:rsidR="00343D29" w:rsidRPr="00BF7BDF">
        <w:t>FeverPAIN score.</w:t>
      </w:r>
    </w:p>
    <w:p w14:paraId="7C46BB0A" w14:textId="77777777" w:rsidR="00A306E7" w:rsidRPr="00BF7BDF" w:rsidRDefault="00A306E7" w:rsidP="00D22C02">
      <w:pPr>
        <w:pStyle w:val="Normal1"/>
        <w:spacing w:line="480" w:lineRule="auto"/>
        <w:jc w:val="both"/>
      </w:pPr>
    </w:p>
    <w:p w14:paraId="55647F54" w14:textId="77777777" w:rsidR="008D3ABB" w:rsidRDefault="00343D29">
      <w:pPr>
        <w:pStyle w:val="Normal1"/>
        <w:rPr>
          <w:b/>
        </w:rPr>
      </w:pPr>
      <w:r>
        <w:rPr>
          <w:b/>
        </w:rPr>
        <w:t>Discussion</w:t>
      </w:r>
    </w:p>
    <w:p w14:paraId="0C5AFFB5" w14:textId="77777777" w:rsidR="00D22C02" w:rsidRDefault="00D22C02">
      <w:pPr>
        <w:pStyle w:val="Normal1"/>
        <w:rPr>
          <w:b/>
        </w:rPr>
      </w:pPr>
    </w:p>
    <w:p w14:paraId="63D249B4" w14:textId="072C0A0C" w:rsidR="00230FDF" w:rsidRDefault="0068135D" w:rsidP="00D22C02">
      <w:pPr>
        <w:pStyle w:val="Normal1"/>
        <w:spacing w:line="480" w:lineRule="auto"/>
        <w:jc w:val="both"/>
        <w:rPr>
          <w:lang w:val="en-GB"/>
        </w:rPr>
      </w:pPr>
      <w:bookmarkStart w:id="8" w:name="_Hlk531187803"/>
      <w:bookmarkStart w:id="9" w:name="_Hlk531183420"/>
      <w:r>
        <w:rPr>
          <w:lang w:val="en-GB"/>
        </w:rPr>
        <w:t xml:space="preserve">In our cohort, GAS POCT results were highly associated with antibiotic prescribing. </w:t>
      </w:r>
      <w:r w:rsidR="00230FDF">
        <w:rPr>
          <w:lang w:val="en-GB"/>
        </w:rPr>
        <w:t xml:space="preserve">Moreover, only 35% of children with suspected tonsillitis in this cohort were prescribed antibiotics, compared to 60% during the 2014–2015 winter season (CABIN </w:t>
      </w:r>
      <w:r w:rsidR="005D6D6F">
        <w:rPr>
          <w:lang w:val="en-GB"/>
        </w:rPr>
        <w:t>2</w:t>
      </w:r>
      <w:r w:rsidR="00230FDF">
        <w:rPr>
          <w:lang w:val="en-GB"/>
        </w:rPr>
        <w:t xml:space="preserve"> </w:t>
      </w:r>
      <w:r w:rsidR="009A7ADB">
        <w:rPr>
          <w:lang w:val="en-GB"/>
        </w:rPr>
        <w:t xml:space="preserve">unpublished </w:t>
      </w:r>
      <w:r w:rsidR="00230FDF">
        <w:rPr>
          <w:lang w:val="en-GB"/>
        </w:rPr>
        <w:t xml:space="preserve">data). While case-mix could not be adjusted for, this </w:t>
      </w:r>
      <w:r w:rsidR="009A7ADB">
        <w:rPr>
          <w:lang w:val="en-GB"/>
        </w:rPr>
        <w:t xml:space="preserve">likely reflects improved antibiotic stewardship. These results highlight the potential role for a rapid POCT in improving antibiotic use in </w:t>
      </w:r>
      <w:proofErr w:type="spellStart"/>
      <w:r w:rsidR="009A7ADB">
        <w:rPr>
          <w:lang w:val="en-GB"/>
        </w:rPr>
        <w:t>pediatric</w:t>
      </w:r>
      <w:proofErr w:type="spellEnd"/>
      <w:r w:rsidR="009A7ADB">
        <w:rPr>
          <w:lang w:val="en-GB"/>
        </w:rPr>
        <w:t xml:space="preserve"> tonsillitis cases</w:t>
      </w:r>
      <w:r w:rsidR="00347E63">
        <w:rPr>
          <w:lang w:val="en-GB"/>
        </w:rPr>
        <w:t xml:space="preserve"> in the UK</w:t>
      </w:r>
      <w:r w:rsidR="009A7ADB">
        <w:rPr>
          <w:lang w:val="en-GB"/>
        </w:rPr>
        <w:t>.</w:t>
      </w:r>
    </w:p>
    <w:bookmarkEnd w:id="8"/>
    <w:p w14:paraId="703A24C3" w14:textId="5BC38D6A" w:rsidR="0068135D" w:rsidRDefault="00010D57" w:rsidP="00D22C02">
      <w:pPr>
        <w:pStyle w:val="Normal1"/>
        <w:spacing w:line="480" w:lineRule="auto"/>
        <w:jc w:val="both"/>
        <w:rPr>
          <w:lang w:val="en-GB"/>
        </w:rPr>
      </w:pPr>
      <w:r>
        <w:rPr>
          <w:lang w:val="en-GB"/>
        </w:rPr>
        <w:t>In contrast, t</w:t>
      </w:r>
      <w:r w:rsidR="0068135D">
        <w:rPr>
          <w:lang w:val="en-GB"/>
        </w:rPr>
        <w:t xml:space="preserve">he high proportion of cases that did not fulfil enough Centor or </w:t>
      </w:r>
      <w:proofErr w:type="spellStart"/>
      <w:r w:rsidR="0068135D">
        <w:rPr>
          <w:lang w:val="en-GB"/>
        </w:rPr>
        <w:t>FeverPAIN</w:t>
      </w:r>
      <w:proofErr w:type="spellEnd"/>
      <w:r w:rsidR="0068135D">
        <w:rPr>
          <w:lang w:val="en-GB"/>
        </w:rPr>
        <w:t xml:space="preserve"> criteria to justify testing or empiric antibiotic prescribing, 66% and 51% respectively, suggests </w:t>
      </w:r>
      <w:r w:rsidR="00A10AEC">
        <w:rPr>
          <w:lang w:val="en-GB"/>
        </w:rPr>
        <w:t xml:space="preserve">these </w:t>
      </w:r>
      <w:r w:rsidR="0068135D">
        <w:rPr>
          <w:lang w:val="en-GB"/>
        </w:rPr>
        <w:t xml:space="preserve">algorithms based on symptoms and signs </w:t>
      </w:r>
      <w:r w:rsidR="00A10AEC">
        <w:rPr>
          <w:lang w:val="en-GB"/>
        </w:rPr>
        <w:t>were</w:t>
      </w:r>
      <w:r w:rsidR="0068135D">
        <w:rPr>
          <w:lang w:val="en-GB"/>
        </w:rPr>
        <w:t xml:space="preserve"> not consistently followed</w:t>
      </w:r>
      <w:r w:rsidR="00996A83">
        <w:rPr>
          <w:lang w:val="en-GB"/>
        </w:rPr>
        <w:t xml:space="preserve">, </w:t>
      </w:r>
      <w:r>
        <w:rPr>
          <w:lang w:val="en-GB"/>
        </w:rPr>
        <w:t xml:space="preserve">and </w:t>
      </w:r>
      <w:r w:rsidR="00996A83">
        <w:rPr>
          <w:lang w:val="en-GB"/>
        </w:rPr>
        <w:t>present an opportunity for improvement in diagnostic stewardship in this setting.</w:t>
      </w:r>
    </w:p>
    <w:bookmarkEnd w:id="9"/>
    <w:p w14:paraId="5556A010" w14:textId="0FD04ECC" w:rsidR="008D3ABB" w:rsidRDefault="008D3ABB" w:rsidP="00D22C02">
      <w:pPr>
        <w:pStyle w:val="Normal1"/>
        <w:spacing w:line="480" w:lineRule="auto"/>
        <w:jc w:val="both"/>
      </w:pPr>
    </w:p>
    <w:p w14:paraId="77477BBF" w14:textId="6B868A92" w:rsidR="008D3ABB" w:rsidRPr="001049BC" w:rsidRDefault="00010D57" w:rsidP="00D22C02">
      <w:pPr>
        <w:pStyle w:val="Normal1"/>
        <w:spacing w:line="480" w:lineRule="auto"/>
        <w:jc w:val="both"/>
        <w:rPr>
          <w:lang w:val="en-GB"/>
        </w:rPr>
      </w:pPr>
      <w:r>
        <w:rPr>
          <w:lang w:val="en-GB"/>
        </w:rPr>
        <w:t>Our results are consistent with other reports of</w:t>
      </w:r>
      <w:r w:rsidR="00C028E3">
        <w:rPr>
          <w:lang w:val="en-GB"/>
        </w:rPr>
        <w:t xml:space="preserve"> a GAS</w:t>
      </w:r>
      <w:r>
        <w:rPr>
          <w:lang w:val="en-GB"/>
        </w:rPr>
        <w:t xml:space="preserve"> POCT </w:t>
      </w:r>
      <w:r w:rsidR="00347E63">
        <w:rPr>
          <w:lang w:val="en-GB"/>
        </w:rPr>
        <w:t xml:space="preserve">used </w:t>
      </w:r>
      <w:r w:rsidR="00C028E3">
        <w:rPr>
          <w:lang w:val="en-GB"/>
        </w:rPr>
        <w:t>to</w:t>
      </w:r>
      <w:r>
        <w:rPr>
          <w:lang w:val="en-GB"/>
        </w:rPr>
        <w:t xml:space="preserve"> </w:t>
      </w:r>
      <w:r w:rsidR="00C028E3">
        <w:rPr>
          <w:lang w:val="en-GB"/>
        </w:rPr>
        <w:t>support</w:t>
      </w:r>
      <w:r>
        <w:rPr>
          <w:lang w:val="en-GB"/>
        </w:rPr>
        <w:t xml:space="preserve"> appropriate </w:t>
      </w:r>
      <w:r w:rsidR="001049BC">
        <w:rPr>
          <w:lang w:val="en-GB"/>
        </w:rPr>
        <w:t xml:space="preserve">antibiotic prescribing [8]. This evaluation of the pragmatic implementation of a novel diagnostic was coupled with </w:t>
      </w:r>
      <w:r w:rsidR="001049BC">
        <w:t xml:space="preserve">a qualitative analysis </w:t>
      </w:r>
      <w:r w:rsidR="00A306E7">
        <w:rPr>
          <w:lang w:val="en-GB"/>
        </w:rPr>
        <w:t>describing</w:t>
      </w:r>
      <w:r w:rsidR="001049BC">
        <w:t xml:space="preserve"> the knowledge, attitudes and practices of families and clinicians to the care provided in the emergency department. </w:t>
      </w:r>
      <w:r w:rsidR="00347E63">
        <w:rPr>
          <w:lang w:val="en-GB"/>
        </w:rPr>
        <w:t>It</w:t>
      </w:r>
      <w:r w:rsidR="001049BC">
        <w:t xml:space="preserve"> included questionnaires about the acceptability of POCT in this setting</w:t>
      </w:r>
      <w:r w:rsidR="001049BC">
        <w:rPr>
          <w:lang w:val="en-GB"/>
        </w:rPr>
        <w:t xml:space="preserve"> </w:t>
      </w:r>
      <w:r w:rsidR="001049BC">
        <w:t>[</w:t>
      </w:r>
      <w:r w:rsidR="001049BC">
        <w:rPr>
          <w:lang w:val="en-GB"/>
        </w:rPr>
        <w:t>9</w:t>
      </w:r>
      <w:r w:rsidR="001049BC">
        <w:t>].</w:t>
      </w:r>
    </w:p>
    <w:p w14:paraId="583B0F11" w14:textId="0BF899EF" w:rsidR="008D3ABB" w:rsidRDefault="00B44A38" w:rsidP="00D22C02">
      <w:pPr>
        <w:pStyle w:val="Normal1"/>
        <w:spacing w:line="480" w:lineRule="auto"/>
        <w:jc w:val="both"/>
      </w:pPr>
      <w:r>
        <w:rPr>
          <w:lang w:val="en-GB"/>
        </w:rPr>
        <w:t xml:space="preserve">A formal cost-effectiveness analysis was not undertaken as the POCT was immediately </w:t>
      </w:r>
      <w:r>
        <w:rPr>
          <w:lang w:val="en-GB"/>
        </w:rPr>
        <w:lastRenderedPageBreak/>
        <w:t xml:space="preserve">deemed too expensive by clinicians to justify long-term adoption </w:t>
      </w:r>
      <w:r w:rsidR="00C028E3">
        <w:rPr>
          <w:lang w:val="en-GB"/>
        </w:rPr>
        <w:t xml:space="preserve">at </w:t>
      </w:r>
      <w:r>
        <w:rPr>
          <w:lang w:val="en-GB"/>
        </w:rPr>
        <w:t xml:space="preserve">this </w:t>
      </w:r>
      <w:proofErr w:type="spellStart"/>
      <w:r w:rsidR="00F35E70">
        <w:rPr>
          <w:lang w:val="en-GB"/>
        </w:rPr>
        <w:t>center</w:t>
      </w:r>
      <w:proofErr w:type="spellEnd"/>
      <w:r>
        <w:rPr>
          <w:lang w:val="en-GB"/>
        </w:rPr>
        <w:t>.</w:t>
      </w:r>
    </w:p>
    <w:p w14:paraId="304878CE" w14:textId="065E930B" w:rsidR="008D3ABB" w:rsidRDefault="008D3ABB">
      <w:pPr>
        <w:pStyle w:val="Normal1"/>
      </w:pPr>
    </w:p>
    <w:p w14:paraId="674F40B7" w14:textId="77777777" w:rsidR="008D3ABB" w:rsidRDefault="008D3ABB">
      <w:pPr>
        <w:pStyle w:val="Normal1"/>
      </w:pPr>
    </w:p>
    <w:p w14:paraId="66728A10" w14:textId="1B45FBEC" w:rsidR="008D3ABB" w:rsidRDefault="0052122E" w:rsidP="008E4163">
      <w:pPr>
        <w:pStyle w:val="Normal1"/>
        <w:spacing w:line="480" w:lineRule="auto"/>
        <w:jc w:val="both"/>
      </w:pPr>
      <w:bookmarkStart w:id="10" w:name="_Hlk532824106"/>
      <w:r>
        <w:rPr>
          <w:lang w:val="en-GB"/>
        </w:rPr>
        <w:t>A</w:t>
      </w:r>
      <w:r w:rsidR="00343D29">
        <w:t xml:space="preserve"> limitation of this study was the </w:t>
      </w:r>
      <w:r w:rsidR="00070929">
        <w:rPr>
          <w:lang w:val="en-GB"/>
        </w:rPr>
        <w:t xml:space="preserve">reliance </w:t>
      </w:r>
      <w:r w:rsidR="00343D29">
        <w:t>on health records for documentation of Centor and FeverPAIN criteria</w:t>
      </w:r>
      <w:r w:rsidR="00070929">
        <w:rPr>
          <w:lang w:val="en-GB"/>
        </w:rPr>
        <w:t>. D</w:t>
      </w:r>
      <w:r w:rsidR="00343D29">
        <w:t xml:space="preserve">ata collection was </w:t>
      </w:r>
      <w:r w:rsidR="00070929">
        <w:rPr>
          <w:lang w:val="en-GB"/>
        </w:rPr>
        <w:t xml:space="preserve">therefore </w:t>
      </w:r>
      <w:r w:rsidR="00343D29">
        <w:t xml:space="preserve">affected by the quality of clinical documentation, including missing data. </w:t>
      </w:r>
      <w:bookmarkEnd w:id="10"/>
      <w:r w:rsidR="00343D29">
        <w:t>For example, where tonsil inflammation was documented, it was assumed to be severe. This may have led to an overestimation of the true number of patients with enough criteria to warrant testing.</w:t>
      </w:r>
      <w:r w:rsidR="00F1292D">
        <w:rPr>
          <w:lang w:val="en-GB"/>
        </w:rPr>
        <w:t xml:space="preserve"> </w:t>
      </w:r>
      <w:r w:rsidR="005B00BF">
        <w:rPr>
          <w:lang w:val="en-GB"/>
        </w:rPr>
        <w:t>Another example was t</w:t>
      </w:r>
      <w:r w:rsidR="00F1292D">
        <w:t>he low documentation rate for sore throat</w:t>
      </w:r>
      <w:r w:rsidR="005B00BF">
        <w:rPr>
          <w:lang w:val="en-GB"/>
        </w:rPr>
        <w:t xml:space="preserve">, </w:t>
      </w:r>
      <w:r w:rsidR="00F1292D">
        <w:t>partially explained by the large proportion of young patients unable to verbalise symptoms and by poor</w:t>
      </w:r>
      <w:r w:rsidR="005B00BF">
        <w:rPr>
          <w:lang w:val="en-GB"/>
        </w:rPr>
        <w:t xml:space="preserve"> documentation.</w:t>
      </w:r>
      <w:r w:rsidR="00CA37C2">
        <w:rPr>
          <w:lang w:val="en-GB"/>
        </w:rPr>
        <w:t xml:space="preserve"> </w:t>
      </w:r>
      <w:bookmarkStart w:id="11" w:name="_Hlk532821318"/>
      <w:r w:rsidR="00E9623E">
        <w:rPr>
          <w:lang w:val="en-GB"/>
        </w:rPr>
        <w:t xml:space="preserve">Finally, </w:t>
      </w:r>
      <w:r w:rsidR="00CE6AB7">
        <w:rPr>
          <w:lang w:val="en-GB"/>
        </w:rPr>
        <w:t xml:space="preserve">POCT was performed in many cases </w:t>
      </w:r>
      <w:r w:rsidR="00E9623E">
        <w:rPr>
          <w:lang w:val="en-GB"/>
        </w:rPr>
        <w:t>despite the lack of sufficient</w:t>
      </w:r>
      <w:r w:rsidR="00CE6AB7">
        <w:rPr>
          <w:lang w:val="en-GB"/>
        </w:rPr>
        <w:t xml:space="preserve"> Centor and </w:t>
      </w:r>
      <w:proofErr w:type="spellStart"/>
      <w:r w:rsidR="00CE6AB7">
        <w:rPr>
          <w:lang w:val="en-GB"/>
        </w:rPr>
        <w:t>FeverPAIN</w:t>
      </w:r>
      <w:proofErr w:type="spellEnd"/>
      <w:r w:rsidR="00CE6AB7">
        <w:rPr>
          <w:lang w:val="en-GB"/>
        </w:rPr>
        <w:t xml:space="preserve"> criteria, and t</w:t>
      </w:r>
      <w:r w:rsidR="00CA37C2">
        <w:rPr>
          <w:lang w:val="en-GB"/>
        </w:rPr>
        <w:t>he number of eligible patients who did not receive the POCT test is unknown</w:t>
      </w:r>
      <w:r w:rsidR="00E9623E">
        <w:rPr>
          <w:lang w:val="en-GB"/>
        </w:rPr>
        <w:t>;</w:t>
      </w:r>
      <w:r w:rsidR="00CE6AB7">
        <w:rPr>
          <w:lang w:val="en-GB"/>
        </w:rPr>
        <w:t xml:space="preserve"> </w:t>
      </w:r>
      <w:r w:rsidR="00E9623E">
        <w:rPr>
          <w:lang w:val="en-GB"/>
        </w:rPr>
        <w:t>t</w:t>
      </w:r>
      <w:r w:rsidR="00CE6AB7">
        <w:rPr>
          <w:lang w:val="en-GB"/>
        </w:rPr>
        <w:t>his raises the possibility of selection bias in the study.</w:t>
      </w:r>
      <w:bookmarkEnd w:id="11"/>
      <w:r w:rsidR="00E9623E">
        <w:rPr>
          <w:lang w:val="en-GB"/>
        </w:rPr>
        <w:t xml:space="preserve"> </w:t>
      </w:r>
      <w:r w:rsidR="00343D29">
        <w:t xml:space="preserve">The performance of </w:t>
      </w:r>
      <w:r>
        <w:rPr>
          <w:lang w:val="en-GB"/>
        </w:rPr>
        <w:t>the two</w:t>
      </w:r>
      <w:r>
        <w:t xml:space="preserve"> </w:t>
      </w:r>
      <w:r w:rsidR="00343D29">
        <w:t xml:space="preserve">clinical scores in our cohort should </w:t>
      </w:r>
      <w:r>
        <w:rPr>
          <w:lang w:val="en-GB"/>
        </w:rPr>
        <w:t>be interp</w:t>
      </w:r>
      <w:r w:rsidR="00EB2D8F">
        <w:rPr>
          <w:lang w:val="en-GB"/>
        </w:rPr>
        <w:t>r</w:t>
      </w:r>
      <w:r>
        <w:rPr>
          <w:lang w:val="en-GB"/>
        </w:rPr>
        <w:t>eted</w:t>
      </w:r>
      <w:r>
        <w:t xml:space="preserve"> </w:t>
      </w:r>
      <w:r w:rsidR="00DA4477">
        <w:rPr>
          <w:lang w:val="en-GB"/>
        </w:rPr>
        <w:t>cautiously</w:t>
      </w:r>
      <w:r w:rsidR="00343D29">
        <w:t xml:space="preserve"> in view of these limitations.</w:t>
      </w:r>
    </w:p>
    <w:p w14:paraId="04DA84AD" w14:textId="77777777" w:rsidR="00932611" w:rsidRDefault="00932611" w:rsidP="008E4163">
      <w:pPr>
        <w:pStyle w:val="Normal1"/>
        <w:spacing w:line="480" w:lineRule="auto"/>
        <w:jc w:val="both"/>
        <w:rPr>
          <w:lang w:val="en-GB"/>
        </w:rPr>
      </w:pPr>
    </w:p>
    <w:p w14:paraId="01D79558" w14:textId="0EFC0F14" w:rsidR="008D3ABB" w:rsidRDefault="00C028E3" w:rsidP="008E4163">
      <w:pPr>
        <w:pStyle w:val="Normal1"/>
        <w:spacing w:line="480" w:lineRule="auto"/>
        <w:jc w:val="both"/>
        <w:rPr>
          <w:lang w:val="en-GB"/>
        </w:rPr>
      </w:pPr>
      <w:bookmarkStart w:id="12" w:name="_Hlk532839029"/>
      <w:bookmarkStart w:id="13" w:name="_Hlk532839090"/>
      <w:r>
        <w:rPr>
          <w:lang w:val="en-GB"/>
        </w:rPr>
        <w:t>It is important to note that t</w:t>
      </w:r>
      <w:r w:rsidR="00343D29">
        <w:t xml:space="preserve">he Centor criteria were </w:t>
      </w:r>
      <w:r w:rsidR="00217326">
        <w:rPr>
          <w:lang w:val="en-GB"/>
        </w:rPr>
        <w:t>not</w:t>
      </w:r>
      <w:r w:rsidR="00343D29">
        <w:t xml:space="preserve"> designed for use in persons younger than 16 years</w:t>
      </w:r>
      <w:r w:rsidR="00217326">
        <w:rPr>
          <w:lang w:val="en-GB"/>
        </w:rPr>
        <w:t xml:space="preserve"> [4], and were not validated in some </w:t>
      </w:r>
      <w:proofErr w:type="spellStart"/>
      <w:r w:rsidR="00217326">
        <w:rPr>
          <w:lang w:val="en-GB"/>
        </w:rPr>
        <w:t>pediatric</w:t>
      </w:r>
      <w:proofErr w:type="spellEnd"/>
      <w:r w:rsidR="00217326">
        <w:rPr>
          <w:lang w:val="en-GB"/>
        </w:rPr>
        <w:t xml:space="preserve"> studies</w:t>
      </w:r>
      <w:r w:rsidR="00343D29">
        <w:t xml:space="preserve"> </w:t>
      </w:r>
      <w:bookmarkEnd w:id="12"/>
      <w:r w:rsidR="00343D29">
        <w:t>[</w:t>
      </w:r>
      <w:r w:rsidR="00451BFF">
        <w:rPr>
          <w:lang w:val="en-GB"/>
        </w:rPr>
        <w:t>10</w:t>
      </w:r>
      <w:r w:rsidR="00343D29">
        <w:t>]</w:t>
      </w:r>
      <w:bookmarkEnd w:id="13"/>
      <w:r w:rsidR="0052122E">
        <w:rPr>
          <w:lang w:val="en-GB"/>
        </w:rPr>
        <w:t>;</w:t>
      </w:r>
      <w:r w:rsidR="00343D29">
        <w:t xml:space="preserve"> the FeverPAIN criteria</w:t>
      </w:r>
      <w:r w:rsidR="0052122E">
        <w:rPr>
          <w:lang w:val="en-GB"/>
        </w:rPr>
        <w:t xml:space="preserve"> have also not been assessed</w:t>
      </w:r>
      <w:r w:rsidR="00343D29">
        <w:t xml:space="preserve"> in children younger than 3 years [</w:t>
      </w:r>
      <w:r w:rsidR="00451BFF">
        <w:rPr>
          <w:lang w:val="en-GB"/>
        </w:rPr>
        <w:t>5</w:t>
      </w:r>
      <w:r w:rsidR="00343D29">
        <w:t>]. Hence</w:t>
      </w:r>
      <w:r w:rsidR="0052122E">
        <w:rPr>
          <w:lang w:val="en-GB"/>
        </w:rPr>
        <w:t>,</w:t>
      </w:r>
      <w:r w:rsidR="00343D29">
        <w:t xml:space="preserve"> there might be clinical justification for clinicians to test for GAS without relying on these clinical scores.</w:t>
      </w:r>
      <w:r w:rsidR="00DF7D69">
        <w:rPr>
          <w:lang w:val="en-GB"/>
        </w:rPr>
        <w:t xml:space="preserve"> </w:t>
      </w:r>
    </w:p>
    <w:p w14:paraId="52831D13" w14:textId="77777777" w:rsidR="00932611" w:rsidRDefault="00932611" w:rsidP="008E4163">
      <w:pPr>
        <w:pStyle w:val="Normal1"/>
        <w:spacing w:line="480" w:lineRule="auto"/>
        <w:jc w:val="both"/>
      </w:pPr>
    </w:p>
    <w:p w14:paraId="46890618" w14:textId="287F93D3" w:rsidR="008D3ABB" w:rsidRDefault="00343D29" w:rsidP="008E4163">
      <w:pPr>
        <w:pStyle w:val="Normal1"/>
        <w:spacing w:line="480" w:lineRule="auto"/>
        <w:jc w:val="both"/>
      </w:pPr>
      <w:bookmarkStart w:id="14" w:name="_Hlk531021422"/>
      <w:r>
        <w:t xml:space="preserve">In the </w:t>
      </w:r>
      <w:r w:rsidR="001051D1">
        <w:rPr>
          <w:lang w:val="en-GB"/>
        </w:rPr>
        <w:t>UK</w:t>
      </w:r>
      <w:r>
        <w:t xml:space="preserve">, the </w:t>
      </w:r>
      <w:r w:rsidR="00E83B16">
        <w:rPr>
          <w:lang w:val="en-GB"/>
        </w:rPr>
        <w:t>high performance</w:t>
      </w:r>
      <w:r w:rsidR="00E83B16">
        <w:t xml:space="preserve"> </w:t>
      </w:r>
      <w:r>
        <w:t xml:space="preserve">of FeverPAIN criteria and cost of </w:t>
      </w:r>
      <w:r w:rsidR="009C0024">
        <w:rPr>
          <w:lang w:val="en-GB"/>
        </w:rPr>
        <w:t>a</w:t>
      </w:r>
      <w:r w:rsidR="009C0024">
        <w:t xml:space="preserve"> </w:t>
      </w:r>
      <w:r w:rsidR="004B542E">
        <w:rPr>
          <w:lang w:val="en-GB"/>
        </w:rPr>
        <w:t>POCT</w:t>
      </w:r>
      <w:r w:rsidR="00A306E7">
        <w:rPr>
          <w:lang w:val="en-GB"/>
        </w:rPr>
        <w:t xml:space="preserve"> </w:t>
      </w:r>
      <w:r>
        <w:t xml:space="preserve">will pose a challenge to the widespread use of </w:t>
      </w:r>
      <w:r w:rsidR="004B542E">
        <w:rPr>
          <w:lang w:val="en-GB"/>
        </w:rPr>
        <w:t xml:space="preserve">any test </w:t>
      </w:r>
      <w:r w:rsidR="00C028E3">
        <w:rPr>
          <w:lang w:val="en-GB"/>
        </w:rPr>
        <w:t>more expensive</w:t>
      </w:r>
      <w:r w:rsidR="004B542E">
        <w:rPr>
          <w:lang w:val="en-GB"/>
        </w:rPr>
        <w:t xml:space="preserve"> than a course of penicillin</w:t>
      </w:r>
      <w:r>
        <w:t>.</w:t>
      </w:r>
      <w:r w:rsidR="004B542E">
        <w:rPr>
          <w:lang w:val="en-GB"/>
        </w:rPr>
        <w:t xml:space="preserve"> </w:t>
      </w:r>
      <w:r w:rsidR="00E83B16">
        <w:rPr>
          <w:lang w:val="en-GB"/>
        </w:rPr>
        <w:t>In general practitioners’ clinics, t</w:t>
      </w:r>
      <w:r w:rsidR="004B542E">
        <w:rPr>
          <w:lang w:val="en-GB"/>
        </w:rPr>
        <w:t xml:space="preserve">he </w:t>
      </w:r>
      <w:r w:rsidR="00F76098">
        <w:rPr>
          <w:lang w:val="en-GB"/>
        </w:rPr>
        <w:t xml:space="preserve">total </w:t>
      </w:r>
      <w:r w:rsidR="004B542E">
        <w:rPr>
          <w:lang w:val="en-GB"/>
        </w:rPr>
        <w:t xml:space="preserve">ten-minute consultation time and </w:t>
      </w:r>
      <w:r w:rsidR="00F76098">
        <w:rPr>
          <w:lang w:val="en-GB"/>
        </w:rPr>
        <w:t>impact on workflow constitute</w:t>
      </w:r>
      <w:r w:rsidR="004B542E">
        <w:rPr>
          <w:lang w:val="en-GB"/>
        </w:rPr>
        <w:t xml:space="preserve"> additional challenges.</w:t>
      </w:r>
      <w:bookmarkStart w:id="15" w:name="_Hlk531183341"/>
      <w:bookmarkEnd w:id="14"/>
    </w:p>
    <w:bookmarkEnd w:id="15"/>
    <w:p w14:paraId="11BB983F" w14:textId="77777777" w:rsidR="00E066BD" w:rsidRDefault="00E066BD">
      <w:pPr>
        <w:pStyle w:val="Normal1"/>
      </w:pPr>
    </w:p>
    <w:p w14:paraId="64CC64FA" w14:textId="77777777" w:rsidR="008D3ABB" w:rsidRDefault="008D3ABB">
      <w:pPr>
        <w:pStyle w:val="Normal1"/>
      </w:pPr>
    </w:p>
    <w:p w14:paraId="104ABE96" w14:textId="77777777" w:rsidR="008D3ABB" w:rsidRDefault="00343D29">
      <w:pPr>
        <w:pStyle w:val="Normal1"/>
        <w:rPr>
          <w:b/>
        </w:rPr>
      </w:pPr>
      <w:r>
        <w:rPr>
          <w:b/>
        </w:rPr>
        <w:t>Conclusion</w:t>
      </w:r>
    </w:p>
    <w:p w14:paraId="1E7E4C52" w14:textId="77777777" w:rsidR="008D3ABB" w:rsidRDefault="008D3ABB">
      <w:pPr>
        <w:pStyle w:val="Normal1"/>
        <w:rPr>
          <w:b/>
        </w:rPr>
      </w:pPr>
    </w:p>
    <w:p w14:paraId="40C05B97" w14:textId="0E34EE36" w:rsidR="00660C92" w:rsidRDefault="009C0024" w:rsidP="00813525">
      <w:pPr>
        <w:pStyle w:val="Normal1"/>
        <w:spacing w:line="480" w:lineRule="auto"/>
        <w:jc w:val="both"/>
        <w:rPr>
          <w:lang w:val="en-GB"/>
        </w:rPr>
      </w:pPr>
      <w:bookmarkStart w:id="16" w:name="_Hlk531184654"/>
      <w:r>
        <w:rPr>
          <w:lang w:val="en-GB"/>
        </w:rPr>
        <w:t xml:space="preserve">The use of a rapid, molecular-based GAS POCT may reduce unnecessary antibiotic prescriptions in </w:t>
      </w:r>
      <w:r w:rsidR="00347E63">
        <w:rPr>
          <w:lang w:val="en-GB"/>
        </w:rPr>
        <w:t xml:space="preserve">UK </w:t>
      </w:r>
      <w:r>
        <w:rPr>
          <w:lang w:val="en-GB"/>
        </w:rPr>
        <w:t>PED</w:t>
      </w:r>
      <w:r w:rsidR="00660C92">
        <w:rPr>
          <w:lang w:val="en-GB"/>
        </w:rPr>
        <w:t xml:space="preserve"> settings. Nonetheless, opportunities to improve diagnostic and </w:t>
      </w:r>
      <w:r w:rsidR="00660C92">
        <w:rPr>
          <w:lang w:val="en-GB"/>
        </w:rPr>
        <w:lastRenderedPageBreak/>
        <w:t>antimicrobial stewardship were identified</w:t>
      </w:r>
      <w:r w:rsidR="00DD31C9">
        <w:rPr>
          <w:lang w:val="en-GB"/>
        </w:rPr>
        <w:t xml:space="preserve"> in this evaluation of the pragmatic implementation of a novel diagnostic</w:t>
      </w:r>
      <w:r w:rsidR="00347E63">
        <w:rPr>
          <w:lang w:val="en-GB"/>
        </w:rPr>
        <w:t xml:space="preserve"> into a clinical pathway</w:t>
      </w:r>
      <w:r w:rsidR="00DD31C9">
        <w:rPr>
          <w:lang w:val="en-GB"/>
        </w:rPr>
        <w:t>. Other factors such as acceptability, cost and impact on workflow are important predictors of successful implementation and need to be further evaluated.</w:t>
      </w:r>
    </w:p>
    <w:bookmarkEnd w:id="16"/>
    <w:p w14:paraId="0271F999" w14:textId="53987BED" w:rsidR="00D6419D" w:rsidRDefault="00D6419D" w:rsidP="00813525">
      <w:pPr>
        <w:pStyle w:val="Normal1"/>
        <w:spacing w:line="480" w:lineRule="auto"/>
        <w:jc w:val="both"/>
        <w:rPr>
          <w:lang w:val="en-GB"/>
        </w:rPr>
      </w:pPr>
    </w:p>
    <w:p w14:paraId="512931C7" w14:textId="34676F05" w:rsidR="00F80B43" w:rsidRDefault="00F80B43" w:rsidP="00813525">
      <w:pPr>
        <w:pStyle w:val="Normal1"/>
        <w:spacing w:line="480" w:lineRule="auto"/>
        <w:jc w:val="both"/>
        <w:rPr>
          <w:lang w:val="en-GB"/>
        </w:rPr>
      </w:pPr>
    </w:p>
    <w:p w14:paraId="7F1AD07B" w14:textId="42BCEB54" w:rsidR="00F80B43" w:rsidRDefault="00F80B43" w:rsidP="00813525">
      <w:pPr>
        <w:pStyle w:val="Normal1"/>
        <w:spacing w:line="480" w:lineRule="auto"/>
        <w:jc w:val="both"/>
        <w:rPr>
          <w:lang w:val="en-GB"/>
        </w:rPr>
      </w:pPr>
    </w:p>
    <w:p w14:paraId="649CDE0A" w14:textId="5EBC9385" w:rsidR="00F80B43" w:rsidRPr="00C82BAF" w:rsidRDefault="00F80B43" w:rsidP="00813525">
      <w:pPr>
        <w:pStyle w:val="Normal1"/>
        <w:spacing w:line="480" w:lineRule="auto"/>
        <w:jc w:val="both"/>
        <w:rPr>
          <w:i/>
          <w:u w:val="single"/>
          <w:lang w:val="en-GB"/>
        </w:rPr>
      </w:pPr>
      <w:r w:rsidRPr="00C82BAF">
        <w:rPr>
          <w:i/>
          <w:u w:val="single"/>
          <w:lang w:val="en-GB"/>
        </w:rPr>
        <w:t>Acknowledgements</w:t>
      </w:r>
    </w:p>
    <w:p w14:paraId="6A5C605F" w14:textId="491DEE5A" w:rsidR="004625CD" w:rsidRPr="00237CE9" w:rsidRDefault="00F80B43" w:rsidP="004625CD">
      <w:pPr>
        <w:pStyle w:val="Normal1"/>
        <w:spacing w:line="480" w:lineRule="auto"/>
        <w:jc w:val="both"/>
        <w:rPr>
          <w:i/>
          <w:lang w:val="en-GB"/>
        </w:rPr>
      </w:pPr>
      <w:r w:rsidRPr="00237CE9">
        <w:rPr>
          <w:i/>
          <w:lang w:val="en-GB"/>
        </w:rPr>
        <w:t xml:space="preserve">We would like to thank the support of patients, nurses and doctors </w:t>
      </w:r>
      <w:r w:rsidR="004625CD" w:rsidRPr="00237CE9">
        <w:rPr>
          <w:i/>
          <w:lang w:val="en-GB"/>
        </w:rPr>
        <w:t>of St. George’s</w:t>
      </w:r>
      <w:r w:rsidR="00C82BAF" w:rsidRPr="00237CE9">
        <w:rPr>
          <w:i/>
          <w:lang w:val="en-GB"/>
        </w:rPr>
        <w:t xml:space="preserve"> NHS Foundation Trust </w:t>
      </w:r>
      <w:proofErr w:type="spellStart"/>
      <w:r w:rsidR="00C82BAF" w:rsidRPr="00237CE9">
        <w:rPr>
          <w:i/>
          <w:lang w:val="en-GB"/>
        </w:rPr>
        <w:t>Pediatric</w:t>
      </w:r>
      <w:proofErr w:type="spellEnd"/>
      <w:r w:rsidR="00C82BAF" w:rsidRPr="00237CE9">
        <w:rPr>
          <w:i/>
          <w:lang w:val="en-GB"/>
        </w:rPr>
        <w:t xml:space="preserve"> Emergency Department</w:t>
      </w:r>
      <w:r w:rsidR="004625CD" w:rsidRPr="00237CE9">
        <w:rPr>
          <w:i/>
          <w:lang w:val="en-GB"/>
        </w:rPr>
        <w:t xml:space="preserve"> and acknowledge the contribution of </w:t>
      </w:r>
      <w:r w:rsidR="00C82BAF" w:rsidRPr="00237CE9">
        <w:rPr>
          <w:i/>
          <w:lang w:val="en-GB"/>
        </w:rPr>
        <w:t>St. George’s, University of London</w:t>
      </w:r>
      <w:r w:rsidR="004625CD" w:rsidRPr="00237CE9">
        <w:rPr>
          <w:i/>
          <w:lang w:val="en-GB"/>
        </w:rPr>
        <w:t xml:space="preserve"> medical students Clara Mead-Robson, </w:t>
      </w:r>
      <w:proofErr w:type="spellStart"/>
      <w:r w:rsidR="004625CD" w:rsidRPr="00237CE9">
        <w:rPr>
          <w:i/>
          <w:lang w:val="en-GB"/>
        </w:rPr>
        <w:t>Dhanyaa</w:t>
      </w:r>
      <w:proofErr w:type="spellEnd"/>
      <w:r w:rsidR="004625CD" w:rsidRPr="00237CE9">
        <w:rPr>
          <w:i/>
          <w:lang w:val="en-GB"/>
        </w:rPr>
        <w:t xml:space="preserve"> </w:t>
      </w:r>
      <w:proofErr w:type="spellStart"/>
      <w:r w:rsidR="004625CD" w:rsidRPr="00237CE9">
        <w:rPr>
          <w:i/>
          <w:lang w:val="en-GB"/>
        </w:rPr>
        <w:t>Yogaratnam</w:t>
      </w:r>
      <w:proofErr w:type="spellEnd"/>
      <w:r w:rsidR="004625CD" w:rsidRPr="00237CE9">
        <w:rPr>
          <w:i/>
          <w:lang w:val="en-GB"/>
        </w:rPr>
        <w:t xml:space="preserve">, Yousif Salih, Maxx Chin, Eric </w:t>
      </w:r>
      <w:proofErr w:type="spellStart"/>
      <w:r w:rsidR="004625CD" w:rsidRPr="00237CE9">
        <w:rPr>
          <w:i/>
          <w:lang w:val="en-GB"/>
        </w:rPr>
        <w:t>Auyoung</w:t>
      </w:r>
      <w:proofErr w:type="spellEnd"/>
      <w:r w:rsidR="004625CD" w:rsidRPr="00237CE9">
        <w:rPr>
          <w:i/>
          <w:lang w:val="en-GB"/>
        </w:rPr>
        <w:t>, Alexandra Baker</w:t>
      </w:r>
      <w:r w:rsidR="00C82BAF" w:rsidRPr="00237CE9">
        <w:rPr>
          <w:i/>
          <w:lang w:val="en-GB"/>
        </w:rPr>
        <w:t xml:space="preserve">, </w:t>
      </w:r>
      <w:r w:rsidR="004625CD" w:rsidRPr="00237CE9">
        <w:rPr>
          <w:i/>
          <w:lang w:val="en-GB"/>
        </w:rPr>
        <w:t xml:space="preserve">Emily Day, </w:t>
      </w:r>
      <w:r w:rsidR="00C82BAF" w:rsidRPr="00237CE9">
        <w:rPr>
          <w:i/>
          <w:lang w:val="en-GB"/>
        </w:rPr>
        <w:t xml:space="preserve">and </w:t>
      </w:r>
      <w:r w:rsidR="004625CD" w:rsidRPr="00237CE9">
        <w:rPr>
          <w:i/>
          <w:lang w:val="en-GB"/>
        </w:rPr>
        <w:t>Anusha Manne with data collection and entry.</w:t>
      </w:r>
    </w:p>
    <w:p w14:paraId="1A1AF966" w14:textId="77777777" w:rsidR="00D6419D" w:rsidRPr="00C82BAF" w:rsidRDefault="00D6419D" w:rsidP="00C82BAF">
      <w:pPr>
        <w:pStyle w:val="Normal1"/>
        <w:spacing w:line="480" w:lineRule="auto"/>
        <w:jc w:val="both"/>
        <w:rPr>
          <w:lang w:val="en-GB"/>
        </w:rPr>
      </w:pPr>
    </w:p>
    <w:p w14:paraId="10B5E110" w14:textId="5C14B86A" w:rsidR="00E066BD" w:rsidRDefault="00E066BD" w:rsidP="00D6419D">
      <w:pPr>
        <w:pStyle w:val="Normal1"/>
      </w:pPr>
    </w:p>
    <w:p w14:paraId="2C87D17F" w14:textId="77777777" w:rsidR="008D3ABB" w:rsidRDefault="00343D29">
      <w:pPr>
        <w:pStyle w:val="Normal1"/>
      </w:pPr>
      <w:r>
        <w:br w:type="page"/>
      </w:r>
    </w:p>
    <w:p w14:paraId="717CAED4" w14:textId="77777777" w:rsidR="008D3ABB" w:rsidRDefault="00343D29">
      <w:pPr>
        <w:pStyle w:val="Normal1"/>
        <w:rPr>
          <w:b/>
        </w:rPr>
      </w:pPr>
      <w:r>
        <w:rPr>
          <w:b/>
        </w:rPr>
        <w:lastRenderedPageBreak/>
        <w:t>References</w:t>
      </w:r>
    </w:p>
    <w:p w14:paraId="574BF5F9" w14:textId="77777777" w:rsidR="008D3ABB" w:rsidRDefault="008D3ABB">
      <w:pPr>
        <w:pStyle w:val="Normal1"/>
        <w:rPr>
          <w:b/>
        </w:rPr>
      </w:pPr>
    </w:p>
    <w:p w14:paraId="68B2A83F" w14:textId="77777777" w:rsidR="00E62290" w:rsidRDefault="00E62290" w:rsidP="00050C67">
      <w:pPr>
        <w:pStyle w:val="Normal1"/>
        <w:numPr>
          <w:ilvl w:val="0"/>
          <w:numId w:val="2"/>
        </w:numPr>
        <w:spacing w:line="480" w:lineRule="auto"/>
        <w:rPr>
          <w:highlight w:val="white"/>
        </w:rPr>
      </w:pPr>
      <w:r>
        <w:t xml:space="preserve">Public Health England. English surveillance programme for antimicrobial utilisation and resistance (ESPAUR) report. URL: </w:t>
      </w:r>
      <w:hyperlink r:id="rId7">
        <w:r>
          <w:rPr>
            <w:color w:val="1155CC"/>
            <w:u w:val="single"/>
          </w:rPr>
          <w:t>https://www.gov.uk/government/publications/english-surveillance-programme-antimicrobial-utilisation-and-resistance-espaur-report</w:t>
        </w:r>
      </w:hyperlink>
      <w:r>
        <w:t>. Published October 2014. Last accessed 24 July 2017.</w:t>
      </w:r>
    </w:p>
    <w:p w14:paraId="63FFD59C" w14:textId="77777777" w:rsidR="00E62290" w:rsidRDefault="00E62290" w:rsidP="00050C67">
      <w:pPr>
        <w:pStyle w:val="Normal1"/>
        <w:spacing w:line="480" w:lineRule="auto"/>
        <w:ind w:left="720"/>
      </w:pPr>
    </w:p>
    <w:p w14:paraId="7E7AD5A4" w14:textId="181D03B9" w:rsidR="00E62290" w:rsidRDefault="00E62290" w:rsidP="00050C67">
      <w:pPr>
        <w:pStyle w:val="Normal1"/>
        <w:numPr>
          <w:ilvl w:val="0"/>
          <w:numId w:val="2"/>
        </w:numPr>
        <w:spacing w:line="480" w:lineRule="auto"/>
      </w:pPr>
      <w:r>
        <w:t xml:space="preserve">Gulliford, M.C., Dregan, A., Moore, M.V., Ashworth, M., van Staa, T., McCann, G., Charlton, J., Yardley, L., Little, P. and McDermott, L., 2014. Continued high rates of antibiotic prescribing to adults with respiratory tract infection: survey of 568 UK general practices. </w:t>
      </w:r>
      <w:r>
        <w:rPr>
          <w:i/>
        </w:rPr>
        <w:t>BMJ open</w:t>
      </w:r>
      <w:r>
        <w:t xml:space="preserve">, </w:t>
      </w:r>
      <w:r>
        <w:rPr>
          <w:i/>
        </w:rPr>
        <w:t>4</w:t>
      </w:r>
      <w:r>
        <w:t>(10), p.e006245.</w:t>
      </w:r>
    </w:p>
    <w:p w14:paraId="11103469" w14:textId="77777777" w:rsidR="00E62290" w:rsidRDefault="00E62290" w:rsidP="00050C67">
      <w:pPr>
        <w:pStyle w:val="ListParagraph"/>
        <w:spacing w:line="480" w:lineRule="auto"/>
      </w:pPr>
    </w:p>
    <w:p w14:paraId="3F27D7C7" w14:textId="19DC3AB3" w:rsidR="00811223" w:rsidRDefault="00E62290" w:rsidP="00050C67">
      <w:pPr>
        <w:pStyle w:val="Normal1"/>
        <w:numPr>
          <w:ilvl w:val="0"/>
          <w:numId w:val="2"/>
        </w:numPr>
        <w:spacing w:line="480" w:lineRule="auto"/>
      </w:pPr>
      <w:r>
        <w:t xml:space="preserve">National Institute for Health and Care Excellence. </w:t>
      </w:r>
      <w:r w:rsidR="00242B15">
        <w:rPr>
          <w:lang w:val="en-GB"/>
        </w:rPr>
        <w:t>NICE</w:t>
      </w:r>
      <w:r w:rsidR="00242B15">
        <w:t xml:space="preserve"> </w:t>
      </w:r>
      <w:r>
        <w:t>guideline [</w:t>
      </w:r>
      <w:r w:rsidR="00242B15">
        <w:rPr>
          <w:lang w:val="en-GB"/>
        </w:rPr>
        <w:t>N</w:t>
      </w:r>
      <w:r>
        <w:t>G</w:t>
      </w:r>
      <w:r w:rsidR="00242B15">
        <w:rPr>
          <w:lang w:val="en-GB"/>
        </w:rPr>
        <w:t>84</w:t>
      </w:r>
      <w:r>
        <w:t xml:space="preserve">]. </w:t>
      </w:r>
      <w:r w:rsidR="00242B15">
        <w:rPr>
          <w:lang w:val="en-GB"/>
        </w:rPr>
        <w:t>Sore throat (acute): antimicrobial prescribing</w:t>
      </w:r>
      <w:r>
        <w:t xml:space="preserve">. URL: </w:t>
      </w:r>
      <w:hyperlink r:id="rId8" w:history="1">
        <w:r w:rsidR="00242B15" w:rsidRPr="00E352F0">
          <w:rPr>
            <w:rStyle w:val="Hyperlink"/>
          </w:rPr>
          <w:t>https://www.nice.org.uk/guidance/</w:t>
        </w:r>
        <w:r w:rsidR="00242B15" w:rsidRPr="00E352F0">
          <w:rPr>
            <w:rStyle w:val="Hyperlink"/>
            <w:lang w:val="en-GB"/>
          </w:rPr>
          <w:t>ng84</w:t>
        </w:r>
      </w:hyperlink>
      <w:r>
        <w:t xml:space="preserve">. Published </w:t>
      </w:r>
      <w:r w:rsidR="00242B15">
        <w:rPr>
          <w:lang w:val="en-GB"/>
        </w:rPr>
        <w:t>January</w:t>
      </w:r>
      <w:r w:rsidR="00242B15">
        <w:t xml:space="preserve"> </w:t>
      </w:r>
      <w:r>
        <w:t>20</w:t>
      </w:r>
      <w:r w:rsidR="00242B15">
        <w:rPr>
          <w:lang w:val="en-GB"/>
        </w:rPr>
        <w:t>1</w:t>
      </w:r>
      <w:r>
        <w:t xml:space="preserve">8. Last accessed </w:t>
      </w:r>
      <w:r w:rsidR="00242B15">
        <w:rPr>
          <w:lang w:val="en-GB"/>
        </w:rPr>
        <w:t>28 November 2018</w:t>
      </w:r>
      <w:r>
        <w:t xml:space="preserve">.   </w:t>
      </w:r>
    </w:p>
    <w:p w14:paraId="35B76694" w14:textId="30978075" w:rsidR="00E62290" w:rsidRDefault="00E62290" w:rsidP="00050C67">
      <w:pPr>
        <w:pStyle w:val="Normal1"/>
        <w:spacing w:line="480" w:lineRule="auto"/>
        <w:ind w:left="720"/>
      </w:pPr>
      <w:r>
        <w:t xml:space="preserve"> </w:t>
      </w:r>
    </w:p>
    <w:p w14:paraId="75F964DC" w14:textId="391FE963" w:rsidR="00E62290" w:rsidRDefault="00E62290" w:rsidP="00050C67">
      <w:pPr>
        <w:pStyle w:val="Normal1"/>
        <w:numPr>
          <w:ilvl w:val="0"/>
          <w:numId w:val="2"/>
        </w:numPr>
        <w:spacing w:line="480" w:lineRule="auto"/>
      </w:pPr>
      <w:r>
        <w:t xml:space="preserve">Centor, R.M., Witherspoon, J.M., Dalton, H.P., Brody, C.E. and Link, K., 1981. The diagnosis of strep throat in adults in the emergency room. </w:t>
      </w:r>
      <w:r>
        <w:rPr>
          <w:i/>
        </w:rPr>
        <w:t>Medical Decision Making</w:t>
      </w:r>
      <w:r>
        <w:t xml:space="preserve">, </w:t>
      </w:r>
      <w:r>
        <w:rPr>
          <w:i/>
        </w:rPr>
        <w:t>1</w:t>
      </w:r>
      <w:r>
        <w:t>(3), pp.239-246.</w:t>
      </w:r>
    </w:p>
    <w:p w14:paraId="18493ABB" w14:textId="77777777" w:rsidR="00811223" w:rsidRDefault="00811223" w:rsidP="00050C67">
      <w:pPr>
        <w:pStyle w:val="Normal1"/>
        <w:spacing w:line="480" w:lineRule="auto"/>
        <w:ind w:left="720"/>
      </w:pPr>
    </w:p>
    <w:p w14:paraId="1527BD57" w14:textId="25685773" w:rsidR="00811223" w:rsidRDefault="00811223" w:rsidP="00050C67">
      <w:pPr>
        <w:pStyle w:val="Normal1"/>
        <w:numPr>
          <w:ilvl w:val="0"/>
          <w:numId w:val="2"/>
        </w:numPr>
        <w:spacing w:line="480" w:lineRule="auto"/>
      </w:pPr>
      <w:r>
        <w:t xml:space="preserve">Little, P., Hobbs, F.R., Moore, M., Mant, D., Williamson, I., McNulty, C., Lasseter, G., Cheng, M.E., Leydon, G., McDermott, L. and Turner, D., 2014. PRImary care Streptococcal Management (PRISM) study: in vitro study, diagnostic cohorts and a pragmatic adaptive randomised controlled trial with nested qualitative study and cost-effectiveness study. </w:t>
      </w:r>
      <w:r>
        <w:rPr>
          <w:i/>
        </w:rPr>
        <w:t>Health technology assessment (Winchester, England)</w:t>
      </w:r>
      <w:r>
        <w:t xml:space="preserve">, </w:t>
      </w:r>
      <w:r>
        <w:rPr>
          <w:i/>
        </w:rPr>
        <w:t>18</w:t>
      </w:r>
      <w:r>
        <w:t>(6), p.vii.</w:t>
      </w:r>
    </w:p>
    <w:p w14:paraId="3A2CA808" w14:textId="77777777" w:rsidR="008747E7" w:rsidRDefault="008747E7" w:rsidP="008747E7">
      <w:pPr>
        <w:pStyle w:val="ListParagraph"/>
      </w:pPr>
    </w:p>
    <w:p w14:paraId="02A66D32" w14:textId="33024A65" w:rsidR="008706B4" w:rsidRDefault="008706B4" w:rsidP="008747E7">
      <w:pPr>
        <w:pStyle w:val="Normal1"/>
        <w:numPr>
          <w:ilvl w:val="0"/>
          <w:numId w:val="2"/>
        </w:numPr>
        <w:spacing w:line="480" w:lineRule="auto"/>
      </w:pPr>
      <w:r>
        <w:t xml:space="preserve">Cohen, D.M., Russo, M.E., Jaggi, P., Kline, J., Gluckman, W. and Parekh, A., 2015. </w:t>
      </w:r>
      <w:r>
        <w:lastRenderedPageBreak/>
        <w:t xml:space="preserve">Multicenter clinical evaluation of the novel Alere i Strep A isothermal nucleic acid amplification test. </w:t>
      </w:r>
      <w:r w:rsidRPr="00932611">
        <w:rPr>
          <w:i/>
        </w:rPr>
        <w:t>Journal of clinical microbiology</w:t>
      </w:r>
      <w:r>
        <w:t xml:space="preserve">, </w:t>
      </w:r>
      <w:r w:rsidRPr="00932611">
        <w:rPr>
          <w:i/>
        </w:rPr>
        <w:t>53</w:t>
      </w:r>
      <w:r>
        <w:t>(7), pp.2258-2261.</w:t>
      </w:r>
    </w:p>
    <w:p w14:paraId="79ECD6F6" w14:textId="77777777" w:rsidR="008747E7" w:rsidRDefault="008747E7" w:rsidP="008747E7">
      <w:pPr>
        <w:pStyle w:val="ListParagraph"/>
      </w:pPr>
    </w:p>
    <w:p w14:paraId="3DF7BD22" w14:textId="1C4DCDE3" w:rsidR="00CF3DC2" w:rsidRDefault="001049BC" w:rsidP="00CF3DC2">
      <w:pPr>
        <w:pStyle w:val="Normal1"/>
        <w:numPr>
          <w:ilvl w:val="0"/>
          <w:numId w:val="2"/>
        </w:numPr>
        <w:spacing w:line="480" w:lineRule="auto"/>
      </w:pPr>
      <w:r>
        <w:rPr>
          <w:lang w:val="en-GB"/>
        </w:rPr>
        <w:t>B</w:t>
      </w:r>
      <w:r w:rsidR="00343D29">
        <w:t xml:space="preserve">ustinduy, A.L., Ster, I.C., Shaw, R., Irwin, A., Thiagarajan, J., Beynon, R., Ladhani, S. and Sharland, M., 2016. Predictors of fever-related admissions to a pediatric assessment unit, ward and reattendances in a South London emergency department: the CABIN 2 study. </w:t>
      </w:r>
      <w:r w:rsidR="00343D29" w:rsidRPr="008706B4">
        <w:rPr>
          <w:i/>
        </w:rPr>
        <w:t>Archives of disease in childhood</w:t>
      </w:r>
      <w:r w:rsidR="00343D29">
        <w:t>, pp.archdischild-2016.</w:t>
      </w:r>
    </w:p>
    <w:p w14:paraId="641FA1EF" w14:textId="77777777" w:rsidR="00CF3DC2" w:rsidRDefault="00CF3DC2" w:rsidP="00CF3DC2">
      <w:pPr>
        <w:pStyle w:val="ListParagraph"/>
        <w:rPr>
          <w:lang w:val="en-GB"/>
        </w:rPr>
      </w:pPr>
    </w:p>
    <w:p w14:paraId="7C6980DF" w14:textId="73CF3DAD" w:rsidR="00932611" w:rsidRDefault="001049BC" w:rsidP="00CF3DC2">
      <w:pPr>
        <w:pStyle w:val="Normal1"/>
        <w:numPr>
          <w:ilvl w:val="0"/>
          <w:numId w:val="2"/>
        </w:numPr>
        <w:spacing w:line="480" w:lineRule="auto"/>
      </w:pPr>
      <w:r w:rsidRPr="001049BC">
        <w:t>Ayanruoh, S., Waseem, M., Quee, F., Humphrey, A. and Reynolds, T., 2009. Impact of rapid streptococcal test on antibiotic use in a pediatric emergency department. Pediatric emergency care, 25(11), pp.748-750.</w:t>
      </w:r>
    </w:p>
    <w:p w14:paraId="2CE4E7B7" w14:textId="77777777" w:rsidR="00CF3DC2" w:rsidRDefault="00CF3DC2" w:rsidP="00CF3DC2">
      <w:pPr>
        <w:pStyle w:val="ListParagraph"/>
      </w:pPr>
    </w:p>
    <w:p w14:paraId="48E5DB2E" w14:textId="37C18DE0" w:rsidR="0050536E" w:rsidRDefault="002876D8" w:rsidP="00CF3DC2">
      <w:pPr>
        <w:pStyle w:val="Normal1"/>
        <w:numPr>
          <w:ilvl w:val="0"/>
          <w:numId w:val="2"/>
        </w:numPr>
        <w:spacing w:line="480" w:lineRule="auto"/>
      </w:pPr>
      <w:r w:rsidRPr="0050536E">
        <w:t>B</w:t>
      </w:r>
      <w:r w:rsidR="00343D29">
        <w:t xml:space="preserve">ustinduy, A.L., Jeyaratnam, D., Douthwaite, S., Tonkin‐Crine, S., Shaw, R., Hyrapetian, L., Sevdalis, N., Goldenberg, S., Adams, E. and Sharland, M., 2017. Point‐of‐care tests for infectious diseases: barriers to implementation across three London teaching hospitals. </w:t>
      </w:r>
      <w:r w:rsidR="00343D29" w:rsidRPr="0050536E">
        <w:t>Acta Paediatrica</w:t>
      </w:r>
      <w:r w:rsidR="00343D29">
        <w:t>.</w:t>
      </w:r>
    </w:p>
    <w:p w14:paraId="3F0416B8" w14:textId="77777777" w:rsidR="00CF3DC2" w:rsidRDefault="00CF3DC2" w:rsidP="00CF3DC2">
      <w:pPr>
        <w:pStyle w:val="ListParagraph"/>
      </w:pPr>
    </w:p>
    <w:p w14:paraId="04B7D2E6" w14:textId="6FE0331C" w:rsidR="008D3ABB" w:rsidRPr="0050536E" w:rsidRDefault="00343D29" w:rsidP="00CF3DC2">
      <w:pPr>
        <w:pStyle w:val="Normal1"/>
        <w:numPr>
          <w:ilvl w:val="0"/>
          <w:numId w:val="2"/>
        </w:numPr>
        <w:spacing w:line="480" w:lineRule="auto"/>
      </w:pPr>
      <w:r w:rsidRPr="00D8149D">
        <w:t>Roggen, I., van Berlaer, G., Gordts, F., Pierard, D. and Hubloue, I., 2013. Centor criteria in children in a pediatric emergency department: for what it is worth. BMJ open, 3(4), p.e002712.</w:t>
      </w:r>
    </w:p>
    <w:p w14:paraId="65616A43" w14:textId="726CC0EF" w:rsidR="00FE38E7" w:rsidRPr="00932611" w:rsidRDefault="00FE38E7" w:rsidP="00F9483C">
      <w:pPr>
        <w:pStyle w:val="Normal1"/>
        <w:spacing w:line="480" w:lineRule="auto"/>
      </w:pPr>
    </w:p>
    <w:sectPr w:rsidR="00FE38E7" w:rsidRPr="00932611" w:rsidSect="00F9483C">
      <w:footerReference w:type="default" r:id="rId9"/>
      <w:pgSz w:w="11909" w:h="16834"/>
      <w:pgMar w:top="1440" w:right="1440" w:bottom="1440" w:left="1440" w:header="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0312" w14:textId="77777777" w:rsidR="0006644B" w:rsidRDefault="0006644B" w:rsidP="0027005D">
      <w:pPr>
        <w:spacing w:line="240" w:lineRule="auto"/>
      </w:pPr>
      <w:r>
        <w:separator/>
      </w:r>
    </w:p>
  </w:endnote>
  <w:endnote w:type="continuationSeparator" w:id="0">
    <w:p w14:paraId="023B54A5" w14:textId="77777777" w:rsidR="0006644B" w:rsidRDefault="0006644B" w:rsidP="00270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180468"/>
      <w:docPartObj>
        <w:docPartGallery w:val="Page Numbers (Bottom of Page)"/>
        <w:docPartUnique/>
      </w:docPartObj>
    </w:sdtPr>
    <w:sdtEndPr>
      <w:rPr>
        <w:noProof/>
      </w:rPr>
    </w:sdtEndPr>
    <w:sdtContent>
      <w:p w14:paraId="2B0E1F67" w14:textId="0318728F" w:rsidR="0027005D" w:rsidRDefault="002700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7FFCD" w14:textId="77777777" w:rsidR="0027005D" w:rsidRDefault="0027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ECE0" w14:textId="77777777" w:rsidR="0006644B" w:rsidRDefault="0006644B" w:rsidP="0027005D">
      <w:pPr>
        <w:spacing w:line="240" w:lineRule="auto"/>
      </w:pPr>
      <w:r>
        <w:separator/>
      </w:r>
    </w:p>
  </w:footnote>
  <w:footnote w:type="continuationSeparator" w:id="0">
    <w:p w14:paraId="446F5EFA" w14:textId="77777777" w:rsidR="0006644B" w:rsidRDefault="0006644B" w:rsidP="002700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A62"/>
    <w:multiLevelType w:val="hybridMultilevel"/>
    <w:tmpl w:val="358E0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1390D"/>
    <w:multiLevelType w:val="hybridMultilevel"/>
    <w:tmpl w:val="5D5E3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55DFE"/>
    <w:multiLevelType w:val="hybridMultilevel"/>
    <w:tmpl w:val="5AE47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B"/>
    <w:rsid w:val="00010D57"/>
    <w:rsid w:val="00011064"/>
    <w:rsid w:val="00050C67"/>
    <w:rsid w:val="0006644B"/>
    <w:rsid w:val="00070929"/>
    <w:rsid w:val="00073A78"/>
    <w:rsid w:val="00075617"/>
    <w:rsid w:val="000C29CD"/>
    <w:rsid w:val="000E564F"/>
    <w:rsid w:val="001049BC"/>
    <w:rsid w:val="001050F7"/>
    <w:rsid w:val="001051D1"/>
    <w:rsid w:val="00117B3E"/>
    <w:rsid w:val="00120114"/>
    <w:rsid w:val="00126A38"/>
    <w:rsid w:val="0014276E"/>
    <w:rsid w:val="00174F39"/>
    <w:rsid w:val="001A64A2"/>
    <w:rsid w:val="001B7D92"/>
    <w:rsid w:val="001D460C"/>
    <w:rsid w:val="002006C3"/>
    <w:rsid w:val="00217040"/>
    <w:rsid w:val="00217326"/>
    <w:rsid w:val="00230CB2"/>
    <w:rsid w:val="00230FDF"/>
    <w:rsid w:val="00237CE9"/>
    <w:rsid w:val="00242B15"/>
    <w:rsid w:val="00246F14"/>
    <w:rsid w:val="002664F2"/>
    <w:rsid w:val="002676B3"/>
    <w:rsid w:val="0027005D"/>
    <w:rsid w:val="00271189"/>
    <w:rsid w:val="002815AB"/>
    <w:rsid w:val="002876D8"/>
    <w:rsid w:val="002C58ED"/>
    <w:rsid w:val="002C6068"/>
    <w:rsid w:val="002E2E23"/>
    <w:rsid w:val="002F3C99"/>
    <w:rsid w:val="00302740"/>
    <w:rsid w:val="00343D29"/>
    <w:rsid w:val="00347E63"/>
    <w:rsid w:val="00374374"/>
    <w:rsid w:val="00390241"/>
    <w:rsid w:val="003B0425"/>
    <w:rsid w:val="003D717A"/>
    <w:rsid w:val="00451BFF"/>
    <w:rsid w:val="004625CD"/>
    <w:rsid w:val="00473156"/>
    <w:rsid w:val="00480A67"/>
    <w:rsid w:val="0048227F"/>
    <w:rsid w:val="00490CD4"/>
    <w:rsid w:val="00494C11"/>
    <w:rsid w:val="00497C0B"/>
    <w:rsid w:val="004B542E"/>
    <w:rsid w:val="004D627B"/>
    <w:rsid w:val="0050536E"/>
    <w:rsid w:val="0051176C"/>
    <w:rsid w:val="005153E1"/>
    <w:rsid w:val="0052032D"/>
    <w:rsid w:val="0052122E"/>
    <w:rsid w:val="00526554"/>
    <w:rsid w:val="005273A7"/>
    <w:rsid w:val="0058222A"/>
    <w:rsid w:val="005B00BF"/>
    <w:rsid w:val="005C2506"/>
    <w:rsid w:val="005D50E7"/>
    <w:rsid w:val="005D6D6F"/>
    <w:rsid w:val="005E2A5D"/>
    <w:rsid w:val="005F5831"/>
    <w:rsid w:val="006045E6"/>
    <w:rsid w:val="00650F8F"/>
    <w:rsid w:val="00656C55"/>
    <w:rsid w:val="00660C92"/>
    <w:rsid w:val="00670719"/>
    <w:rsid w:val="0068135D"/>
    <w:rsid w:val="0068297C"/>
    <w:rsid w:val="006A2AF1"/>
    <w:rsid w:val="006B2E6D"/>
    <w:rsid w:val="006D654C"/>
    <w:rsid w:val="006E2600"/>
    <w:rsid w:val="007220D5"/>
    <w:rsid w:val="0073593E"/>
    <w:rsid w:val="00765571"/>
    <w:rsid w:val="00777DC6"/>
    <w:rsid w:val="007854BA"/>
    <w:rsid w:val="007B00E8"/>
    <w:rsid w:val="007C1803"/>
    <w:rsid w:val="007F5857"/>
    <w:rsid w:val="00810298"/>
    <w:rsid w:val="00811223"/>
    <w:rsid w:val="00813525"/>
    <w:rsid w:val="008208D0"/>
    <w:rsid w:val="0083554F"/>
    <w:rsid w:val="008549B7"/>
    <w:rsid w:val="008706B4"/>
    <w:rsid w:val="008747E7"/>
    <w:rsid w:val="00886694"/>
    <w:rsid w:val="008A3D92"/>
    <w:rsid w:val="008A5458"/>
    <w:rsid w:val="008A7A6E"/>
    <w:rsid w:val="008D3ABB"/>
    <w:rsid w:val="008E0FB1"/>
    <w:rsid w:val="008E4163"/>
    <w:rsid w:val="0091462C"/>
    <w:rsid w:val="009259C6"/>
    <w:rsid w:val="00932611"/>
    <w:rsid w:val="0098458C"/>
    <w:rsid w:val="00991EA1"/>
    <w:rsid w:val="00996A83"/>
    <w:rsid w:val="0099714D"/>
    <w:rsid w:val="009A2DB1"/>
    <w:rsid w:val="009A5899"/>
    <w:rsid w:val="009A7ADB"/>
    <w:rsid w:val="009C0024"/>
    <w:rsid w:val="009C74A8"/>
    <w:rsid w:val="009E026D"/>
    <w:rsid w:val="009E25C9"/>
    <w:rsid w:val="009E407F"/>
    <w:rsid w:val="009F6E7D"/>
    <w:rsid w:val="00A10AEC"/>
    <w:rsid w:val="00A306E7"/>
    <w:rsid w:val="00A60DE9"/>
    <w:rsid w:val="00A75532"/>
    <w:rsid w:val="00AC066F"/>
    <w:rsid w:val="00B44A38"/>
    <w:rsid w:val="00B62DEA"/>
    <w:rsid w:val="00B652C4"/>
    <w:rsid w:val="00B6650D"/>
    <w:rsid w:val="00B77ED9"/>
    <w:rsid w:val="00BA77A2"/>
    <w:rsid w:val="00BB3EC6"/>
    <w:rsid w:val="00BC5DDE"/>
    <w:rsid w:val="00BD0B84"/>
    <w:rsid w:val="00BD3A97"/>
    <w:rsid w:val="00BF7BDF"/>
    <w:rsid w:val="00C028E3"/>
    <w:rsid w:val="00C22EC1"/>
    <w:rsid w:val="00C251D3"/>
    <w:rsid w:val="00C433B8"/>
    <w:rsid w:val="00C45ADA"/>
    <w:rsid w:val="00C6364F"/>
    <w:rsid w:val="00C63B0F"/>
    <w:rsid w:val="00C656FA"/>
    <w:rsid w:val="00C75BA0"/>
    <w:rsid w:val="00C7639E"/>
    <w:rsid w:val="00C77E01"/>
    <w:rsid w:val="00C82BAF"/>
    <w:rsid w:val="00C9685D"/>
    <w:rsid w:val="00CA37C2"/>
    <w:rsid w:val="00CA542F"/>
    <w:rsid w:val="00CA7DA8"/>
    <w:rsid w:val="00CC2E9B"/>
    <w:rsid w:val="00CC5F9D"/>
    <w:rsid w:val="00CD5B6A"/>
    <w:rsid w:val="00CE6AB7"/>
    <w:rsid w:val="00CF3DC2"/>
    <w:rsid w:val="00D0309C"/>
    <w:rsid w:val="00D0481F"/>
    <w:rsid w:val="00D22C02"/>
    <w:rsid w:val="00D3366A"/>
    <w:rsid w:val="00D36BD0"/>
    <w:rsid w:val="00D43850"/>
    <w:rsid w:val="00D47202"/>
    <w:rsid w:val="00D55707"/>
    <w:rsid w:val="00D57B3F"/>
    <w:rsid w:val="00D6419D"/>
    <w:rsid w:val="00D8149D"/>
    <w:rsid w:val="00DA236F"/>
    <w:rsid w:val="00DA4477"/>
    <w:rsid w:val="00DC0943"/>
    <w:rsid w:val="00DC6771"/>
    <w:rsid w:val="00DD31C9"/>
    <w:rsid w:val="00DD3BBB"/>
    <w:rsid w:val="00DD7B29"/>
    <w:rsid w:val="00DF7D69"/>
    <w:rsid w:val="00E066BD"/>
    <w:rsid w:val="00E16C6D"/>
    <w:rsid w:val="00E22C5C"/>
    <w:rsid w:val="00E32EEA"/>
    <w:rsid w:val="00E35278"/>
    <w:rsid w:val="00E35E38"/>
    <w:rsid w:val="00E40855"/>
    <w:rsid w:val="00E62290"/>
    <w:rsid w:val="00E83B16"/>
    <w:rsid w:val="00E9623E"/>
    <w:rsid w:val="00EB2D8F"/>
    <w:rsid w:val="00EC173C"/>
    <w:rsid w:val="00EC59D4"/>
    <w:rsid w:val="00F015A5"/>
    <w:rsid w:val="00F07607"/>
    <w:rsid w:val="00F1292D"/>
    <w:rsid w:val="00F2190E"/>
    <w:rsid w:val="00F269DF"/>
    <w:rsid w:val="00F35E70"/>
    <w:rsid w:val="00F57037"/>
    <w:rsid w:val="00F601BF"/>
    <w:rsid w:val="00F60790"/>
    <w:rsid w:val="00F73AC4"/>
    <w:rsid w:val="00F76098"/>
    <w:rsid w:val="00F80521"/>
    <w:rsid w:val="00F80B43"/>
    <w:rsid w:val="00F833CD"/>
    <w:rsid w:val="00F836A5"/>
    <w:rsid w:val="00F9483C"/>
    <w:rsid w:val="00FC0791"/>
    <w:rsid w:val="00FC68CB"/>
    <w:rsid w:val="00FD79AE"/>
    <w:rsid w:val="00FE0C9F"/>
    <w:rsid w:val="00FE38E7"/>
    <w:rsid w:val="00FE3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45128"/>
  <w15:docId w15:val="{E38A9DCA-9672-4802-95BD-27F136D0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36"/>
      <w:szCs w:val="36"/>
    </w:rPr>
  </w:style>
  <w:style w:type="paragraph" w:styleId="Heading2">
    <w:name w:val="heading 2"/>
    <w:basedOn w:val="Normal1"/>
    <w:next w:val="Normal1"/>
    <w:pPr>
      <w:keepNext/>
      <w:keepLines/>
      <w:spacing w:before="360" w:after="80"/>
      <w:outlineLvl w:val="1"/>
    </w:pPr>
    <w:rPr>
      <w:b/>
      <w:sz w:val="28"/>
      <w:szCs w:val="28"/>
    </w:rPr>
  </w:style>
  <w:style w:type="paragraph" w:styleId="Heading3">
    <w:name w:val="heading 3"/>
    <w:basedOn w:val="Normal1"/>
    <w:next w:val="Normal1"/>
    <w:pPr>
      <w:keepNext/>
      <w:keepLines/>
      <w:spacing w:before="280" w:after="80"/>
      <w:outlineLvl w:val="2"/>
    </w:pPr>
    <w:rPr>
      <w:b/>
      <w:color w:val="666666"/>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43D29"/>
    <w:rPr>
      <w:sz w:val="18"/>
      <w:szCs w:val="18"/>
    </w:rPr>
  </w:style>
  <w:style w:type="paragraph" w:styleId="CommentText">
    <w:name w:val="annotation text"/>
    <w:basedOn w:val="Normal"/>
    <w:link w:val="CommentTextChar"/>
    <w:uiPriority w:val="99"/>
    <w:semiHidden/>
    <w:unhideWhenUsed/>
    <w:rsid w:val="00343D29"/>
    <w:pPr>
      <w:spacing w:line="240" w:lineRule="auto"/>
    </w:pPr>
    <w:rPr>
      <w:sz w:val="24"/>
      <w:szCs w:val="24"/>
    </w:rPr>
  </w:style>
  <w:style w:type="character" w:customStyle="1" w:styleId="CommentTextChar">
    <w:name w:val="Comment Text Char"/>
    <w:basedOn w:val="DefaultParagraphFont"/>
    <w:link w:val="CommentText"/>
    <w:uiPriority w:val="99"/>
    <w:semiHidden/>
    <w:rsid w:val="00343D29"/>
    <w:rPr>
      <w:sz w:val="24"/>
      <w:szCs w:val="24"/>
    </w:rPr>
  </w:style>
  <w:style w:type="paragraph" w:styleId="CommentSubject">
    <w:name w:val="annotation subject"/>
    <w:basedOn w:val="CommentText"/>
    <w:next w:val="CommentText"/>
    <w:link w:val="CommentSubjectChar"/>
    <w:uiPriority w:val="99"/>
    <w:semiHidden/>
    <w:unhideWhenUsed/>
    <w:rsid w:val="00343D29"/>
    <w:rPr>
      <w:b/>
      <w:bCs/>
      <w:sz w:val="20"/>
      <w:szCs w:val="20"/>
    </w:rPr>
  </w:style>
  <w:style w:type="character" w:customStyle="1" w:styleId="CommentSubjectChar">
    <w:name w:val="Comment Subject Char"/>
    <w:basedOn w:val="CommentTextChar"/>
    <w:link w:val="CommentSubject"/>
    <w:uiPriority w:val="99"/>
    <w:semiHidden/>
    <w:rsid w:val="00343D29"/>
    <w:rPr>
      <w:b/>
      <w:bCs/>
      <w:sz w:val="20"/>
      <w:szCs w:val="20"/>
    </w:rPr>
  </w:style>
  <w:style w:type="paragraph" w:styleId="BalloonText">
    <w:name w:val="Balloon Text"/>
    <w:basedOn w:val="Normal"/>
    <w:link w:val="BalloonTextChar"/>
    <w:uiPriority w:val="99"/>
    <w:semiHidden/>
    <w:unhideWhenUsed/>
    <w:rsid w:val="00343D2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D29"/>
    <w:rPr>
      <w:rFonts w:ascii="Lucida Grande" w:hAnsi="Lucida Grande"/>
      <w:sz w:val="18"/>
      <w:szCs w:val="18"/>
    </w:rPr>
  </w:style>
  <w:style w:type="character" w:styleId="Strong">
    <w:name w:val="Strong"/>
    <w:basedOn w:val="DefaultParagraphFont"/>
    <w:uiPriority w:val="22"/>
    <w:qFormat/>
    <w:rsid w:val="0058222A"/>
    <w:rPr>
      <w:b/>
      <w:bCs/>
    </w:rPr>
  </w:style>
  <w:style w:type="paragraph" w:styleId="ListParagraph">
    <w:name w:val="List Paragraph"/>
    <w:basedOn w:val="Normal"/>
    <w:uiPriority w:val="34"/>
    <w:qFormat/>
    <w:rsid w:val="00D8149D"/>
    <w:pPr>
      <w:ind w:left="720"/>
      <w:contextualSpacing/>
    </w:pPr>
  </w:style>
  <w:style w:type="paragraph" w:styleId="Header">
    <w:name w:val="header"/>
    <w:basedOn w:val="Normal"/>
    <w:link w:val="HeaderChar"/>
    <w:uiPriority w:val="99"/>
    <w:unhideWhenUsed/>
    <w:rsid w:val="0027005D"/>
    <w:pPr>
      <w:tabs>
        <w:tab w:val="center" w:pos="4513"/>
        <w:tab w:val="right" w:pos="9026"/>
      </w:tabs>
      <w:spacing w:line="240" w:lineRule="auto"/>
    </w:pPr>
  </w:style>
  <w:style w:type="character" w:customStyle="1" w:styleId="HeaderChar">
    <w:name w:val="Header Char"/>
    <w:basedOn w:val="DefaultParagraphFont"/>
    <w:link w:val="Header"/>
    <w:uiPriority w:val="99"/>
    <w:rsid w:val="0027005D"/>
  </w:style>
  <w:style w:type="paragraph" w:styleId="Footer">
    <w:name w:val="footer"/>
    <w:basedOn w:val="Normal"/>
    <w:link w:val="FooterChar"/>
    <w:uiPriority w:val="99"/>
    <w:unhideWhenUsed/>
    <w:rsid w:val="0027005D"/>
    <w:pPr>
      <w:tabs>
        <w:tab w:val="center" w:pos="4513"/>
        <w:tab w:val="right" w:pos="9026"/>
      </w:tabs>
      <w:spacing w:line="240" w:lineRule="auto"/>
    </w:pPr>
  </w:style>
  <w:style w:type="character" w:customStyle="1" w:styleId="FooterChar">
    <w:name w:val="Footer Char"/>
    <w:basedOn w:val="DefaultParagraphFont"/>
    <w:link w:val="Footer"/>
    <w:uiPriority w:val="99"/>
    <w:rsid w:val="0027005D"/>
  </w:style>
  <w:style w:type="character" w:styleId="Hyperlink">
    <w:name w:val="Hyperlink"/>
    <w:basedOn w:val="DefaultParagraphFont"/>
    <w:uiPriority w:val="99"/>
    <w:unhideWhenUsed/>
    <w:rsid w:val="00765571"/>
    <w:rPr>
      <w:color w:val="0000FF" w:themeColor="hyperlink"/>
      <w:u w:val="single"/>
    </w:rPr>
  </w:style>
  <w:style w:type="character" w:styleId="UnresolvedMention">
    <w:name w:val="Unresolved Mention"/>
    <w:basedOn w:val="DefaultParagraphFont"/>
    <w:uiPriority w:val="99"/>
    <w:semiHidden/>
    <w:unhideWhenUsed/>
    <w:rsid w:val="00242B15"/>
    <w:rPr>
      <w:color w:val="605E5C"/>
      <w:shd w:val="clear" w:color="auto" w:fill="E1DFDD"/>
    </w:rPr>
  </w:style>
  <w:style w:type="paragraph" w:styleId="HTMLPreformatted">
    <w:name w:val="HTML Preformatted"/>
    <w:basedOn w:val="Normal"/>
    <w:link w:val="HTMLPreformattedChar"/>
    <w:uiPriority w:val="99"/>
    <w:unhideWhenUsed/>
    <w:rsid w:val="004625CD"/>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4625CD"/>
    <w:rPr>
      <w:rFonts w:ascii="Courier New" w:eastAsia="Times New Roman" w:hAnsi="Courier New" w:cs="Courier New"/>
      <w:color w:val="auto"/>
      <w:sz w:val="20"/>
      <w:szCs w:val="20"/>
      <w:lang w:val="en-GB" w:eastAsia="en-GB"/>
    </w:rPr>
  </w:style>
  <w:style w:type="character" w:customStyle="1" w:styleId="gnkrckgcgsb">
    <w:name w:val="gnkrckgcgsb"/>
    <w:basedOn w:val="DefaultParagraphFont"/>
    <w:rsid w:val="004625CD"/>
  </w:style>
  <w:style w:type="table" w:styleId="TableGrid">
    <w:name w:val="Table Grid"/>
    <w:basedOn w:val="TableNormal"/>
    <w:uiPriority w:val="39"/>
    <w:rsid w:val="00217040"/>
    <w:pPr>
      <w:widowControl/>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48192">
      <w:bodyDiv w:val="1"/>
      <w:marLeft w:val="0"/>
      <w:marRight w:val="0"/>
      <w:marTop w:val="0"/>
      <w:marBottom w:val="0"/>
      <w:divBdr>
        <w:top w:val="none" w:sz="0" w:space="0" w:color="auto"/>
        <w:left w:val="none" w:sz="0" w:space="0" w:color="auto"/>
        <w:bottom w:val="none" w:sz="0" w:space="0" w:color="auto"/>
        <w:right w:val="none" w:sz="0" w:space="0" w:color="auto"/>
      </w:divBdr>
    </w:div>
    <w:div w:id="1164902425">
      <w:bodyDiv w:val="1"/>
      <w:marLeft w:val="0"/>
      <w:marRight w:val="0"/>
      <w:marTop w:val="0"/>
      <w:marBottom w:val="0"/>
      <w:divBdr>
        <w:top w:val="none" w:sz="0" w:space="0" w:color="auto"/>
        <w:left w:val="none" w:sz="0" w:space="0" w:color="auto"/>
        <w:bottom w:val="none" w:sz="0" w:space="0" w:color="auto"/>
        <w:right w:val="none" w:sz="0" w:space="0" w:color="auto"/>
      </w:divBdr>
    </w:div>
    <w:div w:id="2024821835">
      <w:bodyDiv w:val="1"/>
      <w:marLeft w:val="0"/>
      <w:marRight w:val="0"/>
      <w:marTop w:val="0"/>
      <w:marBottom w:val="0"/>
      <w:divBdr>
        <w:top w:val="none" w:sz="0" w:space="0" w:color="auto"/>
        <w:left w:val="none" w:sz="0" w:space="0" w:color="auto"/>
        <w:bottom w:val="none" w:sz="0" w:space="0" w:color="auto"/>
        <w:right w:val="none" w:sz="0" w:space="0" w:color="auto"/>
      </w:divBdr>
      <w:divsChild>
        <w:div w:id="1219705206">
          <w:marLeft w:val="0"/>
          <w:marRight w:val="0"/>
          <w:marTop w:val="0"/>
          <w:marBottom w:val="0"/>
          <w:divBdr>
            <w:top w:val="none" w:sz="0" w:space="0" w:color="auto"/>
            <w:left w:val="none" w:sz="0" w:space="0" w:color="auto"/>
            <w:bottom w:val="none" w:sz="0" w:space="0" w:color="auto"/>
            <w:right w:val="none" w:sz="0" w:space="0" w:color="auto"/>
          </w:divBdr>
          <w:divsChild>
            <w:div w:id="785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4" TargetMode="External"/><Relationship Id="rId3" Type="http://schemas.openxmlformats.org/officeDocument/2006/relationships/settings" Target="settings.xml"/><Relationship Id="rId7" Type="http://schemas.openxmlformats.org/officeDocument/2006/relationships/hyperlink" Target="https://www.gov.uk/government/publications/english-surveillance-programme-antimicrobial-utilisation-and-resistance-espaur-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Bustinduy</dc:creator>
  <cp:lastModifiedBy>Alicia Demirjian</cp:lastModifiedBy>
  <cp:revision>5</cp:revision>
  <cp:lastPrinted>2018-11-27T13:40:00Z</cp:lastPrinted>
  <dcterms:created xsi:type="dcterms:W3CDTF">2018-12-27T22:17:00Z</dcterms:created>
  <dcterms:modified xsi:type="dcterms:W3CDTF">2018-12-27T22:21:00Z</dcterms:modified>
</cp:coreProperties>
</file>